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5F5A28">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5F5A28">
      <w:pPr>
        <w:pStyle w:val="StyleBoldCentered"/>
        <w:widowControl/>
      </w:pPr>
      <w:r>
        <w:t>F</w:t>
      </w:r>
      <w:r>
        <w:rPr>
          <w:caps w:val="0"/>
        </w:rPr>
        <w:t>ederal Communications Commission</w:t>
      </w:r>
    </w:p>
    <w:p w:rsidR="004C2EE3" w:rsidRDefault="00810B6F" w:rsidP="005F5A28">
      <w:pPr>
        <w:pStyle w:val="StyleBoldCentered"/>
        <w:widowControl/>
      </w:pPr>
      <w:r>
        <w:rPr>
          <w:caps w:val="0"/>
        </w:rPr>
        <w:t>Washington, D.C. 20554</w:t>
      </w:r>
    </w:p>
    <w:p w:rsidR="004C2EE3" w:rsidRDefault="004C2EE3" w:rsidP="005F5A28">
      <w:pPr>
        <w:widowControl/>
      </w:pPr>
    </w:p>
    <w:p w:rsidR="004C2EE3" w:rsidRDefault="004C2EE3" w:rsidP="005F5A28">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5F5A28">
            <w:pPr>
              <w:widowControl/>
              <w:tabs>
                <w:tab w:val="center" w:pos="4680"/>
              </w:tabs>
              <w:suppressAutoHyphens/>
              <w:rPr>
                <w:snapToGrid/>
                <w:spacing w:val="-2"/>
              </w:rPr>
            </w:pPr>
            <w:r>
              <w:rPr>
                <w:spacing w:val="-2"/>
              </w:rPr>
              <w:t>In the Matter of</w:t>
            </w:r>
          </w:p>
          <w:p w:rsidR="004C2EE3" w:rsidRDefault="004C2EE3" w:rsidP="005F5A28">
            <w:pPr>
              <w:widowControl/>
              <w:tabs>
                <w:tab w:val="center" w:pos="4680"/>
              </w:tabs>
              <w:suppressAutoHyphens/>
              <w:rPr>
                <w:snapToGrid/>
                <w:spacing w:val="-2"/>
              </w:rPr>
            </w:pPr>
          </w:p>
          <w:p w:rsidR="004C2EE3" w:rsidRDefault="005E279D" w:rsidP="005F5A28">
            <w:pPr>
              <w:widowControl/>
              <w:tabs>
                <w:tab w:val="center" w:pos="4680"/>
              </w:tabs>
              <w:suppressAutoHyphens/>
              <w:rPr>
                <w:snapToGrid/>
                <w:spacing w:val="-2"/>
              </w:rPr>
            </w:pPr>
            <w:r>
              <w:rPr>
                <w:spacing w:val="-2"/>
              </w:rPr>
              <w:t>Rates for Interstate Inmate Calling Services</w:t>
            </w:r>
          </w:p>
          <w:p w:rsidR="005E279D" w:rsidRDefault="005E279D" w:rsidP="005F5A28">
            <w:pPr>
              <w:widowControl/>
              <w:tabs>
                <w:tab w:val="center" w:pos="4680"/>
              </w:tabs>
              <w:suppressAutoHyphens/>
              <w:rPr>
                <w:snapToGrid/>
                <w:spacing w:val="-2"/>
              </w:rPr>
            </w:pPr>
          </w:p>
          <w:p w:rsidR="005E279D" w:rsidRDefault="0093720D" w:rsidP="005F5A28">
            <w:pPr>
              <w:widowControl/>
              <w:tabs>
                <w:tab w:val="center" w:pos="4680"/>
              </w:tabs>
              <w:suppressAutoHyphens/>
              <w:rPr>
                <w:snapToGrid/>
                <w:spacing w:val="-2"/>
              </w:rPr>
            </w:pPr>
            <w:r>
              <w:rPr>
                <w:spacing w:val="-2"/>
              </w:rPr>
              <w:t>Securus Technologies, Inc.</w:t>
            </w:r>
            <w:r w:rsidR="005E279D">
              <w:rPr>
                <w:spacing w:val="-2"/>
              </w:rPr>
              <w:t xml:space="preserve"> Petition </w:t>
            </w:r>
            <w:r>
              <w:rPr>
                <w:spacing w:val="-2"/>
              </w:rPr>
              <w:t>to Expand</w:t>
            </w:r>
          </w:p>
          <w:p w:rsidR="005E279D" w:rsidRDefault="0093720D" w:rsidP="005F5A28">
            <w:pPr>
              <w:widowControl/>
              <w:tabs>
                <w:tab w:val="center" w:pos="4680"/>
              </w:tabs>
              <w:suppressAutoHyphens/>
              <w:rPr>
                <w:spacing w:val="-2"/>
              </w:rPr>
            </w:pPr>
            <w:r>
              <w:rPr>
                <w:spacing w:val="-2"/>
              </w:rPr>
              <w:t xml:space="preserve">Pay Tel </w:t>
            </w:r>
            <w:r w:rsidR="005E279D">
              <w:rPr>
                <w:spacing w:val="-2"/>
              </w:rPr>
              <w:t>Waive</w:t>
            </w:r>
            <w:r w:rsidR="00C37069">
              <w:rPr>
                <w:spacing w:val="-2"/>
              </w:rPr>
              <w:t>r</w:t>
            </w:r>
            <w:r w:rsidR="005E279D">
              <w:rPr>
                <w:spacing w:val="-2"/>
              </w:rPr>
              <w:t xml:space="preserve"> </w:t>
            </w:r>
          </w:p>
          <w:p w:rsidR="0093720D" w:rsidRDefault="0093720D" w:rsidP="005F5A28">
            <w:pPr>
              <w:widowControl/>
              <w:tabs>
                <w:tab w:val="center" w:pos="4680"/>
              </w:tabs>
              <w:suppressAutoHyphens/>
              <w:rPr>
                <w:spacing w:val="-2"/>
              </w:rPr>
            </w:pPr>
          </w:p>
          <w:p w:rsidR="0093720D" w:rsidRPr="007115F7" w:rsidRDefault="0093720D" w:rsidP="005F5A28">
            <w:pPr>
              <w:widowControl/>
              <w:tabs>
                <w:tab w:val="center" w:pos="4680"/>
              </w:tabs>
              <w:suppressAutoHyphens/>
              <w:rPr>
                <w:snapToGrid/>
                <w:spacing w:val="-2"/>
              </w:rPr>
            </w:pPr>
            <w:r>
              <w:rPr>
                <w:spacing w:val="-2"/>
              </w:rPr>
              <w:t>Securus Technologies, Inc. Petition for Leave to  Add Fee for Voice Biometrics Technology</w:t>
            </w:r>
          </w:p>
        </w:tc>
        <w:tc>
          <w:tcPr>
            <w:tcW w:w="630" w:type="dxa"/>
          </w:tcPr>
          <w:p w:rsidR="004C2EE3" w:rsidRDefault="004C2EE3" w:rsidP="005F5A28">
            <w:pPr>
              <w:widowControl/>
              <w:tabs>
                <w:tab w:val="center" w:pos="4680"/>
              </w:tabs>
              <w:suppressAutoHyphens/>
              <w:rPr>
                <w:b/>
                <w:spacing w:val="-2"/>
              </w:rPr>
            </w:pPr>
            <w:r>
              <w:rPr>
                <w:b/>
                <w:spacing w:val="-2"/>
              </w:rPr>
              <w:t>)</w:t>
            </w:r>
          </w:p>
          <w:p w:rsidR="004C2EE3" w:rsidRDefault="004C2EE3" w:rsidP="005F5A28">
            <w:pPr>
              <w:widowControl/>
              <w:tabs>
                <w:tab w:val="center" w:pos="4680"/>
              </w:tabs>
              <w:suppressAutoHyphens/>
              <w:rPr>
                <w:b/>
                <w:spacing w:val="-2"/>
              </w:rPr>
            </w:pPr>
            <w:r>
              <w:rPr>
                <w:b/>
                <w:spacing w:val="-2"/>
              </w:rPr>
              <w:t>)</w:t>
            </w:r>
          </w:p>
          <w:p w:rsidR="004C2EE3" w:rsidRDefault="004C2EE3" w:rsidP="005F5A28">
            <w:pPr>
              <w:widowControl/>
              <w:tabs>
                <w:tab w:val="center" w:pos="4680"/>
              </w:tabs>
              <w:suppressAutoHyphens/>
              <w:rPr>
                <w:b/>
                <w:spacing w:val="-2"/>
              </w:rPr>
            </w:pPr>
            <w:r>
              <w:rPr>
                <w:b/>
                <w:spacing w:val="-2"/>
              </w:rPr>
              <w:t>)</w:t>
            </w:r>
          </w:p>
          <w:p w:rsidR="004C2EE3" w:rsidRDefault="004C2EE3" w:rsidP="005F5A28">
            <w:pPr>
              <w:widowControl/>
              <w:tabs>
                <w:tab w:val="center" w:pos="4680"/>
              </w:tabs>
              <w:suppressAutoHyphens/>
              <w:rPr>
                <w:b/>
                <w:spacing w:val="-2"/>
              </w:rPr>
            </w:pPr>
            <w:r>
              <w:rPr>
                <w:b/>
                <w:spacing w:val="-2"/>
              </w:rPr>
              <w:t>)</w:t>
            </w:r>
          </w:p>
          <w:p w:rsidR="004C2EE3" w:rsidRPr="0032143E" w:rsidRDefault="004C2EE3" w:rsidP="005F5A28">
            <w:pPr>
              <w:widowControl/>
              <w:tabs>
                <w:tab w:val="center" w:pos="4680"/>
              </w:tabs>
              <w:suppressAutoHyphens/>
              <w:rPr>
                <w:b/>
                <w:spacing w:val="-2"/>
              </w:rPr>
            </w:pPr>
            <w:r w:rsidRPr="0032143E">
              <w:rPr>
                <w:b/>
                <w:spacing w:val="-2"/>
              </w:rPr>
              <w:t>)</w:t>
            </w:r>
          </w:p>
          <w:p w:rsidR="004C2EE3" w:rsidRDefault="004C2EE3" w:rsidP="005F5A28">
            <w:pPr>
              <w:widowControl/>
              <w:tabs>
                <w:tab w:val="center" w:pos="4680"/>
              </w:tabs>
              <w:suppressAutoHyphens/>
              <w:rPr>
                <w:b/>
                <w:spacing w:val="-2"/>
              </w:rPr>
            </w:pPr>
            <w:r w:rsidRPr="0032143E">
              <w:rPr>
                <w:b/>
                <w:spacing w:val="-2"/>
              </w:rPr>
              <w:t>)</w:t>
            </w:r>
          </w:p>
          <w:p w:rsidR="0032143E" w:rsidRDefault="0032143E" w:rsidP="005F5A28">
            <w:pPr>
              <w:widowControl/>
              <w:tabs>
                <w:tab w:val="center" w:pos="4680"/>
              </w:tabs>
              <w:suppressAutoHyphens/>
              <w:rPr>
                <w:b/>
                <w:spacing w:val="-2"/>
              </w:rPr>
            </w:pPr>
            <w:r>
              <w:rPr>
                <w:b/>
                <w:spacing w:val="-2"/>
              </w:rPr>
              <w:t>)</w:t>
            </w:r>
          </w:p>
          <w:p w:rsidR="0032143E" w:rsidRDefault="0032143E" w:rsidP="005F5A28">
            <w:pPr>
              <w:widowControl/>
              <w:tabs>
                <w:tab w:val="center" w:pos="4680"/>
              </w:tabs>
              <w:suppressAutoHyphens/>
              <w:rPr>
                <w:b/>
                <w:spacing w:val="-2"/>
              </w:rPr>
            </w:pPr>
            <w:r>
              <w:rPr>
                <w:b/>
                <w:spacing w:val="-2"/>
              </w:rPr>
              <w:t>)</w:t>
            </w:r>
          </w:p>
          <w:p w:rsidR="0032143E" w:rsidRPr="00300AC6" w:rsidRDefault="0032143E" w:rsidP="005F5A28">
            <w:pPr>
              <w:widowControl/>
              <w:tabs>
                <w:tab w:val="center" w:pos="4680"/>
              </w:tabs>
              <w:suppressAutoHyphens/>
              <w:rPr>
                <w:b/>
                <w:spacing w:val="-2"/>
              </w:rPr>
            </w:pPr>
            <w:r>
              <w:rPr>
                <w:b/>
                <w:spacing w:val="-2"/>
              </w:rPr>
              <w:t>)</w:t>
            </w:r>
          </w:p>
        </w:tc>
        <w:tc>
          <w:tcPr>
            <w:tcW w:w="4248" w:type="dxa"/>
          </w:tcPr>
          <w:p w:rsidR="004C2EE3" w:rsidRDefault="004C2EE3" w:rsidP="005F5A28">
            <w:pPr>
              <w:widowControl/>
              <w:tabs>
                <w:tab w:val="center" w:pos="4680"/>
              </w:tabs>
              <w:suppressAutoHyphens/>
              <w:rPr>
                <w:snapToGrid/>
                <w:spacing w:val="-2"/>
              </w:rPr>
            </w:pPr>
          </w:p>
          <w:p w:rsidR="004C2EE3" w:rsidRDefault="004C2EE3" w:rsidP="005F5A28">
            <w:pPr>
              <w:pStyle w:val="TOAHeading"/>
              <w:widowControl/>
              <w:tabs>
                <w:tab w:val="clear" w:pos="9360"/>
                <w:tab w:val="center" w:pos="4680"/>
              </w:tabs>
              <w:rPr>
                <w:snapToGrid/>
                <w:spacing w:val="-2"/>
              </w:rPr>
            </w:pPr>
          </w:p>
          <w:p w:rsidR="0093720D" w:rsidRDefault="0093720D" w:rsidP="005F5A28">
            <w:pPr>
              <w:widowControl/>
              <w:tabs>
                <w:tab w:val="center" w:pos="4680"/>
              </w:tabs>
              <w:suppressAutoHyphens/>
              <w:rPr>
                <w:spacing w:val="-2"/>
              </w:rPr>
            </w:pPr>
          </w:p>
          <w:p w:rsidR="0093720D" w:rsidRDefault="0093720D" w:rsidP="005F5A28">
            <w:pPr>
              <w:widowControl/>
              <w:tabs>
                <w:tab w:val="center" w:pos="4680"/>
              </w:tabs>
              <w:suppressAutoHyphens/>
              <w:rPr>
                <w:spacing w:val="-2"/>
              </w:rPr>
            </w:pPr>
          </w:p>
          <w:p w:rsidR="004C2EE3" w:rsidRDefault="005E279D" w:rsidP="005F5A28">
            <w:pPr>
              <w:widowControl/>
              <w:tabs>
                <w:tab w:val="center" w:pos="4680"/>
              </w:tabs>
              <w:suppressAutoHyphens/>
              <w:rPr>
                <w:snapToGrid/>
                <w:spacing w:val="-2"/>
              </w:rPr>
            </w:pPr>
            <w:r>
              <w:rPr>
                <w:spacing w:val="-2"/>
              </w:rPr>
              <w:t>WC Docket No. 12-375</w:t>
            </w:r>
          </w:p>
        </w:tc>
      </w:tr>
    </w:tbl>
    <w:p w:rsidR="004C2EE3" w:rsidRDefault="004C2EE3" w:rsidP="005F5A28">
      <w:pPr>
        <w:widowControl/>
      </w:pPr>
    </w:p>
    <w:p w:rsidR="00C37069" w:rsidRDefault="00C37069" w:rsidP="005F5A28">
      <w:pPr>
        <w:pStyle w:val="StyleBoldCentered"/>
        <w:widowControl/>
      </w:pPr>
    </w:p>
    <w:p w:rsidR="00841AB1" w:rsidRDefault="005E279D" w:rsidP="005F5A28">
      <w:pPr>
        <w:pStyle w:val="StyleBoldCentered"/>
        <w:widowControl/>
      </w:pPr>
      <w:r>
        <w:t>Order</w:t>
      </w:r>
    </w:p>
    <w:p w:rsidR="004C2EE3" w:rsidRDefault="004C2EE3" w:rsidP="005F5A28">
      <w:pPr>
        <w:widowControl/>
        <w:tabs>
          <w:tab w:val="left" w:pos="-720"/>
        </w:tabs>
        <w:suppressAutoHyphens/>
        <w:spacing w:line="227" w:lineRule="auto"/>
        <w:rPr>
          <w:spacing w:val="-2"/>
        </w:rPr>
      </w:pPr>
    </w:p>
    <w:p w:rsidR="004C2EE3" w:rsidRDefault="004C2EE3" w:rsidP="005F5A28">
      <w:pPr>
        <w:widowControl/>
        <w:tabs>
          <w:tab w:val="left" w:pos="720"/>
          <w:tab w:val="right" w:pos="9360"/>
        </w:tabs>
        <w:suppressAutoHyphens/>
        <w:spacing w:line="227" w:lineRule="auto"/>
        <w:rPr>
          <w:spacing w:val="-2"/>
        </w:rPr>
      </w:pPr>
      <w:r>
        <w:rPr>
          <w:b/>
          <w:spacing w:val="-2"/>
        </w:rPr>
        <w:t xml:space="preserve">Adopted:  </w:t>
      </w:r>
      <w:r w:rsidR="00C43F6A">
        <w:rPr>
          <w:b/>
          <w:spacing w:val="-2"/>
        </w:rPr>
        <w:t>June</w:t>
      </w:r>
      <w:r w:rsidR="00103CEA">
        <w:rPr>
          <w:b/>
          <w:spacing w:val="-2"/>
        </w:rPr>
        <w:t xml:space="preserve"> 6</w:t>
      </w:r>
      <w:r w:rsidR="00D96B12">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43F6A">
        <w:rPr>
          <w:b/>
          <w:spacing w:val="-2"/>
        </w:rPr>
        <w:t>June</w:t>
      </w:r>
      <w:r w:rsidR="00A46A48">
        <w:rPr>
          <w:b/>
          <w:spacing w:val="-2"/>
        </w:rPr>
        <w:t xml:space="preserve"> </w:t>
      </w:r>
      <w:r w:rsidR="00103CEA">
        <w:rPr>
          <w:b/>
          <w:spacing w:val="-2"/>
        </w:rPr>
        <w:t>6</w:t>
      </w:r>
      <w:r w:rsidR="00D96B12">
        <w:rPr>
          <w:b/>
          <w:spacing w:val="-2"/>
        </w:rPr>
        <w:t>, 2014</w:t>
      </w:r>
    </w:p>
    <w:p w:rsidR="00822CE0" w:rsidRDefault="00822CE0" w:rsidP="005F5A28">
      <w:pPr>
        <w:widowControl/>
      </w:pPr>
    </w:p>
    <w:p w:rsidR="004C2EE3" w:rsidRDefault="004C2EE3" w:rsidP="005F5A28">
      <w:pPr>
        <w:widowControl/>
        <w:rPr>
          <w:spacing w:val="-2"/>
        </w:rPr>
      </w:pPr>
      <w:r>
        <w:t xml:space="preserve">By </w:t>
      </w:r>
      <w:r w:rsidR="004E4A22">
        <w:t>the</w:t>
      </w:r>
      <w:r w:rsidR="002A2D2E">
        <w:t xml:space="preserve"> </w:t>
      </w:r>
      <w:r w:rsidR="005E279D">
        <w:rPr>
          <w:spacing w:val="-2"/>
        </w:rPr>
        <w:t>Chief, Wireline Competition Bureau</w:t>
      </w:r>
      <w:r w:rsidR="00D96B12">
        <w:rPr>
          <w:spacing w:val="-2"/>
        </w:rPr>
        <w:t>:</w:t>
      </w:r>
    </w:p>
    <w:p w:rsidR="00822CE0" w:rsidRDefault="00822CE0" w:rsidP="005F5A28">
      <w:pPr>
        <w:widowControl/>
        <w:rPr>
          <w:spacing w:val="-2"/>
        </w:rPr>
      </w:pPr>
    </w:p>
    <w:p w:rsidR="00122BD5" w:rsidRDefault="005E279D" w:rsidP="005F5A28">
      <w:pPr>
        <w:pStyle w:val="Heading1"/>
        <w:widowControl/>
      </w:pPr>
      <w:r>
        <w:t>introduction</w:t>
      </w:r>
    </w:p>
    <w:p w:rsidR="000F0D89" w:rsidRDefault="00895CD8" w:rsidP="005F5A28">
      <w:pPr>
        <w:pStyle w:val="ParaNum"/>
        <w:widowControl/>
      </w:pPr>
      <w:r>
        <w:t xml:space="preserve">In this Order, we </w:t>
      </w:r>
      <w:r w:rsidR="00BE6310">
        <w:t xml:space="preserve">deny </w:t>
      </w:r>
      <w:r w:rsidR="002947E2">
        <w:t xml:space="preserve">two petitions by </w:t>
      </w:r>
      <w:r w:rsidR="00BE6310">
        <w:t>Securus Technologies, Inc. (Securus)</w:t>
      </w:r>
      <w:r w:rsidR="00A12A0C">
        <w:rPr>
          <w:rStyle w:val="FootnoteReference"/>
        </w:rPr>
        <w:footnoteReference w:id="2"/>
      </w:r>
      <w:r w:rsidR="00BE6310">
        <w:t xml:space="preserve"> </w:t>
      </w:r>
      <w:r w:rsidR="002947E2">
        <w:t>seek</w:t>
      </w:r>
      <w:r w:rsidR="00C77813">
        <w:t>ing</w:t>
      </w:r>
      <w:r w:rsidR="002947E2">
        <w:t xml:space="preserve"> waiver</w:t>
      </w:r>
      <w:r w:rsidR="00C77813">
        <w:t>s</w:t>
      </w:r>
      <w:r w:rsidR="002947E2">
        <w:t xml:space="preserve"> of </w:t>
      </w:r>
      <w:r w:rsidR="0084571E">
        <w:t>the interim interstate inmate calling service</w:t>
      </w:r>
      <w:r w:rsidR="007109A3">
        <w:t>s</w:t>
      </w:r>
      <w:r w:rsidR="0084571E">
        <w:t xml:space="preserve"> (ICS) rate caps</w:t>
      </w:r>
      <w:r w:rsidR="00A12A0C">
        <w:t xml:space="preserve"> adopted by the Federal Communications Commission (FCC or Commission) in the </w:t>
      </w:r>
      <w:r w:rsidR="00A12A0C">
        <w:rPr>
          <w:i/>
        </w:rPr>
        <w:t xml:space="preserve">Inmate Calling </w:t>
      </w:r>
      <w:r w:rsidR="00A12A0C" w:rsidRPr="00895CD8">
        <w:rPr>
          <w:i/>
        </w:rPr>
        <w:t>Report and Order</w:t>
      </w:r>
      <w:r w:rsidR="00A12A0C">
        <w:rPr>
          <w:i/>
        </w:rPr>
        <w:t xml:space="preserve"> and FNPRM</w:t>
      </w:r>
      <w:r w:rsidR="002944CE">
        <w:rPr>
          <w:rStyle w:val="FootnoteReference"/>
        </w:rPr>
        <w:footnoteReference w:id="3"/>
      </w:r>
      <w:r w:rsidR="00C77813">
        <w:t xml:space="preserve"> because Securus has failed to meet its burden of proof that granting such waivers is in the public interest.</w:t>
      </w:r>
      <w:r w:rsidR="00A12A0C">
        <w:t xml:space="preserve">  </w:t>
      </w:r>
    </w:p>
    <w:p w:rsidR="005E279D" w:rsidRDefault="005E279D" w:rsidP="005F5A28">
      <w:pPr>
        <w:pStyle w:val="Heading1"/>
        <w:widowControl/>
      </w:pPr>
      <w:r>
        <w:t>Background</w:t>
      </w:r>
    </w:p>
    <w:p w:rsidR="002600E2" w:rsidRPr="00E63551" w:rsidRDefault="002600E2" w:rsidP="005F5A28">
      <w:pPr>
        <w:pStyle w:val="ParaNum"/>
        <w:widowControl/>
        <w:rPr>
          <w:szCs w:val="22"/>
        </w:rPr>
      </w:pPr>
      <w:r w:rsidRPr="00E63551">
        <w:rPr>
          <w:szCs w:val="22"/>
        </w:rPr>
        <w:t xml:space="preserve">  In 2003,</w:t>
      </w:r>
      <w:r w:rsidR="008F6B22">
        <w:rPr>
          <w:szCs w:val="22"/>
        </w:rPr>
        <w:t xml:space="preserve"> a group</w:t>
      </w:r>
      <w:r w:rsidR="004952FE">
        <w:rPr>
          <w:szCs w:val="22"/>
        </w:rPr>
        <w:t xml:space="preserve"> of inmates, their friends and families as well as advocacy groups (</w:t>
      </w:r>
      <w:r w:rsidR="000D6022">
        <w:rPr>
          <w:szCs w:val="22"/>
        </w:rPr>
        <w:t xml:space="preserve">collectively </w:t>
      </w:r>
      <w:r w:rsidRPr="00E63551">
        <w:rPr>
          <w:szCs w:val="22"/>
        </w:rPr>
        <w:t>Wright Petitioners</w:t>
      </w:r>
      <w:r w:rsidR="004952FE">
        <w:rPr>
          <w:szCs w:val="22"/>
        </w:rPr>
        <w:t>)</w:t>
      </w:r>
      <w:r w:rsidRPr="00E63551">
        <w:rPr>
          <w:szCs w:val="22"/>
        </w:rPr>
        <w:t xml:space="preserve"> filed a rulemaking petition with the Commission to address ICS practices.</w:t>
      </w:r>
      <w:r w:rsidRPr="00E63551">
        <w:rPr>
          <w:szCs w:val="22"/>
          <w:vertAlign w:val="superscript"/>
        </w:rPr>
        <w:footnoteReference w:id="4"/>
      </w:r>
      <w:r w:rsidRPr="00E63551">
        <w:rPr>
          <w:szCs w:val="22"/>
        </w:rPr>
        <w:t xml:space="preserve">  The petition requested that the Commission prohibit exclusive ICS contracts</w:t>
      </w:r>
      <w:r w:rsidR="00A14BDB">
        <w:rPr>
          <w:szCs w:val="22"/>
        </w:rPr>
        <w:t>, end the practice of</w:t>
      </w:r>
      <w:r w:rsidRPr="00E63551">
        <w:rPr>
          <w:szCs w:val="22"/>
        </w:rPr>
        <w:t xml:space="preserve"> collect-call-only restrictions in correctional facilities</w:t>
      </w:r>
      <w:r w:rsidR="00A14BDB">
        <w:rPr>
          <w:szCs w:val="22"/>
        </w:rPr>
        <w:t>, and create a “safe harbor” interstate rate cap that would permit ICS providers to charge higher rates if they “could show that [their] costs justified” doing so</w:t>
      </w:r>
      <w:r w:rsidRPr="00E63551">
        <w:rPr>
          <w:szCs w:val="22"/>
        </w:rPr>
        <w:t>.</w:t>
      </w:r>
      <w:r w:rsidRPr="00E63551">
        <w:rPr>
          <w:szCs w:val="22"/>
          <w:vertAlign w:val="superscript"/>
        </w:rPr>
        <w:footnoteReference w:id="5"/>
      </w:r>
      <w:r w:rsidRPr="00E63551">
        <w:rPr>
          <w:szCs w:val="22"/>
        </w:rPr>
        <w:t xml:space="preserve">  In 2007, the same petitioners filed an alternative rulemaking petition, requesting that the Commission reform high ICS rates by requiring a debit-calling option in correctional facilities, </w:t>
      </w:r>
      <w:r w:rsidRPr="00E63551">
        <w:rPr>
          <w:szCs w:val="22"/>
        </w:rPr>
        <w:lastRenderedPageBreak/>
        <w:t>prohibiting per-call charges, and establishing rate caps for interstate ICS.</w:t>
      </w:r>
      <w:r w:rsidRPr="00E63551">
        <w:rPr>
          <w:szCs w:val="22"/>
          <w:vertAlign w:val="superscript"/>
        </w:rPr>
        <w:footnoteReference w:id="6"/>
      </w:r>
      <w:r w:rsidRPr="00E63551">
        <w:rPr>
          <w:szCs w:val="22"/>
        </w:rPr>
        <w:t xml:space="preserve">  The Commission sought and received comment on both petitions.</w:t>
      </w:r>
      <w:r w:rsidRPr="00E63551">
        <w:rPr>
          <w:szCs w:val="22"/>
          <w:vertAlign w:val="superscript"/>
        </w:rPr>
        <w:footnoteReference w:id="7"/>
      </w:r>
      <w:r w:rsidRPr="00E63551">
        <w:rPr>
          <w:szCs w:val="22"/>
        </w:rPr>
        <w:t xml:space="preserve">  In December 2012, the Commission </w:t>
      </w:r>
      <w:r w:rsidR="003840BE">
        <w:rPr>
          <w:szCs w:val="22"/>
        </w:rPr>
        <w:t xml:space="preserve">granted the two petitions for rulemaking and </w:t>
      </w:r>
      <w:r w:rsidRPr="00E63551">
        <w:rPr>
          <w:szCs w:val="22"/>
        </w:rPr>
        <w:t>adopted a notice of proposed rulemaking seeking comment on the</w:t>
      </w:r>
      <w:r w:rsidR="003840BE">
        <w:rPr>
          <w:szCs w:val="22"/>
        </w:rPr>
        <w:t>ir proposals</w:t>
      </w:r>
      <w:r w:rsidRPr="00E63551">
        <w:rPr>
          <w:szCs w:val="22"/>
        </w:rPr>
        <w:t>.</w:t>
      </w:r>
      <w:r w:rsidRPr="00E63551">
        <w:rPr>
          <w:szCs w:val="22"/>
          <w:vertAlign w:val="superscript"/>
        </w:rPr>
        <w:footnoteReference w:id="8"/>
      </w:r>
      <w:r>
        <w:rPr>
          <w:szCs w:val="22"/>
        </w:rPr>
        <w:t xml:space="preserve">  </w:t>
      </w:r>
      <w:r w:rsidRPr="00E63551">
        <w:rPr>
          <w:szCs w:val="22"/>
        </w:rPr>
        <w:t xml:space="preserve">The Commission </w:t>
      </w:r>
      <w:r w:rsidR="001626FE">
        <w:rPr>
          <w:szCs w:val="22"/>
        </w:rPr>
        <w:t>released</w:t>
      </w:r>
      <w:r w:rsidRPr="00E63551">
        <w:rPr>
          <w:szCs w:val="22"/>
        </w:rPr>
        <w:t xml:space="preserve"> the </w:t>
      </w:r>
      <w:r w:rsidRPr="00E63551">
        <w:rPr>
          <w:i/>
          <w:szCs w:val="22"/>
        </w:rPr>
        <w:t>Inmate Calling Report and Order and FNPRM</w:t>
      </w:r>
      <w:r w:rsidRPr="00E63551">
        <w:rPr>
          <w:szCs w:val="22"/>
        </w:rPr>
        <w:t xml:space="preserve"> on </w:t>
      </w:r>
      <w:r w:rsidR="001626FE">
        <w:rPr>
          <w:szCs w:val="22"/>
        </w:rPr>
        <w:t>September 26</w:t>
      </w:r>
      <w:r w:rsidRPr="00E63551">
        <w:rPr>
          <w:szCs w:val="22"/>
        </w:rPr>
        <w:t>, 2013.</w:t>
      </w:r>
      <w:r>
        <w:rPr>
          <w:rStyle w:val="FootnoteReference"/>
          <w:szCs w:val="22"/>
        </w:rPr>
        <w:footnoteReference w:id="9"/>
      </w:r>
      <w:r w:rsidRPr="00E63551">
        <w:rPr>
          <w:szCs w:val="22"/>
        </w:rPr>
        <w:t xml:space="preserve">  </w:t>
      </w:r>
      <w:r w:rsidR="003C4B5A" w:rsidRPr="00E21263">
        <w:rPr>
          <w:szCs w:val="22"/>
        </w:rPr>
        <w:t>On</w:t>
      </w:r>
      <w:r w:rsidR="003C4B5A">
        <w:rPr>
          <w:szCs w:val="22"/>
        </w:rPr>
        <w:t xml:space="preserve"> January </w:t>
      </w:r>
      <w:r w:rsidR="003626E4">
        <w:rPr>
          <w:szCs w:val="22"/>
        </w:rPr>
        <w:t xml:space="preserve">13, </w:t>
      </w:r>
      <w:r w:rsidR="003C4B5A">
        <w:rPr>
          <w:szCs w:val="22"/>
        </w:rPr>
        <w:t>2014, the United State</w:t>
      </w:r>
      <w:r w:rsidR="008319E0">
        <w:rPr>
          <w:szCs w:val="22"/>
        </w:rPr>
        <w:t>s</w:t>
      </w:r>
      <w:r w:rsidR="003C4B5A">
        <w:rPr>
          <w:szCs w:val="22"/>
        </w:rPr>
        <w:t xml:space="preserve"> Court of Appeal</w:t>
      </w:r>
      <w:r w:rsidR="003626E4">
        <w:rPr>
          <w:szCs w:val="22"/>
        </w:rPr>
        <w:t>s</w:t>
      </w:r>
      <w:r w:rsidR="003C4B5A">
        <w:rPr>
          <w:szCs w:val="22"/>
        </w:rPr>
        <w:t xml:space="preserve"> for the District of C</w:t>
      </w:r>
      <w:r w:rsidR="003626E4">
        <w:rPr>
          <w:szCs w:val="22"/>
        </w:rPr>
        <w:t xml:space="preserve">olumbia </w:t>
      </w:r>
      <w:r w:rsidR="008F6B22">
        <w:rPr>
          <w:szCs w:val="22"/>
        </w:rPr>
        <w:t xml:space="preserve">Circuit </w:t>
      </w:r>
      <w:r w:rsidR="003626E4">
        <w:rPr>
          <w:szCs w:val="22"/>
        </w:rPr>
        <w:t xml:space="preserve">issued a partial stay of the </w:t>
      </w:r>
      <w:r w:rsidR="008F6B22">
        <w:rPr>
          <w:i/>
          <w:szCs w:val="22"/>
        </w:rPr>
        <w:t xml:space="preserve">Inmate Calling Report and </w:t>
      </w:r>
      <w:r w:rsidR="003626E4" w:rsidRPr="001626FE">
        <w:rPr>
          <w:i/>
          <w:szCs w:val="22"/>
        </w:rPr>
        <w:t>Order</w:t>
      </w:r>
      <w:r w:rsidR="008F6B22">
        <w:rPr>
          <w:i/>
          <w:szCs w:val="22"/>
        </w:rPr>
        <w:t xml:space="preserve"> and FNPRM</w:t>
      </w:r>
      <w:r w:rsidR="003626E4">
        <w:rPr>
          <w:szCs w:val="22"/>
        </w:rPr>
        <w:t xml:space="preserve">, pending </w:t>
      </w:r>
      <w:r w:rsidR="008C32AD">
        <w:rPr>
          <w:szCs w:val="22"/>
        </w:rPr>
        <w:t xml:space="preserve">the court’s resolution of petitions for review of the </w:t>
      </w:r>
      <w:r w:rsidR="008C32AD" w:rsidRPr="00460B34">
        <w:rPr>
          <w:i/>
          <w:szCs w:val="22"/>
        </w:rPr>
        <w:t>Order</w:t>
      </w:r>
      <w:r w:rsidR="003626E4">
        <w:rPr>
          <w:szCs w:val="22"/>
        </w:rPr>
        <w:t>.</w:t>
      </w:r>
      <w:r w:rsidR="003626E4">
        <w:rPr>
          <w:rStyle w:val="FootnoteReference"/>
          <w:szCs w:val="22"/>
        </w:rPr>
        <w:footnoteReference w:id="10"/>
      </w:r>
      <w:r w:rsidR="001626FE">
        <w:rPr>
          <w:szCs w:val="22"/>
        </w:rPr>
        <w:t xml:space="preserve">  </w:t>
      </w:r>
      <w:r w:rsidR="0086264C">
        <w:rPr>
          <w:szCs w:val="22"/>
        </w:rPr>
        <w:t xml:space="preserve">The </w:t>
      </w:r>
      <w:r w:rsidR="0086264C">
        <w:rPr>
          <w:i/>
          <w:szCs w:val="22"/>
        </w:rPr>
        <w:t>Partial Stay Order</w:t>
      </w:r>
      <w:r w:rsidR="0086264C">
        <w:rPr>
          <w:szCs w:val="22"/>
        </w:rPr>
        <w:t xml:space="preserve"> did not </w:t>
      </w:r>
      <w:r w:rsidR="009664AC">
        <w:rPr>
          <w:szCs w:val="22"/>
        </w:rPr>
        <w:t>stay</w:t>
      </w:r>
      <w:r w:rsidR="0086264C">
        <w:rPr>
          <w:szCs w:val="22"/>
        </w:rPr>
        <w:t xml:space="preserve"> the </w:t>
      </w:r>
      <w:r w:rsidR="00CA576B">
        <w:rPr>
          <w:szCs w:val="22"/>
        </w:rPr>
        <w:t xml:space="preserve">interim </w:t>
      </w:r>
      <w:r w:rsidR="00723720">
        <w:rPr>
          <w:szCs w:val="22"/>
        </w:rPr>
        <w:t>rate cap rule</w:t>
      </w:r>
      <w:r w:rsidR="0086264C">
        <w:rPr>
          <w:szCs w:val="22"/>
        </w:rPr>
        <w:t xml:space="preserve"> </w:t>
      </w:r>
      <w:r w:rsidR="001F22C4">
        <w:rPr>
          <w:szCs w:val="22"/>
        </w:rPr>
        <w:t>at issue</w:t>
      </w:r>
      <w:r w:rsidR="0086264C">
        <w:rPr>
          <w:szCs w:val="22"/>
        </w:rPr>
        <w:t xml:space="preserve"> in this Order.</w:t>
      </w:r>
      <w:r w:rsidR="001F22C4">
        <w:rPr>
          <w:rStyle w:val="FootnoteReference"/>
          <w:szCs w:val="22"/>
        </w:rPr>
        <w:footnoteReference w:id="11"/>
      </w:r>
    </w:p>
    <w:p w:rsidR="00DB49B6" w:rsidRDefault="002600E2" w:rsidP="005F5A28">
      <w:pPr>
        <w:pStyle w:val="ParaNum"/>
        <w:widowControl/>
        <w:rPr>
          <w:szCs w:val="22"/>
        </w:rPr>
      </w:pPr>
      <w:bookmarkStart w:id="1" w:name="_Ref371515977"/>
      <w:r w:rsidRPr="008D38D7">
        <w:rPr>
          <w:szCs w:val="22"/>
        </w:rPr>
        <w:t>Section 201 of the Communications Act of 1934, as amended (Act) requires that all carriers’ interstate rates be just and reasonable.</w:t>
      </w:r>
      <w:r>
        <w:rPr>
          <w:rStyle w:val="FootnoteReference"/>
          <w:szCs w:val="22"/>
        </w:rPr>
        <w:footnoteReference w:id="12"/>
      </w:r>
      <w:r w:rsidRPr="008D38D7">
        <w:rPr>
          <w:szCs w:val="22"/>
        </w:rPr>
        <w:t xml:space="preserve">  To be ju</w:t>
      </w:r>
      <w:r w:rsidR="0093345D">
        <w:rPr>
          <w:szCs w:val="22"/>
        </w:rPr>
        <w:t>st and reasonable, rates must</w:t>
      </w:r>
      <w:r w:rsidRPr="008D38D7">
        <w:rPr>
          <w:szCs w:val="22"/>
        </w:rPr>
        <w:t xml:space="preserve"> </w:t>
      </w:r>
      <w:r w:rsidR="0093345D">
        <w:rPr>
          <w:szCs w:val="22"/>
        </w:rPr>
        <w:t xml:space="preserve">ordinarily be cost-based absent an </w:t>
      </w:r>
      <w:r w:rsidR="006F69BF">
        <w:rPr>
          <w:szCs w:val="22"/>
        </w:rPr>
        <w:t>explanation</w:t>
      </w:r>
      <w:r w:rsidR="0093345D">
        <w:rPr>
          <w:szCs w:val="22"/>
        </w:rPr>
        <w:t xml:space="preserve"> for a departure</w:t>
      </w:r>
      <w:bookmarkStart w:id="2" w:name="_Ref372794222"/>
      <w:r>
        <w:rPr>
          <w:rStyle w:val="FootnoteReference"/>
          <w:szCs w:val="22"/>
        </w:rPr>
        <w:footnoteReference w:id="13"/>
      </w:r>
      <w:bookmarkEnd w:id="2"/>
      <w:r w:rsidR="0093345D">
        <w:rPr>
          <w:szCs w:val="22"/>
        </w:rPr>
        <w:t xml:space="preserve"> as well as include a reasonable return.</w:t>
      </w:r>
      <w:r w:rsidR="0093345D">
        <w:rPr>
          <w:rStyle w:val="FootnoteReference"/>
          <w:szCs w:val="22"/>
        </w:rPr>
        <w:footnoteReference w:id="14"/>
      </w:r>
      <w:r w:rsidRPr="008D38D7">
        <w:rPr>
          <w:szCs w:val="22"/>
        </w:rPr>
        <w:t xml:space="preserve">  Section 276</w:t>
      </w:r>
      <w:r w:rsidR="00F3110B" w:rsidRPr="008D38D7">
        <w:rPr>
          <w:szCs w:val="22"/>
        </w:rPr>
        <w:t xml:space="preserve"> of the Act</w:t>
      </w:r>
      <w:r w:rsidRPr="008D38D7">
        <w:rPr>
          <w:szCs w:val="22"/>
        </w:rPr>
        <w:t xml:space="preserve"> additionally requires that payphone rates be fair.</w:t>
      </w:r>
      <w:r>
        <w:rPr>
          <w:rStyle w:val="FootnoteReference"/>
          <w:szCs w:val="22"/>
        </w:rPr>
        <w:footnoteReference w:id="15"/>
      </w:r>
      <w:r w:rsidRPr="008D38D7">
        <w:rPr>
          <w:szCs w:val="22"/>
        </w:rPr>
        <w:t xml:space="preserve"> </w:t>
      </w:r>
      <w:r w:rsidR="007E21F3">
        <w:rPr>
          <w:szCs w:val="22"/>
        </w:rPr>
        <w:t xml:space="preserve"> As part of its analysis in the </w:t>
      </w:r>
      <w:r w:rsidR="007E21F3">
        <w:rPr>
          <w:i/>
          <w:szCs w:val="22"/>
        </w:rPr>
        <w:t xml:space="preserve">Inmate Calling </w:t>
      </w:r>
      <w:r w:rsidR="007E21F3">
        <w:rPr>
          <w:i/>
          <w:szCs w:val="22"/>
        </w:rPr>
        <w:lastRenderedPageBreak/>
        <w:t>Report and Order and FNPRM</w:t>
      </w:r>
      <w:r w:rsidR="007E21F3">
        <w:rPr>
          <w:szCs w:val="22"/>
        </w:rPr>
        <w:t>,</w:t>
      </w:r>
      <w:r w:rsidR="007E21F3">
        <w:rPr>
          <w:i/>
          <w:szCs w:val="22"/>
        </w:rPr>
        <w:t xml:space="preserve"> </w:t>
      </w:r>
      <w:r w:rsidR="007E21F3">
        <w:rPr>
          <w:szCs w:val="22"/>
        </w:rPr>
        <w:t xml:space="preserve">the Commission found that “the marketplace alone has not ensured that interstate ICS rates are just and reasonable and </w:t>
      </w:r>
      <w:r w:rsidR="007109A3">
        <w:rPr>
          <w:szCs w:val="22"/>
        </w:rPr>
        <w:t xml:space="preserve">that </w:t>
      </w:r>
      <w:r w:rsidR="007E21F3">
        <w:rPr>
          <w:szCs w:val="22"/>
        </w:rPr>
        <w:t>they are fair to consumers, as well as providers.”</w:t>
      </w:r>
      <w:r w:rsidR="00DB49B6">
        <w:rPr>
          <w:rStyle w:val="FootnoteReference"/>
          <w:szCs w:val="22"/>
        </w:rPr>
        <w:footnoteReference w:id="16"/>
      </w:r>
      <w:r w:rsidR="007E21F3">
        <w:rPr>
          <w:szCs w:val="22"/>
        </w:rPr>
        <w:t xml:space="preserve">  For example, the record in this docket showed </w:t>
      </w:r>
      <w:r w:rsidR="00DB49B6">
        <w:rPr>
          <w:szCs w:val="22"/>
        </w:rPr>
        <w:t>that “inmates, or those whom they call, pay as much as $17.30, $10.70 or $7.35 for a 15-minute interstate collect call, depending upon the facility where the inmates are incarcerated.”</w:t>
      </w:r>
      <w:r w:rsidR="00DB49B6">
        <w:rPr>
          <w:rStyle w:val="FootnoteReference"/>
          <w:szCs w:val="22"/>
        </w:rPr>
        <w:footnoteReference w:id="17"/>
      </w:r>
      <w:r w:rsidR="00DB49B6">
        <w:rPr>
          <w:szCs w:val="22"/>
        </w:rPr>
        <w:t xml:space="preserve"> </w:t>
      </w:r>
      <w:r w:rsidR="007E21F3">
        <w:rPr>
          <w:szCs w:val="22"/>
        </w:rPr>
        <w:t xml:space="preserve"> </w:t>
      </w:r>
      <w:r w:rsidR="00DB49B6">
        <w:rPr>
          <w:szCs w:val="22"/>
        </w:rPr>
        <w:t>The Commission concluded “that the rate reforms we begin in this Order are necessary to ensure [interstate ICS rates] are just and reasonable”</w:t>
      </w:r>
      <w:r w:rsidR="00DB49B6">
        <w:rPr>
          <w:rStyle w:val="FootnoteReference"/>
          <w:szCs w:val="22"/>
        </w:rPr>
        <w:footnoteReference w:id="18"/>
      </w:r>
      <w:r w:rsidR="00DB49B6">
        <w:rPr>
          <w:szCs w:val="22"/>
        </w:rPr>
        <w:t xml:space="preserve"> and “necessary to implement section 276(b)(1)’s ‘fair compensation’ directive.”</w:t>
      </w:r>
      <w:r w:rsidR="00DB49B6">
        <w:rPr>
          <w:rStyle w:val="FootnoteReference"/>
          <w:szCs w:val="22"/>
        </w:rPr>
        <w:footnoteReference w:id="19"/>
      </w:r>
      <w:r w:rsidR="007E21F3">
        <w:rPr>
          <w:szCs w:val="22"/>
        </w:rPr>
        <w:t xml:space="preserve">  </w:t>
      </w:r>
      <w:r w:rsidRPr="008D38D7">
        <w:rPr>
          <w:szCs w:val="22"/>
        </w:rPr>
        <w:t xml:space="preserve"> </w:t>
      </w:r>
    </w:p>
    <w:p w:rsidR="002600E2" w:rsidRDefault="001D00EB" w:rsidP="005F5A28">
      <w:pPr>
        <w:pStyle w:val="ParaNum"/>
        <w:widowControl/>
        <w:rPr>
          <w:szCs w:val="22"/>
        </w:rPr>
      </w:pPr>
      <w:r>
        <w:rPr>
          <w:szCs w:val="22"/>
        </w:rPr>
        <w:t xml:space="preserve">The </w:t>
      </w:r>
      <w:r w:rsidRPr="00E63551">
        <w:rPr>
          <w:i/>
          <w:szCs w:val="22"/>
        </w:rPr>
        <w:t>Inmate Calling Report and Order and FNPRM</w:t>
      </w:r>
      <w:r w:rsidRPr="00E63551">
        <w:rPr>
          <w:szCs w:val="22"/>
        </w:rPr>
        <w:t xml:space="preserve"> </w:t>
      </w:r>
      <w:r w:rsidR="0093345D">
        <w:rPr>
          <w:szCs w:val="22"/>
        </w:rPr>
        <w:t>adopted</w:t>
      </w:r>
      <w:r w:rsidR="00A14BDB">
        <w:rPr>
          <w:szCs w:val="22"/>
        </w:rPr>
        <w:t>, in relevant part,</w:t>
      </w:r>
      <w:r w:rsidR="0093345D">
        <w:rPr>
          <w:szCs w:val="22"/>
        </w:rPr>
        <w:t xml:space="preserve"> </w:t>
      </w:r>
      <w:r w:rsidR="008D38D7" w:rsidRPr="008D38D7">
        <w:rPr>
          <w:szCs w:val="22"/>
        </w:rPr>
        <w:t>interim</w:t>
      </w:r>
      <w:r w:rsidR="0093345D">
        <w:rPr>
          <w:szCs w:val="22"/>
        </w:rPr>
        <w:t xml:space="preserve"> interstate ICS</w:t>
      </w:r>
      <w:r w:rsidR="008D38D7" w:rsidRPr="008D38D7">
        <w:rPr>
          <w:szCs w:val="22"/>
        </w:rPr>
        <w:t xml:space="preserve"> rate caps </w:t>
      </w:r>
      <w:r w:rsidR="0093345D">
        <w:rPr>
          <w:szCs w:val="22"/>
        </w:rPr>
        <w:t>of $0.21 per minute for debit and prepaid calling and $0.25 per minute for collect calling “</w:t>
      </w:r>
      <w:r w:rsidR="008D38D7" w:rsidRPr="008D38D7">
        <w:rPr>
          <w:szCs w:val="22"/>
        </w:rPr>
        <w:t>to place an upper limit on rates providers may charge for interstate ICS.”</w:t>
      </w:r>
      <w:r w:rsidR="008D38D7">
        <w:rPr>
          <w:rStyle w:val="FootnoteReference"/>
          <w:szCs w:val="22"/>
        </w:rPr>
        <w:footnoteReference w:id="20"/>
      </w:r>
      <w:r w:rsidR="002600E2" w:rsidRPr="008D38D7">
        <w:rPr>
          <w:szCs w:val="22"/>
        </w:rPr>
        <w:t xml:space="preserve">  The </w:t>
      </w:r>
      <w:r w:rsidR="001F05FA">
        <w:rPr>
          <w:szCs w:val="22"/>
        </w:rPr>
        <w:t xml:space="preserve">Commission </w:t>
      </w:r>
      <w:r w:rsidR="001F22C4">
        <w:rPr>
          <w:szCs w:val="22"/>
        </w:rPr>
        <w:t>determined</w:t>
      </w:r>
      <w:r w:rsidR="001F22C4" w:rsidRPr="008D38D7">
        <w:rPr>
          <w:szCs w:val="22"/>
        </w:rPr>
        <w:t xml:space="preserve"> </w:t>
      </w:r>
      <w:r w:rsidR="008D38D7" w:rsidRPr="008D38D7">
        <w:rPr>
          <w:szCs w:val="22"/>
        </w:rPr>
        <w:t>that the</w:t>
      </w:r>
      <w:r w:rsidR="00250904">
        <w:rPr>
          <w:szCs w:val="22"/>
        </w:rPr>
        <w:t xml:space="preserve"> interim</w:t>
      </w:r>
      <w:r w:rsidR="008D38D7" w:rsidRPr="008D38D7">
        <w:rPr>
          <w:szCs w:val="22"/>
        </w:rPr>
        <w:t xml:space="preserve"> rate caps established in the </w:t>
      </w:r>
      <w:r w:rsidR="008D38D7" w:rsidRPr="008D38D7">
        <w:rPr>
          <w:i/>
          <w:szCs w:val="22"/>
        </w:rPr>
        <w:t xml:space="preserve">Order </w:t>
      </w:r>
      <w:r w:rsidR="001F05FA">
        <w:rPr>
          <w:szCs w:val="22"/>
        </w:rPr>
        <w:t>wer</w:t>
      </w:r>
      <w:r w:rsidR="008D38D7" w:rsidRPr="008D38D7">
        <w:rPr>
          <w:szCs w:val="22"/>
        </w:rPr>
        <w:t xml:space="preserve">e </w:t>
      </w:r>
      <w:r w:rsidR="001F05FA">
        <w:rPr>
          <w:szCs w:val="22"/>
        </w:rPr>
        <w:t>“</w:t>
      </w:r>
      <w:r w:rsidR="008D38D7" w:rsidRPr="008D38D7">
        <w:rPr>
          <w:szCs w:val="22"/>
        </w:rPr>
        <w:t>set at sufficiently conservative levels to account for all costs ICS providers will incur in providing ICS</w:t>
      </w:r>
      <w:r w:rsidR="002600E2" w:rsidRPr="008D38D7">
        <w:rPr>
          <w:szCs w:val="22"/>
        </w:rPr>
        <w:t>.</w:t>
      </w:r>
      <w:r w:rsidR="000C3841">
        <w:rPr>
          <w:szCs w:val="22"/>
        </w:rPr>
        <w:t>”</w:t>
      </w:r>
      <w:r w:rsidR="002600E2">
        <w:rPr>
          <w:rStyle w:val="FootnoteReference"/>
          <w:szCs w:val="22"/>
        </w:rPr>
        <w:footnoteReference w:id="21"/>
      </w:r>
      <w:r w:rsidR="002600E2" w:rsidRPr="008D38D7">
        <w:rPr>
          <w:szCs w:val="22"/>
        </w:rPr>
        <w:t xml:space="preserve">  </w:t>
      </w:r>
      <w:bookmarkStart w:id="3" w:name="_Ref372802768"/>
      <w:r w:rsidR="00250904">
        <w:rPr>
          <w:szCs w:val="22"/>
        </w:rPr>
        <w:t>The interim rate caps were set based on cost studies submitted in the proceeding, including a cost study submitted by</w:t>
      </w:r>
      <w:r>
        <w:rPr>
          <w:szCs w:val="22"/>
        </w:rPr>
        <w:t xml:space="preserve"> Pay Tel</w:t>
      </w:r>
      <w:r w:rsidR="007109A3">
        <w:rPr>
          <w:rStyle w:val="FootnoteReference"/>
          <w:szCs w:val="22"/>
        </w:rPr>
        <w:footnoteReference w:id="22"/>
      </w:r>
      <w:r>
        <w:rPr>
          <w:szCs w:val="22"/>
        </w:rPr>
        <w:t xml:space="preserve"> and another submitted by a group of ICS providers that included Securus</w:t>
      </w:r>
      <w:r w:rsidR="00250904">
        <w:rPr>
          <w:szCs w:val="22"/>
        </w:rPr>
        <w:t>.</w:t>
      </w:r>
      <w:r w:rsidR="007109A3">
        <w:rPr>
          <w:rStyle w:val="FootnoteReference"/>
          <w:szCs w:val="22"/>
        </w:rPr>
        <w:footnoteReference w:id="23"/>
      </w:r>
      <w:r w:rsidR="00250904">
        <w:rPr>
          <w:szCs w:val="22"/>
        </w:rPr>
        <w:t xml:space="preserve">  </w:t>
      </w:r>
      <w:r>
        <w:rPr>
          <w:szCs w:val="22"/>
        </w:rPr>
        <w:t xml:space="preserve">The </w:t>
      </w:r>
      <w:r w:rsidRPr="001D00EB">
        <w:rPr>
          <w:i/>
          <w:szCs w:val="22"/>
        </w:rPr>
        <w:t>Order</w:t>
      </w:r>
      <w:r>
        <w:rPr>
          <w:szCs w:val="22"/>
        </w:rPr>
        <w:t xml:space="preserve"> also stated that</w:t>
      </w:r>
      <w:r w:rsidR="004414CA">
        <w:rPr>
          <w:szCs w:val="22"/>
        </w:rPr>
        <w:t>, pursuant to section 1.3 of the Commission’s rules,</w:t>
      </w:r>
      <w:r>
        <w:rPr>
          <w:szCs w:val="22"/>
        </w:rPr>
        <w:t xml:space="preserve"> w</w:t>
      </w:r>
      <w:r w:rsidR="000A062C">
        <w:rPr>
          <w:szCs w:val="22"/>
        </w:rPr>
        <w:t xml:space="preserve">aiver of the interstate ICS rate caps </w:t>
      </w:r>
      <w:r w:rsidR="00EC6E6F">
        <w:rPr>
          <w:szCs w:val="22"/>
        </w:rPr>
        <w:t>may be sought in</w:t>
      </w:r>
      <w:r w:rsidR="00D60E02">
        <w:rPr>
          <w:szCs w:val="22"/>
        </w:rPr>
        <w:t xml:space="preserve"> </w:t>
      </w:r>
      <w:r w:rsidR="001F22C4">
        <w:rPr>
          <w:szCs w:val="22"/>
        </w:rPr>
        <w:t xml:space="preserve">those “extraordinary circumstances” </w:t>
      </w:r>
      <w:r w:rsidR="002600E2" w:rsidRPr="008D38D7">
        <w:rPr>
          <w:szCs w:val="22"/>
        </w:rPr>
        <w:t xml:space="preserve">where a particular ICS provider </w:t>
      </w:r>
      <w:r w:rsidR="008D38D7">
        <w:rPr>
          <w:szCs w:val="22"/>
        </w:rPr>
        <w:t>“believes that it has cost-based rates for ICS that exceed [the] interim rate caps</w:t>
      </w:r>
      <w:r w:rsidR="002600E2" w:rsidRPr="008D38D7">
        <w:rPr>
          <w:szCs w:val="22"/>
        </w:rPr>
        <w:t>.</w:t>
      </w:r>
      <w:r w:rsidR="008D38D7">
        <w:rPr>
          <w:szCs w:val="22"/>
        </w:rPr>
        <w:t>”</w:t>
      </w:r>
      <w:r w:rsidR="008D38D7">
        <w:rPr>
          <w:rStyle w:val="FootnoteReference"/>
          <w:szCs w:val="22"/>
        </w:rPr>
        <w:footnoteReference w:id="24"/>
      </w:r>
      <w:r w:rsidR="002600E2" w:rsidRPr="008D38D7">
        <w:rPr>
          <w:szCs w:val="22"/>
        </w:rPr>
        <w:t xml:space="preserve">  </w:t>
      </w:r>
      <w:bookmarkEnd w:id="3"/>
    </w:p>
    <w:p w:rsidR="001D00EB" w:rsidRDefault="00D45E1A" w:rsidP="005F5A28">
      <w:pPr>
        <w:pStyle w:val="ParaNum"/>
        <w:widowControl/>
        <w:rPr>
          <w:szCs w:val="22"/>
        </w:rPr>
      </w:pPr>
      <w:r>
        <w:rPr>
          <w:szCs w:val="22"/>
        </w:rPr>
        <w:t xml:space="preserve">ICS provider </w:t>
      </w:r>
      <w:r w:rsidR="001D00EB">
        <w:rPr>
          <w:szCs w:val="22"/>
        </w:rPr>
        <w:t>Pay Tel sought a waiver of the Commission’s ICS rate caps on January 8, 2014.</w:t>
      </w:r>
      <w:r w:rsidR="001D00EB">
        <w:rPr>
          <w:rStyle w:val="FootnoteReference"/>
          <w:szCs w:val="22"/>
        </w:rPr>
        <w:footnoteReference w:id="25"/>
      </w:r>
      <w:r w:rsidR="001D00EB">
        <w:rPr>
          <w:szCs w:val="22"/>
        </w:rPr>
        <w:t xml:space="preserve">  </w:t>
      </w:r>
      <w:r w:rsidR="00E847BF">
        <w:rPr>
          <w:szCs w:val="22"/>
        </w:rPr>
        <w:t>In support of its request, Pay Tel submitted</w:t>
      </w:r>
      <w:r w:rsidR="00A46A48">
        <w:rPr>
          <w:szCs w:val="22"/>
        </w:rPr>
        <w:t>, among other things,</w:t>
      </w:r>
      <w:r w:rsidR="00E847BF">
        <w:rPr>
          <w:szCs w:val="22"/>
        </w:rPr>
        <w:t xml:space="preserve"> a detailed cost study of its ICS operations, audited corporate financial statements, and a detailed analysis of the revenue impacts it claimed to experience due to below cost state rates.  </w:t>
      </w:r>
      <w:r w:rsidR="001D00EB">
        <w:rPr>
          <w:szCs w:val="22"/>
        </w:rPr>
        <w:t xml:space="preserve">The </w:t>
      </w:r>
      <w:r w:rsidR="009276D4" w:rsidRPr="00720C6A">
        <w:t xml:space="preserve">Wireline Competition Bureau (Bureau) </w:t>
      </w:r>
      <w:r w:rsidR="001D00EB">
        <w:rPr>
          <w:szCs w:val="22"/>
        </w:rPr>
        <w:t>sought and received comment on Pay Tel’s petition</w:t>
      </w:r>
      <w:r w:rsidR="009276D4">
        <w:rPr>
          <w:rStyle w:val="FootnoteReference"/>
          <w:szCs w:val="22"/>
        </w:rPr>
        <w:footnoteReference w:id="26"/>
      </w:r>
      <w:r w:rsidR="001D00EB">
        <w:rPr>
          <w:szCs w:val="22"/>
        </w:rPr>
        <w:t xml:space="preserve"> and released an order </w:t>
      </w:r>
      <w:r w:rsidR="00AD0D46">
        <w:rPr>
          <w:szCs w:val="22"/>
        </w:rPr>
        <w:t xml:space="preserve">on February 11, 2014 </w:t>
      </w:r>
      <w:r w:rsidR="001D00EB">
        <w:rPr>
          <w:szCs w:val="22"/>
        </w:rPr>
        <w:t xml:space="preserve">granting </w:t>
      </w:r>
      <w:r w:rsidR="00A14BDB">
        <w:rPr>
          <w:szCs w:val="22"/>
        </w:rPr>
        <w:t xml:space="preserve">a </w:t>
      </w:r>
      <w:r w:rsidR="001D00EB">
        <w:rPr>
          <w:szCs w:val="22"/>
        </w:rPr>
        <w:t>temporary</w:t>
      </w:r>
      <w:r w:rsidR="00A14BDB">
        <w:rPr>
          <w:szCs w:val="22"/>
        </w:rPr>
        <w:t>,</w:t>
      </w:r>
      <w:r w:rsidR="001D00EB">
        <w:rPr>
          <w:szCs w:val="22"/>
        </w:rPr>
        <w:t xml:space="preserve"> </w:t>
      </w:r>
      <w:r w:rsidR="006E217F">
        <w:rPr>
          <w:szCs w:val="22"/>
        </w:rPr>
        <w:t>limited waiver of the rate caps.</w:t>
      </w:r>
      <w:r w:rsidR="006E217F">
        <w:rPr>
          <w:rStyle w:val="FootnoteReference"/>
          <w:szCs w:val="22"/>
        </w:rPr>
        <w:footnoteReference w:id="27"/>
      </w:r>
      <w:r w:rsidR="006E217F">
        <w:rPr>
          <w:szCs w:val="22"/>
        </w:rPr>
        <w:t xml:space="preserve">  Specifically, the Bureau found </w:t>
      </w:r>
      <w:r w:rsidR="001D00EB">
        <w:rPr>
          <w:szCs w:val="22"/>
        </w:rPr>
        <w:t xml:space="preserve">that Pay Tel had demonstrated good cause for </w:t>
      </w:r>
      <w:r w:rsidR="00AD0D46">
        <w:rPr>
          <w:szCs w:val="22"/>
        </w:rPr>
        <w:t xml:space="preserve">such </w:t>
      </w:r>
      <w:r w:rsidR="006E217F">
        <w:rPr>
          <w:szCs w:val="22"/>
        </w:rPr>
        <w:t>a waiver and allowed</w:t>
      </w:r>
      <w:r w:rsidR="001D00EB">
        <w:rPr>
          <w:szCs w:val="22"/>
        </w:rPr>
        <w:t xml:space="preserve"> Pay Tel to charge $0.46 per minute for all interstate ICS calls</w:t>
      </w:r>
      <w:r w:rsidR="009276D4">
        <w:rPr>
          <w:szCs w:val="22"/>
        </w:rPr>
        <w:t xml:space="preserve"> for nine months or until the Commission release</w:t>
      </w:r>
      <w:r w:rsidR="00D60E02">
        <w:rPr>
          <w:szCs w:val="22"/>
        </w:rPr>
        <w:t>s</w:t>
      </w:r>
      <w:r w:rsidR="009276D4">
        <w:rPr>
          <w:szCs w:val="22"/>
        </w:rPr>
        <w:t xml:space="preserve"> fin</w:t>
      </w:r>
      <w:r w:rsidR="00D60E02">
        <w:rPr>
          <w:szCs w:val="22"/>
        </w:rPr>
        <w:t>al ICS rules, whichever occurs</w:t>
      </w:r>
      <w:r w:rsidR="009276D4">
        <w:rPr>
          <w:szCs w:val="22"/>
        </w:rPr>
        <w:t xml:space="preserve"> first</w:t>
      </w:r>
      <w:r w:rsidR="001D00EB">
        <w:rPr>
          <w:szCs w:val="22"/>
        </w:rPr>
        <w:t>.</w:t>
      </w:r>
      <w:r w:rsidR="006E217F">
        <w:rPr>
          <w:rStyle w:val="FootnoteReference"/>
          <w:szCs w:val="22"/>
        </w:rPr>
        <w:footnoteReference w:id="28"/>
      </w:r>
      <w:r w:rsidR="001D00EB">
        <w:rPr>
          <w:szCs w:val="22"/>
        </w:rPr>
        <w:t xml:space="preserve">  </w:t>
      </w:r>
    </w:p>
    <w:p w:rsidR="008E1A32" w:rsidRPr="00720C6A" w:rsidRDefault="00C958A4" w:rsidP="005F5A28">
      <w:pPr>
        <w:pStyle w:val="Heading2"/>
        <w:widowControl/>
      </w:pPr>
      <w:r>
        <w:t>Securus’ Petitions</w:t>
      </w:r>
      <w:r w:rsidR="008E1A32" w:rsidRPr="00720C6A">
        <w:t xml:space="preserve"> </w:t>
      </w:r>
    </w:p>
    <w:p w:rsidR="008E1A32" w:rsidRDefault="008E1A32" w:rsidP="005F5A28">
      <w:pPr>
        <w:pStyle w:val="ParaNum"/>
        <w:widowControl/>
      </w:pPr>
      <w:r>
        <w:t xml:space="preserve">Securus </w:t>
      </w:r>
      <w:r w:rsidRPr="00720C6A">
        <w:t xml:space="preserve">is an ICS provider </w:t>
      </w:r>
      <w:r>
        <w:t xml:space="preserve">that “serves approximately 2,200 correctional facilities </w:t>
      </w:r>
      <w:r w:rsidRPr="00720C6A">
        <w:t xml:space="preserve">in </w:t>
      </w:r>
      <w:r>
        <w:t>45 states and the District of Columbia</w:t>
      </w:r>
      <w:r w:rsidRPr="00720C6A">
        <w:t>.</w:t>
      </w:r>
      <w:r>
        <w:t>”</w:t>
      </w:r>
      <w:r w:rsidRPr="00720C6A">
        <w:rPr>
          <w:sz w:val="20"/>
          <w:vertAlign w:val="superscript"/>
        </w:rPr>
        <w:footnoteReference w:id="29"/>
      </w:r>
      <w:r w:rsidRPr="00720C6A">
        <w:t xml:space="preserve">  </w:t>
      </w:r>
      <w:r w:rsidR="009276D4">
        <w:t>O</w:t>
      </w:r>
      <w:r w:rsidR="009276D4" w:rsidRPr="00720C6A">
        <w:t xml:space="preserve">n </w:t>
      </w:r>
      <w:r w:rsidR="009276D4">
        <w:t>February</w:t>
      </w:r>
      <w:r w:rsidR="009276D4" w:rsidRPr="00720C6A">
        <w:t xml:space="preserve"> </w:t>
      </w:r>
      <w:r w:rsidR="009276D4">
        <w:t>19</w:t>
      </w:r>
      <w:r w:rsidR="009276D4" w:rsidRPr="00720C6A">
        <w:t>, 2014</w:t>
      </w:r>
      <w:r w:rsidR="009276D4">
        <w:t xml:space="preserve">, </w:t>
      </w:r>
      <w:r>
        <w:t xml:space="preserve">Securus </w:t>
      </w:r>
      <w:r w:rsidRPr="00720C6A">
        <w:t xml:space="preserve">filed </w:t>
      </w:r>
      <w:r>
        <w:t>a</w:t>
      </w:r>
      <w:r w:rsidRPr="00720C6A">
        <w:t xml:space="preserve"> Petition </w:t>
      </w:r>
      <w:r>
        <w:t xml:space="preserve">to Expand Pay Tel Waiver </w:t>
      </w:r>
      <w:r w:rsidR="00CF51D5">
        <w:t>(</w:t>
      </w:r>
      <w:r w:rsidR="00581C81" w:rsidRPr="00581C81">
        <w:t>Waiver Expansion Petition</w:t>
      </w:r>
      <w:r w:rsidR="009276D4">
        <w:t xml:space="preserve"> or Petition</w:t>
      </w:r>
      <w:r>
        <w:t>)</w:t>
      </w:r>
      <w:r w:rsidR="009276D4">
        <w:t xml:space="preserve"> </w:t>
      </w:r>
      <w:r>
        <w:t xml:space="preserve">and </w:t>
      </w:r>
      <w:r w:rsidR="009276D4">
        <w:t>a Petition for Leave</w:t>
      </w:r>
      <w:r>
        <w:t xml:space="preserve"> to Add Fee for Voice Biometrics Technology (</w:t>
      </w:r>
      <w:r w:rsidR="00020523" w:rsidRPr="00020523">
        <w:t xml:space="preserve">Voice Biometrics Petition </w:t>
      </w:r>
      <w:r w:rsidR="009276D4">
        <w:t>or Petition</w:t>
      </w:r>
      <w:r>
        <w:t>)</w:t>
      </w:r>
      <w:r w:rsidRPr="00720C6A">
        <w:t>.</w:t>
      </w:r>
      <w:r w:rsidRPr="00720C6A">
        <w:rPr>
          <w:sz w:val="20"/>
          <w:vertAlign w:val="superscript"/>
        </w:rPr>
        <w:footnoteReference w:id="30"/>
      </w:r>
      <w:r w:rsidRPr="00720C6A">
        <w:t xml:space="preserve">  The Bureau</w:t>
      </w:r>
      <w:r w:rsidR="009276D4">
        <w:t xml:space="preserve"> </w:t>
      </w:r>
      <w:r w:rsidRPr="00720C6A">
        <w:t xml:space="preserve">released a Public Notice seeking comment on </w:t>
      </w:r>
      <w:r w:rsidR="00E23612">
        <w:t>Securus’</w:t>
      </w:r>
      <w:r w:rsidR="009276D4">
        <w:t xml:space="preserve"> </w:t>
      </w:r>
      <w:r w:rsidRPr="00720C6A">
        <w:t>Petition</w:t>
      </w:r>
      <w:r w:rsidR="009276D4">
        <w:t>s</w:t>
      </w:r>
      <w:r w:rsidRPr="00720C6A">
        <w:t xml:space="preserve"> on </w:t>
      </w:r>
      <w:r w:rsidR="009276D4">
        <w:t>March 4</w:t>
      </w:r>
      <w:r w:rsidRPr="00720C6A">
        <w:t>, 2014.</w:t>
      </w:r>
      <w:r w:rsidRPr="00720C6A">
        <w:rPr>
          <w:sz w:val="20"/>
          <w:vertAlign w:val="superscript"/>
        </w:rPr>
        <w:footnoteReference w:id="31"/>
      </w:r>
      <w:r w:rsidRPr="00720C6A">
        <w:t xml:space="preserve">  </w:t>
      </w:r>
    </w:p>
    <w:p w:rsidR="008E1A32" w:rsidRDefault="00D45E1A" w:rsidP="005F5A28">
      <w:pPr>
        <w:pStyle w:val="ParaNum"/>
        <w:widowControl/>
      </w:pPr>
      <w:r>
        <w:rPr>
          <w:i/>
        </w:rPr>
        <w:t>Waiver Expansion Petition</w:t>
      </w:r>
      <w:r>
        <w:t xml:space="preserve">. </w:t>
      </w:r>
      <w:r>
        <w:rPr>
          <w:i/>
        </w:rPr>
        <w:t xml:space="preserve"> </w:t>
      </w:r>
      <w:r w:rsidR="008E1A32">
        <w:t xml:space="preserve">In its </w:t>
      </w:r>
      <w:r w:rsidR="00AD0D46">
        <w:t xml:space="preserve">Waiver Expansion </w:t>
      </w:r>
      <w:r w:rsidR="008E1A32">
        <w:t xml:space="preserve">Petition, Securus requests the relief provided Pay Tel in the Bureau’s February 11, 2014 </w:t>
      </w:r>
      <w:r w:rsidRPr="001C570B">
        <w:rPr>
          <w:i/>
        </w:rPr>
        <w:t>Pay Tel Waiver Order</w:t>
      </w:r>
      <w:r w:rsidR="008E1A32">
        <w:t xml:space="preserve"> for “all providers of Inmate Calling Services (</w:t>
      </w:r>
      <w:r w:rsidR="00AD0D46">
        <w:t>‘</w:t>
      </w:r>
      <w:r w:rsidR="008E1A32">
        <w:t>ICS</w:t>
      </w:r>
      <w:r w:rsidR="00AD0D46">
        <w:t>’</w:t>
      </w:r>
      <w:r w:rsidR="008E1A32">
        <w:t>) operating in city and/or county jails located in the 13 states Pay Tel serves.”</w:t>
      </w:r>
      <w:r w:rsidR="008E1A32">
        <w:rPr>
          <w:rStyle w:val="FootnoteReference"/>
        </w:rPr>
        <w:footnoteReference w:id="32"/>
      </w:r>
      <w:r w:rsidR="008E1A32">
        <w:t xml:space="preserve"> </w:t>
      </w:r>
      <w:r>
        <w:t xml:space="preserve"> </w:t>
      </w:r>
      <w:r w:rsidR="008E1A32">
        <w:t xml:space="preserve">Securus seeks this relief pursuant to section 1.3 of the Commission’s rules and the waiver provisions of the </w:t>
      </w:r>
      <w:r w:rsidR="008E1A32" w:rsidRPr="00AD0D46">
        <w:rPr>
          <w:i/>
        </w:rPr>
        <w:t>Order</w:t>
      </w:r>
      <w:r w:rsidR="008E1A32">
        <w:t>.</w:t>
      </w:r>
      <w:r w:rsidR="008E1A32">
        <w:rPr>
          <w:rStyle w:val="FootnoteReference"/>
        </w:rPr>
        <w:footnoteReference w:id="33"/>
      </w:r>
      <w:r w:rsidR="008E1A32">
        <w:t xml:space="preserve">  </w:t>
      </w:r>
      <w:r w:rsidR="001C570B" w:rsidRPr="00DF63D7">
        <w:t>While</w:t>
      </w:r>
      <w:r w:rsidR="001C570B" w:rsidRPr="00560DA7">
        <w:t xml:space="preserve"> Securus seeks the same relief granted Pay Tel – a partial waiver of the Commission’s ICS rate caps – </w:t>
      </w:r>
      <w:r w:rsidR="001C570B">
        <w:t xml:space="preserve">nowhere does </w:t>
      </w:r>
      <w:r w:rsidR="001C570B" w:rsidRPr="00560DA7">
        <w:t>it specifically cite the Commission’s ICS rate caps of $0.21 per minute (debit and prepaid) and $0.25 per minute (collect)</w:t>
      </w:r>
      <w:r w:rsidR="001C570B">
        <w:t xml:space="preserve">, </w:t>
      </w:r>
      <w:r w:rsidR="000E1C13">
        <w:t xml:space="preserve">identify </w:t>
      </w:r>
      <w:r w:rsidR="001C570B">
        <w:t>the relevant rule</w:t>
      </w:r>
      <w:r w:rsidR="00A73BDE">
        <w:t xml:space="preserve"> from which it seeks a waiver</w:t>
      </w:r>
      <w:r w:rsidR="001C570B">
        <w:t>,</w:t>
      </w:r>
      <w:r w:rsidR="001C570B" w:rsidRPr="00560DA7">
        <w:t xml:space="preserve"> or specifically request relief from </w:t>
      </w:r>
      <w:r w:rsidR="00A73BDE">
        <w:t>a rule or rules</w:t>
      </w:r>
      <w:r w:rsidR="001C570B" w:rsidRPr="00560DA7">
        <w:t xml:space="preserve">.  </w:t>
      </w:r>
      <w:r w:rsidR="001C570B">
        <w:t>W</w:t>
      </w:r>
      <w:r w:rsidR="001C570B" w:rsidRPr="00560DA7">
        <w:t xml:space="preserve">e nevertheless construe </w:t>
      </w:r>
      <w:r w:rsidR="001C570B">
        <w:t>Securus’</w:t>
      </w:r>
      <w:r w:rsidR="001C570B" w:rsidRPr="00560DA7">
        <w:t xml:space="preserve"> </w:t>
      </w:r>
      <w:r w:rsidR="001C570B">
        <w:t>P</w:t>
      </w:r>
      <w:r w:rsidR="001C570B" w:rsidRPr="00560DA7">
        <w:t xml:space="preserve">etition as requesting relief from the Commission’s </w:t>
      </w:r>
      <w:r w:rsidR="00B77863">
        <w:t xml:space="preserve">rule mandating interim </w:t>
      </w:r>
      <w:r w:rsidR="001C570B" w:rsidRPr="00560DA7">
        <w:t>ICS rate caps.</w:t>
      </w:r>
      <w:r w:rsidR="00B77863">
        <w:rPr>
          <w:rStyle w:val="FootnoteReference"/>
        </w:rPr>
        <w:footnoteReference w:id="34"/>
      </w:r>
      <w:r w:rsidR="001C570B" w:rsidRPr="00560DA7">
        <w:t xml:space="preserve">  </w:t>
      </w:r>
      <w:r w:rsidR="0075769B">
        <w:t>Securus claims that ICS providers will experience a revenue shortfall by complying with the Commission’s interim rate caps, not unlike the shortfall the Bureau cited in granting Pay Tel a waiver.</w:t>
      </w:r>
      <w:r w:rsidR="0075769B">
        <w:rPr>
          <w:rStyle w:val="FootnoteReference"/>
        </w:rPr>
        <w:footnoteReference w:id="35"/>
      </w:r>
      <w:r w:rsidR="0075769B">
        <w:t xml:space="preserve">  </w:t>
      </w:r>
      <w:r w:rsidR="00E847BF">
        <w:t xml:space="preserve">Unlike Pay Tel’s waiver request, </w:t>
      </w:r>
      <w:r w:rsidR="0075769B">
        <w:t xml:space="preserve">however, </w:t>
      </w:r>
      <w:r w:rsidR="00E847BF">
        <w:t xml:space="preserve">Securus’ Petition was not supported by a comprehensive cost study, audited financial statements, or a detailed intrastate revenue shortfall analysis.  Securus also did not claim that its financial viability was at risk absent a grant of its waiver request.  </w:t>
      </w:r>
    </w:p>
    <w:p w:rsidR="008E1A32" w:rsidRDefault="00D45E1A" w:rsidP="0075769B">
      <w:pPr>
        <w:pStyle w:val="ParaNum"/>
        <w:widowControl/>
      </w:pPr>
      <w:r w:rsidRPr="0075769B">
        <w:rPr>
          <w:i/>
        </w:rPr>
        <w:t>Voice Biometrics Petition</w:t>
      </w:r>
      <w:r>
        <w:t xml:space="preserve">. </w:t>
      </w:r>
      <w:r w:rsidRPr="0075769B">
        <w:rPr>
          <w:i/>
        </w:rPr>
        <w:t xml:space="preserve"> </w:t>
      </w:r>
      <w:r w:rsidR="008E1A32" w:rsidRPr="00850685">
        <w:t xml:space="preserve">In its </w:t>
      </w:r>
      <w:r w:rsidR="002A5825" w:rsidRPr="00850685">
        <w:t xml:space="preserve">Voice Biometrics </w:t>
      </w:r>
      <w:r w:rsidR="008E1A32" w:rsidRPr="00850685">
        <w:t>Petition, Securus seeks “leave to add a per-minute fee of $0.02 to its interstate calls in order to cover the cost of providing voice biometric technology.”</w:t>
      </w:r>
      <w:r w:rsidR="008E1A32" w:rsidRPr="00850685">
        <w:rPr>
          <w:rStyle w:val="FootnoteReference"/>
        </w:rPr>
        <w:footnoteReference w:id="36"/>
      </w:r>
      <w:r w:rsidR="008E1A32" w:rsidRPr="00850685">
        <w:t xml:space="preserve">  Securus’ </w:t>
      </w:r>
      <w:r w:rsidR="00020523" w:rsidRPr="00020523">
        <w:t xml:space="preserve">Voice Biometrics Petition </w:t>
      </w:r>
      <w:r w:rsidR="008E1A32" w:rsidRPr="00850685">
        <w:t xml:space="preserve">seeks this relief pursuant to section 1.3 of the Commission’s rules and the waiver provisions of the </w:t>
      </w:r>
      <w:r w:rsidR="008E1A32" w:rsidRPr="0075769B">
        <w:rPr>
          <w:i/>
        </w:rPr>
        <w:t>Order</w:t>
      </w:r>
      <w:r w:rsidR="008E1A32" w:rsidRPr="00850685">
        <w:t>.</w:t>
      </w:r>
      <w:r w:rsidR="008E1A32" w:rsidRPr="00850685">
        <w:rPr>
          <w:rStyle w:val="FootnoteReference"/>
        </w:rPr>
        <w:footnoteReference w:id="37"/>
      </w:r>
      <w:r w:rsidR="008E1A32" w:rsidRPr="00850685">
        <w:t xml:space="preserve">  While </w:t>
      </w:r>
      <w:r w:rsidR="00783811">
        <w:t xml:space="preserve">this Petition also </w:t>
      </w:r>
      <w:r w:rsidR="008E1A32" w:rsidRPr="00850685">
        <w:t xml:space="preserve">does not request a waiver of any specific Commission rule, we nonetheless construe </w:t>
      </w:r>
      <w:r w:rsidR="00783811">
        <w:t xml:space="preserve">it to be </w:t>
      </w:r>
      <w:r w:rsidR="008E1A32" w:rsidRPr="00850685">
        <w:t>a request for waiver of the Commission’s interstate ICS rate cap rule</w:t>
      </w:r>
      <w:r w:rsidR="008E1A32">
        <w:t xml:space="preserve">.  </w:t>
      </w:r>
      <w:r w:rsidR="00DF63D7">
        <w:t>Securus</w:t>
      </w:r>
      <w:r w:rsidR="00020523" w:rsidRPr="00020523">
        <w:t xml:space="preserve"> </w:t>
      </w:r>
      <w:r w:rsidR="0075769B">
        <w:t>claims</w:t>
      </w:r>
      <w:r w:rsidR="008E1A32">
        <w:t xml:space="preserve"> that the “cost of biometrics is among the grounds for which Pay Tel got [its] waiver”</w:t>
      </w:r>
      <w:r w:rsidR="008E1A32">
        <w:rPr>
          <w:rStyle w:val="FootnoteReference"/>
        </w:rPr>
        <w:footnoteReference w:id="38"/>
      </w:r>
      <w:r w:rsidR="008E1A32">
        <w:t xml:space="preserve"> </w:t>
      </w:r>
      <w:r w:rsidR="000867AB">
        <w:t>and</w:t>
      </w:r>
      <w:r w:rsidR="008E1A32">
        <w:t xml:space="preserve"> that granting the relief it seeks is a “competitive necessity” and </w:t>
      </w:r>
      <w:r w:rsidR="00A73BDE">
        <w:t xml:space="preserve">that </w:t>
      </w:r>
      <w:r w:rsidR="008E1A32">
        <w:t>failing to grant the relief would “skew the competitive landscape.”</w:t>
      </w:r>
      <w:r w:rsidR="008E1A32">
        <w:rPr>
          <w:rStyle w:val="FootnoteReference"/>
        </w:rPr>
        <w:footnoteReference w:id="39"/>
      </w:r>
      <w:r w:rsidR="007451CE">
        <w:t xml:space="preserve">  Again, unlike Pay Tel’s waiver request, Securus’ Voice Biometrics Petition is not supported by data and does not make specific claims about its continuing financial viability for example.</w:t>
      </w:r>
      <w:r w:rsidR="008E1A32">
        <w:t xml:space="preserve">  </w:t>
      </w:r>
    </w:p>
    <w:p w:rsidR="003C34EC" w:rsidRDefault="000867AB" w:rsidP="005F5A28">
      <w:pPr>
        <w:pStyle w:val="ParaNum"/>
        <w:widowControl/>
      </w:pPr>
      <w:r>
        <w:t>C</w:t>
      </w:r>
      <w:r w:rsidR="00783811">
        <w:t xml:space="preserve">omments </w:t>
      </w:r>
      <w:r w:rsidR="00DF63D7">
        <w:t xml:space="preserve">on </w:t>
      </w:r>
      <w:r w:rsidR="001C5168">
        <w:t>Securus’ Petitions</w:t>
      </w:r>
      <w:r>
        <w:t xml:space="preserve"> were filed by several parties</w:t>
      </w:r>
      <w:r w:rsidR="00A73BDE">
        <w:t xml:space="preserve">.  The </w:t>
      </w:r>
      <w:r w:rsidR="007D78F0">
        <w:t xml:space="preserve">Wright </w:t>
      </w:r>
      <w:r w:rsidR="00A73BDE">
        <w:t>Petitioners</w:t>
      </w:r>
      <w:r w:rsidR="00783811">
        <w:t xml:space="preserve"> subm</w:t>
      </w:r>
      <w:r w:rsidR="00CA68BE">
        <w:t>itted an opposition to Securus’</w:t>
      </w:r>
      <w:r w:rsidR="00783811">
        <w:t xml:space="preserve"> </w:t>
      </w:r>
      <w:r w:rsidR="00020523" w:rsidRPr="00020523">
        <w:t>Voice Biometrics Petition</w:t>
      </w:r>
      <w:r w:rsidR="00783811">
        <w:rPr>
          <w:rStyle w:val="FootnoteReference"/>
        </w:rPr>
        <w:footnoteReference w:id="40"/>
      </w:r>
      <w:r w:rsidR="00CA68BE">
        <w:t xml:space="preserve"> </w:t>
      </w:r>
      <w:r w:rsidR="00D20F90">
        <w:t xml:space="preserve">and comments on </w:t>
      </w:r>
      <w:r w:rsidR="008F7951">
        <w:t>both Petitions</w:t>
      </w:r>
      <w:r w:rsidR="00D20F90">
        <w:t>.</w:t>
      </w:r>
      <w:r w:rsidR="008F7951">
        <w:rPr>
          <w:rStyle w:val="FootnoteReference"/>
        </w:rPr>
        <w:footnoteReference w:id="41"/>
      </w:r>
      <w:r w:rsidR="00D20F90">
        <w:t xml:space="preserve"> </w:t>
      </w:r>
      <w:r w:rsidR="00CA68BE">
        <w:t xml:space="preserve"> </w:t>
      </w:r>
      <w:r w:rsidR="00DF63D7">
        <w:t xml:space="preserve">The </w:t>
      </w:r>
      <w:r w:rsidR="000145DD">
        <w:t xml:space="preserve">Wright Petitioners </w:t>
      </w:r>
      <w:r w:rsidR="00D20F90">
        <w:t xml:space="preserve">state that </w:t>
      </w:r>
      <w:r w:rsidR="000145DD">
        <w:t>Securus’ Waiver Expansion Petition fail</w:t>
      </w:r>
      <w:r w:rsidR="00A73BDE">
        <w:t>s</w:t>
      </w:r>
      <w:r w:rsidR="000145DD">
        <w:t xml:space="preserve"> to</w:t>
      </w:r>
      <w:r w:rsidR="00C72840">
        <w:t xml:space="preserve"> provide “any foundational cost </w:t>
      </w:r>
      <w:r w:rsidR="000145DD">
        <w:t xml:space="preserve">data, or even [address] the fundamental basis for Pay Tel’s waiver request” and that </w:t>
      </w:r>
      <w:r w:rsidR="00D20F90">
        <w:t>Securus</w:t>
      </w:r>
      <w:r w:rsidR="000145DD">
        <w:t xml:space="preserve"> “has steadfastly refused to provide any actual cost data to the FCC.”</w:t>
      </w:r>
      <w:r w:rsidR="000145DD">
        <w:rPr>
          <w:rStyle w:val="FootnoteReference"/>
        </w:rPr>
        <w:footnoteReference w:id="42"/>
      </w:r>
      <w:r w:rsidR="000145DD">
        <w:t xml:space="preserve">  </w:t>
      </w:r>
      <w:r w:rsidR="00DF63D7">
        <w:t xml:space="preserve">The </w:t>
      </w:r>
      <w:r w:rsidR="00D20F90">
        <w:t>Wri</w:t>
      </w:r>
      <w:r w:rsidR="00A73BDE">
        <w:t xml:space="preserve">ght Petitioners further </w:t>
      </w:r>
      <w:r w:rsidR="0075769B">
        <w:t xml:space="preserve">note </w:t>
      </w:r>
      <w:r w:rsidR="00D20F90">
        <w:t>that Securus ha</w:t>
      </w:r>
      <w:r w:rsidR="00137C74">
        <w:t>s</w:t>
      </w:r>
      <w:r w:rsidR="00D20F90">
        <w:t xml:space="preserve"> “utterly failed to </w:t>
      </w:r>
      <w:r w:rsidR="00D20F90" w:rsidRPr="00FE7D09">
        <w:rPr>
          <w:szCs w:val="22"/>
        </w:rPr>
        <w:t>provide</w:t>
      </w:r>
      <w:r w:rsidR="00D20F90">
        <w:t xml:space="preserve"> any factual basis for its </w:t>
      </w:r>
      <w:r w:rsidR="00DF63D7">
        <w:t>‘</w:t>
      </w:r>
      <w:r w:rsidR="00D20F90">
        <w:t>Me Too</w:t>
      </w:r>
      <w:r w:rsidR="00DF63D7">
        <w:t>’</w:t>
      </w:r>
      <w:r w:rsidR="00D20F90">
        <w:t xml:space="preserve"> waiver request for an additional $0.02 Voice Biometric fee.”</w:t>
      </w:r>
      <w:r w:rsidR="00D20F90">
        <w:rPr>
          <w:rStyle w:val="FootnoteReference"/>
        </w:rPr>
        <w:footnoteReference w:id="43"/>
      </w:r>
      <w:r w:rsidR="00D20F90">
        <w:t xml:space="preserve">  Daniel Ream</w:t>
      </w:r>
      <w:r w:rsidR="00A73BDE">
        <w:t xml:space="preserve"> </w:t>
      </w:r>
      <w:r w:rsidR="002B3462">
        <w:t>oppose</w:t>
      </w:r>
      <w:r w:rsidR="00A73BDE">
        <w:t>s</w:t>
      </w:r>
      <w:r w:rsidR="00E23612">
        <w:t xml:space="preserve"> Securus’</w:t>
      </w:r>
      <w:r w:rsidR="000A5CE9">
        <w:t xml:space="preserve"> Voice Biometrics Petition</w:t>
      </w:r>
      <w:r w:rsidR="00A73BDE">
        <w:t>,</w:t>
      </w:r>
      <w:r w:rsidR="000A5CE9">
        <w:t xml:space="preserve"> stating that “Securus has produced no evidence to justify its request” and </w:t>
      </w:r>
      <w:r w:rsidR="00B43677">
        <w:t xml:space="preserve">contrasted </w:t>
      </w:r>
      <w:r w:rsidR="000A5CE9">
        <w:t>Securus</w:t>
      </w:r>
      <w:r w:rsidR="00E23612">
        <w:t>’</w:t>
      </w:r>
      <w:r w:rsidR="00B43677">
        <w:t xml:space="preserve"> failure to support its waiver request with Pay Tel</w:t>
      </w:r>
      <w:r w:rsidR="001C5168">
        <w:t>’s</w:t>
      </w:r>
      <w:r w:rsidR="00B43677">
        <w:t xml:space="preserve"> </w:t>
      </w:r>
      <w:r w:rsidR="00DF63D7">
        <w:t xml:space="preserve">extensive </w:t>
      </w:r>
      <w:r w:rsidR="00B43677">
        <w:t xml:space="preserve">support </w:t>
      </w:r>
      <w:r w:rsidR="001C5168">
        <w:t xml:space="preserve">for </w:t>
      </w:r>
      <w:r w:rsidR="00B43677">
        <w:t>its waiver request</w:t>
      </w:r>
      <w:r w:rsidR="000A5CE9">
        <w:t>.</w:t>
      </w:r>
      <w:r w:rsidR="000A5CE9">
        <w:rPr>
          <w:rStyle w:val="FootnoteReference"/>
        </w:rPr>
        <w:footnoteReference w:id="44"/>
      </w:r>
      <w:r w:rsidR="000A5CE9">
        <w:t xml:space="preserve">  </w:t>
      </w:r>
      <w:r w:rsidR="00F552AC">
        <w:t>Global Tel*Link (GTL) submi</w:t>
      </w:r>
      <w:r w:rsidR="00A73BDE">
        <w:t>tted reply comments oppos</w:t>
      </w:r>
      <w:r>
        <w:t>ing</w:t>
      </w:r>
      <w:r w:rsidR="00F552AC">
        <w:t xml:space="preserve"> any extension of </w:t>
      </w:r>
      <w:r w:rsidR="006F6806">
        <w:t xml:space="preserve">the Bureau’s original grant of waiver to Pay Tel </w:t>
      </w:r>
      <w:r w:rsidR="00F552AC">
        <w:t>to Securus or other ICS providers, stating that “extending the waiver to all ICS providers is not in the public interest.”</w:t>
      </w:r>
      <w:r w:rsidR="00F552AC">
        <w:rPr>
          <w:rStyle w:val="FootnoteReference"/>
        </w:rPr>
        <w:footnoteReference w:id="45"/>
      </w:r>
      <w:r w:rsidR="00F552AC">
        <w:t xml:space="preserve">  </w:t>
      </w:r>
      <w:r w:rsidR="00A73BDE">
        <w:t>Other commenters support</w:t>
      </w:r>
      <w:r w:rsidR="000F00E8">
        <w:t xml:space="preserve"> Securus’ Petitions.  </w:t>
      </w:r>
      <w:r w:rsidR="00D20F90">
        <w:t>Century</w:t>
      </w:r>
      <w:r w:rsidR="00DF63D7">
        <w:t>L</w:t>
      </w:r>
      <w:r w:rsidR="00A73BDE">
        <w:t>ink supports</w:t>
      </w:r>
      <w:r w:rsidR="00D20F90">
        <w:t xml:space="preserve"> </w:t>
      </w:r>
      <w:r w:rsidR="002B3462">
        <w:t xml:space="preserve">the granting of </w:t>
      </w:r>
      <w:r w:rsidR="00D20F90">
        <w:t xml:space="preserve">both </w:t>
      </w:r>
      <w:r w:rsidR="002B3462">
        <w:t>P</w:t>
      </w:r>
      <w:r w:rsidR="00D20F90">
        <w:t>etitions</w:t>
      </w:r>
      <w:r w:rsidR="002B3462">
        <w:t xml:space="preserve"> “[t]o ensure that all ICS providers compete on a level playing field and to ensure that high cost city and county jails are served.”</w:t>
      </w:r>
      <w:r w:rsidR="002B3462">
        <w:rPr>
          <w:rStyle w:val="FootnoteReference"/>
        </w:rPr>
        <w:footnoteReference w:id="46"/>
      </w:r>
      <w:r w:rsidR="002B3462">
        <w:t xml:space="preserve">  </w:t>
      </w:r>
      <w:r w:rsidR="00F552AC">
        <w:t>Network Communications International Corp. (NCIC) also submitted reply comments</w:t>
      </w:r>
      <w:r w:rsidR="000F00E8">
        <w:t xml:space="preserve"> supporting Securus’ Petitions and</w:t>
      </w:r>
      <w:r w:rsidR="00A73BDE">
        <w:t xml:space="preserve"> seeks</w:t>
      </w:r>
      <w:r w:rsidR="00F552AC">
        <w:t xml:space="preserve"> grant of </w:t>
      </w:r>
      <w:r w:rsidR="000F00E8">
        <w:t>them</w:t>
      </w:r>
      <w:r w:rsidR="00F552AC">
        <w:t xml:space="preserve"> </w:t>
      </w:r>
      <w:r w:rsidR="002102B9">
        <w:t>to</w:t>
      </w:r>
      <w:r w:rsidR="00F552AC">
        <w:t xml:space="preserve"> “all providers </w:t>
      </w:r>
      <w:r w:rsidR="002102B9">
        <w:t xml:space="preserve">of Inmate Calling Services </w:t>
      </w:r>
      <w:r w:rsidR="00F552AC">
        <w:t>serving county facilities located in the same states as Pay Tel.”</w:t>
      </w:r>
      <w:r w:rsidR="00F552AC">
        <w:rPr>
          <w:rStyle w:val="FootnoteReference"/>
        </w:rPr>
        <w:footnoteReference w:id="47"/>
      </w:r>
      <w:r w:rsidR="00F552AC">
        <w:t xml:space="preserve">  </w:t>
      </w:r>
      <w:r w:rsidR="00E02DEF">
        <w:t xml:space="preserve">Securus </w:t>
      </w:r>
      <w:r w:rsidR="00FE7D09">
        <w:t>subsequently replie</w:t>
      </w:r>
      <w:r w:rsidR="0090008A">
        <w:t>d,</w:t>
      </w:r>
      <w:r w:rsidR="00A817BB">
        <w:t xml:space="preserve"> </w:t>
      </w:r>
      <w:r w:rsidR="00634BBF">
        <w:t xml:space="preserve">responding to </w:t>
      </w:r>
      <w:r w:rsidR="00A817BB">
        <w:t>certain assertions made by other commenters and reiterating its claims for relief from the Commission’s ICS rate caps</w:t>
      </w:r>
      <w:r w:rsidR="00FE7D09">
        <w:t>.</w:t>
      </w:r>
      <w:r w:rsidR="00FE7D09">
        <w:rPr>
          <w:rStyle w:val="FootnoteReference"/>
        </w:rPr>
        <w:footnoteReference w:id="48"/>
      </w:r>
      <w:r w:rsidR="00FE7D09">
        <w:t xml:space="preserve">  </w:t>
      </w:r>
    </w:p>
    <w:p w:rsidR="008E1A32" w:rsidRDefault="008E1A32" w:rsidP="005F5A28">
      <w:pPr>
        <w:pStyle w:val="ParaNum"/>
        <w:widowControl/>
      </w:pPr>
      <w:r w:rsidRPr="00FE7D09">
        <w:rPr>
          <w:i/>
        </w:rPr>
        <w:t>Applicable Waiver Standard.</w:t>
      </w:r>
      <w:r w:rsidRPr="00720C6A">
        <w:t xml:space="preserve">  </w:t>
      </w:r>
      <w:r w:rsidR="0090008A">
        <w:t xml:space="preserve">As previously discussed, </w:t>
      </w:r>
      <w:r w:rsidR="00DF63D7">
        <w:t>w</w:t>
      </w:r>
      <w:r w:rsidR="00951813">
        <w:t xml:space="preserve">e </w:t>
      </w:r>
      <w:r w:rsidR="00A935C4">
        <w:t xml:space="preserve">treat </w:t>
      </w:r>
      <w:r w:rsidRPr="00720C6A">
        <w:t>Securus</w:t>
      </w:r>
      <w:r w:rsidR="00951813">
        <w:t>’ Petitions as</w:t>
      </w:r>
      <w:r w:rsidRPr="00720C6A">
        <w:t xml:space="preserve"> </w:t>
      </w:r>
      <w:r w:rsidR="00951813">
        <w:t>requests to waive</w:t>
      </w:r>
      <w:r w:rsidRPr="00720C6A">
        <w:t xml:space="preserve"> the Commission’s </w:t>
      </w:r>
      <w:r w:rsidR="0090008A">
        <w:t xml:space="preserve">rule mandating interim </w:t>
      </w:r>
      <w:r w:rsidRPr="00720C6A">
        <w:t xml:space="preserve">interstate ICS rate caps under the Commission’s general waiver rule </w:t>
      </w:r>
      <w:r w:rsidR="002A5825">
        <w:t xml:space="preserve">and the waiver provisions of the </w:t>
      </w:r>
      <w:r w:rsidRPr="00FE7D09">
        <w:rPr>
          <w:i/>
        </w:rPr>
        <w:t>Order</w:t>
      </w:r>
      <w:r w:rsidRPr="00720C6A">
        <w:t>.</w:t>
      </w:r>
      <w:r w:rsidRPr="00720C6A">
        <w:rPr>
          <w:sz w:val="20"/>
          <w:vertAlign w:val="superscript"/>
        </w:rPr>
        <w:footnoteReference w:id="49"/>
      </w:r>
      <w:r w:rsidRPr="00720C6A">
        <w:t xml:space="preserve">  Section 1.3 of the Commission’s rules states that the Commission’s rules may be waived for good cause shown.</w:t>
      </w:r>
      <w:r w:rsidRPr="00720C6A">
        <w:rPr>
          <w:sz w:val="20"/>
          <w:vertAlign w:val="superscript"/>
        </w:rPr>
        <w:footnoteReference w:id="50"/>
      </w:r>
      <w:r w:rsidRPr="00720C6A">
        <w:t xml:space="preserve">  Waiver of the Commission’s rules “is appropriate only if special circumstances warrant a deviation from the general rule and such deviation will serve the public interest.”</w:t>
      </w:r>
      <w:r w:rsidRPr="00720C6A">
        <w:rPr>
          <w:sz w:val="20"/>
          <w:vertAlign w:val="superscript"/>
        </w:rPr>
        <w:footnoteReference w:id="51"/>
      </w:r>
      <w:r w:rsidRPr="00720C6A">
        <w:t xml:space="preserve">  In the </w:t>
      </w:r>
      <w:r w:rsidRPr="00FE7D09">
        <w:rPr>
          <w:i/>
        </w:rPr>
        <w:t>Order</w:t>
      </w:r>
      <w:r w:rsidRPr="00720C6A">
        <w:t xml:space="preserve">, the Commission stated that “the petitioner bears the burden of proof to show good cause exists to support the </w:t>
      </w:r>
      <w:r w:rsidR="00844A45">
        <w:t>request” and identified factors</w:t>
      </w:r>
      <w:r w:rsidRPr="00720C6A">
        <w:t xml:space="preserve"> </w:t>
      </w:r>
      <w:r w:rsidR="00F01FA1">
        <w:t xml:space="preserve">that “may </w:t>
      </w:r>
      <w:r w:rsidRPr="00720C6A">
        <w:t>be considered</w:t>
      </w:r>
      <w:r w:rsidR="00F01FA1">
        <w:t>”</w:t>
      </w:r>
      <w:r w:rsidRPr="00720C6A">
        <w:t xml:space="preserve"> in reviewing a waiver request.</w:t>
      </w:r>
      <w:r w:rsidRPr="00720C6A">
        <w:rPr>
          <w:sz w:val="20"/>
          <w:vertAlign w:val="superscript"/>
        </w:rPr>
        <w:footnoteReference w:id="52"/>
      </w:r>
      <w:r w:rsidRPr="00720C6A">
        <w:t xml:space="preserve">  It further stated that ICS providers “will have opportunities to seek waivers to the extent the framework adopted in this Order does not adequately address their legitimate costs of providing ICS.”</w:t>
      </w:r>
      <w:r w:rsidRPr="00720C6A">
        <w:rPr>
          <w:sz w:val="20"/>
          <w:vertAlign w:val="superscript"/>
        </w:rPr>
        <w:footnoteReference w:id="53"/>
      </w:r>
      <w:r w:rsidRPr="00720C6A">
        <w:t xml:space="preserve">  The Commission noted that “petitions for waiver of the interim rate caps would account for extraordinary circumstances.”</w:t>
      </w:r>
      <w:r w:rsidRPr="00720C6A">
        <w:rPr>
          <w:sz w:val="20"/>
          <w:vertAlign w:val="superscript"/>
        </w:rPr>
        <w:footnoteReference w:id="54"/>
      </w:r>
      <w:r w:rsidRPr="00720C6A">
        <w:t xml:space="preserve">  The Commission concluded that, for both substantive and administrative reasons, it would evaluate waivers at the holding company level.</w:t>
      </w:r>
      <w:r w:rsidRPr="00720C6A">
        <w:rPr>
          <w:sz w:val="20"/>
          <w:vertAlign w:val="superscript"/>
        </w:rPr>
        <w:footnoteReference w:id="55"/>
      </w:r>
      <w:r w:rsidRPr="00720C6A">
        <w:t xml:space="preserve">  It delegated authority to the Bureau to “request additional information necessary for its evaluation of waiver requests and to approve or deny all or part of requests for waiver of the interim rate caps adopted herein.”</w:t>
      </w:r>
      <w:r w:rsidRPr="00720C6A">
        <w:rPr>
          <w:sz w:val="20"/>
          <w:vertAlign w:val="superscript"/>
        </w:rPr>
        <w:footnoteReference w:id="56"/>
      </w:r>
      <w:r w:rsidRPr="00720C6A">
        <w:t xml:space="preserve"> </w:t>
      </w:r>
    </w:p>
    <w:p w:rsidR="006F6806" w:rsidRPr="00720C6A" w:rsidRDefault="006F6806" w:rsidP="005F5A28">
      <w:pPr>
        <w:pStyle w:val="ParaNum"/>
        <w:widowControl/>
      </w:pPr>
      <w:r>
        <w:t xml:space="preserve">Pay Tel </w:t>
      </w:r>
      <w:r w:rsidR="006D5E45">
        <w:t xml:space="preserve">sought a waiver of the Commission’s interim rate caps based on the impact of below-cost state rates </w:t>
      </w:r>
      <w:r w:rsidR="006D3789">
        <w:t>in certain states</w:t>
      </w:r>
      <w:r w:rsidR="006D5E45">
        <w:t>.</w:t>
      </w:r>
      <w:r w:rsidR="00137C74">
        <w:rPr>
          <w:rStyle w:val="FootnoteReference"/>
        </w:rPr>
        <w:footnoteReference w:id="57"/>
      </w:r>
      <w:r w:rsidR="006D5E45">
        <w:t xml:space="preserve">  </w:t>
      </w:r>
      <w:r w:rsidR="006D3789">
        <w:t xml:space="preserve">In the </w:t>
      </w:r>
      <w:r w:rsidR="006D3789" w:rsidRPr="006E5946">
        <w:rPr>
          <w:i/>
        </w:rPr>
        <w:t>Pay Tel Waiver Order</w:t>
      </w:r>
      <w:r w:rsidR="006D3789">
        <w:rPr>
          <w:i/>
        </w:rPr>
        <w:t xml:space="preserve">, </w:t>
      </w:r>
      <w:r w:rsidR="006D3789">
        <w:t>the Bureau</w:t>
      </w:r>
      <w:r>
        <w:t xml:space="preserve"> </w:t>
      </w:r>
      <w:r w:rsidR="00FE4442">
        <w:t>determined that Pay</w:t>
      </w:r>
      <w:r w:rsidR="00035B49">
        <w:t xml:space="preserve"> </w:t>
      </w:r>
      <w:r w:rsidR="00FE4442">
        <w:t xml:space="preserve">Tel demonstrated good cause for a </w:t>
      </w:r>
      <w:r w:rsidR="00634BBF">
        <w:t xml:space="preserve">temporary </w:t>
      </w:r>
      <w:r w:rsidR="00FE4442">
        <w:t xml:space="preserve">waiver by </w:t>
      </w:r>
      <w:r w:rsidR="00E73B8B">
        <w:t>provid</w:t>
      </w:r>
      <w:r w:rsidR="00FE4442">
        <w:t>ing</w:t>
      </w:r>
      <w:r w:rsidR="00E73B8B">
        <w:t xml:space="preserve"> data </w:t>
      </w:r>
      <w:r w:rsidR="00FE4442">
        <w:t xml:space="preserve">sufficient </w:t>
      </w:r>
      <w:r w:rsidR="00E73B8B">
        <w:t xml:space="preserve">to </w:t>
      </w:r>
      <w:r>
        <w:t>demonstrate its total company costs, identify</w:t>
      </w:r>
      <w:r w:rsidR="00FE4442">
        <w:t>ing</w:t>
      </w:r>
      <w:r>
        <w:t xml:space="preserve"> the below-cost intrastate rate mandates </w:t>
      </w:r>
      <w:r w:rsidR="00E73B8B">
        <w:t xml:space="preserve">it faced </w:t>
      </w:r>
      <w:r>
        <w:t>and their financial impact on its revenues, provid</w:t>
      </w:r>
      <w:r w:rsidR="00FE4442">
        <w:t>ing</w:t>
      </w:r>
      <w:r>
        <w:t xml:space="preserve"> data showing that its intrastate revenue shortfall threatened its financial viability</w:t>
      </w:r>
      <w:r w:rsidR="00E73B8B">
        <w:t>,</w:t>
      </w:r>
      <w:r>
        <w:t xml:space="preserve"> and show</w:t>
      </w:r>
      <w:r w:rsidR="00FE4442">
        <w:t>ing</w:t>
      </w:r>
      <w:r>
        <w:t xml:space="preserve"> </w:t>
      </w:r>
      <w:r w:rsidR="00E73B8B">
        <w:t xml:space="preserve">that </w:t>
      </w:r>
      <w:r>
        <w:t>the grant of its request was in the public interest.</w:t>
      </w:r>
      <w:r w:rsidR="00354A3E">
        <w:rPr>
          <w:rStyle w:val="FootnoteReference"/>
        </w:rPr>
        <w:footnoteReference w:id="58"/>
      </w:r>
      <w:r>
        <w:t xml:space="preserve">   </w:t>
      </w:r>
    </w:p>
    <w:p w:rsidR="008E1A32" w:rsidRPr="00720C6A" w:rsidRDefault="008E1A32" w:rsidP="005F5A28">
      <w:pPr>
        <w:pStyle w:val="Heading1"/>
        <w:widowControl/>
      </w:pPr>
      <w:r w:rsidRPr="00720C6A">
        <w:t>Discussion</w:t>
      </w:r>
    </w:p>
    <w:p w:rsidR="008E1A32" w:rsidRDefault="008E1A32" w:rsidP="005F5A28">
      <w:pPr>
        <w:pStyle w:val="ParaNum"/>
        <w:widowControl/>
      </w:pPr>
      <w:r w:rsidRPr="00720C6A">
        <w:t xml:space="preserve">We conclude that Securus </w:t>
      </w:r>
      <w:r w:rsidR="00A935C4">
        <w:t>fail</w:t>
      </w:r>
      <w:r w:rsidR="0075769B">
        <w:t>ed</w:t>
      </w:r>
      <w:r w:rsidRPr="00720C6A">
        <w:t xml:space="preserve"> to </w:t>
      </w:r>
      <w:r w:rsidRPr="0032143E">
        <w:rPr>
          <w:szCs w:val="22"/>
        </w:rPr>
        <w:t>meet</w:t>
      </w:r>
      <w:r w:rsidRPr="00720C6A">
        <w:t xml:space="preserve"> its burden of proof to establish good cause for grant of waiver of the Commission’s ICS rate cap rule</w:t>
      </w:r>
      <w:r w:rsidR="00313A77" w:rsidRPr="00313A77">
        <w:t xml:space="preserve"> </w:t>
      </w:r>
      <w:r w:rsidR="00313A77" w:rsidRPr="00720C6A">
        <w:t xml:space="preserve">for either of its </w:t>
      </w:r>
      <w:r w:rsidR="00313A77">
        <w:t>P</w:t>
      </w:r>
      <w:r w:rsidR="00313A77" w:rsidRPr="00720C6A">
        <w:t>etitions</w:t>
      </w:r>
      <w:r w:rsidRPr="00720C6A">
        <w:t>.  Securus fail</w:t>
      </w:r>
      <w:r w:rsidR="0075769B">
        <w:t>ed</w:t>
      </w:r>
      <w:r w:rsidRPr="00720C6A">
        <w:t xml:space="preserve"> to make </w:t>
      </w:r>
      <w:r w:rsidR="00A415C2">
        <w:t>an adequate showing</w:t>
      </w:r>
      <w:r w:rsidRPr="00720C6A">
        <w:t xml:space="preserve"> for </w:t>
      </w:r>
      <w:r>
        <w:t xml:space="preserve">waiver in </w:t>
      </w:r>
      <w:r w:rsidRPr="00720C6A">
        <w:t xml:space="preserve">either </w:t>
      </w:r>
      <w:r>
        <w:t>P</w:t>
      </w:r>
      <w:r w:rsidR="00F67582">
        <w:t>etition</w:t>
      </w:r>
      <w:r w:rsidRPr="00720C6A">
        <w:t xml:space="preserve"> and </w:t>
      </w:r>
      <w:r w:rsidR="00634BBF">
        <w:t xml:space="preserve">also </w:t>
      </w:r>
      <w:r w:rsidRPr="00720C6A">
        <w:t>fails to provide sufficient cost and revenue data to support its claims.  We therefore deny without prejudice Securus’ requests for waiver of the Commission’s</w:t>
      </w:r>
      <w:r w:rsidR="00F67582">
        <w:t xml:space="preserve"> ICS</w:t>
      </w:r>
      <w:r w:rsidRPr="00720C6A">
        <w:t xml:space="preserve"> rate caps.  </w:t>
      </w:r>
    </w:p>
    <w:p w:rsidR="006615F6" w:rsidRPr="006615F6" w:rsidRDefault="006615F6" w:rsidP="005F5A28">
      <w:pPr>
        <w:pStyle w:val="Heading2"/>
        <w:widowControl/>
      </w:pPr>
      <w:r w:rsidRPr="006615F6">
        <w:t xml:space="preserve">Waiver Expansion Petition </w:t>
      </w:r>
    </w:p>
    <w:p w:rsidR="008E1A32" w:rsidRDefault="008E1A32" w:rsidP="005F5A28">
      <w:pPr>
        <w:pStyle w:val="ParaNum"/>
        <w:widowControl/>
      </w:pPr>
      <w:r>
        <w:t xml:space="preserve">We find that Securus’ </w:t>
      </w:r>
      <w:r w:rsidR="00AF7782" w:rsidRPr="00581C81">
        <w:t>Waiver Expansion Petition</w:t>
      </w:r>
      <w:r w:rsidR="00AF7782">
        <w:t xml:space="preserve"> </w:t>
      </w:r>
      <w:r>
        <w:t xml:space="preserve">fails to establish good cause </w:t>
      </w:r>
      <w:r w:rsidR="00844A45">
        <w:t>to waive</w:t>
      </w:r>
      <w:r>
        <w:t xml:space="preserve"> the Commission’s rate cap rule.  </w:t>
      </w:r>
      <w:r w:rsidR="00DF63D7">
        <w:t>Specifically, t</w:t>
      </w:r>
      <w:r>
        <w:t xml:space="preserve">he Petition fails to </w:t>
      </w:r>
      <w:r w:rsidRPr="00720C6A">
        <w:t xml:space="preserve">provide sufficient evidence to establish that </w:t>
      </w:r>
      <w:r w:rsidR="00DF63D7">
        <w:t>Securus’</w:t>
      </w:r>
      <w:r w:rsidR="00DF63D7" w:rsidRPr="00720C6A">
        <w:t xml:space="preserve"> </w:t>
      </w:r>
      <w:r w:rsidRPr="00720C6A">
        <w:t xml:space="preserve">costs of providing ICS </w:t>
      </w:r>
      <w:r w:rsidR="00E23612">
        <w:t xml:space="preserve">on a total company basis </w:t>
      </w:r>
      <w:r>
        <w:t xml:space="preserve">are </w:t>
      </w:r>
      <w:r w:rsidRPr="00720C6A">
        <w:t xml:space="preserve">higher than the Commission’s rate caps or that it operates under state rate mandates that </w:t>
      </w:r>
      <w:r w:rsidR="000E1C13">
        <w:t xml:space="preserve">do not allow the company to recover </w:t>
      </w:r>
      <w:r w:rsidRPr="00720C6A">
        <w:t xml:space="preserve">its </w:t>
      </w:r>
      <w:r w:rsidRPr="0032143E">
        <w:rPr>
          <w:szCs w:val="22"/>
        </w:rPr>
        <w:t>costs</w:t>
      </w:r>
      <w:r w:rsidRPr="00720C6A">
        <w:t xml:space="preserve">.  </w:t>
      </w:r>
      <w:r w:rsidR="00DF63D7">
        <w:t>Securus</w:t>
      </w:r>
      <w:r w:rsidR="00E23612">
        <w:t xml:space="preserve"> also fails to claim or demonstrate that </w:t>
      </w:r>
      <w:r w:rsidR="00DF63D7">
        <w:t xml:space="preserve">its </w:t>
      </w:r>
      <w:r w:rsidR="00E23612">
        <w:t>financial viability would be at risk absent a waiver or to demonstrate that not granting a waiver would undermine competition in the ICS market</w:t>
      </w:r>
      <w:r w:rsidR="00A155ED">
        <w:t>, and does not otherwise demonstrate good cause to grant the requested waiver</w:t>
      </w:r>
      <w:r w:rsidR="00E23612">
        <w:t xml:space="preserve">.  </w:t>
      </w:r>
    </w:p>
    <w:p w:rsidR="00C43D7E" w:rsidRPr="00720C6A" w:rsidRDefault="00C43D7E" w:rsidP="005F5A28">
      <w:pPr>
        <w:pStyle w:val="ParaNum"/>
        <w:widowControl/>
      </w:pPr>
      <w:r w:rsidRPr="00720C6A">
        <w:t xml:space="preserve">Securus characterizes its </w:t>
      </w:r>
      <w:r w:rsidRPr="002A1399">
        <w:t>Petition</w:t>
      </w:r>
      <w:r w:rsidRPr="00720C6A">
        <w:t xml:space="preserve"> as a request to </w:t>
      </w:r>
      <w:r>
        <w:t>“expand”</w:t>
      </w:r>
      <w:r w:rsidRPr="00720C6A">
        <w:t xml:space="preserve"> relief granted to Pay Tel to itself and other </w:t>
      </w:r>
      <w:r>
        <w:t xml:space="preserve">ICS </w:t>
      </w:r>
      <w:r w:rsidRPr="00720C6A">
        <w:t>providers.</w:t>
      </w:r>
      <w:r w:rsidR="00844A45">
        <w:rPr>
          <w:rStyle w:val="FootnoteReference"/>
        </w:rPr>
        <w:footnoteReference w:id="59"/>
      </w:r>
      <w:r w:rsidRPr="00720C6A">
        <w:t xml:space="preserve">  </w:t>
      </w:r>
      <w:r w:rsidR="00FD7C8B" w:rsidRPr="00FD7C8B">
        <w:t xml:space="preserve">Under the circumstances here, we find Securus’ request inconsistent with the Commission’s historical approach to waivers.  Although the Commission </w:t>
      </w:r>
      <w:r w:rsidR="00634BBF">
        <w:t xml:space="preserve">has </w:t>
      </w:r>
      <w:r w:rsidR="00FD7C8B" w:rsidRPr="00FD7C8B">
        <w:t>grant</w:t>
      </w:r>
      <w:r w:rsidR="00634BBF">
        <w:t>ed</w:t>
      </w:r>
      <w:r w:rsidR="00FD7C8B" w:rsidRPr="00FD7C8B">
        <w:t xml:space="preserve"> blanket waivers </w:t>
      </w:r>
      <w:r w:rsidR="00634BBF">
        <w:t>in certain circumstances</w:t>
      </w:r>
      <w:r w:rsidR="00FD7C8B" w:rsidRPr="00FD7C8B">
        <w:t>, it has recognized that such waivers may not be appropriate where there are material differences in the individual circumstances facing different companies.</w:t>
      </w:r>
      <w:r w:rsidR="00FD7C8B">
        <w:rPr>
          <w:rStyle w:val="FootnoteReference"/>
        </w:rPr>
        <w:footnoteReference w:id="60"/>
      </w:r>
      <w:r w:rsidR="00FD7C8B" w:rsidRPr="00FD7C8B">
        <w:t xml:space="preserve">  In this context, we find that a persuasive waiver request is likely to involve evidence specific to individual circumstances, and thus find a case-by-case approach generally warranted here.  </w:t>
      </w:r>
      <w:r w:rsidR="00DA0606">
        <w:t xml:space="preserve">To justify the grant of a waiver, </w:t>
      </w:r>
      <w:r w:rsidR="00063E18">
        <w:t>a</w:t>
      </w:r>
      <w:r w:rsidR="00DF63D7">
        <w:t>n ICS</w:t>
      </w:r>
      <w:r>
        <w:t xml:space="preserve"> provider </w:t>
      </w:r>
      <w:r w:rsidR="00DF63D7">
        <w:t>m</w:t>
      </w:r>
      <w:r w:rsidR="00063E18">
        <w:t>ust</w:t>
      </w:r>
      <w:r w:rsidR="00DF63D7">
        <w:t xml:space="preserve"> </w:t>
      </w:r>
      <w:r w:rsidR="00DA0606">
        <w:t>provid</w:t>
      </w:r>
      <w:r w:rsidR="00063E18">
        <w:t>e</w:t>
      </w:r>
      <w:r w:rsidR="003E0A1F">
        <w:t xml:space="preserve"> sufficient evidence to carry its burden of proof by, for example, submitting</w:t>
      </w:r>
      <w:r w:rsidR="00DA0606">
        <w:t xml:space="preserve"> </w:t>
      </w:r>
      <w:r>
        <w:t xml:space="preserve">company-specific </w:t>
      </w:r>
      <w:r w:rsidR="00DA0606">
        <w:t xml:space="preserve">financial and operational </w:t>
      </w:r>
      <w:r>
        <w:t>data sufficient to demonstrate the ne</w:t>
      </w:r>
      <w:r w:rsidR="00DA0606">
        <w:t xml:space="preserve">ed for </w:t>
      </w:r>
      <w:r>
        <w:t>a waiver</w:t>
      </w:r>
      <w:r w:rsidR="006D41F7" w:rsidRPr="006D41F7">
        <w:t xml:space="preserve"> </w:t>
      </w:r>
      <w:r w:rsidR="00063E18">
        <w:t xml:space="preserve">and </w:t>
      </w:r>
      <w:r w:rsidR="006D41F7">
        <w:t>not rely</w:t>
      </w:r>
      <w:r w:rsidR="003E0A1F">
        <w:t>ing</w:t>
      </w:r>
      <w:r w:rsidR="006D41F7">
        <w:t xml:space="preserve"> on another provider’s demonstration of costs</w:t>
      </w:r>
      <w:r>
        <w:t>.  A waiver for one provider</w:t>
      </w:r>
      <w:r w:rsidR="003E0A1F">
        <w:t xml:space="preserve"> based on such a showing</w:t>
      </w:r>
      <w:r>
        <w:t xml:space="preserve"> cannot simply be ex</w:t>
      </w:r>
      <w:r w:rsidR="00FE4442">
        <w:t>ten</w:t>
      </w:r>
      <w:r>
        <w:t>ded to another without an independent examination of th</w:t>
      </w:r>
      <w:r w:rsidR="005A7642">
        <w:t>e requesting</w:t>
      </w:r>
      <w:r>
        <w:t xml:space="preserve"> provider’s </w:t>
      </w:r>
      <w:r w:rsidR="00DF5B30">
        <w:t>financial data</w:t>
      </w:r>
      <w:r>
        <w:t xml:space="preserve">.  </w:t>
      </w:r>
      <w:r w:rsidR="00063E18">
        <w:t>Each waiver petition must stand on its own merits and be justified by its own data</w:t>
      </w:r>
      <w:r w:rsidR="003E0A1F">
        <w:t xml:space="preserve"> as needed</w:t>
      </w:r>
      <w:r w:rsidR="00063E18">
        <w:t xml:space="preserve">.  </w:t>
      </w:r>
      <w:r w:rsidR="00C958A4">
        <w:t xml:space="preserve">Moreover, the </w:t>
      </w:r>
      <w:r w:rsidR="00C958A4" w:rsidRPr="00B25E3F">
        <w:rPr>
          <w:i/>
        </w:rPr>
        <w:t>Order</w:t>
      </w:r>
      <w:r w:rsidR="00C958A4">
        <w:t xml:space="preserve"> expressly contemplated that a provider would </w:t>
      </w:r>
      <w:r w:rsidR="00137C74">
        <w:t xml:space="preserve">have to </w:t>
      </w:r>
      <w:r w:rsidR="00DF5B30">
        <w:t>make its own, individualized showing of good cause to justify a waiver.</w:t>
      </w:r>
      <w:r w:rsidR="00DF5B30">
        <w:rPr>
          <w:rStyle w:val="FootnoteReference"/>
        </w:rPr>
        <w:footnoteReference w:id="61"/>
      </w:r>
      <w:r w:rsidR="00DF5B30">
        <w:t xml:space="preserve">  </w:t>
      </w:r>
      <w:r>
        <w:t>T</w:t>
      </w:r>
      <w:r w:rsidRPr="00720C6A">
        <w:t xml:space="preserve">he relief granted Pay Tel in the </w:t>
      </w:r>
      <w:r w:rsidRPr="003874D7">
        <w:rPr>
          <w:i/>
        </w:rPr>
        <w:t>Pay Tel Waiver Order</w:t>
      </w:r>
      <w:r w:rsidRPr="00720C6A">
        <w:t xml:space="preserve"> was predicated on Pay Tel’s cost and revenue data.</w:t>
      </w:r>
      <w:r w:rsidR="005A7642">
        <w:rPr>
          <w:rStyle w:val="FootnoteReference"/>
        </w:rPr>
        <w:footnoteReference w:id="62"/>
      </w:r>
      <w:r w:rsidRPr="00720C6A">
        <w:t xml:space="preserve">  </w:t>
      </w:r>
      <w:r w:rsidR="00063E18">
        <w:t>Securus’ Petition must be judged on a similar basis</w:t>
      </w:r>
      <w:r w:rsidR="00F47581">
        <w:t xml:space="preserve"> and its submission fails to carry this burden of proof</w:t>
      </w:r>
    </w:p>
    <w:p w:rsidR="00C43D7E" w:rsidRPr="00720C6A" w:rsidRDefault="00C43D7E" w:rsidP="005F5A28">
      <w:pPr>
        <w:pStyle w:val="ParaNum"/>
        <w:widowControl/>
      </w:pPr>
      <w:r w:rsidRPr="00720C6A">
        <w:t>Securus</w:t>
      </w:r>
      <w:r>
        <w:t>’ Waiver Expansion Petition</w:t>
      </w:r>
      <w:r w:rsidRPr="00720C6A">
        <w:t xml:space="preserve"> also seeks relief from the Commission’s interstate ICS rate caps on behalf of “</w:t>
      </w:r>
      <w:r w:rsidRPr="000D05CE">
        <w:rPr>
          <w:b/>
        </w:rPr>
        <w:t>all</w:t>
      </w:r>
      <w:r w:rsidRPr="00720C6A">
        <w:t xml:space="preserve"> providers of Inmate </w:t>
      </w:r>
      <w:r w:rsidRPr="0032143E">
        <w:rPr>
          <w:szCs w:val="22"/>
        </w:rPr>
        <w:t>Calling</w:t>
      </w:r>
      <w:r w:rsidRPr="00720C6A">
        <w:t xml:space="preserve"> Services (‘ICS’) operating in the . . . states Pay Tel serves.”</w:t>
      </w:r>
      <w:r>
        <w:rPr>
          <w:rStyle w:val="FootnoteReference"/>
        </w:rPr>
        <w:footnoteReference w:id="63"/>
      </w:r>
      <w:r w:rsidRPr="00720C6A">
        <w:t xml:space="preserve">  Securus</w:t>
      </w:r>
      <w:r w:rsidR="005B1F08">
        <w:t>, however,</w:t>
      </w:r>
      <w:r w:rsidRPr="00720C6A">
        <w:t xml:space="preserve"> </w:t>
      </w:r>
      <w:r w:rsidR="00DD261C">
        <w:t>fail</w:t>
      </w:r>
      <w:r w:rsidR="008C42F5">
        <w:t>s</w:t>
      </w:r>
      <w:r w:rsidR="00DD261C">
        <w:t xml:space="preserve"> to </w:t>
      </w:r>
      <w:r>
        <w:t xml:space="preserve">submit company-specific </w:t>
      </w:r>
      <w:r w:rsidR="00A935C4">
        <w:t xml:space="preserve">financial </w:t>
      </w:r>
      <w:r>
        <w:t>data for other ICS provider</w:t>
      </w:r>
      <w:r w:rsidR="00DD261C">
        <w:t>s</w:t>
      </w:r>
      <w:r>
        <w:t xml:space="preserve"> </w:t>
      </w:r>
      <w:r w:rsidR="00DD261C">
        <w:t xml:space="preserve">to substantiate that the ICS rate caps are below their costs </w:t>
      </w:r>
      <w:r w:rsidR="00D17BB1">
        <w:t xml:space="preserve">or that the combination of interstate rates based on its average costs and below-cost state rates </w:t>
      </w:r>
      <w:r w:rsidR="00DD261C">
        <w:t>would prevent them from being financial</w:t>
      </w:r>
      <w:r w:rsidR="00063E18">
        <w:t>ly</w:t>
      </w:r>
      <w:r w:rsidR="00DD261C">
        <w:t xml:space="preserve"> viable or </w:t>
      </w:r>
      <w:r>
        <w:t xml:space="preserve">to </w:t>
      </w:r>
      <w:r w:rsidR="00DD261C">
        <w:t xml:space="preserve">otherwise </w:t>
      </w:r>
      <w:r>
        <w:t xml:space="preserve">justify a waiver on their behalf.  </w:t>
      </w:r>
      <w:r w:rsidR="008C42F5">
        <w:t>No</w:t>
      </w:r>
      <w:r w:rsidR="00F47581">
        <w:t>r did any</w:t>
      </w:r>
      <w:r w:rsidR="008C42F5">
        <w:t xml:space="preserve"> o</w:t>
      </w:r>
      <w:r w:rsidR="00DD261C">
        <w:t xml:space="preserve">ther ICS providers submit such data. </w:t>
      </w:r>
      <w:r w:rsidR="00F47581">
        <w:t xml:space="preserve"> As a result, there is no evidence in the record to justify granting a blanket, industry waiver of the interim rate caps.  </w:t>
      </w:r>
      <w:r w:rsidR="00DD261C">
        <w:t xml:space="preserve"> </w:t>
      </w:r>
    </w:p>
    <w:p w:rsidR="005005F3" w:rsidRDefault="00C44B6E" w:rsidP="005F5A28">
      <w:pPr>
        <w:pStyle w:val="ParaNum"/>
        <w:widowControl/>
      </w:pPr>
      <w:r>
        <w:rPr>
          <w:i/>
        </w:rPr>
        <w:t>Cost Showing</w:t>
      </w:r>
      <w:r w:rsidR="00F44D2B" w:rsidRPr="00214A1C">
        <w:rPr>
          <w:i/>
        </w:rPr>
        <w:t>.</w:t>
      </w:r>
      <w:r w:rsidR="00F44D2B" w:rsidRPr="00214A1C">
        <w:t xml:space="preserve">  The waiver provisions </w:t>
      </w:r>
      <w:r w:rsidR="00214A1C" w:rsidRPr="00214A1C">
        <w:t xml:space="preserve">of </w:t>
      </w:r>
      <w:r w:rsidR="00F44D2B" w:rsidRPr="00214A1C">
        <w:t xml:space="preserve">the </w:t>
      </w:r>
      <w:r w:rsidR="00F44D2B" w:rsidRPr="00214A1C">
        <w:rPr>
          <w:i/>
        </w:rPr>
        <w:t>Order</w:t>
      </w:r>
      <w:r w:rsidR="00F44D2B" w:rsidRPr="00214A1C">
        <w:t xml:space="preserve"> </w:t>
      </w:r>
      <w:r w:rsidR="00214A1C" w:rsidRPr="00214A1C">
        <w:t xml:space="preserve">identified </w:t>
      </w:r>
      <w:r w:rsidR="00F44D2B" w:rsidRPr="00214A1C">
        <w:t xml:space="preserve">several types of financial </w:t>
      </w:r>
      <w:r w:rsidR="00214A1C" w:rsidRPr="00214A1C">
        <w:t xml:space="preserve">and operational </w:t>
      </w:r>
      <w:r w:rsidR="00F44D2B" w:rsidRPr="00214A1C">
        <w:t xml:space="preserve">data the Commission </w:t>
      </w:r>
      <w:r w:rsidR="003E0A1F">
        <w:t>c</w:t>
      </w:r>
      <w:r w:rsidR="00214A1C" w:rsidRPr="00214A1C">
        <w:t xml:space="preserve">ould consider </w:t>
      </w:r>
      <w:r w:rsidR="00F44D2B" w:rsidRPr="00214A1C">
        <w:t>in evaluating a waiver request from an ICS provider.</w:t>
      </w:r>
      <w:r w:rsidR="00214A1C" w:rsidRPr="00214A1C">
        <w:rPr>
          <w:rStyle w:val="FootnoteReference"/>
        </w:rPr>
        <w:footnoteReference w:id="64"/>
      </w:r>
      <w:r w:rsidR="00F44D2B" w:rsidRPr="00214A1C">
        <w:t xml:space="preserve">  </w:t>
      </w:r>
      <w:r w:rsidR="000E1C13">
        <w:t>T</w:t>
      </w:r>
      <w:r w:rsidR="00DA0606" w:rsidRPr="00214A1C">
        <w:t xml:space="preserve">he principal source of data </w:t>
      </w:r>
      <w:r w:rsidR="008E1A32" w:rsidRPr="00214A1C">
        <w:t xml:space="preserve">Securus cites </w:t>
      </w:r>
      <w:r w:rsidR="006D41F7" w:rsidRPr="00214A1C">
        <w:t xml:space="preserve">in support of its Petition </w:t>
      </w:r>
      <w:r w:rsidR="00594956" w:rsidRPr="00214A1C">
        <w:t xml:space="preserve">– </w:t>
      </w:r>
      <w:r w:rsidR="00A935C4" w:rsidRPr="00214A1C">
        <w:t xml:space="preserve">a </w:t>
      </w:r>
      <w:r w:rsidR="008E1A32" w:rsidRPr="00214A1C">
        <w:t xml:space="preserve">report </w:t>
      </w:r>
      <w:r w:rsidR="00A935C4" w:rsidRPr="00214A1C">
        <w:t xml:space="preserve">by Stephen Siwek that </w:t>
      </w:r>
      <w:r w:rsidR="008E1A32" w:rsidRPr="00214A1C">
        <w:t xml:space="preserve">it submitted </w:t>
      </w:r>
      <w:r w:rsidR="00A935C4" w:rsidRPr="00214A1C">
        <w:t xml:space="preserve">with </w:t>
      </w:r>
      <w:r w:rsidR="008E1A32" w:rsidRPr="00214A1C">
        <w:t xml:space="preserve">its initial comments </w:t>
      </w:r>
      <w:r w:rsidR="00CC7B7D">
        <w:t xml:space="preserve">in response to the NPRM </w:t>
      </w:r>
      <w:r w:rsidR="008E1A32" w:rsidRPr="00214A1C">
        <w:t>in this proceeding</w:t>
      </w:r>
      <w:r w:rsidR="00DF5B30" w:rsidRPr="00214A1C">
        <w:rPr>
          <w:rStyle w:val="FootnoteReference"/>
        </w:rPr>
        <w:footnoteReference w:id="65"/>
      </w:r>
      <w:r w:rsidR="00594956" w:rsidRPr="00214A1C">
        <w:t xml:space="preserve"> – </w:t>
      </w:r>
      <w:r w:rsidR="00214A1C" w:rsidRPr="00214A1C">
        <w:t xml:space="preserve">fails to provide most of these data and </w:t>
      </w:r>
      <w:r w:rsidR="00594956" w:rsidRPr="00214A1C">
        <w:t xml:space="preserve">is </w:t>
      </w:r>
      <w:r w:rsidR="00214A1C" w:rsidRPr="00214A1C">
        <w:t xml:space="preserve">generally </w:t>
      </w:r>
      <w:r w:rsidR="00594956" w:rsidRPr="00214A1C">
        <w:t>insufficient to suppor</w:t>
      </w:r>
      <w:r w:rsidR="003C34EC" w:rsidRPr="00214A1C">
        <w:t>t its Waiver Expansion Petition</w:t>
      </w:r>
      <w:r w:rsidR="006D41F7" w:rsidRPr="00214A1C">
        <w:t>.</w:t>
      </w:r>
      <w:r w:rsidR="00DF5B30">
        <w:rPr>
          <w:rStyle w:val="FootnoteReference"/>
        </w:rPr>
        <w:footnoteReference w:id="66"/>
      </w:r>
      <w:r w:rsidR="006D41F7">
        <w:t xml:space="preserve"> </w:t>
      </w:r>
      <w:r w:rsidR="008E1A32" w:rsidRPr="00720C6A">
        <w:t xml:space="preserve"> </w:t>
      </w:r>
      <w:r w:rsidR="00721AFA">
        <w:t xml:space="preserve">Securus claims </w:t>
      </w:r>
      <w:r w:rsidR="006D41F7">
        <w:t xml:space="preserve">that data from that report </w:t>
      </w:r>
      <w:r w:rsidR="00721AFA">
        <w:t>demonstrate</w:t>
      </w:r>
      <w:r w:rsidR="008E1A32">
        <w:t xml:space="preserve"> </w:t>
      </w:r>
      <w:r w:rsidR="008E1A32" w:rsidRPr="00720C6A">
        <w:t>that the rates proposed by Wright Petitioners</w:t>
      </w:r>
      <w:r w:rsidR="005005F3">
        <w:t>, which we assume also includes</w:t>
      </w:r>
      <w:r w:rsidR="008E1A32" w:rsidRPr="00720C6A">
        <w:t xml:space="preserve"> </w:t>
      </w:r>
      <w:r w:rsidR="008E1A32">
        <w:t xml:space="preserve">the Commission’s rate caps – </w:t>
      </w:r>
      <w:r w:rsidR="008E1A32" w:rsidRPr="0032143E">
        <w:rPr>
          <w:szCs w:val="22"/>
        </w:rPr>
        <w:t>are</w:t>
      </w:r>
      <w:r w:rsidR="008E1A32" w:rsidRPr="00720C6A">
        <w:t xml:space="preserve"> too low.</w:t>
      </w:r>
      <w:r w:rsidR="00E71659">
        <w:rPr>
          <w:rStyle w:val="FootnoteReference"/>
        </w:rPr>
        <w:footnoteReference w:id="67"/>
      </w:r>
      <w:r w:rsidR="008E1A32" w:rsidRPr="00720C6A">
        <w:t xml:space="preserve">  </w:t>
      </w:r>
      <w:r w:rsidR="007A0126">
        <w:t xml:space="preserve">To support this claim, Securus cites selected data from the report that </w:t>
      </w:r>
      <w:r w:rsidR="000E1C13">
        <w:t>states</w:t>
      </w:r>
      <w:r w:rsidR="007A0126">
        <w:t xml:space="preserve"> costs for some of the facilities included in the report</w:t>
      </w:r>
      <w:r w:rsidR="007A0126" w:rsidRPr="009571AD">
        <w:t xml:space="preserve"> </w:t>
      </w:r>
      <w:r w:rsidR="007A0126">
        <w:t>to be higher than the interim rate caps.</w:t>
      </w:r>
      <w:r w:rsidR="008C42F5">
        <w:rPr>
          <w:rStyle w:val="FootnoteReference"/>
        </w:rPr>
        <w:footnoteReference w:id="68"/>
      </w:r>
      <w:r w:rsidR="007A0126">
        <w:t xml:space="preserve">  </w:t>
      </w:r>
      <w:r w:rsidR="005005F3">
        <w:t xml:space="preserve">But, what Securus fails to highlight is that its </w:t>
      </w:r>
      <w:r w:rsidR="007A0126">
        <w:t>average total cost per minute of all the facilities included in the report is significantly lower than the interim ICS rate caps from which Securus seeks relief – $0.04 per minute without commission revenues.</w:t>
      </w:r>
      <w:r w:rsidR="007A0126">
        <w:rPr>
          <w:rStyle w:val="FootnoteReference"/>
        </w:rPr>
        <w:footnoteReference w:id="69"/>
      </w:r>
      <w:r w:rsidR="007A0126">
        <w:t xml:space="preserve">  </w:t>
      </w:r>
      <w:r w:rsidR="00CC7B7D">
        <w:t xml:space="preserve">Put another way, while the cost of serving some of its locations may be higher than the ICS rate caps, its average cost per minute is </w:t>
      </w:r>
      <w:r w:rsidR="00EB02A4">
        <w:t xml:space="preserve">approximately </w:t>
      </w:r>
      <w:r w:rsidR="008503D7">
        <w:t>81</w:t>
      </w:r>
      <w:r w:rsidR="00524100">
        <w:t xml:space="preserve"> percent</w:t>
      </w:r>
      <w:r w:rsidR="00CC7B7D">
        <w:t xml:space="preserve"> lower that the Commission’s debit and prepaid rate cap and </w:t>
      </w:r>
      <w:r w:rsidR="008503D7">
        <w:t>84</w:t>
      </w:r>
      <w:r w:rsidR="00524100">
        <w:t xml:space="preserve"> percent</w:t>
      </w:r>
      <w:r w:rsidR="00CC7B7D">
        <w:t xml:space="preserve"> lower than its collect rate cap.  </w:t>
      </w:r>
      <w:r w:rsidR="005005F3">
        <w:t xml:space="preserve">Even with site commissions, the average cost </w:t>
      </w:r>
      <w:r w:rsidR="00CC7B7D">
        <w:t>of $0.124 per minute is still significantly below the Commission’s rate caps</w:t>
      </w:r>
      <w:r w:rsidR="005005F3">
        <w:t>.</w:t>
      </w:r>
      <w:r w:rsidR="00CC7B7D">
        <w:rPr>
          <w:rStyle w:val="FootnoteReference"/>
        </w:rPr>
        <w:footnoteReference w:id="70"/>
      </w:r>
      <w:r w:rsidR="005005F3">
        <w:t xml:space="preserve">  </w:t>
      </w:r>
    </w:p>
    <w:p w:rsidR="004544DE" w:rsidRDefault="007A0126" w:rsidP="005F5A28">
      <w:pPr>
        <w:pStyle w:val="ParaNum"/>
        <w:widowControl/>
      </w:pPr>
      <w:r>
        <w:t xml:space="preserve">Given that the </w:t>
      </w:r>
      <w:r w:rsidR="00403B90">
        <w:t xml:space="preserve">Commission will </w:t>
      </w:r>
      <w:r>
        <w:t>review waiver requests at the holding company level</w:t>
      </w:r>
      <w:r w:rsidR="00403B90">
        <w:t>,</w:t>
      </w:r>
      <w:r w:rsidR="00403B90">
        <w:rPr>
          <w:rStyle w:val="FootnoteReference"/>
        </w:rPr>
        <w:footnoteReference w:id="71"/>
      </w:r>
      <w:r>
        <w:t xml:space="preserve"> we find Securus’ reliance on </w:t>
      </w:r>
      <w:r w:rsidR="005005F3">
        <w:t xml:space="preserve">select </w:t>
      </w:r>
      <w:r>
        <w:t xml:space="preserve">data for a small number of facilities from the study to be insufficient to support its waiver request.  </w:t>
      </w:r>
      <w:r w:rsidR="00E02DEF">
        <w:t>Wright Petitioners assert that “the Siwek study, which did not address intrastate price caps, and failed to provide detailed cost information, simply cannot serve as the sole basis for granting the broad relief requested in the Petition.”</w:t>
      </w:r>
      <w:r w:rsidR="00E02DEF">
        <w:rPr>
          <w:rStyle w:val="FootnoteReference"/>
        </w:rPr>
        <w:footnoteReference w:id="72"/>
      </w:r>
      <w:r w:rsidR="00E02DEF">
        <w:t xml:space="preserve">  </w:t>
      </w:r>
      <w:r w:rsidR="006D41F7">
        <w:t xml:space="preserve">We </w:t>
      </w:r>
      <w:r w:rsidR="00A935C4">
        <w:t xml:space="preserve">agree and </w:t>
      </w:r>
      <w:r w:rsidR="006D41F7">
        <w:t>therefore conclude that t</w:t>
      </w:r>
      <w:r w:rsidR="00A935C4">
        <w:t>he</w:t>
      </w:r>
      <w:r w:rsidR="00E71659">
        <w:t xml:space="preserve"> </w:t>
      </w:r>
      <w:r w:rsidR="00240A82">
        <w:t xml:space="preserve">evidence </w:t>
      </w:r>
      <w:r w:rsidR="005F5E2F">
        <w:t xml:space="preserve">included in the Siwek Report </w:t>
      </w:r>
      <w:r w:rsidR="00E71659">
        <w:t xml:space="preserve">fails to provide an adequate basis from which </w:t>
      </w:r>
      <w:r w:rsidR="008E1A32">
        <w:t xml:space="preserve">to derive Securus’ total company costs or </w:t>
      </w:r>
      <w:r w:rsidR="00D17BB1">
        <w:t xml:space="preserve">to identify </w:t>
      </w:r>
      <w:r w:rsidR="00E71659">
        <w:t>potential revenue shortfalls</w:t>
      </w:r>
      <w:r w:rsidR="00D17BB1">
        <w:t xml:space="preserve"> </w:t>
      </w:r>
      <w:r w:rsidR="00005369">
        <w:t xml:space="preserve">that might occur due to </w:t>
      </w:r>
      <w:r w:rsidR="00D17BB1">
        <w:t>below-cost state rates</w:t>
      </w:r>
      <w:r w:rsidR="001B3517">
        <w:t>,</w:t>
      </w:r>
      <w:r w:rsidR="005A7642">
        <w:t xml:space="preserve"> necessary information for analyzing </w:t>
      </w:r>
      <w:r w:rsidR="0008322B">
        <w:t xml:space="preserve">Securus’ </w:t>
      </w:r>
      <w:r w:rsidR="005A7642">
        <w:t>waiver request</w:t>
      </w:r>
      <w:r w:rsidR="008E1A32">
        <w:t xml:space="preserve">.  </w:t>
      </w:r>
    </w:p>
    <w:p w:rsidR="00E039F3" w:rsidRDefault="008C42F5" w:rsidP="005F5A28">
      <w:pPr>
        <w:pStyle w:val="ParaNum"/>
        <w:widowControl/>
      </w:pPr>
      <w:r>
        <w:t xml:space="preserve">In support of its Petition, </w:t>
      </w:r>
      <w:r w:rsidR="00E039F3">
        <w:t xml:space="preserve">Securus does not </w:t>
      </w:r>
      <w:r w:rsidR="002E73E3">
        <w:t>discuss</w:t>
      </w:r>
      <w:r w:rsidR="00E039F3">
        <w:t xml:space="preserve"> </w:t>
      </w:r>
      <w:r w:rsidR="008D0D09">
        <w:t xml:space="preserve">the 2008 ICS Provider Data Submission, </w:t>
      </w:r>
      <w:r w:rsidR="00E039F3">
        <w:t xml:space="preserve">a study Securus and other ICS providers </w:t>
      </w:r>
      <w:r w:rsidR="000B2097">
        <w:t xml:space="preserve">previously </w:t>
      </w:r>
      <w:r w:rsidR="00E039F3">
        <w:t xml:space="preserve">submitted in this proceeding that </w:t>
      </w:r>
      <w:r w:rsidR="000B2097">
        <w:t>quantified the average cost of providing interstate debit and collect ICS</w:t>
      </w:r>
      <w:r w:rsidR="00E039F3">
        <w:t>.</w:t>
      </w:r>
      <w:r w:rsidR="008D0D09">
        <w:rPr>
          <w:rStyle w:val="FootnoteReference"/>
        </w:rPr>
        <w:footnoteReference w:id="73"/>
      </w:r>
      <w:r w:rsidR="00E039F3">
        <w:t xml:space="preserve">  That study found that</w:t>
      </w:r>
      <w:r w:rsidR="004F7BDD">
        <w:t>, based on a 15-</w:t>
      </w:r>
      <w:r w:rsidR="000B2097">
        <w:t>minute call, the average cost of a prepaid ICS call was $0.164 per minute and the average cost of a collect ICS call was $0.236 per minute.</w:t>
      </w:r>
      <w:r w:rsidR="004F7BDD">
        <w:rPr>
          <w:rStyle w:val="FootnoteReference"/>
        </w:rPr>
        <w:footnoteReference w:id="74"/>
      </w:r>
      <w:r w:rsidR="000B2097">
        <w:t xml:space="preserve">  </w:t>
      </w:r>
      <w:r w:rsidR="007D2A2E">
        <w:t>The Commission relied on this study to establish one of the rate caps that Securus challenges here.</w:t>
      </w:r>
      <w:r w:rsidR="007D2A2E">
        <w:rPr>
          <w:rStyle w:val="FootnoteReference"/>
        </w:rPr>
        <w:footnoteReference w:id="75"/>
      </w:r>
      <w:r w:rsidR="007D2A2E">
        <w:t xml:space="preserve">  </w:t>
      </w:r>
      <w:r w:rsidR="000B2097">
        <w:t xml:space="preserve">Both </w:t>
      </w:r>
      <w:r>
        <w:t xml:space="preserve">of </w:t>
      </w:r>
      <w:r w:rsidR="000B2097">
        <w:t>these average costs</w:t>
      </w:r>
      <w:r>
        <w:t xml:space="preserve"> from the 2008 ICS Provider Data Submission</w:t>
      </w:r>
      <w:r w:rsidR="000B2097">
        <w:t xml:space="preserve"> are below the Commission’s </w:t>
      </w:r>
      <w:r>
        <w:t xml:space="preserve">interim </w:t>
      </w:r>
      <w:r w:rsidR="000B2097">
        <w:t xml:space="preserve">rate caps, </w:t>
      </w:r>
      <w:r w:rsidR="008D0D09">
        <w:t xml:space="preserve">and </w:t>
      </w:r>
      <w:r>
        <w:t xml:space="preserve">are </w:t>
      </w:r>
      <w:r w:rsidR="008D0D09">
        <w:t xml:space="preserve">considerably </w:t>
      </w:r>
      <w:r w:rsidR="00240A82">
        <w:t xml:space="preserve">lower than </w:t>
      </w:r>
      <w:r w:rsidR="000B2097">
        <w:t xml:space="preserve">the higher rates sought by Securus here.  </w:t>
      </w:r>
      <w:r w:rsidR="006A2A67">
        <w:t xml:space="preserve">Securus makes no attempt to reconcile the </w:t>
      </w:r>
      <w:r w:rsidR="005663E9">
        <w:t>information in</w:t>
      </w:r>
      <w:r w:rsidR="006A2A67">
        <w:t xml:space="preserve"> the 2008 ICS Provider </w:t>
      </w:r>
      <w:r w:rsidR="00005369">
        <w:t>D</w:t>
      </w:r>
      <w:r w:rsidR="006A2A67">
        <w:t xml:space="preserve">ata </w:t>
      </w:r>
      <w:r w:rsidR="00005369">
        <w:t>S</w:t>
      </w:r>
      <w:r w:rsidR="006A2A67">
        <w:t>ubmission</w:t>
      </w:r>
      <w:r w:rsidR="00240A82">
        <w:t>, which included Securus’ own cost data,</w:t>
      </w:r>
      <w:r w:rsidR="006A2A67">
        <w:t xml:space="preserve"> with its </w:t>
      </w:r>
      <w:r w:rsidR="00D86D1B">
        <w:t xml:space="preserve">request for the </w:t>
      </w:r>
      <w:r w:rsidR="0084571E">
        <w:t xml:space="preserve">considerably </w:t>
      </w:r>
      <w:r w:rsidR="00D86D1B">
        <w:t xml:space="preserve">higher rates it seeks in its Waiver Expansion </w:t>
      </w:r>
      <w:r w:rsidR="006A2A67">
        <w:t>Petition.</w:t>
      </w:r>
      <w:r w:rsidR="00EA2F79">
        <w:rPr>
          <w:rStyle w:val="FootnoteReference"/>
        </w:rPr>
        <w:footnoteReference w:id="76"/>
      </w:r>
      <w:r w:rsidR="006A2A67">
        <w:t xml:space="preserve">  </w:t>
      </w:r>
    </w:p>
    <w:p w:rsidR="008E1A32" w:rsidRDefault="00C44B6E" w:rsidP="005F5A28">
      <w:pPr>
        <w:pStyle w:val="ParaNum"/>
        <w:widowControl/>
      </w:pPr>
      <w:r>
        <w:rPr>
          <w:i/>
        </w:rPr>
        <w:t>Impact of Below-Cost Intrastate Rates</w:t>
      </w:r>
      <w:r w:rsidR="00F44D2B" w:rsidRPr="00F44D2B">
        <w:rPr>
          <w:i/>
        </w:rPr>
        <w:t>.</w:t>
      </w:r>
      <w:r w:rsidR="00F44D2B">
        <w:t xml:space="preserve">  </w:t>
      </w:r>
      <w:r w:rsidR="00E71659">
        <w:t>We also find that</w:t>
      </w:r>
      <w:r w:rsidR="008E1A32">
        <w:t xml:space="preserve"> Securus </w:t>
      </w:r>
      <w:r w:rsidR="00E71659">
        <w:t>fails to provide</w:t>
      </w:r>
      <w:r w:rsidR="008E1A32">
        <w:t xml:space="preserve"> </w:t>
      </w:r>
      <w:r w:rsidR="00E71659">
        <w:t xml:space="preserve">any </w:t>
      </w:r>
      <w:r w:rsidR="008E1A32">
        <w:t>analysis of the impact of specific state rate</w:t>
      </w:r>
      <w:r w:rsidR="00562C8D">
        <w:t>s</w:t>
      </w:r>
      <w:r w:rsidR="008E1A32">
        <w:t xml:space="preserve"> on its ability to recover its costs.</w:t>
      </w:r>
      <w:r w:rsidR="00D105B3">
        <w:rPr>
          <w:rStyle w:val="FootnoteReference"/>
        </w:rPr>
        <w:footnoteReference w:id="77"/>
      </w:r>
      <w:r w:rsidR="008E1A32">
        <w:t xml:space="preserve">  </w:t>
      </w:r>
      <w:r w:rsidR="00E71659">
        <w:t>I</w:t>
      </w:r>
      <w:r w:rsidR="008E1A32">
        <w:t xml:space="preserve">n </w:t>
      </w:r>
      <w:r w:rsidR="007E2D2F">
        <w:t xml:space="preserve">requesting </w:t>
      </w:r>
      <w:r w:rsidR="008E1A32">
        <w:t xml:space="preserve">the same relief granted to Pay Tel, </w:t>
      </w:r>
      <w:r w:rsidR="00E71659">
        <w:t xml:space="preserve">Securus </w:t>
      </w:r>
      <w:r w:rsidR="008E1A32">
        <w:t>attempts to rely on Pay Tel’s intrastate shortfall analysis</w:t>
      </w:r>
      <w:r w:rsidR="008C42F5">
        <w:t>,</w:t>
      </w:r>
      <w:r w:rsidR="008E1A32">
        <w:t xml:space="preserve"> which compared </w:t>
      </w:r>
      <w:r w:rsidR="008E1A32" w:rsidRPr="005F5A28">
        <w:rPr>
          <w:i/>
        </w:rPr>
        <w:t>Pay Tel’s</w:t>
      </w:r>
      <w:r w:rsidR="008E1A32">
        <w:t xml:space="preserve"> average per minute cost to </w:t>
      </w:r>
      <w:r w:rsidR="00A935C4">
        <w:t xml:space="preserve">below-cost </w:t>
      </w:r>
      <w:r w:rsidR="008E1A32">
        <w:t>state rate</w:t>
      </w:r>
      <w:r w:rsidR="00562C8D">
        <w:t>s</w:t>
      </w:r>
      <w:r w:rsidR="008E1A32">
        <w:t xml:space="preserve"> to quantify </w:t>
      </w:r>
      <w:r w:rsidR="00A935C4">
        <w:t>its</w:t>
      </w:r>
      <w:r w:rsidR="008E1A32">
        <w:t xml:space="preserve"> revenue shortfall.  But Pay Tel’s costs and revenues are not Securus’.  </w:t>
      </w:r>
      <w:r w:rsidR="00E71659">
        <w:t>A</w:t>
      </w:r>
      <w:r w:rsidR="008E1A32">
        <w:t xml:space="preserve"> below-cost state rate for Pay Tel </w:t>
      </w:r>
      <w:r w:rsidR="00A935C4">
        <w:t xml:space="preserve">is </w:t>
      </w:r>
      <w:r w:rsidR="008E1A32">
        <w:t xml:space="preserve">not necessarily below-cost for Securus.  </w:t>
      </w:r>
      <w:r w:rsidR="00A935C4">
        <w:t>In fact, g</w:t>
      </w:r>
      <w:r w:rsidR="008E1A32">
        <w:t>iven Securus</w:t>
      </w:r>
      <w:r w:rsidR="008D57DA">
        <w:t>’</w:t>
      </w:r>
      <w:r w:rsidR="008E1A32">
        <w:t xml:space="preserve"> considerably larger size and consequently greater scale efficiencies,</w:t>
      </w:r>
      <w:r w:rsidR="005A7642">
        <w:rPr>
          <w:rStyle w:val="FootnoteReference"/>
        </w:rPr>
        <w:footnoteReference w:id="78"/>
      </w:r>
      <w:r w:rsidR="008E1A32">
        <w:t xml:space="preserve"> its average per</w:t>
      </w:r>
      <w:r w:rsidR="008C42F5">
        <w:t>-</w:t>
      </w:r>
      <w:r w:rsidR="008E1A32">
        <w:t xml:space="preserve">minute cost of providing ICS would </w:t>
      </w:r>
      <w:r w:rsidR="00E71659">
        <w:t xml:space="preserve">likely be lower than </w:t>
      </w:r>
      <w:r w:rsidR="008E1A32">
        <w:t>Pay Tel’s.</w:t>
      </w:r>
      <w:r w:rsidR="00D105B3">
        <w:rPr>
          <w:rStyle w:val="FootnoteReference"/>
        </w:rPr>
        <w:footnoteReference w:id="79"/>
      </w:r>
      <w:r w:rsidR="008E1A32">
        <w:t xml:space="preserve">  </w:t>
      </w:r>
      <w:r w:rsidR="005005F3">
        <w:t xml:space="preserve">Given that </w:t>
      </w:r>
      <w:r w:rsidR="00E71659">
        <w:t xml:space="preserve">Securus </w:t>
      </w:r>
      <w:r w:rsidR="005005F3">
        <w:t xml:space="preserve">has failed to submit any </w:t>
      </w:r>
      <w:r w:rsidR="00E71659">
        <w:t xml:space="preserve">analysis of its costs and the revenue impacts of state rate mandates, </w:t>
      </w:r>
      <w:r w:rsidR="005005F3">
        <w:t xml:space="preserve">it has not met its burden of proof.  Indeed, </w:t>
      </w:r>
      <w:r w:rsidR="006406CD">
        <w:t xml:space="preserve">because Securus has failed to submit sufficient data, </w:t>
      </w:r>
      <w:r w:rsidR="00E71659">
        <w:t>we have no way of knowing whether Securus experiences any shortfall at all.</w:t>
      </w:r>
      <w:r w:rsidR="001D2A32">
        <w:rPr>
          <w:rStyle w:val="FootnoteReference"/>
        </w:rPr>
        <w:footnoteReference w:id="80"/>
      </w:r>
      <w:r w:rsidR="00E71659">
        <w:t xml:space="preserve"> </w:t>
      </w:r>
      <w:r w:rsidR="001D2A32">
        <w:t xml:space="preserve"> </w:t>
      </w:r>
      <w:r w:rsidR="00E71659">
        <w:t xml:space="preserve"> </w:t>
      </w:r>
      <w:r w:rsidR="00EB5823">
        <w:t xml:space="preserve">  </w:t>
      </w:r>
    </w:p>
    <w:p w:rsidR="008E1A32" w:rsidRDefault="008E1A32" w:rsidP="005F5A28">
      <w:pPr>
        <w:pStyle w:val="ParaNum"/>
        <w:widowControl/>
      </w:pPr>
      <w:r>
        <w:t xml:space="preserve">Securus </w:t>
      </w:r>
      <w:r w:rsidR="00240A82">
        <w:t xml:space="preserve">does not allege </w:t>
      </w:r>
      <w:r w:rsidR="006B0259">
        <w:t xml:space="preserve">, let alone demonstrate, </w:t>
      </w:r>
      <w:r>
        <w:t>that whatever revenue shortfall</w:t>
      </w:r>
      <w:r w:rsidR="008D57DA">
        <w:t xml:space="preserve"> it may experience </w:t>
      </w:r>
      <w:r>
        <w:t>threatens its financial viability.</w:t>
      </w:r>
      <w:r w:rsidR="00C111D1">
        <w:rPr>
          <w:rStyle w:val="FootnoteReference"/>
        </w:rPr>
        <w:footnoteReference w:id="81"/>
      </w:r>
      <w:r>
        <w:t xml:space="preserve">  Pay Tel quantified the </w:t>
      </w:r>
      <w:r w:rsidR="00C57A4F">
        <w:t xml:space="preserve">revenue </w:t>
      </w:r>
      <w:r>
        <w:t xml:space="preserve">shortfall it faced due to </w:t>
      </w:r>
      <w:r w:rsidR="006B0259">
        <w:t xml:space="preserve">below-cost </w:t>
      </w:r>
      <w:r>
        <w:t xml:space="preserve">state </w:t>
      </w:r>
      <w:r w:rsidR="00240A82">
        <w:t xml:space="preserve">rates </w:t>
      </w:r>
      <w:r>
        <w:t>and provided audited corporate financial statements to confirm that the shortfall would make it financially unsustainable.</w:t>
      </w:r>
      <w:r w:rsidR="00803C34">
        <w:rPr>
          <w:rStyle w:val="FootnoteReference"/>
        </w:rPr>
        <w:footnoteReference w:id="82"/>
      </w:r>
      <w:r>
        <w:t xml:space="preserve">  Securus has neither made such a claim nor provided </w:t>
      </w:r>
      <w:r w:rsidR="006B0259">
        <w:t xml:space="preserve">the requisite financial data </w:t>
      </w:r>
      <w:r>
        <w:t xml:space="preserve">to substantiate such a claim.  Instead, it </w:t>
      </w:r>
      <w:r w:rsidR="00803C34">
        <w:t xml:space="preserve">merely </w:t>
      </w:r>
      <w:r>
        <w:t>asserts that “[a]ll ICS carriers are losing a good deal of revenue by cutting their rates d</w:t>
      </w:r>
      <w:r w:rsidR="006B0259">
        <w:t xml:space="preserve">own to the Interim Rate Caps. . </w:t>
      </w:r>
      <w:r>
        <w:t xml:space="preserve">. </w:t>
      </w:r>
      <w:r w:rsidR="00C77E2F">
        <w:t>.  They all will suffer a huge ‘</w:t>
      </w:r>
      <w:r>
        <w:t>shortfall</w:t>
      </w:r>
      <w:r w:rsidR="008C42F5">
        <w:t>.’</w:t>
      </w:r>
      <w:r>
        <w:t>”</w:t>
      </w:r>
      <w:r>
        <w:rPr>
          <w:rStyle w:val="FootnoteReference"/>
        </w:rPr>
        <w:footnoteReference w:id="83"/>
      </w:r>
      <w:r>
        <w:t xml:space="preserve">  </w:t>
      </w:r>
      <w:r w:rsidR="002A0D76">
        <w:t>In fact, r</w:t>
      </w:r>
      <w:r>
        <w:t xml:space="preserve">educing </w:t>
      </w:r>
      <w:r w:rsidR="002A0D76">
        <w:t>unreasonably high</w:t>
      </w:r>
      <w:r w:rsidR="006B0259">
        <w:t xml:space="preserve"> </w:t>
      </w:r>
      <w:r w:rsidR="002A0D76">
        <w:t xml:space="preserve">interstate </w:t>
      </w:r>
      <w:r>
        <w:t xml:space="preserve">ICS rates was the central </w:t>
      </w:r>
      <w:r w:rsidR="00A935C4">
        <w:t xml:space="preserve">goal </w:t>
      </w:r>
      <w:r w:rsidR="006B0259">
        <w:t xml:space="preserve">of </w:t>
      </w:r>
      <w:r>
        <w:t xml:space="preserve">the </w:t>
      </w:r>
      <w:r w:rsidRPr="00C57A4F">
        <w:rPr>
          <w:i/>
        </w:rPr>
        <w:t>Order</w:t>
      </w:r>
      <w:r>
        <w:t xml:space="preserve"> and the </w:t>
      </w:r>
      <w:r w:rsidR="008C42F5">
        <w:t xml:space="preserve">interim </w:t>
      </w:r>
      <w:r>
        <w:t>rate caps it established.</w:t>
      </w:r>
      <w:r w:rsidR="00803C34">
        <w:rPr>
          <w:rStyle w:val="FootnoteReference"/>
        </w:rPr>
        <w:footnoteReference w:id="84"/>
      </w:r>
      <w:r>
        <w:t xml:space="preserve">  Pay Tel did not base its request for a waiver on the fact that its revenues would be lowered by the Commission’s ICS rate caps; it claimed that state rate mandates combined with the Commission’s rate caps would make it unprofitable</w:t>
      </w:r>
      <w:r w:rsidR="0076006E">
        <w:t>, at the holding company level</w:t>
      </w:r>
      <w:r>
        <w:t>.</w:t>
      </w:r>
      <w:bookmarkStart w:id="4" w:name="_Ref389637443"/>
      <w:r w:rsidR="00DB00F5">
        <w:rPr>
          <w:rStyle w:val="FootnoteReference"/>
        </w:rPr>
        <w:footnoteReference w:id="85"/>
      </w:r>
      <w:bookmarkEnd w:id="4"/>
      <w:r>
        <w:t xml:space="preserve">  Securus has failed to make such a </w:t>
      </w:r>
      <w:r w:rsidR="00C57A4F">
        <w:t xml:space="preserve">claim or such a </w:t>
      </w:r>
      <w:r>
        <w:t xml:space="preserve">showing.  </w:t>
      </w:r>
    </w:p>
    <w:p w:rsidR="008E1A32" w:rsidRDefault="00134173" w:rsidP="005F5A28">
      <w:pPr>
        <w:pStyle w:val="ParaNum"/>
        <w:widowControl/>
      </w:pPr>
      <w:r>
        <w:t xml:space="preserve">We find that granting Securus’ Waiver Expansion Petition would not be in the public interest.  </w:t>
      </w:r>
      <w:r w:rsidR="008C42F5">
        <w:t xml:space="preserve">We are not convinced that failure to grant the </w:t>
      </w:r>
      <w:r w:rsidR="00035B49">
        <w:t>requested</w:t>
      </w:r>
      <w:r w:rsidR="008C42F5">
        <w:t xml:space="preserve"> relief to other providers will have the impact on competition that Securus claims</w:t>
      </w:r>
      <w:r w:rsidR="00C57A4F">
        <w:t>.</w:t>
      </w:r>
      <w:r w:rsidR="00546DC6">
        <w:rPr>
          <w:rStyle w:val="FootnoteReference"/>
        </w:rPr>
        <w:footnoteReference w:id="86"/>
      </w:r>
      <w:r w:rsidR="00C57A4F">
        <w:t xml:space="preserve">  </w:t>
      </w:r>
      <w:r w:rsidR="001F0D7F">
        <w:t>Pay Tel was granted a</w:t>
      </w:r>
      <w:r w:rsidR="00746294">
        <w:t xml:space="preserve"> temporary</w:t>
      </w:r>
      <w:r w:rsidR="001F0D7F">
        <w:t xml:space="preserve"> waiver </w:t>
      </w:r>
      <w:r w:rsidR="002E73E3">
        <w:t xml:space="preserve">in part </w:t>
      </w:r>
      <w:r w:rsidR="001F0D7F">
        <w:t xml:space="preserve">because it </w:t>
      </w:r>
      <w:r w:rsidR="001E7E5A">
        <w:t xml:space="preserve">claimed and </w:t>
      </w:r>
      <w:r w:rsidR="001F0D7F">
        <w:t xml:space="preserve">demonstrated that </w:t>
      </w:r>
      <w:r w:rsidR="001E7E5A">
        <w:t>a failure to grant a waiver “threatens to put Pay Tel out of business and to, therefore, reduce both competition among ICS providers and the widespread deployment of ICS”</w:t>
      </w:r>
      <w:r w:rsidR="002E73E3">
        <w:t xml:space="preserve"> – the dual goals of section 276.</w:t>
      </w:r>
      <w:r w:rsidR="00BF2FF1">
        <w:rPr>
          <w:rStyle w:val="FootnoteReference"/>
        </w:rPr>
        <w:footnoteReference w:id="87"/>
      </w:r>
      <w:r w:rsidR="001E7E5A">
        <w:t xml:space="preserve">  The Bureau concurred</w:t>
      </w:r>
      <w:r w:rsidR="00BF2FF1">
        <w:t>, stating that granting the waiver “will ensure that Pay Tel continues to provide highly-secure ICS to inmates and their families at the facilities which it serves</w:t>
      </w:r>
      <w:r w:rsidR="001E7E5A">
        <w:t>.</w:t>
      </w:r>
      <w:r w:rsidR="00BF2FF1">
        <w:t>”</w:t>
      </w:r>
      <w:r w:rsidR="001E7E5A">
        <w:rPr>
          <w:rStyle w:val="FootnoteReference"/>
        </w:rPr>
        <w:footnoteReference w:id="88"/>
      </w:r>
      <w:r w:rsidR="001E7E5A">
        <w:t xml:space="preserve">  </w:t>
      </w:r>
      <w:r w:rsidR="001F0D7F">
        <w:t xml:space="preserve">Securus has </w:t>
      </w:r>
      <w:r w:rsidR="000E4B1B">
        <w:t xml:space="preserve">not </w:t>
      </w:r>
      <w:r w:rsidR="005005F3">
        <w:t xml:space="preserve">met the burden of making </w:t>
      </w:r>
      <w:r w:rsidR="001F0D7F">
        <w:t xml:space="preserve"> </w:t>
      </w:r>
      <w:r w:rsidR="000E4B1B">
        <w:t xml:space="preserve">a similar claim or a similar </w:t>
      </w:r>
      <w:r w:rsidR="001F0D7F">
        <w:t>showing</w:t>
      </w:r>
      <w:r w:rsidR="000E4B1B">
        <w:t xml:space="preserve">, either </w:t>
      </w:r>
      <w:r w:rsidR="001F0D7F">
        <w:t xml:space="preserve">for itself or for </w:t>
      </w:r>
      <w:r w:rsidR="005005F3">
        <w:t xml:space="preserve">all </w:t>
      </w:r>
      <w:r w:rsidR="001F0D7F">
        <w:t>other ICS providers.</w:t>
      </w:r>
      <w:r w:rsidR="005005F3">
        <w:t xml:space="preserve">  Without data, we cannot evaluate </w:t>
      </w:r>
      <w:r w:rsidR="00C57A4F">
        <w:t xml:space="preserve">Securus’ costs </w:t>
      </w:r>
      <w:r w:rsidR="005005F3">
        <w:t xml:space="preserve">to determine the impact of </w:t>
      </w:r>
      <w:r w:rsidR="002E73E3">
        <w:t xml:space="preserve">the </w:t>
      </w:r>
      <w:r w:rsidR="00790A48">
        <w:t xml:space="preserve">Commission’s </w:t>
      </w:r>
      <w:r w:rsidR="00FD0751">
        <w:t xml:space="preserve">interim </w:t>
      </w:r>
      <w:r w:rsidR="00790A48">
        <w:t>rate caps</w:t>
      </w:r>
      <w:r w:rsidR="0070392B">
        <w:t xml:space="preserve"> on Securus</w:t>
      </w:r>
      <w:r w:rsidR="00794746">
        <w:t xml:space="preserve">, </w:t>
      </w:r>
      <w:r w:rsidR="005005F3">
        <w:t>let alone evaluate their claim about the impact on competition</w:t>
      </w:r>
      <w:r w:rsidR="00A46A48">
        <w:t xml:space="preserve">.  </w:t>
      </w:r>
      <w:r w:rsidR="001F0D7F">
        <w:t xml:space="preserve">Pay Tel </w:t>
      </w:r>
      <w:r w:rsidR="00B33EBB">
        <w:t xml:space="preserve">a </w:t>
      </w:r>
      <w:r w:rsidR="00A6225D">
        <w:t>tempor</w:t>
      </w:r>
      <w:r w:rsidR="00B33EBB">
        <w:t xml:space="preserve">ary waiver was based on the evidence presented, evidence and costs that </w:t>
      </w:r>
      <w:r w:rsidR="002E73E3">
        <w:t xml:space="preserve">have not been presented </w:t>
      </w:r>
      <w:r w:rsidR="00B33EBB">
        <w:t xml:space="preserve">here.  </w:t>
      </w:r>
    </w:p>
    <w:p w:rsidR="008E1A32" w:rsidRPr="00720C6A" w:rsidRDefault="00546DC6" w:rsidP="005F5A28">
      <w:pPr>
        <w:pStyle w:val="ParaNum"/>
        <w:widowControl/>
      </w:pPr>
      <w:r>
        <w:t>For the reasons above, w</w:t>
      </w:r>
      <w:r w:rsidR="008E1A32">
        <w:t xml:space="preserve">e find Securus’ </w:t>
      </w:r>
      <w:r w:rsidR="004C58FC" w:rsidRPr="004C58FC">
        <w:t xml:space="preserve">Waiver Expansion Petition </w:t>
      </w:r>
      <w:r w:rsidR="008E1A32">
        <w:t xml:space="preserve">fails to justify a waiver of the Commission’s </w:t>
      </w:r>
      <w:r w:rsidR="00FD0751">
        <w:t xml:space="preserve">interim </w:t>
      </w:r>
      <w:r w:rsidR="008E1A32">
        <w:t xml:space="preserve">rate cap rule and therefore deny this Petition.  </w:t>
      </w:r>
      <w:r w:rsidR="008D57DA">
        <w:t>We deny Securus’ Petition without prejudice</w:t>
      </w:r>
      <w:r w:rsidR="008E1A32">
        <w:t xml:space="preserve">.  </w:t>
      </w:r>
    </w:p>
    <w:p w:rsidR="006615F6" w:rsidRDefault="00020523" w:rsidP="005F5A28">
      <w:pPr>
        <w:pStyle w:val="Heading2"/>
        <w:widowControl/>
      </w:pPr>
      <w:r w:rsidRPr="00020523">
        <w:t>Voice Biometrics Petition</w:t>
      </w:r>
      <w:r w:rsidR="008E1A32">
        <w:t xml:space="preserve">  </w:t>
      </w:r>
    </w:p>
    <w:p w:rsidR="008E1A32" w:rsidRDefault="008E1A32" w:rsidP="005F5A28">
      <w:pPr>
        <w:pStyle w:val="ParaNum"/>
        <w:widowControl/>
      </w:pPr>
      <w:r>
        <w:t xml:space="preserve">We </w:t>
      </w:r>
      <w:r w:rsidR="00B33EBB">
        <w:t xml:space="preserve">similarly </w:t>
      </w:r>
      <w:r>
        <w:t xml:space="preserve">find that Securus’ </w:t>
      </w:r>
      <w:r w:rsidR="00020523" w:rsidRPr="00020523">
        <w:t xml:space="preserve">Voice Biometrics Petition </w:t>
      </w:r>
      <w:r>
        <w:t xml:space="preserve">fails to establish good cause for a waiver of the Commission’s rate cap rule.  </w:t>
      </w:r>
      <w:r w:rsidR="00546DC6">
        <w:t xml:space="preserve">As discussed further below, </w:t>
      </w:r>
      <w:r w:rsidR="00790A48">
        <w:t>t</w:t>
      </w:r>
      <w:r>
        <w:t xml:space="preserve">he Petition fails to </w:t>
      </w:r>
      <w:r w:rsidR="004B7298">
        <w:t xml:space="preserve">acknowledge </w:t>
      </w:r>
      <w:r>
        <w:t xml:space="preserve">that the Commission’s </w:t>
      </w:r>
      <w:r w:rsidR="00FD0751">
        <w:t xml:space="preserve">interim </w:t>
      </w:r>
      <w:r>
        <w:t>rate caps already</w:t>
      </w:r>
      <w:r w:rsidR="003E0A1F">
        <w:t xml:space="preserve"> are designed to</w:t>
      </w:r>
      <w:r>
        <w:t xml:space="preserve"> provide for recovery of a fee for continuous voice biometrics</w:t>
      </w:r>
      <w:r w:rsidR="00FD0751">
        <w:t>,</w:t>
      </w:r>
      <w:r>
        <w:t xml:space="preserve"> and fails to establish that Securus is unable to recover the cost of providing continuous voice biometric</w:t>
      </w:r>
      <w:r w:rsidR="00546DC6">
        <w:t xml:space="preserve"> technology</w:t>
      </w:r>
      <w:r>
        <w:t xml:space="preserve"> through its rates.  </w:t>
      </w:r>
    </w:p>
    <w:p w:rsidR="008E1A32" w:rsidRDefault="006D209C" w:rsidP="005F5A28">
      <w:pPr>
        <w:pStyle w:val="ParaNum"/>
        <w:widowControl/>
      </w:pPr>
      <w:r>
        <w:t xml:space="preserve">We reject </w:t>
      </w:r>
      <w:r w:rsidR="008E1A32">
        <w:t>Securus</w:t>
      </w:r>
      <w:r>
        <w:t>’ contention</w:t>
      </w:r>
      <w:r w:rsidR="008E1A32">
        <w:t xml:space="preserve"> that “the cost of biometrics is among the grounds for which Pay Tel got [its] waiver.”</w:t>
      </w:r>
      <w:r w:rsidR="008E1A32">
        <w:rPr>
          <w:rStyle w:val="FootnoteReference"/>
        </w:rPr>
        <w:footnoteReference w:id="89"/>
      </w:r>
      <w:r w:rsidR="008E1A32">
        <w:t xml:space="preserve">  This is a</w:t>
      </w:r>
      <w:r>
        <w:t>n</w:t>
      </w:r>
      <w:r w:rsidR="008E1A32">
        <w:t xml:space="preserve"> </w:t>
      </w:r>
      <w:r w:rsidR="00546DC6">
        <w:t>incorrect reading</w:t>
      </w:r>
      <w:r>
        <w:t xml:space="preserve"> </w:t>
      </w:r>
      <w:r w:rsidR="00562E62">
        <w:t xml:space="preserve">both </w:t>
      </w:r>
      <w:r w:rsidR="008E1A32">
        <w:t xml:space="preserve">of Pay Tel’s waiver petition and </w:t>
      </w:r>
      <w:r w:rsidR="00562E62">
        <w:t xml:space="preserve">of </w:t>
      </w:r>
      <w:r w:rsidR="008E1A32">
        <w:t xml:space="preserve">the </w:t>
      </w:r>
      <w:r w:rsidR="008E1A32" w:rsidRPr="00FB4C0D">
        <w:rPr>
          <w:i/>
        </w:rPr>
        <w:t>Pay Tel Waiver Order</w:t>
      </w:r>
      <w:r w:rsidR="008E1A32">
        <w:t>.  Pay Tel did not cite the cost of continuous voice biometrics as a reason for its waiver</w:t>
      </w:r>
      <w:r w:rsidR="00562E62">
        <w:t xml:space="preserve"> and never requested additional revenue to offset such costs</w:t>
      </w:r>
      <w:r w:rsidR="008E1A32">
        <w:t>.</w:t>
      </w:r>
      <w:r w:rsidR="008E1A32">
        <w:rPr>
          <w:rStyle w:val="FootnoteReference"/>
        </w:rPr>
        <w:footnoteReference w:id="90"/>
      </w:r>
      <w:r w:rsidR="008E1A32">
        <w:t xml:space="preserve">  </w:t>
      </w:r>
      <w:r w:rsidR="00546DC6">
        <w:t xml:space="preserve">Rather, </w:t>
      </w:r>
      <w:r w:rsidR="008E1A32">
        <w:t xml:space="preserve">Pay Tel’s waiver request was based on its assertion that below-cost state rate mandates combined with the Commission’s </w:t>
      </w:r>
      <w:r w:rsidR="00FD0751">
        <w:t xml:space="preserve">interim </w:t>
      </w:r>
      <w:r w:rsidR="008E1A32">
        <w:t>rate caps (set at Pay Tel’s average cost) ensured that Pay Tel would experience an intrastate revenue shortfall that it could not offset except through</w:t>
      </w:r>
      <w:r w:rsidR="00A935C4">
        <w:t xml:space="preserve"> a waiver of the rate caps</w:t>
      </w:r>
      <w:r w:rsidR="008E1A32">
        <w:t>.</w:t>
      </w:r>
      <w:r w:rsidR="007B7859">
        <w:rPr>
          <w:rStyle w:val="FootnoteReference"/>
        </w:rPr>
        <w:footnoteReference w:id="91"/>
      </w:r>
      <w:r w:rsidR="008E1A32">
        <w:t xml:space="preserve">  Further, the </w:t>
      </w:r>
      <w:r w:rsidR="008E1A32" w:rsidRPr="00FB4C0D">
        <w:rPr>
          <w:i/>
        </w:rPr>
        <w:t>Order</w:t>
      </w:r>
      <w:r w:rsidR="008E1A32">
        <w:t xml:space="preserve"> expressly acknowledged that continuous voice biometric costs were included in </w:t>
      </w:r>
      <w:r w:rsidR="004865F0">
        <w:t xml:space="preserve">the portion of </w:t>
      </w:r>
      <w:r w:rsidR="008E1A32">
        <w:t>Pay Tel’s cost study that the Commission relied on to establish its interstate rate caps.</w:t>
      </w:r>
      <w:r w:rsidR="008E1A32">
        <w:rPr>
          <w:rStyle w:val="FootnoteReference"/>
        </w:rPr>
        <w:footnoteReference w:id="92"/>
      </w:r>
      <w:r w:rsidR="008E1A32">
        <w:t xml:space="preserve">  Since the ICS rate cap</w:t>
      </w:r>
      <w:r w:rsidR="00FB4C0D">
        <w:t>s</w:t>
      </w:r>
      <w:r w:rsidR="008E1A32">
        <w:t xml:space="preserve"> already accommodate the continuous voice biometric fee cited by Pay Tel, </w:t>
      </w:r>
      <w:r w:rsidR="00FB4C0D">
        <w:t>we do not believe further adjustments to the caps are necessary.</w:t>
      </w:r>
      <w:r w:rsidR="000F1C5E">
        <w:t xml:space="preserve">  </w:t>
      </w:r>
      <w:r>
        <w:t xml:space="preserve">We also reject </w:t>
      </w:r>
      <w:r w:rsidR="008E1A32">
        <w:t>Securus</w:t>
      </w:r>
      <w:r>
        <w:t>’</w:t>
      </w:r>
      <w:r w:rsidR="008E1A32">
        <w:t xml:space="preserve"> </w:t>
      </w:r>
      <w:r>
        <w:t>assertion</w:t>
      </w:r>
      <w:r w:rsidR="008E1A32">
        <w:t xml:space="preserve"> that “through the </w:t>
      </w:r>
      <w:r w:rsidR="00A75E43" w:rsidRPr="000D05CE">
        <w:rPr>
          <w:i/>
        </w:rPr>
        <w:t>W</w:t>
      </w:r>
      <w:r w:rsidR="008E1A32" w:rsidRPr="000D05CE">
        <w:rPr>
          <w:i/>
        </w:rPr>
        <w:t xml:space="preserve">aiver </w:t>
      </w:r>
      <w:r w:rsidR="00A75E43" w:rsidRPr="000D05CE">
        <w:rPr>
          <w:i/>
        </w:rPr>
        <w:t>O</w:t>
      </w:r>
      <w:r w:rsidR="008E1A32" w:rsidRPr="000D05CE">
        <w:rPr>
          <w:i/>
        </w:rPr>
        <w:t>rder</w:t>
      </w:r>
      <w:r w:rsidR="008E1A32">
        <w:t xml:space="preserve">, Pay Tel has been given extra interstate calling revenue to pay </w:t>
      </w:r>
      <w:r w:rsidR="00C51B2E">
        <w:t xml:space="preserve">[voice biometric technology vendor] </w:t>
      </w:r>
      <w:r w:rsidR="008E1A32">
        <w:t>JLG.”</w:t>
      </w:r>
      <w:r w:rsidR="008E1A32">
        <w:rPr>
          <w:rStyle w:val="FootnoteReference"/>
        </w:rPr>
        <w:footnoteReference w:id="93"/>
      </w:r>
      <w:r w:rsidR="008E1A32">
        <w:t xml:space="preserve">  The higher interstate ICS rate Pay Tel </w:t>
      </w:r>
      <w:r w:rsidR="00790A48">
        <w:t xml:space="preserve">requested and </w:t>
      </w:r>
      <w:r w:rsidR="008E1A32">
        <w:t xml:space="preserve">was temporarily allowed to charge was </w:t>
      </w:r>
      <w:r w:rsidR="00FD0751">
        <w:t>to</w:t>
      </w:r>
      <w:r w:rsidR="00790A48">
        <w:t xml:space="preserve"> </w:t>
      </w:r>
      <w:r w:rsidR="004777A3">
        <w:t xml:space="preserve">offset </w:t>
      </w:r>
      <w:r w:rsidR="00AA5565">
        <w:t xml:space="preserve">the intrastate revenue shortfall that Pay Tel </w:t>
      </w:r>
      <w:r w:rsidR="00562E62">
        <w:t xml:space="preserve">documented </w:t>
      </w:r>
      <w:r w:rsidR="00C51B2E">
        <w:t xml:space="preserve">it </w:t>
      </w:r>
      <w:r w:rsidR="00AA5565">
        <w:t xml:space="preserve">faced as a result of </w:t>
      </w:r>
      <w:r w:rsidR="004777A3">
        <w:t xml:space="preserve">below-cost state rate mandates, not to compensate a security software </w:t>
      </w:r>
      <w:r w:rsidR="00A75E43">
        <w:t>vendor</w:t>
      </w:r>
      <w:r w:rsidR="008E1A32">
        <w:t xml:space="preserve">.  </w:t>
      </w:r>
    </w:p>
    <w:p w:rsidR="008E1A32" w:rsidRDefault="006D209C" w:rsidP="005F5A28">
      <w:pPr>
        <w:pStyle w:val="ParaNum"/>
        <w:widowControl/>
      </w:pPr>
      <w:r>
        <w:t xml:space="preserve">We </w:t>
      </w:r>
      <w:r w:rsidR="00A935C4">
        <w:t xml:space="preserve">disagree with </w:t>
      </w:r>
      <w:r w:rsidR="008E1A32">
        <w:t>Securus</w:t>
      </w:r>
      <w:r>
        <w:t>’</w:t>
      </w:r>
      <w:r w:rsidR="008E1A32">
        <w:t xml:space="preserve"> </w:t>
      </w:r>
      <w:r w:rsidR="00613700">
        <w:t xml:space="preserve">claim that granting its Petition “is not only appropriate but is necessary in order </w:t>
      </w:r>
      <w:r w:rsidR="00A75E43">
        <w:t>‘</w:t>
      </w:r>
      <w:r w:rsidR="00613700">
        <w:t>not to skew the competitive landscape in the ICS market.</w:t>
      </w:r>
      <w:r w:rsidR="00A75E43">
        <w:t>’</w:t>
      </w:r>
      <w:r w:rsidR="00613700">
        <w:t>”</w:t>
      </w:r>
      <w:r w:rsidR="00613700">
        <w:rPr>
          <w:rStyle w:val="FootnoteReference"/>
        </w:rPr>
        <w:footnoteReference w:id="94"/>
      </w:r>
      <w:r w:rsidR="00613700">
        <w:t xml:space="preserve">  </w:t>
      </w:r>
      <w:r w:rsidR="00A935C4">
        <w:t>B</w:t>
      </w:r>
      <w:r w:rsidR="008E1A32">
        <w:t xml:space="preserve">y </w:t>
      </w:r>
      <w:r w:rsidR="00613700">
        <w:t xml:space="preserve">expressly </w:t>
      </w:r>
      <w:r w:rsidR="008E1A32">
        <w:t xml:space="preserve">incorporating the </w:t>
      </w:r>
      <w:r w:rsidR="00C51B2E">
        <w:t>cost of this service</w:t>
      </w:r>
      <w:r w:rsidR="008E1A32">
        <w:t xml:space="preserve"> in </w:t>
      </w:r>
      <w:r w:rsidR="00613700">
        <w:t xml:space="preserve">its </w:t>
      </w:r>
      <w:r w:rsidR="008E1A32">
        <w:t>rate cap</w:t>
      </w:r>
      <w:r w:rsidR="00C51B2E">
        <w:t>s</w:t>
      </w:r>
      <w:r w:rsidR="008E1A32">
        <w:t xml:space="preserve">, the Commission has </w:t>
      </w:r>
      <w:r w:rsidR="00B954B8">
        <w:t>already</w:t>
      </w:r>
      <w:r w:rsidR="003E0A1F">
        <w:t xml:space="preserve"> designed its </w:t>
      </w:r>
      <w:r w:rsidR="00FD0751">
        <w:t xml:space="preserve">interim </w:t>
      </w:r>
      <w:r w:rsidR="003E0A1F">
        <w:t>caps to</w:t>
      </w:r>
      <w:r w:rsidR="00B954B8">
        <w:t xml:space="preserve"> </w:t>
      </w:r>
      <w:r w:rsidR="008E1A32">
        <w:t xml:space="preserve">ensure that all ICS providers will be </w:t>
      </w:r>
      <w:r w:rsidR="00613700">
        <w:t xml:space="preserve">able </w:t>
      </w:r>
      <w:r w:rsidR="00790A48">
        <w:t xml:space="preserve">to </w:t>
      </w:r>
      <w:r w:rsidR="00C51B2E">
        <w:t>re</w:t>
      </w:r>
      <w:r w:rsidR="008E1A32">
        <w:t>cover the costs of</w:t>
      </w:r>
      <w:r w:rsidR="00C51B2E">
        <w:t xml:space="preserve"> employing</w:t>
      </w:r>
      <w:r w:rsidR="008E1A32">
        <w:t xml:space="preserve"> continuous voice biometric</w:t>
      </w:r>
      <w:r w:rsidR="00C51B2E">
        <w:t xml:space="preserve"> technology</w:t>
      </w:r>
      <w:r w:rsidR="003E0A1F">
        <w:t xml:space="preserve"> and Securus does not demonstrate otherwise in its request</w:t>
      </w:r>
      <w:r w:rsidR="008E1A32">
        <w:t xml:space="preserve">.  </w:t>
      </w:r>
    </w:p>
    <w:p w:rsidR="008E1A32" w:rsidRPr="00720C6A" w:rsidRDefault="008E1A32" w:rsidP="005F5A28">
      <w:pPr>
        <w:pStyle w:val="ParaNum"/>
        <w:widowControl/>
      </w:pPr>
      <w:r>
        <w:t xml:space="preserve">Finally, we note that Securus does not </w:t>
      </w:r>
      <w:r w:rsidR="00240A82">
        <w:t xml:space="preserve">allege </w:t>
      </w:r>
      <w:r>
        <w:t>that it will not be financially viable if it fails to obtain the relief requested.  Pay Tel made such an assertion to justify the extraordinary circumstances it faced and the relief it</w:t>
      </w:r>
      <w:r w:rsidR="006D209C">
        <w:t xml:space="preserve"> sought</w:t>
      </w:r>
      <w:r>
        <w:t>.</w:t>
      </w:r>
      <w:r w:rsidR="00A75E43">
        <w:rPr>
          <w:rStyle w:val="FootnoteReference"/>
        </w:rPr>
        <w:footnoteReference w:id="95"/>
      </w:r>
      <w:r>
        <w:t xml:space="preserve">  </w:t>
      </w:r>
      <w:r w:rsidR="004777A3">
        <w:t xml:space="preserve">Citing a public statement by Securus’ Chief Executive Officer, Wright Petitioners state that “the imposition of the price caps will not have the same severe financial </w:t>
      </w:r>
      <w:r w:rsidR="00DB7B77">
        <w:t>impact referen</w:t>
      </w:r>
      <w:r w:rsidR="004777A3">
        <w:t>ced in Pay Tel’s waiver request, and Securus ‘can live with’ the reduction in revenue.”</w:t>
      </w:r>
      <w:r w:rsidR="004777A3">
        <w:rPr>
          <w:rStyle w:val="FootnoteReference"/>
        </w:rPr>
        <w:footnoteReference w:id="96"/>
      </w:r>
      <w:r w:rsidR="004777A3">
        <w:t xml:space="preserve">  </w:t>
      </w:r>
      <w:r w:rsidR="00DB7B77">
        <w:t xml:space="preserve">The </w:t>
      </w:r>
      <w:r w:rsidR="001F679C">
        <w:t xml:space="preserve">Ream </w:t>
      </w:r>
      <w:r w:rsidR="00DB7B77">
        <w:t>Opposition notes that Securus “included the biometric service at no charge to a customer in a proposal to the Florida DoC” which “directly contradicts the notion that Securus is unable to continue without such a waiver.”</w:t>
      </w:r>
      <w:r w:rsidR="00DB7B77">
        <w:rPr>
          <w:rStyle w:val="FootnoteReference"/>
        </w:rPr>
        <w:footnoteReference w:id="97"/>
      </w:r>
      <w:r w:rsidR="00DB7B77">
        <w:t xml:space="preserve">  </w:t>
      </w:r>
      <w:r>
        <w:t xml:space="preserve">If Securus desires to make such an assertion, it has only to do so and provide sufficient </w:t>
      </w:r>
      <w:r w:rsidR="003E0A1F">
        <w:t>evidence</w:t>
      </w:r>
      <w:r w:rsidR="00B25E3F">
        <w:t xml:space="preserve"> </w:t>
      </w:r>
      <w:r>
        <w:t xml:space="preserve">to support it.  </w:t>
      </w:r>
    </w:p>
    <w:p w:rsidR="008E1A32" w:rsidRPr="0032143E" w:rsidRDefault="00A75E43" w:rsidP="005F5A28">
      <w:pPr>
        <w:pStyle w:val="ParaNum"/>
        <w:widowControl/>
      </w:pPr>
      <w:r>
        <w:t>For the reasons above, w</w:t>
      </w:r>
      <w:r w:rsidR="008E1A32">
        <w:t xml:space="preserve">e find Securus’ </w:t>
      </w:r>
      <w:r w:rsidR="00020523" w:rsidRPr="00020523">
        <w:t>Voice Biometrics Petition</w:t>
      </w:r>
      <w:r w:rsidR="008E1A32">
        <w:t xml:space="preserve"> fails to justify a waiver of the Commission’s </w:t>
      </w:r>
      <w:r w:rsidR="00FD0751">
        <w:t xml:space="preserve">interim </w:t>
      </w:r>
      <w:r w:rsidR="008E1A32">
        <w:t>rate cap rule and therefore deny this Petition</w:t>
      </w:r>
      <w:r w:rsidR="00FD0751">
        <w:t xml:space="preserve"> without prejudice</w:t>
      </w:r>
      <w:r w:rsidR="008E1A32">
        <w:t xml:space="preserve">.  </w:t>
      </w:r>
    </w:p>
    <w:bookmarkEnd w:id="1"/>
    <w:p w:rsidR="00590931" w:rsidRDefault="00590931" w:rsidP="005F5A28">
      <w:pPr>
        <w:pStyle w:val="Heading1"/>
        <w:widowControl/>
      </w:pPr>
      <w:r>
        <w:t>Ordering clauses</w:t>
      </w:r>
    </w:p>
    <w:p w:rsidR="006751E0" w:rsidRPr="006751E0" w:rsidRDefault="006751E0" w:rsidP="005F5A28">
      <w:pPr>
        <w:pStyle w:val="ParaNum"/>
        <w:widowControl/>
      </w:pPr>
      <w:r w:rsidRPr="006751E0">
        <w:t xml:space="preserve">Accordingly, IT IS ORDERED, pursuant to the authority contained in sections 1, 4(i), 5(c), 201, and 276 and of the Communications Act of 1934, as amended, 47 U.S.C. §§ 151, 154(i), 155(c), 201, and 276, and sections 0.91, 0.291, and 1.3 of the Commission’s rules, 47 C.F.R. §§ 0.91, 0.291, and 1.3, that the Petition </w:t>
      </w:r>
      <w:r w:rsidR="002E02F8">
        <w:t>to Expand Pay Tel Waiver and the Petition for Leave to Add Fee for Voice Biometrics Technology</w:t>
      </w:r>
      <w:r w:rsidRPr="006751E0">
        <w:t xml:space="preserve"> filed by</w:t>
      </w:r>
      <w:r w:rsidR="002E02F8">
        <w:t xml:space="preserve"> Securus Technologies, </w:t>
      </w:r>
      <w:r w:rsidRPr="006751E0">
        <w:t xml:space="preserve">Inc. on </w:t>
      </w:r>
      <w:r w:rsidR="002E02F8">
        <w:t>February 19</w:t>
      </w:r>
      <w:r w:rsidRPr="006751E0">
        <w:t xml:space="preserve">, 2014 </w:t>
      </w:r>
      <w:r w:rsidR="00136DB2">
        <w:t xml:space="preserve">ARE </w:t>
      </w:r>
      <w:r w:rsidR="002E02F8">
        <w:t>DENIED</w:t>
      </w:r>
      <w:r w:rsidR="008F382B">
        <w:t xml:space="preserve"> </w:t>
      </w:r>
      <w:r w:rsidR="005F5A28">
        <w:t>without prejudice</w:t>
      </w:r>
      <w:r w:rsidRPr="006751E0">
        <w:t>.</w:t>
      </w:r>
    </w:p>
    <w:p w:rsidR="006751E0" w:rsidRDefault="006751E0" w:rsidP="005F5A28">
      <w:pPr>
        <w:pStyle w:val="ParaNum"/>
        <w:widowControl/>
        <w:rPr>
          <w:szCs w:val="22"/>
        </w:rPr>
      </w:pPr>
      <w:r w:rsidRPr="009F650E">
        <w:t>IT IS FURTHER ORDERED that</w:t>
      </w:r>
      <w:r w:rsidR="00C37069">
        <w:t>, pursuant to section 1.102(b)(1) of the Commission’s rules, 47 C.F.R. § 1.102(b)(1),</w:t>
      </w:r>
      <w:r w:rsidRPr="009F650E">
        <w:t xml:space="preserve"> this Order SHALL BE EFFECTIVE upon release.</w:t>
      </w:r>
    </w:p>
    <w:p w:rsidR="00E07046" w:rsidRPr="00E63551" w:rsidRDefault="00E07046" w:rsidP="005F5A28">
      <w:pPr>
        <w:pStyle w:val="ParaNum"/>
        <w:widowControl/>
        <w:numPr>
          <w:ilvl w:val="0"/>
          <w:numId w:val="0"/>
        </w:numPr>
        <w:spacing w:after="0"/>
        <w:ind w:left="3600" w:firstLine="720"/>
        <w:rPr>
          <w:szCs w:val="22"/>
        </w:rPr>
      </w:pPr>
    </w:p>
    <w:p w:rsidR="00E07046" w:rsidRPr="00E63551" w:rsidRDefault="00E07046" w:rsidP="005F5A28">
      <w:pPr>
        <w:pStyle w:val="ParaNum"/>
        <w:widowControl/>
        <w:numPr>
          <w:ilvl w:val="0"/>
          <w:numId w:val="0"/>
        </w:numPr>
        <w:spacing w:after="0"/>
        <w:ind w:left="3600" w:firstLine="720"/>
        <w:rPr>
          <w:szCs w:val="22"/>
        </w:rPr>
      </w:pPr>
      <w:r w:rsidRPr="00E63551">
        <w:rPr>
          <w:szCs w:val="22"/>
        </w:rPr>
        <w:t>FEDERAL COMMUNICATIONS COMMISSION</w:t>
      </w:r>
    </w:p>
    <w:p w:rsidR="00E07046" w:rsidRPr="00E63551" w:rsidRDefault="00E07046" w:rsidP="005F5A28">
      <w:pPr>
        <w:pStyle w:val="ParaNum"/>
        <w:widowControl/>
        <w:numPr>
          <w:ilvl w:val="0"/>
          <w:numId w:val="0"/>
        </w:numPr>
        <w:spacing w:after="0"/>
        <w:rPr>
          <w:szCs w:val="22"/>
        </w:rPr>
      </w:pPr>
    </w:p>
    <w:p w:rsidR="00E07046" w:rsidRPr="00E63551" w:rsidRDefault="00E07046" w:rsidP="005F5A28">
      <w:pPr>
        <w:pStyle w:val="ParaNum"/>
        <w:widowControl/>
        <w:numPr>
          <w:ilvl w:val="0"/>
          <w:numId w:val="0"/>
        </w:numPr>
        <w:spacing w:after="0"/>
        <w:rPr>
          <w:szCs w:val="22"/>
        </w:rPr>
      </w:pPr>
    </w:p>
    <w:p w:rsidR="00E07046" w:rsidRPr="00E63551" w:rsidRDefault="00E07046" w:rsidP="005F5A28">
      <w:pPr>
        <w:pStyle w:val="ParaNum"/>
        <w:widowControl/>
        <w:numPr>
          <w:ilvl w:val="0"/>
          <w:numId w:val="0"/>
        </w:numPr>
        <w:spacing w:after="0"/>
        <w:rPr>
          <w:szCs w:val="22"/>
        </w:rPr>
      </w:pPr>
    </w:p>
    <w:p w:rsidR="00E07046" w:rsidRPr="00E63551" w:rsidRDefault="00E07046" w:rsidP="005F5A28">
      <w:pPr>
        <w:pStyle w:val="ParaNum"/>
        <w:widowControl/>
        <w:numPr>
          <w:ilvl w:val="0"/>
          <w:numId w:val="0"/>
        </w:numPr>
        <w:spacing w:after="0"/>
        <w:rPr>
          <w:szCs w:val="22"/>
        </w:rPr>
      </w:pPr>
    </w:p>
    <w:p w:rsidR="00E07046" w:rsidRPr="00E63551" w:rsidRDefault="00E07046" w:rsidP="005F5A28">
      <w:pPr>
        <w:pStyle w:val="ParaNum"/>
        <w:widowControl/>
        <w:numPr>
          <w:ilvl w:val="0"/>
          <w:numId w:val="0"/>
        </w:numPr>
        <w:spacing w:after="0"/>
        <w:ind w:left="3600" w:firstLine="720"/>
        <w:rPr>
          <w:szCs w:val="22"/>
        </w:rPr>
      </w:pPr>
      <w:r w:rsidRPr="00E63551">
        <w:rPr>
          <w:szCs w:val="22"/>
        </w:rPr>
        <w:t>Julie A. Veach</w:t>
      </w:r>
    </w:p>
    <w:p w:rsidR="00E07046" w:rsidRDefault="00E07046" w:rsidP="005F5A28">
      <w:pPr>
        <w:pStyle w:val="ParaNum"/>
        <w:widowControl/>
        <w:numPr>
          <w:ilvl w:val="0"/>
          <w:numId w:val="0"/>
        </w:numPr>
        <w:spacing w:after="0"/>
        <w:ind w:left="3600" w:firstLine="720"/>
        <w:rPr>
          <w:szCs w:val="22"/>
        </w:rPr>
      </w:pPr>
      <w:r>
        <w:rPr>
          <w:szCs w:val="22"/>
        </w:rPr>
        <w:t>Chief</w:t>
      </w:r>
    </w:p>
    <w:p w:rsidR="00E07046" w:rsidRPr="00E63551" w:rsidRDefault="00E07046" w:rsidP="005F5A28">
      <w:pPr>
        <w:pStyle w:val="ParaNum"/>
        <w:widowControl/>
        <w:numPr>
          <w:ilvl w:val="0"/>
          <w:numId w:val="0"/>
        </w:numPr>
        <w:spacing w:after="0"/>
        <w:ind w:left="3600" w:firstLine="720"/>
        <w:rPr>
          <w:szCs w:val="22"/>
        </w:rPr>
      </w:pPr>
      <w:r w:rsidRPr="00E63551">
        <w:rPr>
          <w:szCs w:val="22"/>
        </w:rPr>
        <w:t>Wireline Competition Bureau</w:t>
      </w:r>
    </w:p>
    <w:p w:rsidR="00590931" w:rsidRDefault="00590931" w:rsidP="005F5A28">
      <w:pPr>
        <w:pStyle w:val="ParaNum"/>
        <w:widowControl/>
        <w:numPr>
          <w:ilvl w:val="0"/>
          <w:numId w:val="0"/>
        </w:numPr>
        <w:ind w:left="720"/>
      </w:pPr>
    </w:p>
    <w:p w:rsidR="00FD3F67" w:rsidRDefault="00FD3F67" w:rsidP="005F5A28">
      <w:pPr>
        <w:pStyle w:val="ParaNum"/>
        <w:widowControl/>
        <w:numPr>
          <w:ilvl w:val="0"/>
          <w:numId w:val="0"/>
        </w:numPr>
        <w:ind w:left="720"/>
      </w:pPr>
    </w:p>
    <w:p w:rsidR="00FD3F67" w:rsidRPr="00590931" w:rsidRDefault="00FC5207" w:rsidP="005F5A28">
      <w:pPr>
        <w:pStyle w:val="ParaNum"/>
        <w:widowControl/>
        <w:numPr>
          <w:ilvl w:val="0"/>
          <w:numId w:val="0"/>
        </w:numPr>
        <w:ind w:left="720"/>
      </w:pPr>
      <w:r>
        <w:t xml:space="preserve"> </w:t>
      </w:r>
    </w:p>
    <w:sectPr w:rsidR="00FD3F67" w:rsidRPr="0059093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13" w:rsidRDefault="00C72013">
      <w:pPr>
        <w:spacing w:line="20" w:lineRule="exact"/>
      </w:pPr>
    </w:p>
  </w:endnote>
  <w:endnote w:type="continuationSeparator" w:id="0">
    <w:p w:rsidR="00C72013" w:rsidRDefault="00C72013">
      <w:r>
        <w:t xml:space="preserve"> </w:t>
      </w:r>
    </w:p>
  </w:endnote>
  <w:endnote w:type="continuationNotice" w:id="1">
    <w:p w:rsidR="00C72013" w:rsidRDefault="00C720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1C" w:rsidRDefault="009E571C" w:rsidP="0055614C">
    <w:pPr>
      <w:pStyle w:val="Footer"/>
      <w:framePr w:wrap="around" w:vAnchor="text" w:hAnchor="margin" w:xAlign="center" w:y="1"/>
    </w:pPr>
    <w:r>
      <w:fldChar w:fldCharType="begin"/>
    </w:r>
    <w:r>
      <w:instrText xml:space="preserve">PAGE  </w:instrText>
    </w:r>
    <w:r>
      <w:fldChar w:fldCharType="end"/>
    </w:r>
  </w:p>
  <w:p w:rsidR="009E571C" w:rsidRDefault="009E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1C" w:rsidRDefault="009E571C" w:rsidP="0055614C">
    <w:pPr>
      <w:pStyle w:val="Footer"/>
      <w:framePr w:wrap="around" w:vAnchor="text" w:hAnchor="margin" w:xAlign="center" w:y="1"/>
    </w:pPr>
    <w:r>
      <w:fldChar w:fldCharType="begin"/>
    </w:r>
    <w:r>
      <w:instrText xml:space="preserve">PAGE  </w:instrText>
    </w:r>
    <w:r>
      <w:fldChar w:fldCharType="separate"/>
    </w:r>
    <w:r w:rsidR="00A04D3B">
      <w:rPr>
        <w:noProof/>
      </w:rPr>
      <w:t>2</w:t>
    </w:r>
    <w:r>
      <w:fldChar w:fldCharType="end"/>
    </w:r>
  </w:p>
  <w:p w:rsidR="009E571C" w:rsidRDefault="009E571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1C" w:rsidRDefault="009E571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13" w:rsidRDefault="00C72013">
      <w:r>
        <w:separator/>
      </w:r>
    </w:p>
  </w:footnote>
  <w:footnote w:type="continuationSeparator" w:id="0">
    <w:p w:rsidR="00C72013" w:rsidRDefault="00C72013" w:rsidP="00C721AC">
      <w:pPr>
        <w:spacing w:before="120"/>
        <w:rPr>
          <w:sz w:val="20"/>
        </w:rPr>
      </w:pPr>
      <w:r>
        <w:rPr>
          <w:sz w:val="20"/>
        </w:rPr>
        <w:t xml:space="preserve">(Continued from previous page)  </w:t>
      </w:r>
      <w:r>
        <w:rPr>
          <w:sz w:val="20"/>
        </w:rPr>
        <w:separator/>
      </w:r>
    </w:p>
  </w:footnote>
  <w:footnote w:type="continuationNotice" w:id="1">
    <w:p w:rsidR="00C72013" w:rsidRDefault="00C72013" w:rsidP="00C721AC">
      <w:pPr>
        <w:jc w:val="right"/>
        <w:rPr>
          <w:sz w:val="20"/>
        </w:rPr>
      </w:pPr>
      <w:r>
        <w:rPr>
          <w:sz w:val="20"/>
        </w:rPr>
        <w:t>(continued….)</w:t>
      </w:r>
    </w:p>
  </w:footnote>
  <w:footnote w:id="2">
    <w:p w:rsidR="009E571C" w:rsidRDefault="009E571C">
      <w:pPr>
        <w:pStyle w:val="FootnoteText"/>
      </w:pPr>
      <w:r>
        <w:rPr>
          <w:rStyle w:val="FootnoteReference"/>
        </w:rPr>
        <w:footnoteRef/>
      </w:r>
      <w:r>
        <w:t xml:space="preserve"> </w:t>
      </w:r>
      <w:r w:rsidRPr="00BD6461">
        <w:t>Securus Technologies, Inc.</w:t>
      </w:r>
      <w:r>
        <w:t>’s</w:t>
      </w:r>
      <w:r w:rsidRPr="00BD6461">
        <w:t xml:space="preserve"> </w:t>
      </w:r>
      <w:r>
        <w:t xml:space="preserve">Petition to Expand </w:t>
      </w:r>
      <w:r w:rsidRPr="00BD6461">
        <w:t>Pay Tel Waiver</w:t>
      </w:r>
      <w:r>
        <w:t>,</w:t>
      </w:r>
      <w:r w:rsidRPr="00BD6461">
        <w:t xml:space="preserve"> WC </w:t>
      </w:r>
      <w:r>
        <w:t>Docket No. 12-375</w:t>
      </w:r>
      <w:r w:rsidRPr="00BD6461">
        <w:t xml:space="preserve"> (filed Feb. 19, 2014) (Waiver Expansion Petition);</w:t>
      </w:r>
      <w:r>
        <w:t xml:space="preserve"> </w:t>
      </w:r>
      <w:r w:rsidRPr="00BD6461">
        <w:t>Securus Technologies, Inc.</w:t>
      </w:r>
      <w:r>
        <w:t>’s</w:t>
      </w:r>
      <w:r w:rsidRPr="00BD6461">
        <w:t xml:space="preserve"> Petition </w:t>
      </w:r>
      <w:r w:rsidRPr="00A12A0C">
        <w:t>for Leave to Add Fee for Voice Biometrics Technology</w:t>
      </w:r>
      <w:r>
        <w:t>,</w:t>
      </w:r>
      <w:r w:rsidRPr="00BD6461">
        <w:t xml:space="preserve"> </w:t>
      </w:r>
      <w:r>
        <w:t>WC Docket No. 12-375</w:t>
      </w:r>
      <w:r w:rsidRPr="00BD6461">
        <w:t xml:space="preserve"> (filed Feb. 19, 2014) (Voice Biometrics Petition).  </w:t>
      </w:r>
    </w:p>
  </w:footnote>
  <w:footnote w:id="3">
    <w:p w:rsidR="009E571C" w:rsidRDefault="009E571C" w:rsidP="002944CE">
      <w:pPr>
        <w:pStyle w:val="FootnoteText"/>
      </w:pPr>
      <w:r>
        <w:rPr>
          <w:rStyle w:val="FootnoteReference"/>
        </w:rPr>
        <w:footnoteRef/>
      </w:r>
      <w:r>
        <w:t xml:space="preserve"> </w:t>
      </w:r>
      <w:r w:rsidRPr="00895CD8">
        <w:rPr>
          <w:i/>
        </w:rPr>
        <w:t>Rates for Interstate Inmate Calling Services</w:t>
      </w:r>
      <w:r>
        <w:t>,</w:t>
      </w:r>
      <w:r w:rsidRPr="00895CD8">
        <w:rPr>
          <w:i/>
        </w:rPr>
        <w:t xml:space="preserve"> </w:t>
      </w:r>
      <w:r>
        <w:t xml:space="preserve">WC Docket No. 12-375, </w:t>
      </w:r>
      <w:r w:rsidRPr="00CE0748">
        <w:t xml:space="preserve">Report and Order and Further Notice </w:t>
      </w:r>
      <w:r>
        <w:t xml:space="preserve">of </w:t>
      </w:r>
      <w:r w:rsidRPr="00CE0748">
        <w:t>Proposed Rulemaking</w:t>
      </w:r>
      <w:r>
        <w:t>, 28 FCC Rcd 14107 (2013) (</w:t>
      </w:r>
      <w:r w:rsidRPr="00722ADD">
        <w:rPr>
          <w:i/>
        </w:rPr>
        <w:t>I</w:t>
      </w:r>
      <w:r>
        <w:rPr>
          <w:i/>
        </w:rPr>
        <w:t xml:space="preserve">nmate Calling Report and </w:t>
      </w:r>
      <w:r w:rsidRPr="00895CD8">
        <w:rPr>
          <w:i/>
        </w:rPr>
        <w:t>Order</w:t>
      </w:r>
      <w:r>
        <w:rPr>
          <w:i/>
        </w:rPr>
        <w:t xml:space="preserve"> and FNPRM </w:t>
      </w:r>
      <w:r w:rsidRPr="001626FE">
        <w:t>or</w:t>
      </w:r>
      <w:r>
        <w:rPr>
          <w:i/>
        </w:rPr>
        <w:t xml:space="preserve"> Order</w:t>
      </w:r>
      <w:r>
        <w:t xml:space="preserve">); </w:t>
      </w:r>
      <w:r>
        <w:rPr>
          <w:i/>
        </w:rPr>
        <w:t>pets. for stay granted in part sub nom. Securus Techs. v. FCC</w:t>
      </w:r>
      <w:r>
        <w:t>, No. 13-1280</w:t>
      </w:r>
      <w:r>
        <w:rPr>
          <w:i/>
        </w:rPr>
        <w:t xml:space="preserve"> </w:t>
      </w:r>
      <w:r>
        <w:t>(D.C. Cir. Jan. 13, 2014) (</w:t>
      </w:r>
      <w:r>
        <w:rPr>
          <w:i/>
        </w:rPr>
        <w:t>Securus Techs. Partial Stay Order</w:t>
      </w:r>
      <w:r>
        <w:t xml:space="preserve">); </w:t>
      </w:r>
      <w:r>
        <w:rPr>
          <w:i/>
        </w:rPr>
        <w:t>pets. for review pending sub nom. Securus Techs. v. FCC</w:t>
      </w:r>
      <w:r>
        <w:t>, No. 13-1280 (D.C. Cir. Nov. 14, 2013) (and consolidated cases).</w:t>
      </w:r>
    </w:p>
  </w:footnote>
  <w:footnote w:id="4">
    <w:p w:rsidR="009E571C" w:rsidRDefault="009E571C" w:rsidP="002600E2">
      <w:pPr>
        <w:pStyle w:val="FootnoteText"/>
      </w:pPr>
      <w:r>
        <w:rPr>
          <w:rStyle w:val="FootnoteReference"/>
        </w:rPr>
        <w:footnoteRef/>
      </w:r>
      <w:r>
        <w:t xml:space="preserve"> </w:t>
      </w:r>
      <w:r w:rsidRPr="001130E0">
        <w:rPr>
          <w:i/>
        </w:rPr>
        <w:t>See</w:t>
      </w:r>
      <w:r>
        <w:t xml:space="preserve"> </w:t>
      </w:r>
      <w:r w:rsidRPr="007D1E02">
        <w:rPr>
          <w:i/>
        </w:rPr>
        <w:t>generally</w:t>
      </w:r>
      <w:r>
        <w:t xml:space="preserve"> </w:t>
      </w:r>
      <w:r w:rsidRPr="002C7197">
        <w:t>Implementation of the Pay Telephone Reclassification and Compensation Provisions of the Telecommunications Act of 1996, Petition of Martha Wright et al. for Rulemaking or, in the Alternative, Petition to Address Referral Issues in Pending Rulemaking</w:t>
      </w:r>
      <w:r w:rsidRPr="00734911">
        <w:t xml:space="preserve">, CC Docket No. 96-128 </w:t>
      </w:r>
      <w:r>
        <w:t xml:space="preserve">at 3 </w:t>
      </w:r>
      <w:r w:rsidRPr="00734911">
        <w:t>(filed Nov. 3, 2003)</w:t>
      </w:r>
      <w:r>
        <w:t>.</w:t>
      </w:r>
    </w:p>
  </w:footnote>
  <w:footnote w:id="5">
    <w:p w:rsidR="009E571C" w:rsidRPr="00C43F6A" w:rsidRDefault="009E571C" w:rsidP="002600E2">
      <w:pPr>
        <w:pStyle w:val="FootnoteText"/>
      </w:pPr>
      <w:r>
        <w:rPr>
          <w:rStyle w:val="FootnoteReference"/>
        </w:rPr>
        <w:footnoteRef/>
      </w:r>
      <w:r>
        <w:rPr>
          <w:i/>
        </w:rPr>
        <w:t xml:space="preserve"> Id.</w:t>
      </w:r>
      <w:r>
        <w:t xml:space="preserve"> at 3, 19-20.</w:t>
      </w:r>
    </w:p>
  </w:footnote>
  <w:footnote w:id="6">
    <w:p w:rsidR="009E571C" w:rsidRDefault="009E571C" w:rsidP="002600E2">
      <w:pPr>
        <w:pStyle w:val="FootnoteText"/>
      </w:pPr>
      <w:r>
        <w:rPr>
          <w:rStyle w:val="FootnoteReference"/>
        </w:rPr>
        <w:footnoteRef/>
      </w:r>
      <w:r>
        <w:t xml:space="preserve"> </w:t>
      </w:r>
      <w:r w:rsidRPr="00207C12">
        <w:rPr>
          <w:i/>
        </w:rPr>
        <w:t>See</w:t>
      </w:r>
      <w:r>
        <w:t xml:space="preserve"> </w:t>
      </w:r>
      <w:r w:rsidRPr="00F53A74">
        <w:t>Implementation of the Pay Telephone Reclassification and Compensation Provisions of the Telecommunications Act of 1996, Petitioners’ Alternative Rulemaking Proposal,</w:t>
      </w:r>
      <w:r w:rsidRPr="00FC78CA">
        <w:rPr>
          <w:i/>
        </w:rPr>
        <w:t xml:space="preserve"> </w:t>
      </w:r>
      <w:r w:rsidRPr="008925FB">
        <w:t>CC Docket No. 96-128</w:t>
      </w:r>
      <w:r w:rsidRPr="00FC78CA">
        <w:rPr>
          <w:i/>
        </w:rPr>
        <w:t xml:space="preserve"> </w:t>
      </w:r>
      <w:r w:rsidRPr="008925FB">
        <w:t>(filed Mar. 1, 2007)</w:t>
      </w:r>
      <w:r>
        <w:t xml:space="preserve"> (</w:t>
      </w:r>
      <w:r>
        <w:rPr>
          <w:color w:val="000000"/>
        </w:rPr>
        <w:t>Alternative Wright Petition).</w:t>
      </w:r>
    </w:p>
  </w:footnote>
  <w:footnote w:id="7">
    <w:p w:rsidR="009E571C" w:rsidRDefault="009E571C" w:rsidP="002600E2">
      <w:pPr>
        <w:pStyle w:val="FootnoteText"/>
      </w:pPr>
      <w:r>
        <w:rPr>
          <w:rStyle w:val="FootnoteReference"/>
        </w:rPr>
        <w:footnoteRef/>
      </w:r>
      <w:r>
        <w:t xml:space="preserve"> </w:t>
      </w:r>
      <w:r w:rsidRPr="00362547">
        <w:rPr>
          <w:i/>
        </w:rPr>
        <w:t>See</w:t>
      </w:r>
      <w:r w:rsidRPr="00362547">
        <w:t xml:space="preserve"> </w:t>
      </w:r>
      <w:r>
        <w:rPr>
          <w:i/>
        </w:rPr>
        <w:t>Petition f</w:t>
      </w:r>
      <w:r w:rsidRPr="00207C12">
        <w:rPr>
          <w:i/>
        </w:rPr>
        <w:t xml:space="preserve">or Rulemaking Filed </w:t>
      </w:r>
      <w:r>
        <w:rPr>
          <w:i/>
        </w:rPr>
        <w:t>Regarding Issues Related t</w:t>
      </w:r>
      <w:r w:rsidRPr="00207C12">
        <w:rPr>
          <w:i/>
        </w:rPr>
        <w:t>o Inmate Calling Services Pleading Cycle Established</w:t>
      </w:r>
      <w:r w:rsidRPr="00362547">
        <w:t>, CC Docket No. 96-128, Public N</w:t>
      </w:r>
      <w:r>
        <w:t xml:space="preserve">otice, DA 03-4027, 2003 WL 23095474 (Wireline Comp. Bur. </w:t>
      </w:r>
      <w:r w:rsidRPr="00362547">
        <w:t>2</w:t>
      </w:r>
      <w:r>
        <w:t>003);</w:t>
      </w:r>
      <w:r w:rsidRPr="00362547">
        <w:t xml:space="preserve"> </w:t>
      </w:r>
      <w:r w:rsidRPr="002F012D">
        <w:rPr>
          <w:i/>
        </w:rPr>
        <w:t>Comment Sought on Alternative Rulemaking Proposal Regarding Issues Related to Inmate Calling Services</w:t>
      </w:r>
      <w:r>
        <w:t xml:space="preserve">, CC Docket No. 96-128, Public Notice, 22 FCC Rcd 4229 (Wireline Comp. Bur. 2007).  </w:t>
      </w:r>
    </w:p>
  </w:footnote>
  <w:footnote w:id="8">
    <w:p w:rsidR="009E571C" w:rsidRPr="00277AB9" w:rsidRDefault="009E571C" w:rsidP="002600E2">
      <w:pPr>
        <w:pStyle w:val="FootnoteText"/>
      </w:pPr>
      <w:r>
        <w:rPr>
          <w:rStyle w:val="FootnoteReference"/>
        </w:rPr>
        <w:footnoteRef/>
      </w:r>
      <w:r>
        <w:t xml:space="preserve"> </w:t>
      </w:r>
      <w:r w:rsidRPr="001C6CE7">
        <w:rPr>
          <w:i/>
        </w:rPr>
        <w:t xml:space="preserve">See </w:t>
      </w:r>
      <w:r>
        <w:rPr>
          <w:i/>
        </w:rPr>
        <w:t xml:space="preserve">generally </w:t>
      </w:r>
      <w:r w:rsidRPr="006B2AEA">
        <w:rPr>
          <w:i/>
          <w:iCs/>
        </w:rPr>
        <w:t>Rates for Interstate Inmate Calling Services</w:t>
      </w:r>
      <w:r w:rsidRPr="00F6784A">
        <w:t>,</w:t>
      </w:r>
      <w:r w:rsidRPr="006B2AEA">
        <w:rPr>
          <w:i/>
          <w:iCs/>
        </w:rPr>
        <w:t xml:space="preserve"> </w:t>
      </w:r>
      <w:r w:rsidRPr="00C465EE">
        <w:t>WC Docket No. 12-375, Notice of Proposed Rulemaking, 27 FCC Rcd 16629 (2012) (</w:t>
      </w:r>
      <w:r w:rsidRPr="00CF788B">
        <w:rPr>
          <w:i/>
        </w:rPr>
        <w:t>2012 ICS NPRM</w:t>
      </w:r>
      <w:r w:rsidRPr="00543FA7">
        <w:t>)</w:t>
      </w:r>
      <w:r w:rsidRPr="00543FA7">
        <w:rPr>
          <w:iCs/>
        </w:rPr>
        <w:t>.</w:t>
      </w:r>
      <w:r w:rsidRPr="00543FA7">
        <w:t xml:space="preserve">  </w:t>
      </w:r>
      <w:r w:rsidRPr="00543FA7">
        <w:rPr>
          <w:iCs/>
        </w:rPr>
        <w:t>The</w:t>
      </w:r>
      <w:r>
        <w:rPr>
          <w:iCs/>
        </w:rPr>
        <w:t xml:space="preserve"> </w:t>
      </w:r>
      <w:r>
        <w:rPr>
          <w:i/>
          <w:iCs/>
        </w:rPr>
        <w:t>2012 ICS NPRM</w:t>
      </w:r>
      <w:r>
        <w:rPr>
          <w:iCs/>
        </w:rPr>
        <w:t xml:space="preserve"> incorporated relevant comments, reply comments and </w:t>
      </w:r>
      <w:r>
        <w:rPr>
          <w:i/>
          <w:iCs/>
        </w:rPr>
        <w:t xml:space="preserve">ex parte </w:t>
      </w:r>
      <w:r>
        <w:rPr>
          <w:iCs/>
        </w:rPr>
        <w:t xml:space="preserve">filings from the prior ICS docket, CC Docket No. 96-128, into WC Docket No. 12-375.  </w:t>
      </w:r>
      <w:r>
        <w:rPr>
          <w:i/>
          <w:iCs/>
        </w:rPr>
        <w:t>See 2012 ICS NPRM</w:t>
      </w:r>
      <w:r>
        <w:rPr>
          <w:iCs/>
        </w:rPr>
        <w:t>, 27 FCC Rcd at 16636, para. 15.</w:t>
      </w:r>
    </w:p>
  </w:footnote>
  <w:footnote w:id="9">
    <w:p w:rsidR="009E571C" w:rsidRPr="007B2937" w:rsidRDefault="009E571C" w:rsidP="002600E2">
      <w:pPr>
        <w:pStyle w:val="FootnoteText"/>
      </w:pPr>
      <w:r>
        <w:rPr>
          <w:rStyle w:val="FootnoteReference"/>
        </w:rPr>
        <w:footnoteRef/>
      </w:r>
      <w:r>
        <w:t xml:space="preserve"> </w:t>
      </w:r>
      <w:r>
        <w:rPr>
          <w:i/>
        </w:rPr>
        <w:t>See generally Inmate Calling Report and Order and FNPRM</w:t>
      </w:r>
      <w:r>
        <w:t>.</w:t>
      </w:r>
      <w:r>
        <w:rPr>
          <w:szCs w:val="22"/>
        </w:rPr>
        <w:t xml:space="preserve">  </w:t>
      </w:r>
    </w:p>
  </w:footnote>
  <w:footnote w:id="10">
    <w:p w:rsidR="009E571C" w:rsidRDefault="009E571C">
      <w:pPr>
        <w:pStyle w:val="FootnoteText"/>
      </w:pPr>
      <w:r>
        <w:rPr>
          <w:rStyle w:val="FootnoteReference"/>
        </w:rPr>
        <w:footnoteRef/>
      </w:r>
      <w:r>
        <w:t xml:space="preserve"> </w:t>
      </w:r>
      <w:r w:rsidRPr="003626E4">
        <w:rPr>
          <w:i/>
        </w:rPr>
        <w:t>See</w:t>
      </w:r>
      <w:r>
        <w:t xml:space="preserve"> </w:t>
      </w:r>
      <w:r>
        <w:rPr>
          <w:i/>
        </w:rPr>
        <w:t>generally</w:t>
      </w:r>
      <w:r>
        <w:t xml:space="preserve"> </w:t>
      </w:r>
      <w:r>
        <w:rPr>
          <w:i/>
        </w:rPr>
        <w:t xml:space="preserve">Securus Techs. Partial </w:t>
      </w:r>
      <w:r w:rsidRPr="002849E5">
        <w:rPr>
          <w:i/>
        </w:rPr>
        <w:t>Stay Order</w:t>
      </w:r>
      <w:r>
        <w:t xml:space="preserve">.  The following rules are stayed pending resolution of the appeal:  </w:t>
      </w:r>
      <w:r>
        <w:rPr>
          <w:szCs w:val="22"/>
        </w:rPr>
        <w:t xml:space="preserve"> 47 C.F.R. §§ 64.6010 (Cost-Based Rates for Inmate Calling Services); 64.6020 (Interim Safe Harbor); and 64.6060 (Annual Reporting and Certification Requirement).  </w:t>
      </w:r>
    </w:p>
  </w:footnote>
  <w:footnote w:id="11">
    <w:p w:rsidR="009E571C" w:rsidRPr="007F7EF6" w:rsidRDefault="009E571C">
      <w:pPr>
        <w:pStyle w:val="FootnoteText"/>
      </w:pPr>
      <w:r>
        <w:rPr>
          <w:rStyle w:val="FootnoteReference"/>
        </w:rPr>
        <w:footnoteRef/>
      </w:r>
      <w:r>
        <w:t xml:space="preserve"> Specifically, the following rules are not stayed by the </w:t>
      </w:r>
      <w:r>
        <w:rPr>
          <w:i/>
        </w:rPr>
        <w:t>Securus Techs. Partial Stay Order</w:t>
      </w:r>
      <w:r>
        <w:t xml:space="preserve">:  47 C.F.R. </w:t>
      </w:r>
      <w:r>
        <w:rPr>
          <w:szCs w:val="22"/>
        </w:rPr>
        <w:t>§§ 64.6000 (Definitions); 64.6030 (Inmate Calling Services Interim Rate Cap); 64.6040</w:t>
      </w:r>
      <w:r>
        <w:t xml:space="preserve"> (Rates for Telecommunications Relay Service (TRS) Calling); and 64.6050 (Billing-Related Call Blocking).  </w:t>
      </w:r>
      <w:r>
        <w:rPr>
          <w:i/>
        </w:rPr>
        <w:t>See generally id</w:t>
      </w:r>
      <w:r>
        <w:t xml:space="preserve">.  The court also did not issue a general stay of the </w:t>
      </w:r>
      <w:r>
        <w:rPr>
          <w:i/>
        </w:rPr>
        <w:t>Order</w:t>
      </w:r>
      <w:r>
        <w:t>, leaving in place, for example, the Commission’s provision for a one-time, mandatory data collection that will enable the Commission to establish permanent rules.</w:t>
      </w:r>
    </w:p>
  </w:footnote>
  <w:footnote w:id="12">
    <w:p w:rsidR="009E571C" w:rsidRDefault="009E571C" w:rsidP="002600E2">
      <w:pPr>
        <w:pStyle w:val="FootnoteText"/>
      </w:pPr>
      <w:r>
        <w:rPr>
          <w:rStyle w:val="FootnoteReference"/>
        </w:rPr>
        <w:footnoteRef/>
      </w:r>
      <w:r>
        <w:t xml:space="preserve"> </w:t>
      </w:r>
      <w:r w:rsidRPr="00F53A74">
        <w:rPr>
          <w:i/>
        </w:rPr>
        <w:t>See</w:t>
      </w:r>
      <w:r>
        <w:t xml:space="preserve"> 47 U.S.C. </w:t>
      </w:r>
      <w:r w:rsidRPr="0034364C">
        <w:t>§</w:t>
      </w:r>
      <w:r>
        <w:t xml:space="preserve"> 201(b).  </w:t>
      </w:r>
    </w:p>
  </w:footnote>
  <w:footnote w:id="13">
    <w:p w:rsidR="009E571C" w:rsidRPr="00ED5BEC" w:rsidRDefault="009E571C" w:rsidP="002600E2">
      <w:pPr>
        <w:pStyle w:val="FootnoteText"/>
      </w:pPr>
      <w:r>
        <w:rPr>
          <w:rStyle w:val="FootnoteReference"/>
        </w:rPr>
        <w:footnoteRef/>
      </w:r>
      <w:r>
        <w:t xml:space="preserve"> </w:t>
      </w:r>
      <w:r>
        <w:rPr>
          <w:i/>
        </w:rPr>
        <w:t>See Inmate Calling Report and Order and FNPRM</w:t>
      </w:r>
      <w:r>
        <w:t>, 28 FCC Rcd at 14131, para. 45 (citing</w:t>
      </w:r>
      <w:r w:rsidRPr="00F12E4B">
        <w:rPr>
          <w:i/>
        </w:rPr>
        <w:t xml:space="preserve"> </w:t>
      </w:r>
      <w:r w:rsidRPr="0003543C">
        <w:rPr>
          <w:i/>
        </w:rPr>
        <w:t>Access Charge Reform</w:t>
      </w:r>
      <w:r w:rsidRPr="005D3445">
        <w:t>,</w:t>
      </w:r>
      <w:r w:rsidRPr="0003543C">
        <w:rPr>
          <w:i/>
        </w:rPr>
        <w:t xml:space="preserve"> </w:t>
      </w:r>
      <w:r w:rsidRPr="0003543C">
        <w:t>CC Docket Nos. 96-262, 94-1, 91-213, Second Order on Reconsideration and Memorandum Opin</w:t>
      </w:r>
      <w:r>
        <w:t>ion and Order, 12 FCC Rcd 16606 at</w:t>
      </w:r>
      <w:r w:rsidRPr="0003543C">
        <w:t xml:space="preserve"> 16619-20, para. 44 </w:t>
      </w:r>
      <w:r>
        <w:t xml:space="preserve">(1997) </w:t>
      </w:r>
      <w:r w:rsidRPr="0003543C">
        <w:t xml:space="preserve">(citing </w:t>
      </w:r>
      <w:r w:rsidRPr="0003543C">
        <w:rPr>
          <w:i/>
        </w:rPr>
        <w:t>Competitive Telecomms. Ass'n v. FCC</w:t>
      </w:r>
      <w:r w:rsidRPr="0003543C">
        <w:t xml:space="preserve">, 87 </w:t>
      </w:r>
      <w:r>
        <w:t xml:space="preserve">F.3d 522, 529 (D.C. Cir. 1996))).  </w:t>
      </w:r>
    </w:p>
  </w:footnote>
  <w:footnote w:id="14">
    <w:p w:rsidR="009E571C" w:rsidRPr="0093345D" w:rsidRDefault="009E571C">
      <w:pPr>
        <w:pStyle w:val="FootnoteText"/>
      </w:pPr>
      <w:r>
        <w:rPr>
          <w:rStyle w:val="FootnoteReference"/>
        </w:rPr>
        <w:footnoteRef/>
      </w:r>
      <w:r>
        <w:t xml:space="preserve"> </w:t>
      </w:r>
      <w:r>
        <w:rPr>
          <w:i/>
        </w:rPr>
        <w:t>See id</w:t>
      </w:r>
      <w:r>
        <w:t>. at 14134, para. 53.</w:t>
      </w:r>
    </w:p>
  </w:footnote>
  <w:footnote w:id="15">
    <w:p w:rsidR="009E571C" w:rsidRPr="0093345D" w:rsidRDefault="009E571C" w:rsidP="002600E2">
      <w:pPr>
        <w:pStyle w:val="FootnoteText"/>
      </w:pPr>
      <w:r>
        <w:rPr>
          <w:rStyle w:val="FootnoteReference"/>
        </w:rPr>
        <w:footnoteRef/>
      </w:r>
      <w:r>
        <w:t xml:space="preserve"> </w:t>
      </w:r>
      <w:r w:rsidRPr="00F53A74">
        <w:rPr>
          <w:i/>
        </w:rPr>
        <w:t>See</w:t>
      </w:r>
      <w:r>
        <w:t xml:space="preserve"> 47 U.S.C. </w:t>
      </w:r>
      <w:r w:rsidRPr="0034364C">
        <w:t>§</w:t>
      </w:r>
      <w:r>
        <w:t xml:space="preserve"> 276(b).  “The Commission has previously found the term ‘fairly compensated’ permits a range of compensation rates that could be considered fair, but that the interests of both the payphone service providers and the parties paying the compensation must be taken into account.” </w:t>
      </w:r>
      <w:r w:rsidRPr="00C714C9">
        <w:rPr>
          <w:i/>
        </w:rPr>
        <w:t xml:space="preserve"> </w:t>
      </w:r>
      <w:r>
        <w:rPr>
          <w:i/>
        </w:rPr>
        <w:t>Inmate Calling Report and Order and FNPRM</w:t>
      </w:r>
      <w:r>
        <w:t xml:space="preserve">, 28 FCC Rcd at 14115, para. 14 (internal citation omitted).  The Commission has previously addressed section 276 and its application to ICS, noting that “[u]nless an ICS provider can show that (i) revenue from its interstate or intrastate calls fails to recover, for </w:t>
      </w:r>
      <w:r>
        <w:rPr>
          <w:i/>
        </w:rPr>
        <w:t>each</w:t>
      </w:r>
      <w:r>
        <w:t xml:space="preserve"> of these services, both its direct costs and some contribution to common costs, or (ii) the </w:t>
      </w:r>
      <w:r>
        <w:rPr>
          <w:i/>
        </w:rPr>
        <w:t>overall</w:t>
      </w:r>
      <w:r>
        <w:t xml:space="preserve"> profitability of its payphone operations is deficient because the provider fails to recover its total costs from its aggregate revenues (including both revenues from interstate and intrastate calls), then we would see no reason to conclude that the provider has not been ‘fairly compensated.’”  </w:t>
      </w:r>
      <w:r>
        <w:rPr>
          <w:i/>
        </w:rPr>
        <w:t>Implementation of the Pay Telephone Reclassification and Compensation Provisions of the Telecommunications Act of 1996</w:t>
      </w:r>
      <w:r>
        <w:t>, Order on Remand and Notice of Proposed Rulemaking, CC Docket No. 96-128, 17 FCC Rcd 3248, 3257-58, para. 23 (2002) (emphasis in original).</w:t>
      </w:r>
    </w:p>
  </w:footnote>
  <w:footnote w:id="16">
    <w:p w:rsidR="009E571C" w:rsidRDefault="009E571C">
      <w:pPr>
        <w:pStyle w:val="FootnoteText"/>
      </w:pPr>
      <w:r>
        <w:rPr>
          <w:rStyle w:val="FootnoteReference"/>
        </w:rPr>
        <w:footnoteRef/>
      </w:r>
      <w:r>
        <w:t xml:space="preserve"> </w:t>
      </w:r>
      <w:r>
        <w:rPr>
          <w:i/>
        </w:rPr>
        <w:t>Inmate Calling Report and Order and FNPRM</w:t>
      </w:r>
      <w:r>
        <w:t>, 28 FCC Rcd at 14131, para. 45.</w:t>
      </w:r>
    </w:p>
  </w:footnote>
  <w:footnote w:id="17">
    <w:p w:rsidR="009E571C" w:rsidRPr="00DB49B6" w:rsidRDefault="009E571C">
      <w:pPr>
        <w:pStyle w:val="FootnoteText"/>
      </w:pPr>
      <w:r>
        <w:rPr>
          <w:rStyle w:val="FootnoteReference"/>
        </w:rPr>
        <w:footnoteRef/>
      </w:r>
      <w:r>
        <w:t xml:space="preserve"> </w:t>
      </w:r>
      <w:r>
        <w:rPr>
          <w:i/>
        </w:rPr>
        <w:t>Id</w:t>
      </w:r>
      <w:r>
        <w:t>. at 14126, para. 35.</w:t>
      </w:r>
    </w:p>
  </w:footnote>
  <w:footnote w:id="18">
    <w:p w:rsidR="009E571C" w:rsidRPr="00DB49B6" w:rsidRDefault="009E571C">
      <w:pPr>
        <w:pStyle w:val="FootnoteText"/>
      </w:pPr>
      <w:r>
        <w:rPr>
          <w:rStyle w:val="FootnoteReference"/>
        </w:rPr>
        <w:footnoteRef/>
      </w:r>
      <w:r>
        <w:t xml:space="preserve"> </w:t>
      </w:r>
      <w:r>
        <w:rPr>
          <w:i/>
        </w:rPr>
        <w:t>Id</w:t>
      </w:r>
      <w:r>
        <w:t>. at 14131, para. 45.</w:t>
      </w:r>
    </w:p>
  </w:footnote>
  <w:footnote w:id="19">
    <w:p w:rsidR="009E571C" w:rsidRPr="00DB49B6" w:rsidRDefault="009E571C">
      <w:pPr>
        <w:pStyle w:val="FootnoteText"/>
      </w:pPr>
      <w:r>
        <w:rPr>
          <w:rStyle w:val="FootnoteReference"/>
        </w:rPr>
        <w:footnoteRef/>
      </w:r>
      <w:r>
        <w:t xml:space="preserve"> </w:t>
      </w:r>
      <w:r>
        <w:rPr>
          <w:i/>
        </w:rPr>
        <w:t>Id</w:t>
      </w:r>
      <w:r>
        <w:t>. at 14131-32, para. 46.</w:t>
      </w:r>
    </w:p>
  </w:footnote>
  <w:footnote w:id="20">
    <w:p w:rsidR="009E571C" w:rsidRPr="008D38D7" w:rsidRDefault="009E571C">
      <w:pPr>
        <w:pStyle w:val="FootnoteText"/>
      </w:pPr>
      <w:r>
        <w:rPr>
          <w:rStyle w:val="FootnoteReference"/>
        </w:rPr>
        <w:footnoteRef/>
      </w:r>
      <w:r>
        <w:t xml:space="preserve"> </w:t>
      </w:r>
      <w:r w:rsidRPr="00DB49B6">
        <w:rPr>
          <w:i/>
        </w:rPr>
        <w:t>Id</w:t>
      </w:r>
      <w:r>
        <w:t>. at 14147, para. 73.</w:t>
      </w:r>
    </w:p>
  </w:footnote>
  <w:footnote w:id="21">
    <w:p w:rsidR="009E571C" w:rsidRDefault="009E571C" w:rsidP="002600E2">
      <w:pPr>
        <w:pStyle w:val="FootnoteText"/>
      </w:pPr>
      <w:r>
        <w:rPr>
          <w:rStyle w:val="FootnoteReference"/>
        </w:rPr>
        <w:footnoteRef/>
      </w:r>
      <w:r>
        <w:t xml:space="preserve"> </w:t>
      </w:r>
      <w:r>
        <w:rPr>
          <w:i/>
        </w:rPr>
        <w:t xml:space="preserve">Id. </w:t>
      </w:r>
      <w:r>
        <w:t>at 14147, para. 74.</w:t>
      </w:r>
    </w:p>
  </w:footnote>
  <w:footnote w:id="22">
    <w:p w:rsidR="009E571C" w:rsidRDefault="009E571C" w:rsidP="007109A3">
      <w:pPr>
        <w:pStyle w:val="FootnoteText"/>
      </w:pPr>
      <w:r>
        <w:rPr>
          <w:rStyle w:val="FootnoteReference"/>
        </w:rPr>
        <w:footnoteRef/>
      </w:r>
      <w:r>
        <w:t xml:space="preserve"> </w:t>
      </w:r>
      <w:r>
        <w:rPr>
          <w:i/>
        </w:rPr>
        <w:t xml:space="preserve">Id. </w:t>
      </w:r>
      <w:r>
        <w:t>at 14148, para. 76.</w:t>
      </w:r>
    </w:p>
  </w:footnote>
  <w:footnote w:id="23">
    <w:p w:rsidR="009E571C" w:rsidRDefault="009E571C">
      <w:pPr>
        <w:pStyle w:val="FootnoteText"/>
      </w:pPr>
      <w:r>
        <w:rPr>
          <w:rStyle w:val="FootnoteReference"/>
        </w:rPr>
        <w:footnoteRef/>
      </w:r>
      <w:r>
        <w:t xml:space="preserve"> </w:t>
      </w:r>
      <w:r w:rsidRPr="000D05CE">
        <w:rPr>
          <w:i/>
        </w:rPr>
        <w:t>Id.</w:t>
      </w:r>
      <w:r>
        <w:t xml:space="preserve"> at 14150, para. 78.</w:t>
      </w:r>
    </w:p>
  </w:footnote>
  <w:footnote w:id="24">
    <w:p w:rsidR="009E571C" w:rsidRDefault="009E571C">
      <w:pPr>
        <w:pStyle w:val="FootnoteText"/>
      </w:pPr>
      <w:r>
        <w:rPr>
          <w:rStyle w:val="FootnoteReference"/>
        </w:rPr>
        <w:footnoteRef/>
      </w:r>
      <w:r>
        <w:t xml:space="preserve"> </w:t>
      </w:r>
      <w:r>
        <w:rPr>
          <w:i/>
        </w:rPr>
        <w:t xml:space="preserve">Id. </w:t>
      </w:r>
      <w:r>
        <w:t>at 14153, paras. 82-83.</w:t>
      </w:r>
    </w:p>
  </w:footnote>
  <w:footnote w:id="25">
    <w:p w:rsidR="009E571C" w:rsidRDefault="009E571C">
      <w:pPr>
        <w:pStyle w:val="FootnoteText"/>
      </w:pPr>
      <w:r>
        <w:rPr>
          <w:rStyle w:val="FootnoteReference"/>
        </w:rPr>
        <w:footnoteRef/>
      </w:r>
      <w:r>
        <w:t xml:space="preserve"> Pay Tel Communications, Inc. Petition for Waiver of Interim Interstate ICS Rates, WC Docket 12-375 (filed Jan. 8, 2014) (Pay Tel Waiver Petition).  </w:t>
      </w:r>
    </w:p>
  </w:footnote>
  <w:footnote w:id="26">
    <w:p w:rsidR="009E571C" w:rsidRDefault="009E571C">
      <w:pPr>
        <w:pStyle w:val="FootnoteText"/>
      </w:pPr>
      <w:r>
        <w:rPr>
          <w:rStyle w:val="FootnoteReference"/>
        </w:rPr>
        <w:footnoteRef/>
      </w:r>
      <w:r>
        <w:t xml:space="preserve"> </w:t>
      </w:r>
      <w:r>
        <w:rPr>
          <w:i/>
        </w:rPr>
        <w:t>Comment Sought on Pay Tel Communications, Inc. Waiver Petition,</w:t>
      </w:r>
      <w:r>
        <w:t xml:space="preserve"> WC Docket No. 12-375, Public Notice, 29 FCC Rcd 168 (Wireline Comp. Bur. 2014).  </w:t>
      </w:r>
    </w:p>
  </w:footnote>
  <w:footnote w:id="27">
    <w:p w:rsidR="009E571C" w:rsidRDefault="009E571C" w:rsidP="006E217F">
      <w:pPr>
        <w:pStyle w:val="FootnoteText"/>
      </w:pPr>
      <w:r>
        <w:rPr>
          <w:rStyle w:val="FootnoteReference"/>
        </w:rPr>
        <w:footnoteRef/>
      </w:r>
      <w:r>
        <w:t xml:space="preserve"> </w:t>
      </w:r>
      <w:r w:rsidRPr="00137C74">
        <w:rPr>
          <w:i/>
        </w:rPr>
        <w:t>Rates for Interstate Inmate Calling Services; Pay Tel Communications Inc.’s Petition for Waiver of Interim Interstate ICS Rates</w:t>
      </w:r>
      <w:r>
        <w:t xml:space="preserve">, WC Docket No. 12-375, Order, 29 FCC Rcd 1302 (Wireline Comp. Bur. </w:t>
      </w:r>
      <w:r w:rsidRPr="00560DA7">
        <w:t>2014)</w:t>
      </w:r>
      <w:r>
        <w:t xml:space="preserve"> (</w:t>
      </w:r>
      <w:r w:rsidRPr="00CC48C8">
        <w:rPr>
          <w:i/>
        </w:rPr>
        <w:t>Pay Tel Waiver Order</w:t>
      </w:r>
      <w:r>
        <w:t xml:space="preserve">).  </w:t>
      </w:r>
    </w:p>
  </w:footnote>
  <w:footnote w:id="28">
    <w:p w:rsidR="009E571C" w:rsidRPr="006E217F" w:rsidRDefault="009E571C">
      <w:pPr>
        <w:pStyle w:val="FootnoteText"/>
      </w:pPr>
      <w:r>
        <w:rPr>
          <w:rStyle w:val="FootnoteReference"/>
        </w:rPr>
        <w:footnoteRef/>
      </w:r>
      <w:r>
        <w:t xml:space="preserve"> </w:t>
      </w:r>
      <w:r>
        <w:rPr>
          <w:i/>
        </w:rPr>
        <w:t>See generally id</w:t>
      </w:r>
      <w:r>
        <w:t>.</w:t>
      </w:r>
    </w:p>
  </w:footnote>
  <w:footnote w:id="29">
    <w:p w:rsidR="009E571C" w:rsidRPr="00560DA7" w:rsidRDefault="009E571C" w:rsidP="008E1A32">
      <w:pPr>
        <w:pStyle w:val="FootnoteText"/>
        <w:rPr>
          <w:b/>
        </w:rPr>
      </w:pPr>
      <w:r w:rsidRPr="00560DA7">
        <w:rPr>
          <w:rStyle w:val="FootnoteReference"/>
        </w:rPr>
        <w:footnoteRef/>
      </w:r>
      <w:r w:rsidRPr="00560DA7">
        <w:t xml:space="preserve"> </w:t>
      </w:r>
      <w:r>
        <w:t xml:space="preserve">Securus 2013 Comments, Expert Report of Stephen E. </w:t>
      </w:r>
      <w:r w:rsidRPr="00560DA7">
        <w:t>Siwek</w:t>
      </w:r>
      <w:r>
        <w:t>,</w:t>
      </w:r>
      <w:r w:rsidRPr="00560DA7">
        <w:t xml:space="preserve"> </w:t>
      </w:r>
      <w:r>
        <w:t>WC Docket No. 12-375 at 2 (filed Mar. 25, 2013) (Siwek Report)</w:t>
      </w:r>
      <w:r w:rsidRPr="00560DA7">
        <w:t xml:space="preserve">.  </w:t>
      </w:r>
    </w:p>
  </w:footnote>
  <w:footnote w:id="30">
    <w:p w:rsidR="009E571C" w:rsidRPr="00560DA7" w:rsidRDefault="009E571C" w:rsidP="008E1A32">
      <w:pPr>
        <w:pStyle w:val="FootnoteText"/>
      </w:pPr>
      <w:r w:rsidRPr="00560DA7">
        <w:rPr>
          <w:rStyle w:val="FootnoteReference"/>
        </w:rPr>
        <w:footnoteRef/>
      </w:r>
      <w:r w:rsidRPr="00560DA7">
        <w:t xml:space="preserve"> </w:t>
      </w:r>
      <w:r w:rsidRPr="00B5158D">
        <w:rPr>
          <w:i/>
        </w:rPr>
        <w:t xml:space="preserve">See </w:t>
      </w:r>
      <w:r>
        <w:rPr>
          <w:i/>
        </w:rPr>
        <w:t>supra</w:t>
      </w:r>
      <w:r>
        <w:t xml:space="preserve"> note 1.  </w:t>
      </w:r>
    </w:p>
  </w:footnote>
  <w:footnote w:id="31">
    <w:p w:rsidR="009E571C" w:rsidRPr="00560DA7" w:rsidRDefault="009E571C" w:rsidP="008E1A32">
      <w:pPr>
        <w:pStyle w:val="FootnoteText"/>
      </w:pPr>
      <w:r w:rsidRPr="00560DA7">
        <w:rPr>
          <w:rStyle w:val="FootnoteReference"/>
        </w:rPr>
        <w:footnoteRef/>
      </w:r>
      <w:r w:rsidRPr="00560DA7">
        <w:t xml:space="preserve"> </w:t>
      </w:r>
      <w:r w:rsidRPr="00560DA7">
        <w:rPr>
          <w:i/>
        </w:rPr>
        <w:t xml:space="preserve">Comment Sought on </w:t>
      </w:r>
      <w:r>
        <w:rPr>
          <w:i/>
        </w:rPr>
        <w:t xml:space="preserve">Securus Technologies, Inc. Inmate Calling Services </w:t>
      </w:r>
      <w:r w:rsidRPr="00560DA7">
        <w:rPr>
          <w:i/>
        </w:rPr>
        <w:t>Petition</w:t>
      </w:r>
      <w:r>
        <w:rPr>
          <w:i/>
        </w:rPr>
        <w:t>s</w:t>
      </w:r>
      <w:r w:rsidRPr="00560DA7">
        <w:rPr>
          <w:i/>
        </w:rPr>
        <w:t>,</w:t>
      </w:r>
      <w:r w:rsidRPr="00560DA7">
        <w:t xml:space="preserve"> WC Docket N</w:t>
      </w:r>
      <w:r>
        <w:t>o. 12-375, Public Notice, 29 FCC Rcd 2141 (Wireline Comp. Bur.</w:t>
      </w:r>
      <w:r w:rsidRPr="00560DA7">
        <w:t xml:space="preserve"> 2014).  </w:t>
      </w:r>
    </w:p>
  </w:footnote>
  <w:footnote w:id="32">
    <w:p w:rsidR="009E571C" w:rsidRPr="00560DA7" w:rsidRDefault="009E571C" w:rsidP="008E1A32">
      <w:pPr>
        <w:pStyle w:val="FootnoteText"/>
      </w:pPr>
      <w:r w:rsidRPr="00560DA7">
        <w:rPr>
          <w:rStyle w:val="FootnoteReference"/>
        </w:rPr>
        <w:footnoteRef/>
      </w:r>
      <w:r w:rsidRPr="00560DA7">
        <w:t xml:space="preserve"> </w:t>
      </w:r>
      <w:r>
        <w:t>Waiver Expansion Petition</w:t>
      </w:r>
      <w:r w:rsidRPr="00560DA7">
        <w:t xml:space="preserve"> at 1.  </w:t>
      </w:r>
    </w:p>
  </w:footnote>
  <w:footnote w:id="33">
    <w:p w:rsidR="009E571C" w:rsidRPr="00560DA7" w:rsidRDefault="009E571C" w:rsidP="008E1A32">
      <w:pPr>
        <w:pStyle w:val="FootnoteText"/>
      </w:pPr>
      <w:r w:rsidRPr="00560DA7">
        <w:rPr>
          <w:rStyle w:val="FootnoteReference"/>
        </w:rPr>
        <w:footnoteRef/>
      </w:r>
      <w:r w:rsidRPr="00560DA7">
        <w:t xml:space="preserve"> </w:t>
      </w:r>
      <w:r w:rsidRPr="000D05CE">
        <w:rPr>
          <w:i/>
        </w:rPr>
        <w:t>See</w:t>
      </w:r>
      <w:r>
        <w:t xml:space="preserve"> </w:t>
      </w:r>
      <w:r>
        <w:rPr>
          <w:i/>
        </w:rPr>
        <w:t>i</w:t>
      </w:r>
      <w:r w:rsidRPr="00AA4BB3">
        <w:rPr>
          <w:i/>
        </w:rPr>
        <w:t>d</w:t>
      </w:r>
      <w:r>
        <w:t>.</w:t>
      </w:r>
    </w:p>
  </w:footnote>
  <w:footnote w:id="34">
    <w:p w:rsidR="009E571C" w:rsidRDefault="009E571C">
      <w:pPr>
        <w:pStyle w:val="FootnoteText"/>
      </w:pPr>
      <w:r>
        <w:rPr>
          <w:rStyle w:val="FootnoteReference"/>
        </w:rPr>
        <w:footnoteRef/>
      </w:r>
      <w:r>
        <w:t xml:space="preserve"> 47 C.F.R § 64.6030.  </w:t>
      </w:r>
    </w:p>
  </w:footnote>
  <w:footnote w:id="35">
    <w:p w:rsidR="009E571C" w:rsidRPr="00560DA7" w:rsidRDefault="009E571C" w:rsidP="0075769B">
      <w:pPr>
        <w:pStyle w:val="FootnoteText"/>
      </w:pPr>
      <w:r w:rsidRPr="00560DA7">
        <w:rPr>
          <w:rStyle w:val="FootnoteReference"/>
        </w:rPr>
        <w:footnoteRef/>
      </w:r>
      <w:r w:rsidRPr="00560DA7">
        <w:t xml:space="preserve"> </w:t>
      </w:r>
      <w:r w:rsidRPr="000D05CE">
        <w:rPr>
          <w:i/>
        </w:rPr>
        <w:t>See</w:t>
      </w:r>
      <w:r>
        <w:t xml:space="preserve"> </w:t>
      </w:r>
      <w:r>
        <w:rPr>
          <w:i/>
        </w:rPr>
        <w:t>i</w:t>
      </w:r>
      <w:r w:rsidRPr="00634733">
        <w:rPr>
          <w:i/>
        </w:rPr>
        <w:t>d.</w:t>
      </w:r>
      <w:r>
        <w:t xml:space="preserve"> </w:t>
      </w:r>
      <w:r w:rsidRPr="00560DA7">
        <w:t>at 6-7</w:t>
      </w:r>
      <w:r>
        <w:t xml:space="preserve">; Securus supplemented its Waiver Expansion Petition with an </w:t>
      </w:r>
      <w:r w:rsidRPr="0076289C">
        <w:rPr>
          <w:i/>
        </w:rPr>
        <w:t>ex parte</w:t>
      </w:r>
      <w:r>
        <w:t xml:space="preserve"> filing on March 4, 2014 quantifying its estimated annual shortfall.  </w:t>
      </w:r>
      <w:r>
        <w:rPr>
          <w:i/>
        </w:rPr>
        <w:t xml:space="preserve">See </w:t>
      </w:r>
      <w:r>
        <w:t xml:space="preserve">Letter from Stephanie A. Joyce, Counsel for Securus, to Marlene H. Dortch, Secretary, FCC, WC Docket No. 12-375 at 1 (filed Mar. 4, 2014) (Securus Mar. 4, 2014 </w:t>
      </w:r>
      <w:r w:rsidRPr="001D2A32">
        <w:rPr>
          <w:i/>
        </w:rPr>
        <w:t>Ex Parte</w:t>
      </w:r>
      <w:r>
        <w:t xml:space="preserve"> Letter) (“Securus will incur . . . a shortfall of ‘approximately </w:t>
      </w:r>
      <w:r w:rsidRPr="0076289C">
        <w:rPr>
          <w:b/>
        </w:rPr>
        <w:t>$1.5 Million</w:t>
      </w:r>
      <w:r>
        <w:t>’ annually under the Interim Rate Caps as opposed to the $0.46 per minute rate that Pay Tel may charge.”)</w:t>
      </w:r>
      <w:r w:rsidRPr="000867AB">
        <w:t xml:space="preserve"> </w:t>
      </w:r>
      <w:r>
        <w:t xml:space="preserve">(emphasis in original).  As explained below, Securus attempts to cast a decline in revenues as an inability to recover its costs.  </w:t>
      </w:r>
      <w:r w:rsidRPr="005F5A28">
        <w:rPr>
          <w:i/>
        </w:rPr>
        <w:t xml:space="preserve">See </w:t>
      </w:r>
      <w:r>
        <w:rPr>
          <w:i/>
        </w:rPr>
        <w:t>infra</w:t>
      </w:r>
      <w:r>
        <w:t xml:space="preserve"> para. 20 &amp; note </w:t>
      </w:r>
      <w:r>
        <w:fldChar w:fldCharType="begin"/>
      </w:r>
      <w:r>
        <w:instrText xml:space="preserve"> NOTEREF _Ref389637443 \h </w:instrText>
      </w:r>
      <w:r>
        <w:fldChar w:fldCharType="separate"/>
      </w:r>
      <w:r w:rsidR="00C37069">
        <w:t>84</w:t>
      </w:r>
      <w:r>
        <w:fldChar w:fldCharType="end"/>
      </w:r>
      <w:r>
        <w:t xml:space="preserve">.  </w:t>
      </w:r>
    </w:p>
  </w:footnote>
  <w:footnote w:id="36">
    <w:p w:rsidR="009E571C" w:rsidRPr="00560DA7" w:rsidRDefault="009E571C" w:rsidP="008E1A32">
      <w:pPr>
        <w:pStyle w:val="FootnoteText"/>
      </w:pPr>
      <w:r w:rsidRPr="00560DA7">
        <w:rPr>
          <w:rStyle w:val="FootnoteReference"/>
        </w:rPr>
        <w:footnoteRef/>
      </w:r>
      <w:r w:rsidRPr="00560DA7">
        <w:t xml:space="preserve"> </w:t>
      </w:r>
      <w:r w:rsidRPr="00020523">
        <w:t xml:space="preserve">Voice Biometrics Petition </w:t>
      </w:r>
      <w:r w:rsidRPr="00560DA7">
        <w:t xml:space="preserve">at 1.  </w:t>
      </w:r>
    </w:p>
  </w:footnote>
  <w:footnote w:id="37">
    <w:p w:rsidR="009E571C" w:rsidRPr="00560DA7" w:rsidRDefault="009E571C" w:rsidP="008E1A32">
      <w:pPr>
        <w:pStyle w:val="FootnoteText"/>
      </w:pPr>
      <w:r w:rsidRPr="00560DA7">
        <w:rPr>
          <w:rStyle w:val="FootnoteReference"/>
        </w:rPr>
        <w:footnoteRef/>
      </w:r>
      <w:r w:rsidRPr="00560DA7">
        <w:t xml:space="preserve"> </w:t>
      </w:r>
      <w:r w:rsidRPr="000D05CE">
        <w:rPr>
          <w:i/>
        </w:rPr>
        <w:t>See</w:t>
      </w:r>
      <w:r>
        <w:t xml:space="preserve"> </w:t>
      </w:r>
      <w:r>
        <w:rPr>
          <w:i/>
        </w:rPr>
        <w:t>i</w:t>
      </w:r>
      <w:r w:rsidRPr="00634733">
        <w:rPr>
          <w:i/>
        </w:rPr>
        <w:t>d.</w:t>
      </w:r>
      <w:r w:rsidRPr="00560DA7">
        <w:t xml:space="preserve">  </w:t>
      </w:r>
    </w:p>
  </w:footnote>
  <w:footnote w:id="38">
    <w:p w:rsidR="009E571C" w:rsidRPr="00560DA7" w:rsidRDefault="009E571C" w:rsidP="008E1A32">
      <w:pPr>
        <w:pStyle w:val="FootnoteText"/>
      </w:pPr>
      <w:r w:rsidRPr="00560DA7">
        <w:rPr>
          <w:rStyle w:val="FootnoteReference"/>
        </w:rPr>
        <w:footnoteRef/>
      </w:r>
      <w:r w:rsidRPr="00560DA7">
        <w:t xml:space="preserve"> </w:t>
      </w:r>
      <w:r w:rsidRPr="00AA4BB3">
        <w:rPr>
          <w:i/>
        </w:rPr>
        <w:t>Id</w:t>
      </w:r>
      <w:r>
        <w:t xml:space="preserve">. </w:t>
      </w:r>
      <w:r w:rsidRPr="00560DA7">
        <w:t xml:space="preserve">at 3.  </w:t>
      </w:r>
    </w:p>
  </w:footnote>
  <w:footnote w:id="39">
    <w:p w:rsidR="009E571C" w:rsidRPr="00560DA7" w:rsidRDefault="009E571C" w:rsidP="008E1A32">
      <w:pPr>
        <w:pStyle w:val="FootnoteText"/>
      </w:pPr>
      <w:r w:rsidRPr="00560DA7">
        <w:rPr>
          <w:rStyle w:val="FootnoteReference"/>
        </w:rPr>
        <w:footnoteRef/>
      </w:r>
      <w:r w:rsidRPr="00560DA7">
        <w:t xml:space="preserve"> </w:t>
      </w:r>
      <w:r w:rsidRPr="00634733">
        <w:rPr>
          <w:i/>
        </w:rPr>
        <w:t>Id.</w:t>
      </w:r>
      <w:r>
        <w:rPr>
          <w:i/>
        </w:rPr>
        <w:t xml:space="preserve"> </w:t>
      </w:r>
      <w:r w:rsidRPr="00560DA7">
        <w:t xml:space="preserve">at 4.  </w:t>
      </w:r>
    </w:p>
  </w:footnote>
  <w:footnote w:id="40">
    <w:p w:rsidR="009E571C" w:rsidRDefault="009E571C">
      <w:pPr>
        <w:pStyle w:val="FootnoteText"/>
      </w:pPr>
      <w:r>
        <w:rPr>
          <w:rStyle w:val="FootnoteReference"/>
        </w:rPr>
        <w:footnoteRef/>
      </w:r>
      <w:r>
        <w:t xml:space="preserve"> Martha Wright, et al. Opposition to Petition for Leave to Add Fee, WC Docket No. 12-375 (filed Feb. 28, 2014) (Wright Petitioners’ Opposition).  </w:t>
      </w:r>
    </w:p>
  </w:footnote>
  <w:footnote w:id="41">
    <w:p w:rsidR="009E571C" w:rsidRDefault="009E571C">
      <w:pPr>
        <w:pStyle w:val="FootnoteText"/>
      </w:pPr>
      <w:r>
        <w:rPr>
          <w:rStyle w:val="FootnoteReference"/>
        </w:rPr>
        <w:footnoteRef/>
      </w:r>
      <w:r>
        <w:t xml:space="preserve"> Martha Wright, et al. Consolidated Comments, WC Docket No. 12-375 (filed Mar. 11, 2014)</w:t>
      </w:r>
      <w:r w:rsidRPr="00CA68BE">
        <w:t xml:space="preserve"> </w:t>
      </w:r>
      <w:r>
        <w:t>(Wright Petitioners’ Consolidated Comments); Martha Wright, et al. Consolidated Reply Comments, WC Docket No. 12-375 (filed Mar. 18, 2014)</w:t>
      </w:r>
      <w:r w:rsidRPr="00CA68BE">
        <w:t xml:space="preserve"> </w:t>
      </w:r>
      <w:r>
        <w:t xml:space="preserve">(Wright Petitioners’ Consolidated Reply Comments).  </w:t>
      </w:r>
    </w:p>
  </w:footnote>
  <w:footnote w:id="42">
    <w:p w:rsidR="009E571C" w:rsidRDefault="009E571C" w:rsidP="000145DD">
      <w:pPr>
        <w:pStyle w:val="FootnoteText"/>
      </w:pPr>
      <w:r>
        <w:rPr>
          <w:rStyle w:val="FootnoteReference"/>
        </w:rPr>
        <w:footnoteRef/>
      </w:r>
      <w:r>
        <w:t xml:space="preserve"> Wright Petitioners’ Consolidated Comments at 2-3.  </w:t>
      </w:r>
    </w:p>
  </w:footnote>
  <w:footnote w:id="43">
    <w:p w:rsidR="009E571C" w:rsidRDefault="009E571C" w:rsidP="00D20F90">
      <w:pPr>
        <w:pStyle w:val="FootnoteText"/>
      </w:pPr>
      <w:r>
        <w:rPr>
          <w:rStyle w:val="FootnoteReference"/>
        </w:rPr>
        <w:footnoteRef/>
      </w:r>
      <w:r>
        <w:t xml:space="preserve"> </w:t>
      </w:r>
      <w:r w:rsidRPr="00600BB5">
        <w:rPr>
          <w:i/>
        </w:rPr>
        <w:t>Id.</w:t>
      </w:r>
      <w:r>
        <w:t xml:space="preserve"> at 1.  </w:t>
      </w:r>
    </w:p>
  </w:footnote>
  <w:footnote w:id="44">
    <w:p w:rsidR="009E571C" w:rsidRDefault="009E571C">
      <w:pPr>
        <w:pStyle w:val="FootnoteText"/>
      </w:pPr>
      <w:r>
        <w:rPr>
          <w:rStyle w:val="FootnoteReference"/>
        </w:rPr>
        <w:footnoteRef/>
      </w:r>
      <w:r>
        <w:t xml:space="preserve"> Daniel Ream, et al., Opposition to Petition for Securus Technologies, Inc. Leave to Add Fee, WC Docket No. 12-375 at 1 (filed Mar. 7, 2014) (Ream Opposition) (“Paytel, Inc. [sic] . . . was required by the FCC to submit audited financial statements and a detailed cost study in addition to its request for the waiver.  </w:t>
      </w:r>
      <w:r w:rsidRPr="00D6444E">
        <w:t>Securus, has not submitted any such cost studies, any such analysis, and simply wishes to piggyback off of the waiver granted to Paytel.”</w:t>
      </w:r>
      <w:r>
        <w:t xml:space="preserve">).  </w:t>
      </w:r>
    </w:p>
  </w:footnote>
  <w:footnote w:id="45">
    <w:p w:rsidR="009E571C" w:rsidRDefault="009E571C" w:rsidP="00F552AC">
      <w:pPr>
        <w:pStyle w:val="FootnoteText"/>
      </w:pPr>
      <w:r>
        <w:rPr>
          <w:rStyle w:val="FootnoteReference"/>
        </w:rPr>
        <w:footnoteRef/>
      </w:r>
      <w:r>
        <w:t xml:space="preserve"> Reply Comments of Global Tel*Link Corporation on Securus Technologies, Inc.’s Inmate Calling Services Petitions, WC Docket No. 12-375 at 4 (filed Mar. 18, 2014) (GTL Reply).</w:t>
      </w:r>
    </w:p>
  </w:footnote>
  <w:footnote w:id="46">
    <w:p w:rsidR="009E571C" w:rsidRDefault="009E571C">
      <w:pPr>
        <w:pStyle w:val="FootnoteText"/>
      </w:pPr>
      <w:r>
        <w:rPr>
          <w:rStyle w:val="FootnoteReference"/>
        </w:rPr>
        <w:footnoteRef/>
      </w:r>
      <w:r>
        <w:t xml:space="preserve"> Comments of CenturyLink Regarding Securus Technologies Inc.’s Inmate Calling Service Petitions, WC Docket No. 12-375 at 4 (filed Mar. 11, 2014) (CenturyLink Comments).  </w:t>
      </w:r>
    </w:p>
  </w:footnote>
  <w:footnote w:id="47">
    <w:p w:rsidR="009E571C" w:rsidRDefault="009E571C" w:rsidP="00F552AC">
      <w:pPr>
        <w:pStyle w:val="FootnoteText"/>
      </w:pPr>
      <w:r>
        <w:rPr>
          <w:rStyle w:val="FootnoteReference"/>
        </w:rPr>
        <w:footnoteRef/>
      </w:r>
      <w:r>
        <w:t xml:space="preserve"> Network Communications International Corp. Comments on Additional Requests for Limited Waiver of Its Inmate Calling Service Rate Caps, WC Docket No. 12-375 at 1 (filed Mar. 18, 2014)</w:t>
      </w:r>
      <w:r w:rsidRPr="00E41958">
        <w:t xml:space="preserve"> </w:t>
      </w:r>
      <w:r>
        <w:t xml:space="preserve">(NCIC Reply).  </w:t>
      </w:r>
    </w:p>
  </w:footnote>
  <w:footnote w:id="48">
    <w:p w:rsidR="009E571C" w:rsidRDefault="009E571C">
      <w:pPr>
        <w:pStyle w:val="FootnoteText"/>
      </w:pPr>
      <w:r>
        <w:rPr>
          <w:rStyle w:val="FootnoteReference"/>
        </w:rPr>
        <w:footnoteRef/>
      </w:r>
      <w:r>
        <w:t xml:space="preserve"> </w:t>
      </w:r>
      <w:r w:rsidRPr="00BD6461">
        <w:t xml:space="preserve">Securus Technologies </w:t>
      </w:r>
      <w:r>
        <w:t xml:space="preserve">Reply in Support of Petition to Expand </w:t>
      </w:r>
      <w:r w:rsidRPr="00BD6461">
        <w:t>Pay Tel Waiver</w:t>
      </w:r>
      <w:r>
        <w:t>,</w:t>
      </w:r>
      <w:r w:rsidRPr="00BD6461">
        <w:t xml:space="preserve"> </w:t>
      </w:r>
      <w:r>
        <w:t>WC Docket No. 12-375</w:t>
      </w:r>
      <w:r w:rsidRPr="00BD6461">
        <w:t xml:space="preserve"> (</w:t>
      </w:r>
      <w:r>
        <w:t>filed March 17,</w:t>
      </w:r>
      <w:r w:rsidRPr="00BD6461">
        <w:t xml:space="preserve"> 2014) (</w:t>
      </w:r>
      <w:r>
        <w:t xml:space="preserve">Securus </w:t>
      </w:r>
      <w:r w:rsidRPr="00BD6461">
        <w:t>Waiver Expansion Petition</w:t>
      </w:r>
      <w:r>
        <w:t xml:space="preserve"> Reply</w:t>
      </w:r>
      <w:r w:rsidRPr="00BD6461">
        <w:t xml:space="preserve">); Securus Technologies </w:t>
      </w:r>
      <w:r>
        <w:t xml:space="preserve">Reply in Support of </w:t>
      </w:r>
      <w:r w:rsidRPr="00BD6461">
        <w:t xml:space="preserve">Petition </w:t>
      </w:r>
      <w:r w:rsidRPr="00A12A0C">
        <w:t>for Leave to Add Fee for Voice Biometrics Technology</w:t>
      </w:r>
      <w:r>
        <w:t>,</w:t>
      </w:r>
      <w:r w:rsidRPr="00BD6461">
        <w:t xml:space="preserve"> WC Docket No. 12-375 (</w:t>
      </w:r>
      <w:r>
        <w:t>Mar</w:t>
      </w:r>
      <w:r w:rsidRPr="00BD6461">
        <w:t>. 1</w:t>
      </w:r>
      <w:r>
        <w:t>7</w:t>
      </w:r>
      <w:r w:rsidRPr="00BD6461">
        <w:t>, 2014) (</w:t>
      </w:r>
      <w:r>
        <w:t xml:space="preserve">Securus </w:t>
      </w:r>
      <w:r w:rsidRPr="00BD6461">
        <w:t>Voice Biometrics Petition</w:t>
      </w:r>
      <w:r>
        <w:t xml:space="preserve"> Reply</w:t>
      </w:r>
      <w:r w:rsidRPr="00BD6461">
        <w:t xml:space="preserve">).  </w:t>
      </w:r>
    </w:p>
  </w:footnote>
  <w:footnote w:id="49">
    <w:p w:rsidR="009E571C" w:rsidRPr="00560DA7" w:rsidRDefault="009E571C" w:rsidP="008E1A32">
      <w:pPr>
        <w:pStyle w:val="FootnoteText"/>
      </w:pPr>
      <w:r w:rsidRPr="00560DA7">
        <w:rPr>
          <w:rStyle w:val="FootnoteReference"/>
        </w:rPr>
        <w:footnoteRef/>
      </w:r>
      <w:r w:rsidRPr="00560DA7">
        <w:t xml:space="preserve"> </w:t>
      </w:r>
      <w:r>
        <w:t xml:space="preserve">47 C.F.R. § 64.6030; </w:t>
      </w:r>
      <w:r>
        <w:rPr>
          <w:i/>
        </w:rPr>
        <w:t>s</w:t>
      </w:r>
      <w:r w:rsidRPr="00560DA7">
        <w:rPr>
          <w:i/>
        </w:rPr>
        <w:t>ee</w:t>
      </w:r>
      <w:r>
        <w:rPr>
          <w:i/>
        </w:rPr>
        <w:t xml:space="preserve"> also</w:t>
      </w:r>
      <w:r w:rsidRPr="00560DA7">
        <w:rPr>
          <w:i/>
        </w:rPr>
        <w:t xml:space="preserve"> </w:t>
      </w:r>
      <w:r>
        <w:t xml:space="preserve">Waiver Expansion Petition at 1; </w:t>
      </w:r>
      <w:r w:rsidRPr="00020523">
        <w:t xml:space="preserve">Voice Biometrics Petition </w:t>
      </w:r>
      <w:r>
        <w:t>at 1</w:t>
      </w:r>
      <w:r w:rsidRPr="00560DA7">
        <w:t xml:space="preserve">.  </w:t>
      </w:r>
    </w:p>
  </w:footnote>
  <w:footnote w:id="50">
    <w:p w:rsidR="009E571C" w:rsidRPr="00560DA7" w:rsidRDefault="009E571C" w:rsidP="008E1A32">
      <w:pPr>
        <w:pStyle w:val="FootnoteText"/>
      </w:pPr>
      <w:r w:rsidRPr="00560DA7">
        <w:rPr>
          <w:rStyle w:val="FootnoteReference"/>
        </w:rPr>
        <w:footnoteRef/>
      </w:r>
      <w:r w:rsidRPr="00560DA7">
        <w:t xml:space="preserve"> 47 C.F.R. </w:t>
      </w:r>
      <w:r w:rsidRPr="00560DA7">
        <w:rPr>
          <w:szCs w:val="22"/>
        </w:rPr>
        <w:t>§</w:t>
      </w:r>
      <w:r w:rsidRPr="00560DA7">
        <w:t xml:space="preserve"> 1.3 </w:t>
      </w:r>
      <w:r>
        <w:t>(</w:t>
      </w:r>
      <w:r w:rsidRPr="00560DA7">
        <w:t>“Any provision of the rules may be waived by the Commission on its own motion or on petition if good cause therefor is shown.”</w:t>
      </w:r>
      <w:r>
        <w:t>)</w:t>
      </w:r>
      <w:r w:rsidRPr="00560DA7">
        <w:t>.</w:t>
      </w:r>
      <w:r>
        <w:t xml:space="preserve">  </w:t>
      </w:r>
    </w:p>
  </w:footnote>
  <w:footnote w:id="51">
    <w:p w:rsidR="009E571C" w:rsidRPr="00560DA7" w:rsidRDefault="009E571C" w:rsidP="008E1A32">
      <w:pPr>
        <w:pStyle w:val="FootnoteText"/>
        <w:rPr>
          <w:b/>
        </w:rPr>
      </w:pPr>
      <w:r w:rsidRPr="00560DA7">
        <w:rPr>
          <w:rStyle w:val="FootnoteReference"/>
        </w:rPr>
        <w:footnoteRef/>
      </w:r>
      <w:r w:rsidRPr="00560DA7">
        <w:t xml:space="preserve"> </w:t>
      </w:r>
      <w:r w:rsidRPr="00560DA7">
        <w:rPr>
          <w:i/>
        </w:rPr>
        <w:t>Cellular Telephone Co. v. FCC</w:t>
      </w:r>
      <w:r w:rsidRPr="00560DA7">
        <w:t>, 897 F.2d 1164, 1166 (D.C. Cir. 1990) (</w:t>
      </w:r>
      <w:r w:rsidRPr="00560DA7">
        <w:rPr>
          <w:i/>
        </w:rPr>
        <w:t>Northeast Cellular</w:t>
      </w:r>
      <w:r w:rsidRPr="00560DA7">
        <w:t xml:space="preserve">).  The Commission may exercise its discretion to waive a rule where the particular facts make strict compliance inconsistent with the public interest.  </w:t>
      </w:r>
      <w:r w:rsidRPr="00560DA7">
        <w:rPr>
          <w:i/>
        </w:rPr>
        <w:t>Northeast Cellular</w:t>
      </w:r>
      <w:r w:rsidRPr="00560DA7">
        <w:t xml:space="preserve"> 897 F.2d at 1166.  In addition, the Commission may take into account considerations of hardship, equity, or more effective implementation of overall policy on an individual basis.</w:t>
      </w:r>
      <w:r w:rsidRPr="00560DA7">
        <w:rPr>
          <w:i/>
        </w:rPr>
        <w:t xml:space="preserve">  WAIT Radio v. FCC</w:t>
      </w:r>
      <w:r w:rsidRPr="00560DA7">
        <w:t xml:space="preserve">, 418 F.2d 1153, 1159 (D.C. Cir. 1969); </w:t>
      </w:r>
      <w:r w:rsidRPr="00560DA7">
        <w:rPr>
          <w:i/>
        </w:rPr>
        <w:t>Northeast Cellular</w:t>
      </w:r>
      <w:r w:rsidRPr="00560DA7">
        <w:t xml:space="preserve">, 897 F.2d at 1166.  Waiver of the Commission’s rules is appropriate only if both (i) special circumstances warrant a deviation from the general rule, and (ii) such deviation will serve the public interest. </w:t>
      </w:r>
      <w:r w:rsidRPr="00560DA7">
        <w:rPr>
          <w:i/>
        </w:rPr>
        <w:t xml:space="preserve"> Northeast Cellular</w:t>
      </w:r>
      <w:r w:rsidRPr="00560DA7">
        <w:t xml:space="preserve">, 897 F.2d at 1166. </w:t>
      </w:r>
    </w:p>
  </w:footnote>
  <w:footnote w:id="52">
    <w:p w:rsidR="009E571C" w:rsidRPr="00560DA7" w:rsidRDefault="009E571C" w:rsidP="008E1A32">
      <w:pPr>
        <w:pStyle w:val="FootnoteText"/>
      </w:pPr>
      <w:r w:rsidRPr="00560DA7">
        <w:rPr>
          <w:rStyle w:val="FootnoteReference"/>
        </w:rPr>
        <w:footnoteRef/>
      </w:r>
      <w:r w:rsidRPr="00560DA7">
        <w:t xml:space="preserve"> </w:t>
      </w:r>
      <w:r w:rsidRPr="00560DA7">
        <w:rPr>
          <w:i/>
        </w:rPr>
        <w:t>Inmate Calling Report and Order and FNPRM,</w:t>
      </w:r>
      <w:r w:rsidRPr="00560DA7">
        <w:t xml:space="preserve"> 28 FCC Rcd at 14153, para. 82.  </w:t>
      </w:r>
    </w:p>
  </w:footnote>
  <w:footnote w:id="53">
    <w:p w:rsidR="009E571C" w:rsidRPr="00560DA7" w:rsidRDefault="009E571C" w:rsidP="008E1A32">
      <w:pPr>
        <w:pStyle w:val="FootnoteText"/>
      </w:pPr>
      <w:r w:rsidRPr="00560DA7">
        <w:rPr>
          <w:rStyle w:val="FootnoteReference"/>
        </w:rPr>
        <w:footnoteRef/>
      </w:r>
      <w:r w:rsidRPr="00560DA7">
        <w:t xml:space="preserve"> </w:t>
      </w:r>
      <w:r w:rsidRPr="00560DA7">
        <w:rPr>
          <w:i/>
        </w:rPr>
        <w:t>Id.</w:t>
      </w:r>
      <w:r w:rsidRPr="00560DA7">
        <w:t xml:space="preserve"> at 14164, para. 105.  The factors are “costs directly related to the provision of interstate ICS and ancillary services; demand levels and trends; a reasonable allocation of common costs shared with the providers’ non-inmate calling services; and general and administrative cost data.”  </w:t>
      </w:r>
      <w:r w:rsidRPr="00560DA7">
        <w:rPr>
          <w:i/>
        </w:rPr>
        <w:t>Id</w:t>
      </w:r>
      <w:r w:rsidRPr="00560DA7">
        <w:t xml:space="preserve">. at 14153, para. 82.  </w:t>
      </w:r>
    </w:p>
  </w:footnote>
  <w:footnote w:id="54">
    <w:p w:rsidR="009E571C" w:rsidRPr="00720C6A" w:rsidRDefault="009E571C" w:rsidP="008E1A32">
      <w:pPr>
        <w:pStyle w:val="FootnoteText"/>
      </w:pPr>
      <w:r w:rsidRPr="00560DA7">
        <w:rPr>
          <w:rStyle w:val="FootnoteReference"/>
        </w:rPr>
        <w:footnoteRef/>
      </w:r>
      <w:r w:rsidRPr="00560DA7">
        <w:t xml:space="preserve"> </w:t>
      </w:r>
      <w:r w:rsidRPr="00560DA7">
        <w:rPr>
          <w:i/>
        </w:rPr>
        <w:t>Id</w:t>
      </w:r>
      <w:r w:rsidRPr="00560DA7">
        <w:t>. at 14153, para. 83.</w:t>
      </w:r>
      <w:r w:rsidRPr="00720C6A">
        <w:t xml:space="preserve">  </w:t>
      </w:r>
    </w:p>
  </w:footnote>
  <w:footnote w:id="55">
    <w:p w:rsidR="009E571C" w:rsidRPr="00720C6A" w:rsidRDefault="009E571C" w:rsidP="008E1A32">
      <w:pPr>
        <w:pStyle w:val="FootnoteText"/>
      </w:pPr>
      <w:r w:rsidRPr="00720C6A">
        <w:rPr>
          <w:rStyle w:val="FootnoteReference"/>
        </w:rPr>
        <w:footnoteRef/>
      </w:r>
      <w:r w:rsidRPr="00720C6A">
        <w:t xml:space="preserve"> </w:t>
      </w:r>
      <w:r>
        <w:rPr>
          <w:i/>
        </w:rPr>
        <w:t>See i</w:t>
      </w:r>
      <w:r w:rsidRPr="00720C6A">
        <w:rPr>
          <w:i/>
        </w:rPr>
        <w:t xml:space="preserve">d. </w:t>
      </w:r>
    </w:p>
  </w:footnote>
  <w:footnote w:id="56">
    <w:p w:rsidR="009E571C" w:rsidRDefault="009E571C" w:rsidP="008E1A32">
      <w:pPr>
        <w:pStyle w:val="FootnoteText"/>
      </w:pPr>
      <w:r w:rsidRPr="00720C6A">
        <w:rPr>
          <w:rStyle w:val="FootnoteReference"/>
        </w:rPr>
        <w:footnoteRef/>
      </w:r>
      <w:r w:rsidRPr="00720C6A">
        <w:t xml:space="preserve"> </w:t>
      </w:r>
      <w:r w:rsidRPr="00720C6A">
        <w:rPr>
          <w:i/>
        </w:rPr>
        <w:t>Id</w:t>
      </w:r>
      <w:r w:rsidRPr="00720C6A">
        <w:t>. at 14154, para. 84.</w:t>
      </w:r>
    </w:p>
  </w:footnote>
  <w:footnote w:id="57">
    <w:p w:rsidR="009E571C" w:rsidRPr="00137C74" w:rsidRDefault="009E571C">
      <w:pPr>
        <w:pStyle w:val="FootnoteText"/>
      </w:pPr>
      <w:r>
        <w:rPr>
          <w:rStyle w:val="FootnoteReference"/>
        </w:rPr>
        <w:footnoteRef/>
      </w:r>
      <w:r>
        <w:t xml:space="preserve"> </w:t>
      </w:r>
      <w:r>
        <w:rPr>
          <w:i/>
        </w:rPr>
        <w:t xml:space="preserve">See generally </w:t>
      </w:r>
      <w:r>
        <w:t>Pay Tel Waiver Petition.</w:t>
      </w:r>
    </w:p>
  </w:footnote>
  <w:footnote w:id="58">
    <w:p w:rsidR="009E571C" w:rsidRPr="00354A3E" w:rsidRDefault="009E571C">
      <w:pPr>
        <w:pStyle w:val="FootnoteText"/>
      </w:pPr>
      <w:r>
        <w:rPr>
          <w:rStyle w:val="FootnoteReference"/>
        </w:rPr>
        <w:footnoteRef/>
      </w:r>
      <w:r>
        <w:t xml:space="preserve"> </w:t>
      </w:r>
      <w:r>
        <w:rPr>
          <w:i/>
        </w:rPr>
        <w:t>See generally Pay Tel Waiver Order</w:t>
      </w:r>
      <w:r>
        <w:t>.</w:t>
      </w:r>
    </w:p>
  </w:footnote>
  <w:footnote w:id="59">
    <w:p w:rsidR="009E571C" w:rsidRPr="008C42F5" w:rsidRDefault="009E571C">
      <w:pPr>
        <w:pStyle w:val="FootnoteText"/>
      </w:pPr>
      <w:r>
        <w:rPr>
          <w:rStyle w:val="FootnoteReference"/>
        </w:rPr>
        <w:footnoteRef/>
      </w:r>
      <w:r>
        <w:t xml:space="preserve"> </w:t>
      </w:r>
      <w:r>
        <w:rPr>
          <w:i/>
        </w:rPr>
        <w:t xml:space="preserve">See generally </w:t>
      </w:r>
      <w:r>
        <w:t>Waiver Expansion Petition.</w:t>
      </w:r>
    </w:p>
  </w:footnote>
  <w:footnote w:id="60">
    <w:p w:rsidR="009E571C" w:rsidRDefault="009E571C">
      <w:pPr>
        <w:pStyle w:val="FootnoteText"/>
      </w:pPr>
      <w:r>
        <w:rPr>
          <w:rStyle w:val="FootnoteReference"/>
        </w:rPr>
        <w:footnoteRef/>
      </w:r>
      <w:r>
        <w:t xml:space="preserve"> </w:t>
      </w:r>
      <w:r w:rsidRPr="00FD7C8B">
        <w:rPr>
          <w:i/>
        </w:rPr>
        <w:t>See, e.g.</w:t>
      </w:r>
      <w:r w:rsidRPr="00FD7C8B">
        <w:t xml:space="preserve">, </w:t>
      </w:r>
      <w:r w:rsidRPr="00FD7C8B">
        <w:rPr>
          <w:i/>
        </w:rPr>
        <w:t>Federal-State Joint Board on Universal Service</w:t>
      </w:r>
      <w:r w:rsidRPr="00FD7C8B">
        <w:t>, Order on Reconsideration, 23 FCC Rcd 7333, 7334-35, paras.</w:t>
      </w:r>
      <w:r>
        <w:t xml:space="preserve"> </w:t>
      </w:r>
      <w:r w:rsidRPr="00FD7C8B">
        <w:t xml:space="preserve">6-10 (2008).  </w:t>
      </w:r>
    </w:p>
  </w:footnote>
  <w:footnote w:id="61">
    <w:p w:rsidR="009E571C" w:rsidRDefault="009E571C">
      <w:pPr>
        <w:pStyle w:val="FootnoteText"/>
      </w:pPr>
      <w:r>
        <w:rPr>
          <w:rStyle w:val="FootnoteReference"/>
        </w:rPr>
        <w:footnoteRef/>
      </w:r>
      <w:r>
        <w:t xml:space="preserve"> </w:t>
      </w:r>
      <w:r w:rsidRPr="00B25E3F">
        <w:rPr>
          <w:i/>
        </w:rPr>
        <w:t xml:space="preserve">See </w:t>
      </w:r>
      <w:r>
        <w:rPr>
          <w:i/>
        </w:rPr>
        <w:t>Inmate Calling Report and Order and FNPRM</w:t>
      </w:r>
      <w:r>
        <w:t xml:space="preserve">, 28 FCC Rcd at 14153-54, paras. 82-83 (“An ICS provider that believes that it has cost-based rates for ICS that exceed our interim rate caps may file a petition for a waiver.”).  </w:t>
      </w:r>
    </w:p>
  </w:footnote>
  <w:footnote w:id="62">
    <w:p w:rsidR="009E571C" w:rsidRPr="005A7642" w:rsidRDefault="009E571C">
      <w:pPr>
        <w:pStyle w:val="FootnoteText"/>
      </w:pPr>
      <w:r>
        <w:rPr>
          <w:rStyle w:val="FootnoteReference"/>
        </w:rPr>
        <w:footnoteRef/>
      </w:r>
      <w:r>
        <w:t xml:space="preserve"> </w:t>
      </w:r>
      <w:r>
        <w:rPr>
          <w:i/>
        </w:rPr>
        <w:t>See Pay Tel Waiver Order</w:t>
      </w:r>
      <w:r>
        <w:t>, 29 FCC Rcd at 1305-07, paras. 11-18.</w:t>
      </w:r>
    </w:p>
  </w:footnote>
  <w:footnote w:id="63">
    <w:p w:rsidR="009E571C" w:rsidRDefault="009E571C" w:rsidP="00C43D7E">
      <w:pPr>
        <w:pStyle w:val="FootnoteText"/>
      </w:pPr>
      <w:r>
        <w:rPr>
          <w:rStyle w:val="FootnoteReference"/>
        </w:rPr>
        <w:footnoteRef/>
      </w:r>
      <w:r>
        <w:t xml:space="preserve"> Waiver Expansion Petition at 1 (emphasis added); </w:t>
      </w:r>
      <w:r w:rsidRPr="00176BE2">
        <w:rPr>
          <w:i/>
        </w:rPr>
        <w:t>see also</w:t>
      </w:r>
      <w:r>
        <w:t xml:space="preserve"> CenturyLink Comments at 3; NCIC Reply at 1.  </w:t>
      </w:r>
    </w:p>
  </w:footnote>
  <w:footnote w:id="64">
    <w:p w:rsidR="009E571C" w:rsidRDefault="009E571C" w:rsidP="00214A1C">
      <w:pPr>
        <w:pStyle w:val="FootnoteText"/>
      </w:pPr>
      <w:r>
        <w:rPr>
          <w:rStyle w:val="FootnoteReference"/>
        </w:rPr>
        <w:footnoteRef/>
      </w:r>
      <w:r>
        <w:t xml:space="preserve"> </w:t>
      </w:r>
      <w:r w:rsidRPr="000D05CE">
        <w:rPr>
          <w:i/>
        </w:rPr>
        <w:t>See</w:t>
      </w:r>
      <w:r>
        <w:t xml:space="preserve"> </w:t>
      </w:r>
      <w:r>
        <w:rPr>
          <w:i/>
        </w:rPr>
        <w:t>Inmate Calling Report and Order and FNPRM</w:t>
      </w:r>
      <w:r>
        <w:t xml:space="preserve">, 28 FCC Rcd at 14153, para. 82.  </w:t>
      </w:r>
    </w:p>
  </w:footnote>
  <w:footnote w:id="65">
    <w:p w:rsidR="009E571C" w:rsidRPr="005A7642" w:rsidRDefault="009E571C" w:rsidP="00DF5B30">
      <w:pPr>
        <w:pStyle w:val="FootnoteText"/>
      </w:pPr>
      <w:r>
        <w:rPr>
          <w:rStyle w:val="FootnoteReference"/>
        </w:rPr>
        <w:footnoteRef/>
      </w:r>
      <w:r>
        <w:t xml:space="preserve"> </w:t>
      </w:r>
      <w:r w:rsidRPr="00E71659">
        <w:rPr>
          <w:i/>
        </w:rPr>
        <w:t>See</w:t>
      </w:r>
      <w:r>
        <w:rPr>
          <w:i/>
        </w:rPr>
        <w:t xml:space="preserve"> generally</w:t>
      </w:r>
      <w:r w:rsidRPr="00E71659">
        <w:rPr>
          <w:i/>
        </w:rPr>
        <w:t xml:space="preserve"> </w:t>
      </w:r>
      <w:r>
        <w:t xml:space="preserve">Siwek Report.  The Commission declined to rely on these data in the </w:t>
      </w:r>
      <w:r>
        <w:rPr>
          <w:i/>
        </w:rPr>
        <w:t>Inmate Calling Report and Order and FNPRM</w:t>
      </w:r>
      <w:r>
        <w:t xml:space="preserve">.  </w:t>
      </w:r>
      <w:r>
        <w:rPr>
          <w:i/>
        </w:rPr>
        <w:t>See Inmate Calling Report and Order and FNPRM</w:t>
      </w:r>
      <w:r>
        <w:t>, 28 FCC Rcd at 14145, para. 68 (“While Securus’ data provide some insight into the costs of its ICS operations, we have concerns about relying entirely on these data to calculate rates, in part because Securus did not provide the disaggregated data used to derive the report’s total cost results, and the data it submitted did not distinguish between collect, debit, or prepaid calls.”).</w:t>
      </w:r>
    </w:p>
  </w:footnote>
  <w:footnote w:id="66">
    <w:p w:rsidR="009E571C" w:rsidRDefault="009E571C" w:rsidP="003172C0">
      <w:pPr>
        <w:pStyle w:val="CommentText"/>
        <w:spacing w:after="120"/>
      </w:pPr>
      <w:r w:rsidRPr="00525866">
        <w:rPr>
          <w:rStyle w:val="FootnoteReference"/>
        </w:rPr>
        <w:footnoteRef/>
      </w:r>
      <w:r w:rsidRPr="00525866">
        <w:t xml:space="preserve"> </w:t>
      </w:r>
      <w:r>
        <w:t>I</w:t>
      </w:r>
      <w:r w:rsidRPr="00525866">
        <w:t xml:space="preserve">t is well established </w:t>
      </w:r>
      <w:r w:rsidRPr="00AB11FF">
        <w:t>that “a heavy burden traditionally has been placed upon one seeking a waiver to demonstrate that his arguments are substantially different from those which have been carefully considered at the rulemaking proceeding.</w:t>
      </w:r>
      <w:r w:rsidRPr="00525866">
        <w:t xml:space="preserve">”  </w:t>
      </w:r>
      <w:r w:rsidRPr="00525866">
        <w:rPr>
          <w:i/>
        </w:rPr>
        <w:t>Indus. Broad. Co. v. FCC</w:t>
      </w:r>
      <w:r w:rsidRPr="00525866">
        <w:t>, 437 F.2d 680, 683 (D.C. Cir. 1970).  Here, Securus’ main source of data</w:t>
      </w:r>
      <w:r w:rsidRPr="00D86CEC">
        <w:t xml:space="preserve"> for the waiver is a filing that was already carefully considered by the Commission when it adopted the ICS rules.  </w:t>
      </w:r>
      <w:r w:rsidRPr="00AB11FF">
        <w:rPr>
          <w:i/>
        </w:rPr>
        <w:t>See</w:t>
      </w:r>
      <w:r>
        <w:rPr>
          <w:i/>
        </w:rPr>
        <w:t>, e.g.,</w:t>
      </w:r>
      <w:r>
        <w:t xml:space="preserve"> </w:t>
      </w:r>
      <w:r>
        <w:rPr>
          <w:i/>
        </w:rPr>
        <w:t>Inmate Calling Report and Order and FNPRM</w:t>
      </w:r>
      <w:r>
        <w:t xml:space="preserve">, 28 FCC Rcd at 14120-21, para. 26.  </w:t>
      </w:r>
      <w:r w:rsidRPr="00525866">
        <w:t xml:space="preserve">For this reason alone, Securus has not met its “heavy burden.”  </w:t>
      </w:r>
    </w:p>
  </w:footnote>
  <w:footnote w:id="67">
    <w:p w:rsidR="009E571C" w:rsidRDefault="009E571C">
      <w:pPr>
        <w:pStyle w:val="FootnoteText"/>
      </w:pPr>
      <w:r>
        <w:rPr>
          <w:rStyle w:val="FootnoteReference"/>
        </w:rPr>
        <w:footnoteRef/>
      </w:r>
      <w:r>
        <w:t xml:space="preserve"> Waiver Expansion Petition at 3-4 (citing the Siwek Report); </w:t>
      </w:r>
      <w:r w:rsidRPr="004F7BDD">
        <w:rPr>
          <w:i/>
        </w:rPr>
        <w:t>see also</w:t>
      </w:r>
      <w:r>
        <w:t xml:space="preserve"> Securus Waiver Expansion Petition Reply at 1 (Securus “had proved with its own expert report that the Rate Caps are too low . . . .”); </w:t>
      </w:r>
      <w:r w:rsidRPr="000D05CE">
        <w:rPr>
          <w:i/>
        </w:rPr>
        <w:t>see also</w:t>
      </w:r>
      <w:r>
        <w:t xml:space="preserve"> Securus Mar. 4, 2014 </w:t>
      </w:r>
      <w:r w:rsidRPr="000D05CE">
        <w:rPr>
          <w:i/>
        </w:rPr>
        <w:t>Ex Parte</w:t>
      </w:r>
      <w:r>
        <w:t xml:space="preserve"> Letter (Securus’ “costs of service are in many cases much higher than Pay Tel’s.”).  We note that comparing Securus’ costs to those of another provider is not relevant to the question of whether Securus’ costs are greater than the Commission’s interim interstate ICS rate caps or state rates.  </w:t>
      </w:r>
    </w:p>
  </w:footnote>
  <w:footnote w:id="68">
    <w:p w:rsidR="009E571C" w:rsidRPr="008C42F5" w:rsidRDefault="009E571C">
      <w:pPr>
        <w:pStyle w:val="FootnoteText"/>
      </w:pPr>
      <w:r>
        <w:rPr>
          <w:rStyle w:val="FootnoteReference"/>
        </w:rPr>
        <w:footnoteRef/>
      </w:r>
      <w:r>
        <w:t xml:space="preserve"> </w:t>
      </w:r>
      <w:r>
        <w:rPr>
          <w:i/>
        </w:rPr>
        <w:t xml:space="preserve">See </w:t>
      </w:r>
      <w:r w:rsidRPr="000D05CE">
        <w:t>Waiver Expansion Petition</w:t>
      </w:r>
      <w:r>
        <w:rPr>
          <w:i/>
        </w:rPr>
        <w:t xml:space="preserve"> </w:t>
      </w:r>
      <w:r>
        <w:t xml:space="preserve">at 4-5. </w:t>
      </w:r>
    </w:p>
  </w:footnote>
  <w:footnote w:id="69">
    <w:p w:rsidR="009E571C" w:rsidRDefault="009E571C" w:rsidP="007A0126">
      <w:pPr>
        <w:pStyle w:val="FootnoteText"/>
      </w:pPr>
      <w:r>
        <w:rPr>
          <w:rStyle w:val="FootnoteReference"/>
        </w:rPr>
        <w:footnoteRef/>
      </w:r>
      <w:r>
        <w:t xml:space="preserve"> </w:t>
      </w:r>
      <w:r>
        <w:rPr>
          <w:i/>
        </w:rPr>
        <w:t xml:space="preserve">See </w:t>
      </w:r>
      <w:r w:rsidRPr="001D6A01">
        <w:rPr>
          <w:i/>
        </w:rPr>
        <w:t>Inmate Calling Report and Order and FNPRM</w:t>
      </w:r>
      <w:r>
        <w:rPr>
          <w:i/>
        </w:rPr>
        <w:t>,</w:t>
      </w:r>
      <w:r>
        <w:t xml:space="preserve"> 28 FCC Rcd at 14120-21, para. 26, 14148, para.75 n.277 (describing the methodology used to calculate the report’s average per minute cost of $0.044).  </w:t>
      </w:r>
    </w:p>
  </w:footnote>
  <w:footnote w:id="70">
    <w:p w:rsidR="009E571C" w:rsidRDefault="009E571C">
      <w:pPr>
        <w:pStyle w:val="FootnoteText"/>
      </w:pPr>
      <w:r>
        <w:rPr>
          <w:rStyle w:val="FootnoteReference"/>
        </w:rPr>
        <w:footnoteRef/>
      </w:r>
      <w:r>
        <w:t xml:space="preserve"> </w:t>
      </w:r>
      <w:r>
        <w:rPr>
          <w:i/>
        </w:rPr>
        <w:t>Id.</w:t>
      </w:r>
      <w:r>
        <w:t xml:space="preserve">, 28 FCC Rcd at 14120-1, para. 26.  The $0.124 per minute average represents the total average cost per interstate minute of use, including commissions and weighted by call volume for the facility groups included in the study.  </w:t>
      </w:r>
      <w:r w:rsidRPr="000D05CE">
        <w:rPr>
          <w:i/>
        </w:rPr>
        <w:t>See</w:t>
      </w:r>
      <w:r>
        <w:t xml:space="preserve"> Siwek Report at 3, 8 (tables 2 and 9).  </w:t>
      </w:r>
    </w:p>
  </w:footnote>
  <w:footnote w:id="71">
    <w:p w:rsidR="009E571C" w:rsidRPr="00403B90" w:rsidRDefault="009E571C">
      <w:pPr>
        <w:pStyle w:val="FootnoteText"/>
      </w:pPr>
      <w:r>
        <w:rPr>
          <w:rStyle w:val="FootnoteReference"/>
        </w:rPr>
        <w:footnoteRef/>
      </w:r>
      <w:r>
        <w:t xml:space="preserve"> </w:t>
      </w:r>
      <w:r>
        <w:rPr>
          <w:i/>
        </w:rPr>
        <w:t>See Inmate Calling Report and Order and FNPRM</w:t>
      </w:r>
      <w:r>
        <w:t>, 28 FCC Rcd at 14153, para. 83.</w:t>
      </w:r>
    </w:p>
  </w:footnote>
  <w:footnote w:id="72">
    <w:p w:rsidR="009E571C" w:rsidRDefault="009E571C">
      <w:pPr>
        <w:pStyle w:val="FootnoteText"/>
      </w:pPr>
      <w:r>
        <w:rPr>
          <w:rStyle w:val="FootnoteReference"/>
        </w:rPr>
        <w:footnoteRef/>
      </w:r>
      <w:r>
        <w:t xml:space="preserve"> Wright Petitioners’ Consolidated Comments at 3.  </w:t>
      </w:r>
    </w:p>
  </w:footnote>
  <w:footnote w:id="73">
    <w:p w:rsidR="009E571C" w:rsidRDefault="009E571C">
      <w:pPr>
        <w:pStyle w:val="FootnoteText"/>
      </w:pPr>
      <w:r>
        <w:rPr>
          <w:rStyle w:val="FootnoteReference"/>
        </w:rPr>
        <w:footnoteRef/>
      </w:r>
      <w:r>
        <w:t xml:space="preserve"> </w:t>
      </w:r>
      <w:r w:rsidRPr="002B59FE">
        <w:rPr>
          <w:i/>
        </w:rPr>
        <w:t xml:space="preserve">See </w:t>
      </w:r>
      <w:r>
        <w:rPr>
          <w:i/>
        </w:rPr>
        <w:t>generally</w:t>
      </w:r>
      <w:r w:rsidRPr="00DB2552">
        <w:t xml:space="preserve"> </w:t>
      </w:r>
      <w:r w:rsidRPr="00CF788B">
        <w:t>Don J. Wood, Inmate Calling Services Interstate Call Cost Study</w:t>
      </w:r>
      <w:r>
        <w:t xml:space="preserve"> (</w:t>
      </w:r>
      <w:r w:rsidRPr="00CF788B">
        <w:rPr>
          <w:smallCaps/>
        </w:rPr>
        <w:t>Wood &amp; Wood</w:t>
      </w:r>
      <w:r>
        <w:t xml:space="preserve"> 2008) CC Docket No. 96-128 (filed Aug. 15, 2008); Letter from Stephanie A. Joyce, Counsel to Securus Technologies, Inc., to Marlene H. Dortch, Secretary, FCC, CC Docket No. 96-128 (filed Aug. 22, 2008) (Joyce Aug. 22, 2008 </w:t>
      </w:r>
      <w:r w:rsidRPr="006254C7">
        <w:rPr>
          <w:i/>
        </w:rPr>
        <w:t>Ex Parte</w:t>
      </w:r>
      <w:r>
        <w:t xml:space="preserve"> Letter) (attaching supplemental cost and usage data); Record submission by “several providers of inmate telephone service,”</w:t>
      </w:r>
      <w:r w:rsidRPr="007A5B2C">
        <w:t xml:space="preserve"> </w:t>
      </w:r>
      <w:r>
        <w:t xml:space="preserve">CC Docket No. 96-128 (filed Oct. 15, 2008) (amending supplemental cost and usage data) (collectively 2008 ICS Provider Data Submission).  </w:t>
      </w:r>
    </w:p>
  </w:footnote>
  <w:footnote w:id="74">
    <w:p w:rsidR="009E571C" w:rsidRPr="004F7BDD" w:rsidRDefault="009E571C">
      <w:pPr>
        <w:pStyle w:val="FootnoteText"/>
      </w:pPr>
      <w:r>
        <w:rPr>
          <w:rStyle w:val="FootnoteReference"/>
        </w:rPr>
        <w:footnoteRef/>
      </w:r>
      <w:r>
        <w:t xml:space="preserve"> </w:t>
      </w:r>
      <w:r>
        <w:rPr>
          <w:i/>
        </w:rPr>
        <w:t>See generally id</w:t>
      </w:r>
      <w:r>
        <w:t>.</w:t>
      </w:r>
    </w:p>
  </w:footnote>
  <w:footnote w:id="75">
    <w:p w:rsidR="009E571C" w:rsidRDefault="009E571C">
      <w:pPr>
        <w:pStyle w:val="FootnoteText"/>
      </w:pPr>
      <w:r>
        <w:rPr>
          <w:rStyle w:val="FootnoteReference"/>
        </w:rPr>
        <w:footnoteRef/>
      </w:r>
      <w:r>
        <w:t xml:space="preserve"> </w:t>
      </w:r>
      <w:r>
        <w:rPr>
          <w:i/>
        </w:rPr>
        <w:t xml:space="preserve">See </w:t>
      </w:r>
      <w:r w:rsidRPr="001D6A01">
        <w:rPr>
          <w:i/>
        </w:rPr>
        <w:t>Inmate Calling Report and Order and FNPRM</w:t>
      </w:r>
      <w:r>
        <w:rPr>
          <w:i/>
        </w:rPr>
        <w:t>,</w:t>
      </w:r>
      <w:r>
        <w:t xml:space="preserve"> 28 FCC Rcd at 14150, para. 78, 14148, para. 75 n.274.  </w:t>
      </w:r>
    </w:p>
  </w:footnote>
  <w:footnote w:id="76">
    <w:p w:rsidR="009E571C" w:rsidRDefault="009E571C">
      <w:pPr>
        <w:pStyle w:val="FootnoteText"/>
      </w:pPr>
      <w:r>
        <w:rPr>
          <w:rStyle w:val="FootnoteReference"/>
        </w:rPr>
        <w:footnoteRef/>
      </w:r>
      <w:r>
        <w:t xml:space="preserve"> Pay Tel also provided to the 2008 ICS Provider Data Submission data on a small number of facilities it served.  For the purposes of the </w:t>
      </w:r>
      <w:r w:rsidRPr="004445F1">
        <w:rPr>
          <w:i/>
        </w:rPr>
        <w:t>Pay Tel Waiver Order</w:t>
      </w:r>
      <w:r>
        <w:rPr>
          <w:i/>
        </w:rPr>
        <w:t>,</w:t>
      </w:r>
      <w:r>
        <w:t xml:space="preserve"> the Bureau was able to rely instead on Pay Tel’s subsequent submission of total company cost data, which provided a more comprehensive and recent assessment of its costs.   </w:t>
      </w:r>
      <w:r w:rsidRPr="000D05CE">
        <w:rPr>
          <w:i/>
        </w:rPr>
        <w:t>See Pay Tel Waiver Order</w:t>
      </w:r>
      <w:r w:rsidR="00671161">
        <w:t>, 29 FCC Rcd</w:t>
      </w:r>
      <w:r>
        <w:t xml:space="preserve"> at </w:t>
      </w:r>
      <w:r w:rsidR="00671161">
        <w:t xml:space="preserve">1306, </w:t>
      </w:r>
      <w:r>
        <w:t xml:space="preserve">para. 14.  </w:t>
      </w:r>
    </w:p>
  </w:footnote>
  <w:footnote w:id="77">
    <w:p w:rsidR="009E571C" w:rsidRDefault="009E571C" w:rsidP="00D105B3">
      <w:pPr>
        <w:pStyle w:val="FootnoteText"/>
      </w:pPr>
      <w:r>
        <w:rPr>
          <w:rStyle w:val="FootnoteReference"/>
        </w:rPr>
        <w:footnoteRef/>
      </w:r>
      <w:r>
        <w:t xml:space="preserve"> </w:t>
      </w:r>
      <w:r w:rsidRPr="00176BE2">
        <w:rPr>
          <w:i/>
        </w:rPr>
        <w:t>See also</w:t>
      </w:r>
      <w:r>
        <w:t xml:space="preserve"> Wright Petitioners’ Consolidated Reply Comments at 3 (“Simply put, nowhere in Securus’ submissions did Siwek address the impact of below-cost intrastate rate caps imposed by state regulatory bodies.”).  </w:t>
      </w:r>
    </w:p>
  </w:footnote>
  <w:footnote w:id="78">
    <w:p w:rsidR="009E571C" w:rsidRDefault="009E571C">
      <w:pPr>
        <w:pStyle w:val="FootnoteText"/>
      </w:pPr>
      <w:r>
        <w:rPr>
          <w:rStyle w:val="FootnoteReference"/>
        </w:rPr>
        <w:footnoteRef/>
      </w:r>
      <w:r>
        <w:t xml:space="preserve"> </w:t>
      </w:r>
      <w:r>
        <w:rPr>
          <w:i/>
        </w:rPr>
        <w:t xml:space="preserve">See </w:t>
      </w:r>
      <w:r w:rsidRPr="001D6A01">
        <w:rPr>
          <w:i/>
        </w:rPr>
        <w:t>Inmate Calling Report and Order and FNPRM</w:t>
      </w:r>
      <w:r>
        <w:rPr>
          <w:i/>
        </w:rPr>
        <w:t>,</w:t>
      </w:r>
      <w:r>
        <w:t xml:space="preserve"> 28 FCC Rcd at 14183 n.500.  </w:t>
      </w:r>
    </w:p>
  </w:footnote>
  <w:footnote w:id="79">
    <w:p w:rsidR="009E571C" w:rsidRDefault="009E571C">
      <w:pPr>
        <w:pStyle w:val="FootnoteText"/>
      </w:pPr>
      <w:r>
        <w:rPr>
          <w:rStyle w:val="FootnoteReference"/>
        </w:rPr>
        <w:footnoteRef/>
      </w:r>
      <w:r>
        <w:t xml:space="preserve"> </w:t>
      </w:r>
      <w:r w:rsidRPr="00176BE2">
        <w:rPr>
          <w:i/>
        </w:rPr>
        <w:t>See also</w:t>
      </w:r>
      <w:r>
        <w:t xml:space="preserve"> Wright Petitioners Consolidated Reply Comments at 3 (“Presumably, if Securus or CenturyLink could demonstrate that their cost of providing intrastate service in the 13 states covered by the Waiver Order were above the rate caps imposed by those states, they would have done so.”).  </w:t>
      </w:r>
    </w:p>
  </w:footnote>
  <w:footnote w:id="80">
    <w:p w:rsidR="009E571C" w:rsidRDefault="009E571C">
      <w:pPr>
        <w:pStyle w:val="FootnoteText"/>
      </w:pPr>
      <w:r>
        <w:rPr>
          <w:rStyle w:val="FootnoteReference"/>
        </w:rPr>
        <w:footnoteRef/>
      </w:r>
      <w:r>
        <w:t xml:space="preserve"> Instead of comparing its costs to state rate mandates as Pay Tel did, Securus attempts to justify its waiver request by comparing its post-</w:t>
      </w:r>
      <w:r w:rsidRPr="005F5A28">
        <w:rPr>
          <w:i/>
        </w:rPr>
        <w:t>Order</w:t>
      </w:r>
      <w:r>
        <w:t xml:space="preserve"> rates with the rate Pay Tel obtained through its waiver request.  To that end, it provided a declaration by its Chief Financial Officer asserting that “[o]n an annual basis, comparing the revenue that Securus will realize under the Interim Rate Caps versus what it would realize at $0.46 per minute, I calculate that Securus will incur a revenue shortfall on interstate calls from jails in the above-listed states of approximately </w:t>
      </w:r>
      <w:r w:rsidRPr="00BC01A9">
        <w:t>$1.5 Million</w:t>
      </w:r>
      <w:r>
        <w:t xml:space="preserve">, based upon historical call volumes.”  Securus Mar. 4, 2014 </w:t>
      </w:r>
      <w:r w:rsidRPr="001D2A32">
        <w:rPr>
          <w:i/>
        </w:rPr>
        <w:t>Ex Parte</w:t>
      </w:r>
      <w:r>
        <w:t xml:space="preserve"> Letter at Attach. (Declaration of Geoffrey Boyd).  This confuses the waiver analysis required.  </w:t>
      </w:r>
    </w:p>
  </w:footnote>
  <w:footnote w:id="81">
    <w:p w:rsidR="009E571C" w:rsidRDefault="009E571C">
      <w:pPr>
        <w:pStyle w:val="FootnoteText"/>
      </w:pPr>
      <w:r>
        <w:rPr>
          <w:rStyle w:val="FootnoteReference"/>
        </w:rPr>
        <w:footnoteRef/>
      </w:r>
      <w:r>
        <w:t xml:space="preserve"> The Commission interpreted sections 201(b) and 276 of the Act to require that interstate ICS rates be just, reasonable and fair.  </w:t>
      </w:r>
      <w:r>
        <w:rPr>
          <w:i/>
        </w:rPr>
        <w:t xml:space="preserve">See </w:t>
      </w:r>
      <w:r w:rsidRPr="001D6A01">
        <w:rPr>
          <w:i/>
        </w:rPr>
        <w:t>Inmate Calling Report and Order and FNPRM</w:t>
      </w:r>
      <w:r>
        <w:t xml:space="preserve"> at 14114-16, paras. 13-15.  Demonstrably below-cost rates that threaten a provider’s financial viability would generally provide a basis for finding that the ICS provider will not be “fairly compensated” in its provision of ICS.  </w:t>
      </w:r>
      <w:r w:rsidRPr="00FB21C0">
        <w:rPr>
          <w:i/>
        </w:rPr>
        <w:t>See</w:t>
      </w:r>
      <w:r>
        <w:t xml:space="preserve"> 47 U.S.C. </w:t>
      </w:r>
      <w:r w:rsidRPr="0034364C">
        <w:t>§</w:t>
      </w:r>
      <w:r>
        <w:t xml:space="preserve"> 276(b)(1)(A).  </w:t>
      </w:r>
    </w:p>
  </w:footnote>
  <w:footnote w:id="82">
    <w:p w:rsidR="009E571C" w:rsidRPr="00803C34" w:rsidRDefault="009E571C">
      <w:pPr>
        <w:pStyle w:val="FootnoteText"/>
      </w:pPr>
      <w:r>
        <w:rPr>
          <w:rStyle w:val="FootnoteReference"/>
        </w:rPr>
        <w:footnoteRef/>
      </w:r>
      <w:r>
        <w:t xml:space="preserve"> </w:t>
      </w:r>
      <w:r>
        <w:rPr>
          <w:i/>
        </w:rPr>
        <w:t>See Pay Tel Waiver Order</w:t>
      </w:r>
      <w:r w:rsidR="00671161">
        <w:t>, 29 FCC Rcd</w:t>
      </w:r>
      <w:r>
        <w:t xml:space="preserve"> at </w:t>
      </w:r>
      <w:r w:rsidR="00671161">
        <w:t xml:space="preserve">1306, </w:t>
      </w:r>
      <w:r>
        <w:t>para. 15.</w:t>
      </w:r>
    </w:p>
  </w:footnote>
  <w:footnote w:id="83">
    <w:p w:rsidR="009E571C" w:rsidRDefault="009E571C" w:rsidP="008E1A32">
      <w:pPr>
        <w:pStyle w:val="FootnoteText"/>
      </w:pPr>
      <w:r w:rsidRPr="00560DA7">
        <w:rPr>
          <w:rStyle w:val="FootnoteReference"/>
        </w:rPr>
        <w:footnoteRef/>
      </w:r>
      <w:r w:rsidRPr="00560DA7">
        <w:t xml:space="preserve"> </w:t>
      </w:r>
      <w:r>
        <w:t>Waiver Expansion Petition</w:t>
      </w:r>
      <w:r w:rsidRPr="00560DA7">
        <w:t xml:space="preserve"> at 6.</w:t>
      </w:r>
      <w:r>
        <w:t xml:space="preserve">  </w:t>
      </w:r>
    </w:p>
  </w:footnote>
  <w:footnote w:id="84">
    <w:p w:rsidR="009E571C" w:rsidRDefault="009E571C">
      <w:pPr>
        <w:pStyle w:val="FootnoteText"/>
      </w:pPr>
      <w:r>
        <w:rPr>
          <w:rStyle w:val="FootnoteReference"/>
        </w:rPr>
        <w:footnoteRef/>
      </w:r>
      <w:r>
        <w:t xml:space="preserve"> </w:t>
      </w:r>
      <w:r w:rsidRPr="001D6A01">
        <w:rPr>
          <w:i/>
        </w:rPr>
        <w:t>Inmate Calling Report and Order and FNPRM</w:t>
      </w:r>
      <w:r>
        <w:rPr>
          <w:i/>
        </w:rPr>
        <w:t>,</w:t>
      </w:r>
      <w:r>
        <w:t xml:space="preserve"> 28 FCC Rcd at 14109, para. 2.  </w:t>
      </w:r>
    </w:p>
  </w:footnote>
  <w:footnote w:id="85">
    <w:p w:rsidR="009E571C" w:rsidRDefault="009E571C">
      <w:pPr>
        <w:pStyle w:val="FootnoteText"/>
      </w:pPr>
      <w:r>
        <w:rPr>
          <w:rStyle w:val="FootnoteReference"/>
        </w:rPr>
        <w:footnoteRef/>
      </w:r>
      <w:r>
        <w:t xml:space="preserve"> Securus states that “this issue is really about revenue, not costs” and that “the </w:t>
      </w:r>
      <w:r w:rsidRPr="00DB00F5">
        <w:rPr>
          <w:i/>
        </w:rPr>
        <w:t>Waiver Order</w:t>
      </w:r>
      <w:r>
        <w:t xml:space="preserve"> is predicated on Pay Tel’s ‘revenue shortfall’ rather than its costs.”  Securus Waiver Expansion Petition at 6.  The Bureau’s review of Pay Tel’s waiver request, however, required the analysis of both costs and revenues.  The Bureau first had to ascertain Pay Tel’s total company costs and compare them to Pay Tel’s revenues to determine whether there was good cause for a waiver.  </w:t>
      </w:r>
      <w:r w:rsidRPr="0082032A">
        <w:rPr>
          <w:i/>
        </w:rPr>
        <w:t>See</w:t>
      </w:r>
      <w:r w:rsidRPr="0082032A">
        <w:t xml:space="preserve"> </w:t>
      </w:r>
      <w:r w:rsidRPr="0082032A">
        <w:rPr>
          <w:i/>
        </w:rPr>
        <w:t>Pay Tel Waiver Order</w:t>
      </w:r>
      <w:r w:rsidR="00671161">
        <w:t>, 29 FCC Rcd</w:t>
      </w:r>
      <w:r>
        <w:t xml:space="preserve"> at </w:t>
      </w:r>
      <w:r w:rsidR="00671161">
        <w:t xml:space="preserve">1306, </w:t>
      </w:r>
      <w:r w:rsidRPr="0082032A">
        <w:t>para</w:t>
      </w:r>
      <w:r>
        <w:t>s</w:t>
      </w:r>
      <w:r w:rsidRPr="0082032A">
        <w:t>. 1</w:t>
      </w:r>
      <w:r>
        <w:t>4-15</w:t>
      </w:r>
      <w:r w:rsidRPr="0082032A">
        <w:t xml:space="preserve">. </w:t>
      </w:r>
      <w:r>
        <w:t xml:space="preserve"> </w:t>
      </w:r>
      <w:r w:rsidRPr="0082032A">
        <w:t>The</w:t>
      </w:r>
      <w:r>
        <w:t xml:space="preserve"> Bureau then had to assess Pay Tel’s revenue shortfall calculation and its claim for additional revenues in order to determine an appropriate remedy for Pay Tel.  </w:t>
      </w:r>
      <w:r w:rsidRPr="0082032A">
        <w:rPr>
          <w:i/>
        </w:rPr>
        <w:t xml:space="preserve">See </w:t>
      </w:r>
      <w:r>
        <w:rPr>
          <w:i/>
        </w:rPr>
        <w:t>id.</w:t>
      </w:r>
      <w:r>
        <w:t xml:space="preserve"> at </w:t>
      </w:r>
      <w:r w:rsidR="00671161">
        <w:t xml:space="preserve">1307, </w:t>
      </w:r>
      <w:r>
        <w:t>paras. 17-18</w:t>
      </w:r>
      <w:r w:rsidRPr="0082032A">
        <w:t xml:space="preserve">.  </w:t>
      </w:r>
    </w:p>
  </w:footnote>
  <w:footnote w:id="86">
    <w:p w:rsidR="009E571C" w:rsidRPr="00546DC6" w:rsidRDefault="009E571C">
      <w:pPr>
        <w:pStyle w:val="FootnoteText"/>
      </w:pPr>
      <w:r>
        <w:rPr>
          <w:rStyle w:val="FootnoteReference"/>
        </w:rPr>
        <w:footnoteRef/>
      </w:r>
      <w:r>
        <w:t xml:space="preserve"> </w:t>
      </w:r>
      <w:r>
        <w:rPr>
          <w:i/>
        </w:rPr>
        <w:t xml:space="preserve">See </w:t>
      </w:r>
      <w:r>
        <w:t xml:space="preserve">Waiver Expansion Petition at 7; </w:t>
      </w:r>
      <w:r w:rsidRPr="000F1C5E">
        <w:rPr>
          <w:i/>
        </w:rPr>
        <w:t>see also</w:t>
      </w:r>
      <w:r>
        <w:t xml:space="preserve"> CenturyLink Comments at 2 (CenturyLink asserts that “as a result of the Pay Tel Waiver, all ICS carriers that compete with Pay Tel now have been significantly injured in their ability to compete for contracts and to serve existing sites.”); GTL Reply at 3-4 (“the Commission has put all other ICS providers attempting to compete with Pay Tel at a competitive disadvantage.”).    </w:t>
      </w:r>
    </w:p>
  </w:footnote>
  <w:footnote w:id="87">
    <w:p w:rsidR="009E571C" w:rsidRDefault="009E571C">
      <w:pPr>
        <w:pStyle w:val="FootnoteText"/>
      </w:pPr>
      <w:r>
        <w:rPr>
          <w:rStyle w:val="FootnoteReference"/>
        </w:rPr>
        <w:footnoteRef/>
      </w:r>
      <w:r>
        <w:t xml:space="preserve"> Pay Tel Waiver Petition at 24.  </w:t>
      </w:r>
    </w:p>
  </w:footnote>
  <w:footnote w:id="88">
    <w:p w:rsidR="009E571C" w:rsidRDefault="009E571C">
      <w:pPr>
        <w:pStyle w:val="FootnoteText"/>
      </w:pPr>
      <w:r>
        <w:rPr>
          <w:rStyle w:val="FootnoteReference"/>
        </w:rPr>
        <w:footnoteRef/>
      </w:r>
      <w:r>
        <w:t xml:space="preserve"> </w:t>
      </w:r>
      <w:r w:rsidRPr="000F1C5E">
        <w:rPr>
          <w:i/>
        </w:rPr>
        <w:t>See</w:t>
      </w:r>
      <w:r>
        <w:t xml:space="preserve"> </w:t>
      </w:r>
      <w:r>
        <w:rPr>
          <w:i/>
        </w:rPr>
        <w:t>Pay Tel Waiver Order</w:t>
      </w:r>
      <w:r w:rsidR="00671161">
        <w:t xml:space="preserve">, 29 FCC Rcd </w:t>
      </w:r>
      <w:r>
        <w:t xml:space="preserve">at </w:t>
      </w:r>
      <w:r w:rsidR="00671161">
        <w:t xml:space="preserve">1307, </w:t>
      </w:r>
      <w:r w:rsidRPr="00FD0751">
        <w:t>para. 16</w:t>
      </w:r>
      <w:r>
        <w:t xml:space="preserve">; </w:t>
      </w:r>
      <w:r w:rsidRPr="000D05CE">
        <w:rPr>
          <w:i/>
        </w:rPr>
        <w:t>id.</w:t>
      </w:r>
      <w:r>
        <w:rPr>
          <w:i/>
        </w:rPr>
        <w:t xml:space="preserve"> </w:t>
      </w:r>
      <w:r w:rsidRPr="000F1C5E">
        <w:t>(“We</w:t>
      </w:r>
      <w:r>
        <w:t xml:space="preserve"> </w:t>
      </w:r>
      <w:r w:rsidRPr="000F1C5E">
        <w:t>further note that a waiver will be consistent with our statutory obligation under section 201(b) of the Act and,</w:t>
      </w:r>
      <w:r>
        <w:t xml:space="preserve"> pursuant to section 276, will ‘promote competition’ and ‘</w:t>
      </w:r>
      <w:r w:rsidRPr="000F1C5E">
        <w:t>promote the widespread deployment of pay phone services to the benefit of the general public</w:t>
      </w:r>
      <w:r>
        <w:t>.’”</w:t>
      </w:r>
      <w:r w:rsidRPr="001E7E5A">
        <w:t>)</w:t>
      </w:r>
      <w:r>
        <w:t xml:space="preserve"> (citations omitted)</w:t>
      </w:r>
      <w:r w:rsidRPr="001E7E5A">
        <w:t>.</w:t>
      </w:r>
      <w:r>
        <w:t xml:space="preserve">  </w:t>
      </w:r>
    </w:p>
  </w:footnote>
  <w:footnote w:id="89">
    <w:p w:rsidR="009E571C" w:rsidRPr="00F17461" w:rsidRDefault="009E571C" w:rsidP="008E1A32">
      <w:pPr>
        <w:pStyle w:val="FootnoteText"/>
      </w:pPr>
      <w:r w:rsidRPr="00F17461">
        <w:rPr>
          <w:rStyle w:val="FootnoteReference"/>
        </w:rPr>
        <w:footnoteRef/>
      </w:r>
      <w:r w:rsidRPr="00F17461">
        <w:t xml:space="preserve"> </w:t>
      </w:r>
      <w:r w:rsidRPr="00020523">
        <w:t xml:space="preserve">Voice Biometrics Petition </w:t>
      </w:r>
      <w:r w:rsidRPr="00F17461">
        <w:t xml:space="preserve">at 3.  </w:t>
      </w:r>
    </w:p>
  </w:footnote>
  <w:footnote w:id="90">
    <w:p w:rsidR="009E571C" w:rsidRPr="00F17461" w:rsidRDefault="009E571C" w:rsidP="008E1A32">
      <w:pPr>
        <w:pStyle w:val="FootnoteText"/>
      </w:pPr>
      <w:r w:rsidRPr="00F17461">
        <w:rPr>
          <w:rStyle w:val="FootnoteReference"/>
        </w:rPr>
        <w:footnoteRef/>
      </w:r>
      <w:r w:rsidRPr="00F17461">
        <w:t xml:space="preserve"> </w:t>
      </w:r>
      <w:r w:rsidRPr="00E17236">
        <w:rPr>
          <w:i/>
        </w:rPr>
        <w:t>See generally</w:t>
      </w:r>
      <w:r w:rsidRPr="00F17461">
        <w:t xml:space="preserve"> Pay Tel Waiver Petition</w:t>
      </w:r>
      <w:r>
        <w:t xml:space="preserve">. </w:t>
      </w:r>
      <w:r w:rsidRPr="00F17461">
        <w:t xml:space="preserve"> Securus correctly states that Pay Tel</w:t>
      </w:r>
      <w:r>
        <w:t>’s waiver petition</w:t>
      </w:r>
      <w:r w:rsidRPr="00F17461">
        <w:t xml:space="preserve"> </w:t>
      </w:r>
      <w:r>
        <w:t xml:space="preserve">made a reference to the costs it incurs in providing </w:t>
      </w:r>
      <w:r w:rsidRPr="00F17461">
        <w:t xml:space="preserve">voice biometric </w:t>
      </w:r>
      <w:r>
        <w:t>service</w:t>
      </w:r>
      <w:r w:rsidRPr="00F17461">
        <w:t xml:space="preserve">.  </w:t>
      </w:r>
      <w:r>
        <w:rPr>
          <w:i/>
        </w:rPr>
        <w:t xml:space="preserve">See </w:t>
      </w:r>
      <w:r w:rsidRPr="00020523">
        <w:t xml:space="preserve">Voice Biometrics Petition </w:t>
      </w:r>
      <w:r w:rsidRPr="00F17461">
        <w:t xml:space="preserve">at 2 (citing Pay Tel </w:t>
      </w:r>
      <w:r>
        <w:t xml:space="preserve">Waiver </w:t>
      </w:r>
      <w:r w:rsidRPr="00F17461">
        <w:t xml:space="preserve">Petition at 7 n.25).  </w:t>
      </w:r>
      <w:r>
        <w:t>Pay Tel did not</w:t>
      </w:r>
      <w:r w:rsidRPr="00F17461">
        <w:t xml:space="preserve">, however, </w:t>
      </w:r>
      <w:r>
        <w:t>cite this as a basis for its waiver request but</w:t>
      </w:r>
      <w:r w:rsidRPr="00F17461">
        <w:t xml:space="preserve"> merely affirmed that Pay Tel’s voice biometric cost had already been included in the cost study on </w:t>
      </w:r>
      <w:r>
        <w:t>which the Commission’s rate cap was</w:t>
      </w:r>
      <w:r w:rsidRPr="00F17461">
        <w:t xml:space="preserve"> set.  </w:t>
      </w:r>
    </w:p>
  </w:footnote>
  <w:footnote w:id="91">
    <w:p w:rsidR="009E571C" w:rsidRDefault="009E571C">
      <w:pPr>
        <w:pStyle w:val="FootnoteText"/>
      </w:pPr>
      <w:r>
        <w:rPr>
          <w:rStyle w:val="FootnoteReference"/>
        </w:rPr>
        <w:footnoteRef/>
      </w:r>
      <w:r>
        <w:t xml:space="preserve"> </w:t>
      </w:r>
      <w:r w:rsidRPr="007B7859">
        <w:rPr>
          <w:i/>
        </w:rPr>
        <w:t>See</w:t>
      </w:r>
      <w:r>
        <w:t xml:space="preserve"> Pay Tel Waiver Petition at 2.  </w:t>
      </w:r>
    </w:p>
  </w:footnote>
  <w:footnote w:id="92">
    <w:p w:rsidR="009E571C" w:rsidRPr="00F17461" w:rsidRDefault="009E571C" w:rsidP="008E1A32">
      <w:pPr>
        <w:pStyle w:val="FootnoteText"/>
      </w:pPr>
      <w:r w:rsidRPr="00F17461">
        <w:rPr>
          <w:rStyle w:val="FootnoteReference"/>
        </w:rPr>
        <w:footnoteRef/>
      </w:r>
      <w:r w:rsidRPr="00F17461">
        <w:t xml:space="preserve"> The Commission </w:t>
      </w:r>
      <w:r>
        <w:t xml:space="preserve">included the </w:t>
      </w:r>
      <w:r w:rsidRPr="00F17461">
        <w:t xml:space="preserve">costs of voice biometric technology </w:t>
      </w:r>
      <w:r>
        <w:t>in calculating the interim debit and prepaid ICS rate cap</w:t>
      </w:r>
      <w:r w:rsidRPr="00F17461">
        <w:t xml:space="preserve">.  </w:t>
      </w:r>
      <w:r w:rsidRPr="008B6840">
        <w:rPr>
          <w:i/>
        </w:rPr>
        <w:t>See</w:t>
      </w:r>
      <w:r w:rsidRPr="00F17461">
        <w:t xml:space="preserve"> </w:t>
      </w:r>
      <w:r w:rsidRPr="00560DA7">
        <w:rPr>
          <w:i/>
        </w:rPr>
        <w:t>Inmate Calling Report and Order and FNPRM</w:t>
      </w:r>
      <w:r w:rsidRPr="00974876">
        <w:rPr>
          <w:i/>
        </w:rPr>
        <w:t xml:space="preserve"> </w:t>
      </w:r>
      <w:r w:rsidRPr="00F17461">
        <w:t xml:space="preserve">at 14148, para. 76 (“We establish an interim rate cap for debit and prepaid interstate ICS calls of $0.21 per minute based on the public debit call cost data included in Pay Tel’s cost submission. . . .  Specifically, Pay Tel reported that the average of its actual and projected 2012-2015 debit calling costs, excluding commissions and </w:t>
      </w:r>
      <w:r w:rsidRPr="00F17461">
        <w:rPr>
          <w:i/>
        </w:rPr>
        <w:t>including continuous voice biometric identification fees</w:t>
      </w:r>
      <w:r w:rsidRPr="00F17461">
        <w:t xml:space="preserve">, is $0.208 per minute.”) (emphasis added).  </w:t>
      </w:r>
      <w:r>
        <w:t xml:space="preserve">For collect calls, we note that the $0.25 per minute rate cap for collect calls set by the Commission was higher than the rate Pay Tel cited in its cost study for collect calls with voice biometric technology.  </w:t>
      </w:r>
      <w:r>
        <w:rPr>
          <w:i/>
        </w:rPr>
        <w:t xml:space="preserve">See </w:t>
      </w:r>
      <w:r>
        <w:t xml:space="preserve">Letter from Marcus W. Trathen, Counsel for Pay Tel Communications, Inc., to Marlene H. Dortch, Secretary, FCC, WC Docket No. 12-375 at Attach. (Worksheet Set A) (Pay Tel Cost Summary) (filed July 23, 2013) (citing an average total company cost for collect ICS calls with voice biometric technology of $0.225 per minute).  We therefore believe that the Commission’s rate cap for collect calls is also set at sufficiently conservative level to accommodate the voice biometric fee Securus has requested here.  </w:t>
      </w:r>
    </w:p>
  </w:footnote>
  <w:footnote w:id="93">
    <w:p w:rsidR="009E571C" w:rsidRPr="00F17461" w:rsidRDefault="009E571C" w:rsidP="008E1A32">
      <w:pPr>
        <w:pStyle w:val="FootnoteText"/>
      </w:pPr>
      <w:r w:rsidRPr="00F17461">
        <w:rPr>
          <w:rStyle w:val="FootnoteReference"/>
        </w:rPr>
        <w:footnoteRef/>
      </w:r>
      <w:r w:rsidRPr="00F17461">
        <w:t xml:space="preserve"> </w:t>
      </w:r>
      <w:r w:rsidRPr="00020523">
        <w:t xml:space="preserve">Voice Biometrics Petition </w:t>
      </w:r>
      <w:r w:rsidRPr="00F17461">
        <w:t xml:space="preserve">at 4.  </w:t>
      </w:r>
    </w:p>
  </w:footnote>
  <w:footnote w:id="94">
    <w:p w:rsidR="009E571C" w:rsidRDefault="009E571C" w:rsidP="00613700">
      <w:pPr>
        <w:pStyle w:val="FootnoteText"/>
      </w:pPr>
      <w:r>
        <w:rPr>
          <w:rStyle w:val="FootnoteReference"/>
        </w:rPr>
        <w:footnoteRef/>
      </w:r>
      <w:r>
        <w:t xml:space="preserve"> Securus Voice Biometric Petition Reply at 2 (citations omitted).  </w:t>
      </w:r>
    </w:p>
  </w:footnote>
  <w:footnote w:id="95">
    <w:p w:rsidR="009E571C" w:rsidRDefault="009E571C">
      <w:pPr>
        <w:pStyle w:val="FootnoteText"/>
      </w:pPr>
      <w:r>
        <w:rPr>
          <w:rStyle w:val="FootnoteReference"/>
        </w:rPr>
        <w:footnoteRef/>
      </w:r>
      <w:r>
        <w:t xml:space="preserve"> </w:t>
      </w:r>
      <w:r w:rsidRPr="000D05CE">
        <w:rPr>
          <w:i/>
        </w:rPr>
        <w:t>See, e.g.,</w:t>
      </w:r>
      <w:r>
        <w:t xml:space="preserve"> Pay Tel Waiver Petition at 2.  </w:t>
      </w:r>
    </w:p>
  </w:footnote>
  <w:footnote w:id="96">
    <w:p w:rsidR="009E571C" w:rsidRDefault="009E571C">
      <w:pPr>
        <w:pStyle w:val="FootnoteText"/>
      </w:pPr>
      <w:r>
        <w:rPr>
          <w:rStyle w:val="FootnoteReference"/>
        </w:rPr>
        <w:footnoteRef/>
      </w:r>
      <w:r>
        <w:t xml:space="preserve"> Wright Petitioners Opposition at 2 (quoting Exh. A at 2 (Statement by Securus’ CEO as cited in Bryce Baschuk, </w:t>
      </w:r>
      <w:r w:rsidRPr="004777A3">
        <w:rPr>
          <w:i/>
        </w:rPr>
        <w:t>Court Partially Denies Appeal to Block FCC Prison Call Rate Caps</w:t>
      </w:r>
      <w:r>
        <w:t xml:space="preserve">, </w:t>
      </w:r>
      <w:r w:rsidRPr="004777A3">
        <w:rPr>
          <w:smallCaps/>
        </w:rPr>
        <w:t>Bloomberg BNA</w:t>
      </w:r>
      <w:r>
        <w:t xml:space="preserve">, Jan. 15, 2014)).   </w:t>
      </w:r>
    </w:p>
  </w:footnote>
  <w:footnote w:id="97">
    <w:p w:rsidR="009E571C" w:rsidRDefault="009E571C">
      <w:pPr>
        <w:pStyle w:val="FootnoteText"/>
      </w:pPr>
      <w:r>
        <w:rPr>
          <w:rStyle w:val="FootnoteReference"/>
        </w:rPr>
        <w:footnoteRef/>
      </w:r>
      <w:r>
        <w:t xml:space="preserve"> Ream Opposition at 2; </w:t>
      </w:r>
      <w:r>
        <w:rPr>
          <w:i/>
        </w:rPr>
        <w:t xml:space="preserve">see also </w:t>
      </w:r>
      <w:r>
        <w:t xml:space="preserve">Wright Petitioners’ Opposition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28" w:rsidRDefault="00B95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1C" w:rsidRDefault="004F79A2" w:rsidP="005E279D">
    <w:pPr>
      <w:pStyle w:val="Header"/>
    </w:pPr>
    <w:r>
      <w:t xml:space="preserve"> </w:t>
    </w:r>
    <w:r w:rsidR="009E571C">
      <w:tab/>
      <w:t>Federal Communications Commission</w:t>
    </w:r>
    <w:r w:rsidR="009E571C">
      <w:tab/>
      <w:t>DA 14-</w:t>
    </w:r>
    <w:r>
      <w:t>786</w:t>
    </w:r>
  </w:p>
  <w:p w:rsidR="009E571C" w:rsidRDefault="009E571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25E66BF" wp14:editId="6A986FF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E571C" w:rsidRDefault="009E571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1C" w:rsidRDefault="009E571C" w:rsidP="005E279D">
    <w:pPr>
      <w:pStyle w:val="Heade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4F79A2">
      <w:t xml:space="preserve"> </w:t>
    </w:r>
    <w:r>
      <w:tab/>
      <w:t>Federal Communications Commission</w:t>
    </w:r>
    <w:r>
      <w:tab/>
    </w:r>
    <w:r>
      <w:rPr>
        <w:spacing w:val="-2"/>
      </w:rPr>
      <w:t>DA 14-</w:t>
    </w:r>
    <w:r w:rsidR="004F79A2">
      <w:rPr>
        <w:spacing w:val="-2"/>
      </w:rPr>
      <w:t>786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0A348C"/>
    <w:multiLevelType w:val="hybridMultilevel"/>
    <w:tmpl w:val="2496E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E32DE"/>
    <w:multiLevelType w:val="hybridMultilevel"/>
    <w:tmpl w:val="409E747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2042BA"/>
    <w:multiLevelType w:val="hybridMultilevel"/>
    <w:tmpl w:val="5378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81D84"/>
    <w:multiLevelType w:val="hybridMultilevel"/>
    <w:tmpl w:val="087A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1"/>
  </w:num>
  <w:num w:numId="8">
    <w:abstractNumId w:val="8"/>
  </w:num>
  <w:num w:numId="9">
    <w:abstractNumId w:val="9"/>
    <w:lvlOverride w:ilvl="0">
      <w:startOverride w:val="1"/>
    </w:lvlOverride>
  </w:num>
  <w:num w:numId="10">
    <w:abstractNumId w:val="7"/>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F6"/>
    <w:rsid w:val="000006A1"/>
    <w:rsid w:val="000030FF"/>
    <w:rsid w:val="00004E19"/>
    <w:rsid w:val="00005075"/>
    <w:rsid w:val="00005369"/>
    <w:rsid w:val="00006ADA"/>
    <w:rsid w:val="000071FB"/>
    <w:rsid w:val="000145DD"/>
    <w:rsid w:val="00020523"/>
    <w:rsid w:val="00020D49"/>
    <w:rsid w:val="00021154"/>
    <w:rsid w:val="00021C58"/>
    <w:rsid w:val="00022C86"/>
    <w:rsid w:val="00023D9A"/>
    <w:rsid w:val="00033E1E"/>
    <w:rsid w:val="00035B49"/>
    <w:rsid w:val="00036039"/>
    <w:rsid w:val="00037F90"/>
    <w:rsid w:val="00045DCB"/>
    <w:rsid w:val="000512D2"/>
    <w:rsid w:val="0005195A"/>
    <w:rsid w:val="00052719"/>
    <w:rsid w:val="00052DFF"/>
    <w:rsid w:val="00053A6A"/>
    <w:rsid w:val="00053F46"/>
    <w:rsid w:val="000635AB"/>
    <w:rsid w:val="00063E18"/>
    <w:rsid w:val="0006656A"/>
    <w:rsid w:val="000667A4"/>
    <w:rsid w:val="00071F43"/>
    <w:rsid w:val="00074400"/>
    <w:rsid w:val="00074BE6"/>
    <w:rsid w:val="00075921"/>
    <w:rsid w:val="0008322B"/>
    <w:rsid w:val="00086107"/>
    <w:rsid w:val="000865FD"/>
    <w:rsid w:val="000867AB"/>
    <w:rsid w:val="000867E0"/>
    <w:rsid w:val="000875BF"/>
    <w:rsid w:val="0008787A"/>
    <w:rsid w:val="00091342"/>
    <w:rsid w:val="00096D8C"/>
    <w:rsid w:val="000977D2"/>
    <w:rsid w:val="000A062C"/>
    <w:rsid w:val="000A0ED8"/>
    <w:rsid w:val="000A34ED"/>
    <w:rsid w:val="000A510D"/>
    <w:rsid w:val="000A5CE9"/>
    <w:rsid w:val="000A62B6"/>
    <w:rsid w:val="000B1DB2"/>
    <w:rsid w:val="000B2097"/>
    <w:rsid w:val="000B2120"/>
    <w:rsid w:val="000B2842"/>
    <w:rsid w:val="000B5ED7"/>
    <w:rsid w:val="000C0B65"/>
    <w:rsid w:val="000C29AC"/>
    <w:rsid w:val="000C2C68"/>
    <w:rsid w:val="000C2E4F"/>
    <w:rsid w:val="000C3841"/>
    <w:rsid w:val="000C3B55"/>
    <w:rsid w:val="000D05CE"/>
    <w:rsid w:val="000D2165"/>
    <w:rsid w:val="000D2DED"/>
    <w:rsid w:val="000D2EE8"/>
    <w:rsid w:val="000D482A"/>
    <w:rsid w:val="000D53AC"/>
    <w:rsid w:val="000D6022"/>
    <w:rsid w:val="000E05FE"/>
    <w:rsid w:val="000E1C13"/>
    <w:rsid w:val="000E3D42"/>
    <w:rsid w:val="000E4A5A"/>
    <w:rsid w:val="000E4B1B"/>
    <w:rsid w:val="000E7A49"/>
    <w:rsid w:val="000E7F88"/>
    <w:rsid w:val="000F00E8"/>
    <w:rsid w:val="000F0D89"/>
    <w:rsid w:val="000F12D1"/>
    <w:rsid w:val="000F1C5E"/>
    <w:rsid w:val="000F5C70"/>
    <w:rsid w:val="00102103"/>
    <w:rsid w:val="00103CEA"/>
    <w:rsid w:val="0010469B"/>
    <w:rsid w:val="00104F7C"/>
    <w:rsid w:val="0010691E"/>
    <w:rsid w:val="001145D9"/>
    <w:rsid w:val="001152C5"/>
    <w:rsid w:val="00115A65"/>
    <w:rsid w:val="00117A74"/>
    <w:rsid w:val="001201B5"/>
    <w:rsid w:val="001211E1"/>
    <w:rsid w:val="001220B0"/>
    <w:rsid w:val="00122BD5"/>
    <w:rsid w:val="001245F9"/>
    <w:rsid w:val="00131C53"/>
    <w:rsid w:val="00133F79"/>
    <w:rsid w:val="00134173"/>
    <w:rsid w:val="0013472F"/>
    <w:rsid w:val="0013613C"/>
    <w:rsid w:val="00136648"/>
    <w:rsid w:val="00136DB2"/>
    <w:rsid w:val="00137C74"/>
    <w:rsid w:val="00140647"/>
    <w:rsid w:val="001429BF"/>
    <w:rsid w:val="0014434D"/>
    <w:rsid w:val="001500EF"/>
    <w:rsid w:val="00150AA3"/>
    <w:rsid w:val="001523CD"/>
    <w:rsid w:val="001553FA"/>
    <w:rsid w:val="001626FE"/>
    <w:rsid w:val="00162955"/>
    <w:rsid w:val="0016344A"/>
    <w:rsid w:val="001657EB"/>
    <w:rsid w:val="00176BE2"/>
    <w:rsid w:val="00177335"/>
    <w:rsid w:val="00181600"/>
    <w:rsid w:val="00182AF3"/>
    <w:rsid w:val="001856DC"/>
    <w:rsid w:val="00186731"/>
    <w:rsid w:val="0019111A"/>
    <w:rsid w:val="001913B9"/>
    <w:rsid w:val="00194A66"/>
    <w:rsid w:val="00194D17"/>
    <w:rsid w:val="00197550"/>
    <w:rsid w:val="001A4FCE"/>
    <w:rsid w:val="001A6B03"/>
    <w:rsid w:val="001A6B5E"/>
    <w:rsid w:val="001B1317"/>
    <w:rsid w:val="001B3517"/>
    <w:rsid w:val="001B3D14"/>
    <w:rsid w:val="001B5230"/>
    <w:rsid w:val="001B5260"/>
    <w:rsid w:val="001B65B5"/>
    <w:rsid w:val="001B71C3"/>
    <w:rsid w:val="001B7DB1"/>
    <w:rsid w:val="001C1FEC"/>
    <w:rsid w:val="001C5168"/>
    <w:rsid w:val="001C570B"/>
    <w:rsid w:val="001C5B82"/>
    <w:rsid w:val="001C7473"/>
    <w:rsid w:val="001C78BC"/>
    <w:rsid w:val="001D00EB"/>
    <w:rsid w:val="001D20D8"/>
    <w:rsid w:val="001D2A32"/>
    <w:rsid w:val="001D35BA"/>
    <w:rsid w:val="001D6433"/>
    <w:rsid w:val="001D6A01"/>
    <w:rsid w:val="001D6BCF"/>
    <w:rsid w:val="001E01CA"/>
    <w:rsid w:val="001E4C13"/>
    <w:rsid w:val="001E5336"/>
    <w:rsid w:val="001E7E5A"/>
    <w:rsid w:val="001F05FA"/>
    <w:rsid w:val="001F0D7F"/>
    <w:rsid w:val="001F22C4"/>
    <w:rsid w:val="001F679C"/>
    <w:rsid w:val="00202D1E"/>
    <w:rsid w:val="00203E2F"/>
    <w:rsid w:val="00205878"/>
    <w:rsid w:val="002060E7"/>
    <w:rsid w:val="00206282"/>
    <w:rsid w:val="00206663"/>
    <w:rsid w:val="002102B9"/>
    <w:rsid w:val="00214A1C"/>
    <w:rsid w:val="00214B69"/>
    <w:rsid w:val="002172F9"/>
    <w:rsid w:val="00221A90"/>
    <w:rsid w:val="0022420A"/>
    <w:rsid w:val="0022662F"/>
    <w:rsid w:val="002269D0"/>
    <w:rsid w:val="002319D6"/>
    <w:rsid w:val="0023393E"/>
    <w:rsid w:val="0023396D"/>
    <w:rsid w:val="00236B58"/>
    <w:rsid w:val="00240A82"/>
    <w:rsid w:val="00240EF3"/>
    <w:rsid w:val="0024275C"/>
    <w:rsid w:val="00244555"/>
    <w:rsid w:val="002451D8"/>
    <w:rsid w:val="00250904"/>
    <w:rsid w:val="00254AE5"/>
    <w:rsid w:val="00256808"/>
    <w:rsid w:val="002600E2"/>
    <w:rsid w:val="00262860"/>
    <w:rsid w:val="00267FDE"/>
    <w:rsid w:val="00275CF5"/>
    <w:rsid w:val="00276D73"/>
    <w:rsid w:val="00282837"/>
    <w:rsid w:val="0028301F"/>
    <w:rsid w:val="002849E5"/>
    <w:rsid w:val="00285017"/>
    <w:rsid w:val="00285B32"/>
    <w:rsid w:val="002915CD"/>
    <w:rsid w:val="002944CE"/>
    <w:rsid w:val="002947E2"/>
    <w:rsid w:val="00294C09"/>
    <w:rsid w:val="002956BA"/>
    <w:rsid w:val="00295C9D"/>
    <w:rsid w:val="00297845"/>
    <w:rsid w:val="00297BC4"/>
    <w:rsid w:val="002A07DD"/>
    <w:rsid w:val="002A0847"/>
    <w:rsid w:val="002A0D76"/>
    <w:rsid w:val="002A1399"/>
    <w:rsid w:val="002A2D2E"/>
    <w:rsid w:val="002A5504"/>
    <w:rsid w:val="002A5825"/>
    <w:rsid w:val="002A583A"/>
    <w:rsid w:val="002A6F6A"/>
    <w:rsid w:val="002A7063"/>
    <w:rsid w:val="002B0019"/>
    <w:rsid w:val="002B2FAB"/>
    <w:rsid w:val="002B3462"/>
    <w:rsid w:val="002C1A8C"/>
    <w:rsid w:val="002C73B5"/>
    <w:rsid w:val="002D19EF"/>
    <w:rsid w:val="002D3C39"/>
    <w:rsid w:val="002D4CEF"/>
    <w:rsid w:val="002E02F8"/>
    <w:rsid w:val="002E1803"/>
    <w:rsid w:val="002E3AC1"/>
    <w:rsid w:val="002E3B94"/>
    <w:rsid w:val="002E59C3"/>
    <w:rsid w:val="002E714F"/>
    <w:rsid w:val="002E73E3"/>
    <w:rsid w:val="002F0854"/>
    <w:rsid w:val="002F1B40"/>
    <w:rsid w:val="002F3DBB"/>
    <w:rsid w:val="002F6719"/>
    <w:rsid w:val="002F7C6E"/>
    <w:rsid w:val="00300AC6"/>
    <w:rsid w:val="00301A62"/>
    <w:rsid w:val="00303C54"/>
    <w:rsid w:val="00305D13"/>
    <w:rsid w:val="00313A77"/>
    <w:rsid w:val="003172C0"/>
    <w:rsid w:val="003201E2"/>
    <w:rsid w:val="0032143E"/>
    <w:rsid w:val="00322374"/>
    <w:rsid w:val="003229B3"/>
    <w:rsid w:val="003301D0"/>
    <w:rsid w:val="00333F50"/>
    <w:rsid w:val="003402F9"/>
    <w:rsid w:val="003408A1"/>
    <w:rsid w:val="00340ABE"/>
    <w:rsid w:val="00343749"/>
    <w:rsid w:val="00343B70"/>
    <w:rsid w:val="00347743"/>
    <w:rsid w:val="00351274"/>
    <w:rsid w:val="00354A3E"/>
    <w:rsid w:val="00357DE9"/>
    <w:rsid w:val="00360FE3"/>
    <w:rsid w:val="003626E4"/>
    <w:rsid w:val="00363D15"/>
    <w:rsid w:val="003660ED"/>
    <w:rsid w:val="003662FA"/>
    <w:rsid w:val="00375C99"/>
    <w:rsid w:val="003840BE"/>
    <w:rsid w:val="00385A13"/>
    <w:rsid w:val="003874D7"/>
    <w:rsid w:val="00387B55"/>
    <w:rsid w:val="0039039F"/>
    <w:rsid w:val="00390CD2"/>
    <w:rsid w:val="003917BB"/>
    <w:rsid w:val="00397C04"/>
    <w:rsid w:val="003A1488"/>
    <w:rsid w:val="003A2129"/>
    <w:rsid w:val="003A31AE"/>
    <w:rsid w:val="003A34F6"/>
    <w:rsid w:val="003A49EF"/>
    <w:rsid w:val="003A6035"/>
    <w:rsid w:val="003A6C07"/>
    <w:rsid w:val="003B0550"/>
    <w:rsid w:val="003B694F"/>
    <w:rsid w:val="003B7421"/>
    <w:rsid w:val="003C14D6"/>
    <w:rsid w:val="003C29C4"/>
    <w:rsid w:val="003C34EC"/>
    <w:rsid w:val="003C4B5A"/>
    <w:rsid w:val="003D2BCC"/>
    <w:rsid w:val="003D4077"/>
    <w:rsid w:val="003D4FD1"/>
    <w:rsid w:val="003E0A1F"/>
    <w:rsid w:val="003E0E8B"/>
    <w:rsid w:val="003E34F3"/>
    <w:rsid w:val="003E3752"/>
    <w:rsid w:val="003E39E6"/>
    <w:rsid w:val="003E3F35"/>
    <w:rsid w:val="003E6D93"/>
    <w:rsid w:val="003F046D"/>
    <w:rsid w:val="003F171C"/>
    <w:rsid w:val="003F3256"/>
    <w:rsid w:val="003F753C"/>
    <w:rsid w:val="003F78ED"/>
    <w:rsid w:val="00403B90"/>
    <w:rsid w:val="00403F38"/>
    <w:rsid w:val="00412FC5"/>
    <w:rsid w:val="004132D6"/>
    <w:rsid w:val="00416E8F"/>
    <w:rsid w:val="004175C5"/>
    <w:rsid w:val="00422276"/>
    <w:rsid w:val="004231C0"/>
    <w:rsid w:val="004242F1"/>
    <w:rsid w:val="0042520B"/>
    <w:rsid w:val="004305A9"/>
    <w:rsid w:val="004321A3"/>
    <w:rsid w:val="00432691"/>
    <w:rsid w:val="004332B4"/>
    <w:rsid w:val="004348AE"/>
    <w:rsid w:val="004414CA"/>
    <w:rsid w:val="004445F1"/>
    <w:rsid w:val="00445A00"/>
    <w:rsid w:val="004502AC"/>
    <w:rsid w:val="004504C0"/>
    <w:rsid w:val="00451B0F"/>
    <w:rsid w:val="004542A0"/>
    <w:rsid w:val="004544DE"/>
    <w:rsid w:val="00460B34"/>
    <w:rsid w:val="00461AAF"/>
    <w:rsid w:val="004620EC"/>
    <w:rsid w:val="004633E9"/>
    <w:rsid w:val="00465085"/>
    <w:rsid w:val="0046717E"/>
    <w:rsid w:val="004777A3"/>
    <w:rsid w:val="004777D5"/>
    <w:rsid w:val="00481E2B"/>
    <w:rsid w:val="004865F0"/>
    <w:rsid w:val="00487973"/>
    <w:rsid w:val="00492C36"/>
    <w:rsid w:val="00493A94"/>
    <w:rsid w:val="00495112"/>
    <w:rsid w:val="004952FE"/>
    <w:rsid w:val="0049661D"/>
    <w:rsid w:val="004A07D9"/>
    <w:rsid w:val="004A6047"/>
    <w:rsid w:val="004B216E"/>
    <w:rsid w:val="004B2A02"/>
    <w:rsid w:val="004B312D"/>
    <w:rsid w:val="004B3C12"/>
    <w:rsid w:val="004B4F39"/>
    <w:rsid w:val="004B6C0A"/>
    <w:rsid w:val="004B7298"/>
    <w:rsid w:val="004B7EB6"/>
    <w:rsid w:val="004C0768"/>
    <w:rsid w:val="004C14C1"/>
    <w:rsid w:val="004C2EE3"/>
    <w:rsid w:val="004C2F9C"/>
    <w:rsid w:val="004C58FC"/>
    <w:rsid w:val="004C7D00"/>
    <w:rsid w:val="004D3094"/>
    <w:rsid w:val="004D36CA"/>
    <w:rsid w:val="004D5D9A"/>
    <w:rsid w:val="004D7155"/>
    <w:rsid w:val="004D7938"/>
    <w:rsid w:val="004D7A51"/>
    <w:rsid w:val="004E17A4"/>
    <w:rsid w:val="004E2518"/>
    <w:rsid w:val="004E4A22"/>
    <w:rsid w:val="004E6197"/>
    <w:rsid w:val="004E626A"/>
    <w:rsid w:val="004E6CF9"/>
    <w:rsid w:val="004E6E89"/>
    <w:rsid w:val="004F4F7E"/>
    <w:rsid w:val="004F5C81"/>
    <w:rsid w:val="004F5DA8"/>
    <w:rsid w:val="004F79A2"/>
    <w:rsid w:val="004F7BDD"/>
    <w:rsid w:val="005005F3"/>
    <w:rsid w:val="00502F0C"/>
    <w:rsid w:val="00503FA8"/>
    <w:rsid w:val="0050431D"/>
    <w:rsid w:val="00511170"/>
    <w:rsid w:val="00511766"/>
    <w:rsid w:val="00511968"/>
    <w:rsid w:val="00512C4A"/>
    <w:rsid w:val="005132B1"/>
    <w:rsid w:val="00515C36"/>
    <w:rsid w:val="005178ED"/>
    <w:rsid w:val="00521EF3"/>
    <w:rsid w:val="00523982"/>
    <w:rsid w:val="00524100"/>
    <w:rsid w:val="00524DA9"/>
    <w:rsid w:val="00525866"/>
    <w:rsid w:val="00526325"/>
    <w:rsid w:val="005271DE"/>
    <w:rsid w:val="00534DD9"/>
    <w:rsid w:val="005355BE"/>
    <w:rsid w:val="0053683F"/>
    <w:rsid w:val="00540624"/>
    <w:rsid w:val="0054081D"/>
    <w:rsid w:val="00543343"/>
    <w:rsid w:val="00546DC6"/>
    <w:rsid w:val="00553C31"/>
    <w:rsid w:val="005553D0"/>
    <w:rsid w:val="00555F04"/>
    <w:rsid w:val="0055614C"/>
    <w:rsid w:val="00562C8D"/>
    <w:rsid w:val="00562E62"/>
    <w:rsid w:val="0056353D"/>
    <w:rsid w:val="00563F23"/>
    <w:rsid w:val="005663E9"/>
    <w:rsid w:val="00566E1F"/>
    <w:rsid w:val="005676D2"/>
    <w:rsid w:val="0057139D"/>
    <w:rsid w:val="005720D5"/>
    <w:rsid w:val="005746D9"/>
    <w:rsid w:val="00577780"/>
    <w:rsid w:val="00581251"/>
    <w:rsid w:val="005815D4"/>
    <w:rsid w:val="00581C81"/>
    <w:rsid w:val="0058219B"/>
    <w:rsid w:val="0058377C"/>
    <w:rsid w:val="005838EC"/>
    <w:rsid w:val="0058659D"/>
    <w:rsid w:val="00590931"/>
    <w:rsid w:val="00594956"/>
    <w:rsid w:val="0059757C"/>
    <w:rsid w:val="005A063B"/>
    <w:rsid w:val="005A538F"/>
    <w:rsid w:val="005A7642"/>
    <w:rsid w:val="005B1F08"/>
    <w:rsid w:val="005B52D4"/>
    <w:rsid w:val="005B5C98"/>
    <w:rsid w:val="005C0A05"/>
    <w:rsid w:val="005C2101"/>
    <w:rsid w:val="005C658F"/>
    <w:rsid w:val="005D2FF7"/>
    <w:rsid w:val="005E14C2"/>
    <w:rsid w:val="005E1627"/>
    <w:rsid w:val="005E279D"/>
    <w:rsid w:val="005E4BA4"/>
    <w:rsid w:val="005F3EB9"/>
    <w:rsid w:val="005F5A28"/>
    <w:rsid w:val="005F5E2F"/>
    <w:rsid w:val="006009F3"/>
    <w:rsid w:val="00600BB5"/>
    <w:rsid w:val="0060237B"/>
    <w:rsid w:val="00602828"/>
    <w:rsid w:val="0060309C"/>
    <w:rsid w:val="006073BD"/>
    <w:rsid w:val="00607BA5"/>
    <w:rsid w:val="00610D8B"/>
    <w:rsid w:val="006118F6"/>
    <w:rsid w:val="00613700"/>
    <w:rsid w:val="0061383E"/>
    <w:rsid w:val="00613C71"/>
    <w:rsid w:val="0061528F"/>
    <w:rsid w:val="0061547C"/>
    <w:rsid w:val="006203E8"/>
    <w:rsid w:val="00623553"/>
    <w:rsid w:val="0062384F"/>
    <w:rsid w:val="00624179"/>
    <w:rsid w:val="00625641"/>
    <w:rsid w:val="00625D3A"/>
    <w:rsid w:val="00626EB6"/>
    <w:rsid w:val="00634733"/>
    <w:rsid w:val="00634BBF"/>
    <w:rsid w:val="006355A3"/>
    <w:rsid w:val="006406CD"/>
    <w:rsid w:val="006408C7"/>
    <w:rsid w:val="006410EB"/>
    <w:rsid w:val="00643A12"/>
    <w:rsid w:val="006462F3"/>
    <w:rsid w:val="006465EC"/>
    <w:rsid w:val="00646CC5"/>
    <w:rsid w:val="00651668"/>
    <w:rsid w:val="006555AC"/>
    <w:rsid w:val="00655D03"/>
    <w:rsid w:val="006609E0"/>
    <w:rsid w:val="006615F6"/>
    <w:rsid w:val="00670152"/>
    <w:rsid w:val="00671161"/>
    <w:rsid w:val="006711F9"/>
    <w:rsid w:val="00671FB7"/>
    <w:rsid w:val="006727FD"/>
    <w:rsid w:val="00673391"/>
    <w:rsid w:val="00674124"/>
    <w:rsid w:val="006751E0"/>
    <w:rsid w:val="00681B9E"/>
    <w:rsid w:val="00683388"/>
    <w:rsid w:val="00683F84"/>
    <w:rsid w:val="00685B00"/>
    <w:rsid w:val="00686779"/>
    <w:rsid w:val="00690ABD"/>
    <w:rsid w:val="006935F7"/>
    <w:rsid w:val="00693F0C"/>
    <w:rsid w:val="00694A0C"/>
    <w:rsid w:val="00695905"/>
    <w:rsid w:val="006A2A67"/>
    <w:rsid w:val="006A303C"/>
    <w:rsid w:val="006A6A81"/>
    <w:rsid w:val="006B0259"/>
    <w:rsid w:val="006C1A2E"/>
    <w:rsid w:val="006C3C86"/>
    <w:rsid w:val="006C490A"/>
    <w:rsid w:val="006C7521"/>
    <w:rsid w:val="006D209C"/>
    <w:rsid w:val="006D3789"/>
    <w:rsid w:val="006D41F7"/>
    <w:rsid w:val="006D5E45"/>
    <w:rsid w:val="006D6B7D"/>
    <w:rsid w:val="006D7445"/>
    <w:rsid w:val="006E217F"/>
    <w:rsid w:val="006E5366"/>
    <w:rsid w:val="006E5488"/>
    <w:rsid w:val="006E56CB"/>
    <w:rsid w:val="006F163B"/>
    <w:rsid w:val="006F2307"/>
    <w:rsid w:val="006F3C53"/>
    <w:rsid w:val="006F4244"/>
    <w:rsid w:val="006F6806"/>
    <w:rsid w:val="006F69BF"/>
    <w:rsid w:val="006F7056"/>
    <w:rsid w:val="006F7393"/>
    <w:rsid w:val="007015EE"/>
    <w:rsid w:val="007016E0"/>
    <w:rsid w:val="00701826"/>
    <w:rsid w:val="0070224F"/>
    <w:rsid w:val="0070392B"/>
    <w:rsid w:val="007056D4"/>
    <w:rsid w:val="00706F24"/>
    <w:rsid w:val="0070764E"/>
    <w:rsid w:val="007109A3"/>
    <w:rsid w:val="00711466"/>
    <w:rsid w:val="007115F7"/>
    <w:rsid w:val="007122C9"/>
    <w:rsid w:val="00712B16"/>
    <w:rsid w:val="00714583"/>
    <w:rsid w:val="00717366"/>
    <w:rsid w:val="0071767E"/>
    <w:rsid w:val="0072144B"/>
    <w:rsid w:val="00721A23"/>
    <w:rsid w:val="00721AFA"/>
    <w:rsid w:val="00722ADD"/>
    <w:rsid w:val="00723720"/>
    <w:rsid w:val="007238D9"/>
    <w:rsid w:val="00742023"/>
    <w:rsid w:val="007435DA"/>
    <w:rsid w:val="00744577"/>
    <w:rsid w:val="0074486E"/>
    <w:rsid w:val="00744B7A"/>
    <w:rsid w:val="007451CE"/>
    <w:rsid w:val="00746294"/>
    <w:rsid w:val="0075594C"/>
    <w:rsid w:val="0075769B"/>
    <w:rsid w:val="0076006E"/>
    <w:rsid w:val="0076289C"/>
    <w:rsid w:val="00762D34"/>
    <w:rsid w:val="00764EE7"/>
    <w:rsid w:val="007679CD"/>
    <w:rsid w:val="0077312F"/>
    <w:rsid w:val="007737BE"/>
    <w:rsid w:val="00783811"/>
    <w:rsid w:val="00785639"/>
    <w:rsid w:val="00785689"/>
    <w:rsid w:val="00790A48"/>
    <w:rsid w:val="00794746"/>
    <w:rsid w:val="00795303"/>
    <w:rsid w:val="00796C67"/>
    <w:rsid w:val="0079754B"/>
    <w:rsid w:val="007A0126"/>
    <w:rsid w:val="007A0B6E"/>
    <w:rsid w:val="007A1E6D"/>
    <w:rsid w:val="007A3FBD"/>
    <w:rsid w:val="007A6F7B"/>
    <w:rsid w:val="007A79F8"/>
    <w:rsid w:val="007B0EB2"/>
    <w:rsid w:val="007B5236"/>
    <w:rsid w:val="007B5E83"/>
    <w:rsid w:val="007B6B34"/>
    <w:rsid w:val="007B7859"/>
    <w:rsid w:val="007C01C7"/>
    <w:rsid w:val="007C0F9D"/>
    <w:rsid w:val="007C315B"/>
    <w:rsid w:val="007C7133"/>
    <w:rsid w:val="007D2A2E"/>
    <w:rsid w:val="007D78F0"/>
    <w:rsid w:val="007E1171"/>
    <w:rsid w:val="007E21F3"/>
    <w:rsid w:val="007E2D2F"/>
    <w:rsid w:val="007E35DF"/>
    <w:rsid w:val="007E4ACE"/>
    <w:rsid w:val="007E5732"/>
    <w:rsid w:val="007E62C4"/>
    <w:rsid w:val="007F6CFA"/>
    <w:rsid w:val="007F7D83"/>
    <w:rsid w:val="007F7ED7"/>
    <w:rsid w:val="007F7EF6"/>
    <w:rsid w:val="00803C34"/>
    <w:rsid w:val="00807EE2"/>
    <w:rsid w:val="00810093"/>
    <w:rsid w:val="0081052D"/>
    <w:rsid w:val="00810B6F"/>
    <w:rsid w:val="00810FE2"/>
    <w:rsid w:val="00811780"/>
    <w:rsid w:val="00811869"/>
    <w:rsid w:val="00811DEE"/>
    <w:rsid w:val="00812A90"/>
    <w:rsid w:val="00813D7C"/>
    <w:rsid w:val="0082032A"/>
    <w:rsid w:val="00822CE0"/>
    <w:rsid w:val="00822FBB"/>
    <w:rsid w:val="00824DF7"/>
    <w:rsid w:val="00825D10"/>
    <w:rsid w:val="008263A8"/>
    <w:rsid w:val="00826EB8"/>
    <w:rsid w:val="008319E0"/>
    <w:rsid w:val="008417F3"/>
    <w:rsid w:val="008419BF"/>
    <w:rsid w:val="00841AB1"/>
    <w:rsid w:val="00841F9B"/>
    <w:rsid w:val="008438C0"/>
    <w:rsid w:val="00844A45"/>
    <w:rsid w:val="008451ED"/>
    <w:rsid w:val="0084571E"/>
    <w:rsid w:val="008503D7"/>
    <w:rsid w:val="00856DDD"/>
    <w:rsid w:val="00862203"/>
    <w:rsid w:val="0086264C"/>
    <w:rsid w:val="008637AF"/>
    <w:rsid w:val="008643FD"/>
    <w:rsid w:val="00865586"/>
    <w:rsid w:val="00865F6C"/>
    <w:rsid w:val="008719CC"/>
    <w:rsid w:val="00874178"/>
    <w:rsid w:val="008743E4"/>
    <w:rsid w:val="00876836"/>
    <w:rsid w:val="00885305"/>
    <w:rsid w:val="00885AC3"/>
    <w:rsid w:val="00885BFA"/>
    <w:rsid w:val="00887F01"/>
    <w:rsid w:val="00891DA9"/>
    <w:rsid w:val="00894946"/>
    <w:rsid w:val="00895CD8"/>
    <w:rsid w:val="00896E15"/>
    <w:rsid w:val="008A1191"/>
    <w:rsid w:val="008A35FE"/>
    <w:rsid w:val="008A4D24"/>
    <w:rsid w:val="008B11D9"/>
    <w:rsid w:val="008B4453"/>
    <w:rsid w:val="008B6840"/>
    <w:rsid w:val="008B7A10"/>
    <w:rsid w:val="008C1B15"/>
    <w:rsid w:val="008C32AD"/>
    <w:rsid w:val="008C32D5"/>
    <w:rsid w:val="008C42F5"/>
    <w:rsid w:val="008C510C"/>
    <w:rsid w:val="008C68F1"/>
    <w:rsid w:val="008D0106"/>
    <w:rsid w:val="008D0D09"/>
    <w:rsid w:val="008D36E7"/>
    <w:rsid w:val="008D38D7"/>
    <w:rsid w:val="008D49C5"/>
    <w:rsid w:val="008D4A69"/>
    <w:rsid w:val="008D5208"/>
    <w:rsid w:val="008D57DA"/>
    <w:rsid w:val="008D6659"/>
    <w:rsid w:val="008D6D33"/>
    <w:rsid w:val="008E1A32"/>
    <w:rsid w:val="008E3F7E"/>
    <w:rsid w:val="008F382B"/>
    <w:rsid w:val="008F625F"/>
    <w:rsid w:val="008F64BE"/>
    <w:rsid w:val="008F6B22"/>
    <w:rsid w:val="008F7951"/>
    <w:rsid w:val="0090008A"/>
    <w:rsid w:val="009036B6"/>
    <w:rsid w:val="00907643"/>
    <w:rsid w:val="0090771A"/>
    <w:rsid w:val="00917569"/>
    <w:rsid w:val="0092116D"/>
    <w:rsid w:val="00921803"/>
    <w:rsid w:val="00922BAC"/>
    <w:rsid w:val="00924F4F"/>
    <w:rsid w:val="00926503"/>
    <w:rsid w:val="00926AB3"/>
    <w:rsid w:val="009276D4"/>
    <w:rsid w:val="009321AB"/>
    <w:rsid w:val="0093308B"/>
    <w:rsid w:val="0093345D"/>
    <w:rsid w:val="00933FE1"/>
    <w:rsid w:val="009350F0"/>
    <w:rsid w:val="009365A4"/>
    <w:rsid w:val="0093683C"/>
    <w:rsid w:val="00936DCF"/>
    <w:rsid w:val="0093720D"/>
    <w:rsid w:val="00941BC8"/>
    <w:rsid w:val="009429BD"/>
    <w:rsid w:val="00945812"/>
    <w:rsid w:val="00951813"/>
    <w:rsid w:val="00954173"/>
    <w:rsid w:val="009571AD"/>
    <w:rsid w:val="00957739"/>
    <w:rsid w:val="00961453"/>
    <w:rsid w:val="00962931"/>
    <w:rsid w:val="0096319B"/>
    <w:rsid w:val="00965437"/>
    <w:rsid w:val="009664AC"/>
    <w:rsid w:val="009676D9"/>
    <w:rsid w:val="0097048E"/>
    <w:rsid w:val="009726D8"/>
    <w:rsid w:val="00973171"/>
    <w:rsid w:val="00974876"/>
    <w:rsid w:val="00976162"/>
    <w:rsid w:val="0097752F"/>
    <w:rsid w:val="00977767"/>
    <w:rsid w:val="00983B37"/>
    <w:rsid w:val="00983DC3"/>
    <w:rsid w:val="00991BAC"/>
    <w:rsid w:val="0099699E"/>
    <w:rsid w:val="0099715F"/>
    <w:rsid w:val="009A015E"/>
    <w:rsid w:val="009A2777"/>
    <w:rsid w:val="009A46E4"/>
    <w:rsid w:val="009B0920"/>
    <w:rsid w:val="009B303D"/>
    <w:rsid w:val="009B6351"/>
    <w:rsid w:val="009B730A"/>
    <w:rsid w:val="009C14A9"/>
    <w:rsid w:val="009C1BA0"/>
    <w:rsid w:val="009C4873"/>
    <w:rsid w:val="009C50D3"/>
    <w:rsid w:val="009C54C7"/>
    <w:rsid w:val="009D0A7E"/>
    <w:rsid w:val="009D2F6C"/>
    <w:rsid w:val="009D53D8"/>
    <w:rsid w:val="009D67BB"/>
    <w:rsid w:val="009E2189"/>
    <w:rsid w:val="009E2DA6"/>
    <w:rsid w:val="009E571C"/>
    <w:rsid w:val="009F221C"/>
    <w:rsid w:val="009F7055"/>
    <w:rsid w:val="009F76DB"/>
    <w:rsid w:val="00A02027"/>
    <w:rsid w:val="00A04D3B"/>
    <w:rsid w:val="00A0689C"/>
    <w:rsid w:val="00A07FAE"/>
    <w:rsid w:val="00A11976"/>
    <w:rsid w:val="00A12A0C"/>
    <w:rsid w:val="00A1432B"/>
    <w:rsid w:val="00A14BDB"/>
    <w:rsid w:val="00A155ED"/>
    <w:rsid w:val="00A21F8A"/>
    <w:rsid w:val="00A25424"/>
    <w:rsid w:val="00A27691"/>
    <w:rsid w:val="00A32179"/>
    <w:rsid w:val="00A32C3B"/>
    <w:rsid w:val="00A415C2"/>
    <w:rsid w:val="00A415EC"/>
    <w:rsid w:val="00A421C6"/>
    <w:rsid w:val="00A42C7C"/>
    <w:rsid w:val="00A45417"/>
    <w:rsid w:val="00A45F4F"/>
    <w:rsid w:val="00A460B5"/>
    <w:rsid w:val="00A46A48"/>
    <w:rsid w:val="00A46F43"/>
    <w:rsid w:val="00A5054A"/>
    <w:rsid w:val="00A51EBA"/>
    <w:rsid w:val="00A54A4D"/>
    <w:rsid w:val="00A54F53"/>
    <w:rsid w:val="00A600A9"/>
    <w:rsid w:val="00A61AA3"/>
    <w:rsid w:val="00A6225D"/>
    <w:rsid w:val="00A62B44"/>
    <w:rsid w:val="00A70496"/>
    <w:rsid w:val="00A73BDE"/>
    <w:rsid w:val="00A75E43"/>
    <w:rsid w:val="00A817BB"/>
    <w:rsid w:val="00A82065"/>
    <w:rsid w:val="00A87FF3"/>
    <w:rsid w:val="00A91687"/>
    <w:rsid w:val="00A91726"/>
    <w:rsid w:val="00A935C4"/>
    <w:rsid w:val="00A9643F"/>
    <w:rsid w:val="00AA1126"/>
    <w:rsid w:val="00AA179B"/>
    <w:rsid w:val="00AA24AA"/>
    <w:rsid w:val="00AA277B"/>
    <w:rsid w:val="00AA42FE"/>
    <w:rsid w:val="00AA4AC3"/>
    <w:rsid w:val="00AA4BB3"/>
    <w:rsid w:val="00AA4D07"/>
    <w:rsid w:val="00AA5565"/>
    <w:rsid w:val="00AA55B7"/>
    <w:rsid w:val="00AA5B9E"/>
    <w:rsid w:val="00AA6E6A"/>
    <w:rsid w:val="00AB11FF"/>
    <w:rsid w:val="00AB2407"/>
    <w:rsid w:val="00AB245A"/>
    <w:rsid w:val="00AB4B99"/>
    <w:rsid w:val="00AB53DF"/>
    <w:rsid w:val="00AB7B5D"/>
    <w:rsid w:val="00AC157A"/>
    <w:rsid w:val="00AC49DA"/>
    <w:rsid w:val="00AC7CFF"/>
    <w:rsid w:val="00AD0D46"/>
    <w:rsid w:val="00AD12D8"/>
    <w:rsid w:val="00AD18BB"/>
    <w:rsid w:val="00AD6D31"/>
    <w:rsid w:val="00AE41EB"/>
    <w:rsid w:val="00AE7486"/>
    <w:rsid w:val="00AE7EF9"/>
    <w:rsid w:val="00AF119E"/>
    <w:rsid w:val="00AF219B"/>
    <w:rsid w:val="00AF3248"/>
    <w:rsid w:val="00AF7782"/>
    <w:rsid w:val="00AF7865"/>
    <w:rsid w:val="00B01DF6"/>
    <w:rsid w:val="00B04D88"/>
    <w:rsid w:val="00B0766C"/>
    <w:rsid w:val="00B07E5C"/>
    <w:rsid w:val="00B136C0"/>
    <w:rsid w:val="00B13C4C"/>
    <w:rsid w:val="00B15552"/>
    <w:rsid w:val="00B1707F"/>
    <w:rsid w:val="00B17811"/>
    <w:rsid w:val="00B20356"/>
    <w:rsid w:val="00B203C7"/>
    <w:rsid w:val="00B2183D"/>
    <w:rsid w:val="00B25E3F"/>
    <w:rsid w:val="00B26F69"/>
    <w:rsid w:val="00B27D85"/>
    <w:rsid w:val="00B27FFE"/>
    <w:rsid w:val="00B33EBB"/>
    <w:rsid w:val="00B43677"/>
    <w:rsid w:val="00B47F4F"/>
    <w:rsid w:val="00B508BA"/>
    <w:rsid w:val="00B5158D"/>
    <w:rsid w:val="00B516B7"/>
    <w:rsid w:val="00B526D1"/>
    <w:rsid w:val="00B53092"/>
    <w:rsid w:val="00B56419"/>
    <w:rsid w:val="00B56EEA"/>
    <w:rsid w:val="00B574DF"/>
    <w:rsid w:val="00B617A1"/>
    <w:rsid w:val="00B61C5F"/>
    <w:rsid w:val="00B700A5"/>
    <w:rsid w:val="00B77863"/>
    <w:rsid w:val="00B8036D"/>
    <w:rsid w:val="00B80C35"/>
    <w:rsid w:val="00B811F7"/>
    <w:rsid w:val="00B87295"/>
    <w:rsid w:val="00B87840"/>
    <w:rsid w:val="00B95228"/>
    <w:rsid w:val="00B954B8"/>
    <w:rsid w:val="00BA0B04"/>
    <w:rsid w:val="00BA1EDA"/>
    <w:rsid w:val="00BA5DC6"/>
    <w:rsid w:val="00BA6196"/>
    <w:rsid w:val="00BA64C6"/>
    <w:rsid w:val="00BA7214"/>
    <w:rsid w:val="00BB1CEF"/>
    <w:rsid w:val="00BB4CF2"/>
    <w:rsid w:val="00BB50EA"/>
    <w:rsid w:val="00BB58BA"/>
    <w:rsid w:val="00BB68F0"/>
    <w:rsid w:val="00BC01A9"/>
    <w:rsid w:val="00BC596B"/>
    <w:rsid w:val="00BC5BA6"/>
    <w:rsid w:val="00BC69E7"/>
    <w:rsid w:val="00BC6A7A"/>
    <w:rsid w:val="00BC6D8C"/>
    <w:rsid w:val="00BD22B5"/>
    <w:rsid w:val="00BD3C84"/>
    <w:rsid w:val="00BD5256"/>
    <w:rsid w:val="00BD58E8"/>
    <w:rsid w:val="00BD73F4"/>
    <w:rsid w:val="00BE0727"/>
    <w:rsid w:val="00BE1F60"/>
    <w:rsid w:val="00BE2DB7"/>
    <w:rsid w:val="00BE6310"/>
    <w:rsid w:val="00BF18F7"/>
    <w:rsid w:val="00BF2FF1"/>
    <w:rsid w:val="00BF4FA8"/>
    <w:rsid w:val="00BF53B3"/>
    <w:rsid w:val="00BF7630"/>
    <w:rsid w:val="00C002A0"/>
    <w:rsid w:val="00C00C75"/>
    <w:rsid w:val="00C01870"/>
    <w:rsid w:val="00C024E0"/>
    <w:rsid w:val="00C05A3C"/>
    <w:rsid w:val="00C111D1"/>
    <w:rsid w:val="00C11D23"/>
    <w:rsid w:val="00C13EBA"/>
    <w:rsid w:val="00C14692"/>
    <w:rsid w:val="00C1752A"/>
    <w:rsid w:val="00C25354"/>
    <w:rsid w:val="00C2685E"/>
    <w:rsid w:val="00C30A31"/>
    <w:rsid w:val="00C317BA"/>
    <w:rsid w:val="00C34006"/>
    <w:rsid w:val="00C37069"/>
    <w:rsid w:val="00C37EC7"/>
    <w:rsid w:val="00C426B1"/>
    <w:rsid w:val="00C43D7E"/>
    <w:rsid w:val="00C43F6A"/>
    <w:rsid w:val="00C44B6E"/>
    <w:rsid w:val="00C4751A"/>
    <w:rsid w:val="00C51B2E"/>
    <w:rsid w:val="00C52665"/>
    <w:rsid w:val="00C575EA"/>
    <w:rsid w:val="00C579C3"/>
    <w:rsid w:val="00C57A4F"/>
    <w:rsid w:val="00C65A21"/>
    <w:rsid w:val="00C66160"/>
    <w:rsid w:val="00C714C9"/>
    <w:rsid w:val="00C72013"/>
    <w:rsid w:val="00C721AC"/>
    <w:rsid w:val="00C72840"/>
    <w:rsid w:val="00C761F8"/>
    <w:rsid w:val="00C77813"/>
    <w:rsid w:val="00C77E2F"/>
    <w:rsid w:val="00C828D6"/>
    <w:rsid w:val="00C84DC7"/>
    <w:rsid w:val="00C90D6A"/>
    <w:rsid w:val="00C944D4"/>
    <w:rsid w:val="00C9587C"/>
    <w:rsid w:val="00C958A4"/>
    <w:rsid w:val="00C9675D"/>
    <w:rsid w:val="00CA247E"/>
    <w:rsid w:val="00CA3454"/>
    <w:rsid w:val="00CA4748"/>
    <w:rsid w:val="00CA4F88"/>
    <w:rsid w:val="00CA576B"/>
    <w:rsid w:val="00CA68BE"/>
    <w:rsid w:val="00CA6B0C"/>
    <w:rsid w:val="00CC0B57"/>
    <w:rsid w:val="00CC3B9F"/>
    <w:rsid w:val="00CC48C8"/>
    <w:rsid w:val="00CC4F12"/>
    <w:rsid w:val="00CC5AE7"/>
    <w:rsid w:val="00CC72B6"/>
    <w:rsid w:val="00CC7B7D"/>
    <w:rsid w:val="00CD70D6"/>
    <w:rsid w:val="00CE0748"/>
    <w:rsid w:val="00CE26EC"/>
    <w:rsid w:val="00CE77B8"/>
    <w:rsid w:val="00CF51D5"/>
    <w:rsid w:val="00CF65B6"/>
    <w:rsid w:val="00D00F14"/>
    <w:rsid w:val="00D0218D"/>
    <w:rsid w:val="00D02568"/>
    <w:rsid w:val="00D0417A"/>
    <w:rsid w:val="00D04298"/>
    <w:rsid w:val="00D05C78"/>
    <w:rsid w:val="00D105B3"/>
    <w:rsid w:val="00D1213E"/>
    <w:rsid w:val="00D13247"/>
    <w:rsid w:val="00D15626"/>
    <w:rsid w:val="00D170A6"/>
    <w:rsid w:val="00D17BB1"/>
    <w:rsid w:val="00D20F90"/>
    <w:rsid w:val="00D25FB5"/>
    <w:rsid w:val="00D32722"/>
    <w:rsid w:val="00D32C7E"/>
    <w:rsid w:val="00D33065"/>
    <w:rsid w:val="00D335CF"/>
    <w:rsid w:val="00D33E8F"/>
    <w:rsid w:val="00D37BC9"/>
    <w:rsid w:val="00D44223"/>
    <w:rsid w:val="00D4517A"/>
    <w:rsid w:val="00D45E1A"/>
    <w:rsid w:val="00D460B2"/>
    <w:rsid w:val="00D50FB3"/>
    <w:rsid w:val="00D5324E"/>
    <w:rsid w:val="00D557F4"/>
    <w:rsid w:val="00D6066C"/>
    <w:rsid w:val="00D60E02"/>
    <w:rsid w:val="00D61156"/>
    <w:rsid w:val="00D633CB"/>
    <w:rsid w:val="00D6380E"/>
    <w:rsid w:val="00D6444E"/>
    <w:rsid w:val="00D662FE"/>
    <w:rsid w:val="00D7191D"/>
    <w:rsid w:val="00D76A80"/>
    <w:rsid w:val="00D76EF4"/>
    <w:rsid w:val="00D77560"/>
    <w:rsid w:val="00D83D6A"/>
    <w:rsid w:val="00D86CEC"/>
    <w:rsid w:val="00D86D1B"/>
    <w:rsid w:val="00D96B12"/>
    <w:rsid w:val="00DA0606"/>
    <w:rsid w:val="00DA2529"/>
    <w:rsid w:val="00DA5C1F"/>
    <w:rsid w:val="00DA600A"/>
    <w:rsid w:val="00DB00F5"/>
    <w:rsid w:val="00DB130A"/>
    <w:rsid w:val="00DB2EBB"/>
    <w:rsid w:val="00DB49B6"/>
    <w:rsid w:val="00DB7B77"/>
    <w:rsid w:val="00DC0150"/>
    <w:rsid w:val="00DC10A1"/>
    <w:rsid w:val="00DC11BE"/>
    <w:rsid w:val="00DC199E"/>
    <w:rsid w:val="00DC655F"/>
    <w:rsid w:val="00DC6588"/>
    <w:rsid w:val="00DD0B59"/>
    <w:rsid w:val="00DD1025"/>
    <w:rsid w:val="00DD261C"/>
    <w:rsid w:val="00DD325D"/>
    <w:rsid w:val="00DD4A8F"/>
    <w:rsid w:val="00DD5DF8"/>
    <w:rsid w:val="00DD7EBD"/>
    <w:rsid w:val="00DE1F02"/>
    <w:rsid w:val="00DE3CDA"/>
    <w:rsid w:val="00DE4DD4"/>
    <w:rsid w:val="00DF0066"/>
    <w:rsid w:val="00DF2314"/>
    <w:rsid w:val="00DF2945"/>
    <w:rsid w:val="00DF54E2"/>
    <w:rsid w:val="00DF5B30"/>
    <w:rsid w:val="00DF62B6"/>
    <w:rsid w:val="00DF63D7"/>
    <w:rsid w:val="00DF6DFF"/>
    <w:rsid w:val="00DF6F71"/>
    <w:rsid w:val="00E00F4E"/>
    <w:rsid w:val="00E01723"/>
    <w:rsid w:val="00E02DEF"/>
    <w:rsid w:val="00E039F3"/>
    <w:rsid w:val="00E07046"/>
    <w:rsid w:val="00E07225"/>
    <w:rsid w:val="00E127F0"/>
    <w:rsid w:val="00E14C93"/>
    <w:rsid w:val="00E17236"/>
    <w:rsid w:val="00E21263"/>
    <w:rsid w:val="00E22AD6"/>
    <w:rsid w:val="00E23612"/>
    <w:rsid w:val="00E33D8C"/>
    <w:rsid w:val="00E350CD"/>
    <w:rsid w:val="00E374B4"/>
    <w:rsid w:val="00E41958"/>
    <w:rsid w:val="00E4329A"/>
    <w:rsid w:val="00E45914"/>
    <w:rsid w:val="00E46B6C"/>
    <w:rsid w:val="00E529A9"/>
    <w:rsid w:val="00E5409F"/>
    <w:rsid w:val="00E549BB"/>
    <w:rsid w:val="00E54C67"/>
    <w:rsid w:val="00E569F9"/>
    <w:rsid w:val="00E607B3"/>
    <w:rsid w:val="00E6581F"/>
    <w:rsid w:val="00E67EA9"/>
    <w:rsid w:val="00E71659"/>
    <w:rsid w:val="00E71BAD"/>
    <w:rsid w:val="00E73B8B"/>
    <w:rsid w:val="00E77615"/>
    <w:rsid w:val="00E77C5E"/>
    <w:rsid w:val="00E8025E"/>
    <w:rsid w:val="00E83690"/>
    <w:rsid w:val="00E8377C"/>
    <w:rsid w:val="00E847BF"/>
    <w:rsid w:val="00E85AEF"/>
    <w:rsid w:val="00E90C86"/>
    <w:rsid w:val="00E916E2"/>
    <w:rsid w:val="00E925BD"/>
    <w:rsid w:val="00EA2149"/>
    <w:rsid w:val="00EA2F79"/>
    <w:rsid w:val="00EA37FA"/>
    <w:rsid w:val="00EA4561"/>
    <w:rsid w:val="00EB02A4"/>
    <w:rsid w:val="00EB09C0"/>
    <w:rsid w:val="00EB2255"/>
    <w:rsid w:val="00EB2281"/>
    <w:rsid w:val="00EB3E89"/>
    <w:rsid w:val="00EB5823"/>
    <w:rsid w:val="00EB6403"/>
    <w:rsid w:val="00EC6E6F"/>
    <w:rsid w:val="00ED09BB"/>
    <w:rsid w:val="00ED149E"/>
    <w:rsid w:val="00ED3C72"/>
    <w:rsid w:val="00ED43D0"/>
    <w:rsid w:val="00ED5329"/>
    <w:rsid w:val="00ED58C3"/>
    <w:rsid w:val="00EE1404"/>
    <w:rsid w:val="00EE2D58"/>
    <w:rsid w:val="00EE46B8"/>
    <w:rsid w:val="00EE6488"/>
    <w:rsid w:val="00EE777F"/>
    <w:rsid w:val="00EF05DB"/>
    <w:rsid w:val="00EF5D98"/>
    <w:rsid w:val="00EF78EF"/>
    <w:rsid w:val="00F01FA1"/>
    <w:rsid w:val="00F021FA"/>
    <w:rsid w:val="00F10C59"/>
    <w:rsid w:val="00F10DA5"/>
    <w:rsid w:val="00F11B08"/>
    <w:rsid w:val="00F12E4B"/>
    <w:rsid w:val="00F13C62"/>
    <w:rsid w:val="00F2164E"/>
    <w:rsid w:val="00F264E5"/>
    <w:rsid w:val="00F3110B"/>
    <w:rsid w:val="00F44D2B"/>
    <w:rsid w:val="00F47581"/>
    <w:rsid w:val="00F52E67"/>
    <w:rsid w:val="00F54D3F"/>
    <w:rsid w:val="00F552AC"/>
    <w:rsid w:val="00F55945"/>
    <w:rsid w:val="00F57896"/>
    <w:rsid w:val="00F57FB6"/>
    <w:rsid w:val="00F62E97"/>
    <w:rsid w:val="00F64209"/>
    <w:rsid w:val="00F64FF6"/>
    <w:rsid w:val="00F67582"/>
    <w:rsid w:val="00F73F90"/>
    <w:rsid w:val="00F76C0E"/>
    <w:rsid w:val="00F77DCE"/>
    <w:rsid w:val="00F80F32"/>
    <w:rsid w:val="00F84C50"/>
    <w:rsid w:val="00F90EA3"/>
    <w:rsid w:val="00F92469"/>
    <w:rsid w:val="00F93BF5"/>
    <w:rsid w:val="00F97AC2"/>
    <w:rsid w:val="00F97EEB"/>
    <w:rsid w:val="00FA0A6F"/>
    <w:rsid w:val="00FA59BD"/>
    <w:rsid w:val="00FB2921"/>
    <w:rsid w:val="00FB2DDA"/>
    <w:rsid w:val="00FB4C0D"/>
    <w:rsid w:val="00FC153F"/>
    <w:rsid w:val="00FC5207"/>
    <w:rsid w:val="00FD0751"/>
    <w:rsid w:val="00FD1BBD"/>
    <w:rsid w:val="00FD29E3"/>
    <w:rsid w:val="00FD3F67"/>
    <w:rsid w:val="00FD5D96"/>
    <w:rsid w:val="00FD7C8B"/>
    <w:rsid w:val="00FD7EBC"/>
    <w:rsid w:val="00FE1C42"/>
    <w:rsid w:val="00FE4259"/>
    <w:rsid w:val="00FE4442"/>
    <w:rsid w:val="00FE5608"/>
    <w:rsid w:val="00FE5B2A"/>
    <w:rsid w:val="00FE7D09"/>
    <w:rsid w:val="00FF56BD"/>
    <w:rsid w:val="00FF68B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3E"/>
    <w:pPr>
      <w:widowControl w:val="0"/>
    </w:pPr>
    <w:rPr>
      <w:snapToGrid w:val="0"/>
      <w:kern w:val="28"/>
      <w:sz w:val="22"/>
    </w:rPr>
  </w:style>
  <w:style w:type="paragraph" w:styleId="Heading1">
    <w:name w:val="heading 1"/>
    <w:basedOn w:val="Normal"/>
    <w:next w:val="ParaNum"/>
    <w:qFormat/>
    <w:rsid w:val="00354A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54A3E"/>
    <w:pPr>
      <w:keepNext/>
      <w:numPr>
        <w:ilvl w:val="1"/>
        <w:numId w:val="3"/>
      </w:numPr>
      <w:spacing w:after="120"/>
      <w:outlineLvl w:val="1"/>
    </w:pPr>
    <w:rPr>
      <w:b/>
    </w:rPr>
  </w:style>
  <w:style w:type="paragraph" w:styleId="Heading3">
    <w:name w:val="heading 3"/>
    <w:basedOn w:val="Normal"/>
    <w:next w:val="ParaNum"/>
    <w:qFormat/>
    <w:rsid w:val="00354A3E"/>
    <w:pPr>
      <w:keepNext/>
      <w:numPr>
        <w:ilvl w:val="2"/>
        <w:numId w:val="3"/>
      </w:numPr>
      <w:tabs>
        <w:tab w:val="left" w:pos="2160"/>
      </w:tabs>
      <w:spacing w:after="120"/>
      <w:outlineLvl w:val="2"/>
    </w:pPr>
    <w:rPr>
      <w:b/>
    </w:rPr>
  </w:style>
  <w:style w:type="paragraph" w:styleId="Heading4">
    <w:name w:val="heading 4"/>
    <w:basedOn w:val="Normal"/>
    <w:next w:val="ParaNum"/>
    <w:qFormat/>
    <w:rsid w:val="00354A3E"/>
    <w:pPr>
      <w:keepNext/>
      <w:numPr>
        <w:ilvl w:val="3"/>
        <w:numId w:val="3"/>
      </w:numPr>
      <w:tabs>
        <w:tab w:val="left" w:pos="2880"/>
      </w:tabs>
      <w:spacing w:after="120"/>
      <w:outlineLvl w:val="3"/>
    </w:pPr>
    <w:rPr>
      <w:b/>
    </w:rPr>
  </w:style>
  <w:style w:type="paragraph" w:styleId="Heading5">
    <w:name w:val="heading 5"/>
    <w:basedOn w:val="Normal"/>
    <w:next w:val="ParaNum"/>
    <w:qFormat/>
    <w:rsid w:val="00354A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54A3E"/>
    <w:pPr>
      <w:numPr>
        <w:ilvl w:val="5"/>
        <w:numId w:val="3"/>
      </w:numPr>
      <w:tabs>
        <w:tab w:val="left" w:pos="4320"/>
      </w:tabs>
      <w:spacing w:after="120"/>
      <w:outlineLvl w:val="5"/>
    </w:pPr>
    <w:rPr>
      <w:b/>
    </w:rPr>
  </w:style>
  <w:style w:type="paragraph" w:styleId="Heading7">
    <w:name w:val="heading 7"/>
    <w:basedOn w:val="Normal"/>
    <w:next w:val="ParaNum"/>
    <w:qFormat/>
    <w:rsid w:val="00354A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4A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54A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54A3E"/>
    <w:pPr>
      <w:numPr>
        <w:numId w:val="2"/>
      </w:numPr>
      <w:tabs>
        <w:tab w:val="clear" w:pos="1080"/>
        <w:tab w:val="num" w:pos="1440"/>
      </w:tabs>
      <w:spacing w:after="120"/>
    </w:pPr>
  </w:style>
  <w:style w:type="paragraph" w:styleId="EndnoteText">
    <w:name w:val="endnote text"/>
    <w:basedOn w:val="Normal"/>
    <w:semiHidden/>
    <w:rsid w:val="00354A3E"/>
    <w:rPr>
      <w:sz w:val="20"/>
    </w:rPr>
  </w:style>
  <w:style w:type="character" w:styleId="EndnoteReference">
    <w:name w:val="endnote reference"/>
    <w:semiHidden/>
    <w:rsid w:val="00354A3E"/>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354A3E"/>
    <w:pPr>
      <w:spacing w:after="120"/>
    </w:pPr>
  </w:style>
  <w:style w:type="character" w:styleId="FootnoteReference">
    <w:name w:val="footnote reference"/>
    <w:aliases w:val="Style 12,(NECG) Footnote Reference,Style 13,Appel note de bas de p,Style 124,fr,o,Style 3,FR,Style 17,Footnote Reference/,Style 6,Style 7"/>
    <w:rsid w:val="00354A3E"/>
    <w:rPr>
      <w:rFonts w:ascii="Times New Roman" w:hAnsi="Times New Roman"/>
      <w:dstrike w:val="0"/>
      <w:color w:val="auto"/>
      <w:sz w:val="20"/>
      <w:vertAlign w:val="superscript"/>
    </w:rPr>
  </w:style>
  <w:style w:type="paragraph" w:styleId="TOC1">
    <w:name w:val="toc 1"/>
    <w:basedOn w:val="Normal"/>
    <w:next w:val="Normal"/>
    <w:semiHidden/>
    <w:rsid w:val="00354A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4A3E"/>
    <w:pPr>
      <w:tabs>
        <w:tab w:val="left" w:pos="720"/>
        <w:tab w:val="right" w:leader="dot" w:pos="9360"/>
      </w:tabs>
      <w:suppressAutoHyphens/>
      <w:ind w:left="720" w:right="720" w:hanging="360"/>
    </w:pPr>
    <w:rPr>
      <w:noProof/>
    </w:rPr>
  </w:style>
  <w:style w:type="paragraph" w:styleId="TOC3">
    <w:name w:val="toc 3"/>
    <w:basedOn w:val="Normal"/>
    <w:next w:val="Normal"/>
    <w:semiHidden/>
    <w:rsid w:val="00354A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4A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4A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4A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4A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4A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4A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4A3E"/>
    <w:pPr>
      <w:tabs>
        <w:tab w:val="right" w:pos="9360"/>
      </w:tabs>
      <w:suppressAutoHyphens/>
    </w:pPr>
  </w:style>
  <w:style w:type="character" w:customStyle="1" w:styleId="EquationCaption">
    <w:name w:val="_Equation Caption"/>
    <w:rsid w:val="00354A3E"/>
  </w:style>
  <w:style w:type="paragraph" w:styleId="Header">
    <w:name w:val="header"/>
    <w:basedOn w:val="Normal"/>
    <w:autoRedefine/>
    <w:rsid w:val="00354A3E"/>
    <w:pPr>
      <w:tabs>
        <w:tab w:val="center" w:pos="4680"/>
        <w:tab w:val="right" w:pos="9360"/>
      </w:tabs>
    </w:pPr>
    <w:rPr>
      <w:b/>
    </w:rPr>
  </w:style>
  <w:style w:type="paragraph" w:styleId="Footer">
    <w:name w:val="footer"/>
    <w:basedOn w:val="Normal"/>
    <w:rsid w:val="00354A3E"/>
    <w:pPr>
      <w:tabs>
        <w:tab w:val="center" w:pos="4320"/>
        <w:tab w:val="right" w:pos="8640"/>
      </w:tabs>
    </w:pPr>
  </w:style>
  <w:style w:type="character" w:styleId="PageNumber">
    <w:name w:val="page number"/>
    <w:basedOn w:val="DefaultParagraphFont"/>
    <w:rsid w:val="00354A3E"/>
  </w:style>
  <w:style w:type="paragraph" w:styleId="BlockText">
    <w:name w:val="Block Text"/>
    <w:basedOn w:val="Normal"/>
    <w:rsid w:val="00354A3E"/>
    <w:pPr>
      <w:spacing w:after="240"/>
      <w:ind w:left="1440" w:right="1440"/>
    </w:pPr>
  </w:style>
  <w:style w:type="paragraph" w:customStyle="1" w:styleId="Paratitle">
    <w:name w:val="Para title"/>
    <w:basedOn w:val="Normal"/>
    <w:rsid w:val="00354A3E"/>
    <w:pPr>
      <w:tabs>
        <w:tab w:val="center" w:pos="9270"/>
      </w:tabs>
      <w:spacing w:after="240"/>
    </w:pPr>
    <w:rPr>
      <w:spacing w:val="-2"/>
    </w:rPr>
  </w:style>
  <w:style w:type="paragraph" w:customStyle="1" w:styleId="Bullet">
    <w:name w:val="Bullet"/>
    <w:basedOn w:val="Normal"/>
    <w:rsid w:val="00354A3E"/>
    <w:pPr>
      <w:tabs>
        <w:tab w:val="left" w:pos="2160"/>
      </w:tabs>
      <w:spacing w:after="220"/>
      <w:ind w:left="2160" w:hanging="720"/>
    </w:pPr>
  </w:style>
  <w:style w:type="paragraph" w:customStyle="1" w:styleId="TableFormat">
    <w:name w:val="TableFormat"/>
    <w:basedOn w:val="Bullet"/>
    <w:rsid w:val="00354A3E"/>
    <w:pPr>
      <w:tabs>
        <w:tab w:val="clear" w:pos="2160"/>
        <w:tab w:val="left" w:pos="5040"/>
      </w:tabs>
      <w:ind w:left="5040" w:hanging="3600"/>
    </w:pPr>
  </w:style>
  <w:style w:type="paragraph" w:customStyle="1" w:styleId="TOCTitle">
    <w:name w:val="TOC Title"/>
    <w:basedOn w:val="Normal"/>
    <w:rsid w:val="00354A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4A3E"/>
    <w:pPr>
      <w:jc w:val="center"/>
    </w:pPr>
    <w:rPr>
      <w:rFonts w:ascii="Times New Roman Bold" w:hAnsi="Times New Roman Bold"/>
      <w:b/>
      <w:bCs/>
      <w:caps/>
      <w:szCs w:val="22"/>
    </w:rPr>
  </w:style>
  <w:style w:type="character" w:styleId="Hyperlink">
    <w:name w:val="Hyperlink"/>
    <w:rsid w:val="00354A3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2600E2"/>
  </w:style>
  <w:style w:type="character" w:customStyle="1" w:styleId="ParaNumCharChar1">
    <w:name w:val="ParaNum Char Char1"/>
    <w:link w:val="ParaNum"/>
    <w:rsid w:val="002600E2"/>
    <w:rPr>
      <w:snapToGrid w:val="0"/>
      <w:kern w:val="28"/>
      <w:sz w:val="22"/>
    </w:rPr>
  </w:style>
  <w:style w:type="paragraph" w:styleId="ListParagraph">
    <w:name w:val="List Paragraph"/>
    <w:basedOn w:val="Normal"/>
    <w:uiPriority w:val="34"/>
    <w:qFormat/>
    <w:rsid w:val="008D36E7"/>
    <w:pPr>
      <w:widowControl/>
      <w:spacing w:after="200" w:line="276" w:lineRule="auto"/>
      <w:ind w:left="720"/>
      <w:contextualSpacing/>
    </w:pPr>
    <w:rPr>
      <w:snapToGrid/>
      <w:kern w:val="0"/>
      <w:szCs w:val="22"/>
    </w:rPr>
  </w:style>
  <w:style w:type="paragraph" w:styleId="BalloonText">
    <w:name w:val="Balloon Text"/>
    <w:basedOn w:val="Normal"/>
    <w:link w:val="BalloonTextChar"/>
    <w:rsid w:val="00C65A21"/>
    <w:rPr>
      <w:rFonts w:ascii="Tahoma" w:hAnsi="Tahoma" w:cs="Tahoma"/>
      <w:sz w:val="16"/>
      <w:szCs w:val="16"/>
    </w:rPr>
  </w:style>
  <w:style w:type="character" w:customStyle="1" w:styleId="BalloonTextChar">
    <w:name w:val="Balloon Text Char"/>
    <w:basedOn w:val="DefaultParagraphFont"/>
    <w:link w:val="BalloonText"/>
    <w:rsid w:val="00C65A21"/>
    <w:rPr>
      <w:rFonts w:ascii="Tahoma" w:hAnsi="Tahoma" w:cs="Tahoma"/>
      <w:snapToGrid w:val="0"/>
      <w:kern w:val="28"/>
      <w:sz w:val="16"/>
      <w:szCs w:val="16"/>
    </w:rPr>
  </w:style>
  <w:style w:type="character" w:styleId="CommentReference">
    <w:name w:val="annotation reference"/>
    <w:basedOn w:val="DefaultParagraphFont"/>
    <w:rsid w:val="00FA59BD"/>
    <w:rPr>
      <w:sz w:val="16"/>
      <w:szCs w:val="16"/>
    </w:rPr>
  </w:style>
  <w:style w:type="paragraph" w:styleId="CommentText">
    <w:name w:val="annotation text"/>
    <w:basedOn w:val="Normal"/>
    <w:link w:val="CommentTextChar"/>
    <w:rsid w:val="00FA59BD"/>
    <w:rPr>
      <w:sz w:val="20"/>
    </w:rPr>
  </w:style>
  <w:style w:type="character" w:customStyle="1" w:styleId="CommentTextChar">
    <w:name w:val="Comment Text Char"/>
    <w:basedOn w:val="DefaultParagraphFont"/>
    <w:link w:val="CommentText"/>
    <w:rsid w:val="00FA59BD"/>
    <w:rPr>
      <w:snapToGrid w:val="0"/>
      <w:kern w:val="28"/>
    </w:rPr>
  </w:style>
  <w:style w:type="paragraph" w:styleId="CommentSubject">
    <w:name w:val="annotation subject"/>
    <w:basedOn w:val="CommentText"/>
    <w:next w:val="CommentText"/>
    <w:link w:val="CommentSubjectChar"/>
    <w:rsid w:val="00FA59BD"/>
    <w:rPr>
      <w:b/>
      <w:bCs/>
    </w:rPr>
  </w:style>
  <w:style w:type="character" w:customStyle="1" w:styleId="CommentSubjectChar">
    <w:name w:val="Comment Subject Char"/>
    <w:basedOn w:val="CommentTextChar"/>
    <w:link w:val="CommentSubject"/>
    <w:rsid w:val="00FA59BD"/>
    <w:rPr>
      <w:b/>
      <w:bCs/>
      <w:snapToGrid w:val="0"/>
      <w:kern w:val="28"/>
    </w:rPr>
  </w:style>
  <w:style w:type="paragraph" w:styleId="Revision">
    <w:name w:val="Revision"/>
    <w:hidden/>
    <w:uiPriority w:val="99"/>
    <w:semiHidden/>
    <w:rsid w:val="000C3841"/>
    <w:rPr>
      <w:snapToGrid w:val="0"/>
      <w:kern w:val="28"/>
      <w:sz w:val="22"/>
    </w:rPr>
  </w:style>
  <w:style w:type="paragraph" w:styleId="NoSpacing">
    <w:name w:val="No Spacing"/>
    <w:uiPriority w:val="1"/>
    <w:qFormat/>
    <w:rsid w:val="008E1A3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3E"/>
    <w:pPr>
      <w:widowControl w:val="0"/>
    </w:pPr>
    <w:rPr>
      <w:snapToGrid w:val="0"/>
      <w:kern w:val="28"/>
      <w:sz w:val="22"/>
    </w:rPr>
  </w:style>
  <w:style w:type="paragraph" w:styleId="Heading1">
    <w:name w:val="heading 1"/>
    <w:basedOn w:val="Normal"/>
    <w:next w:val="ParaNum"/>
    <w:qFormat/>
    <w:rsid w:val="00354A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54A3E"/>
    <w:pPr>
      <w:keepNext/>
      <w:numPr>
        <w:ilvl w:val="1"/>
        <w:numId w:val="3"/>
      </w:numPr>
      <w:spacing w:after="120"/>
      <w:outlineLvl w:val="1"/>
    </w:pPr>
    <w:rPr>
      <w:b/>
    </w:rPr>
  </w:style>
  <w:style w:type="paragraph" w:styleId="Heading3">
    <w:name w:val="heading 3"/>
    <w:basedOn w:val="Normal"/>
    <w:next w:val="ParaNum"/>
    <w:qFormat/>
    <w:rsid w:val="00354A3E"/>
    <w:pPr>
      <w:keepNext/>
      <w:numPr>
        <w:ilvl w:val="2"/>
        <w:numId w:val="3"/>
      </w:numPr>
      <w:tabs>
        <w:tab w:val="left" w:pos="2160"/>
      </w:tabs>
      <w:spacing w:after="120"/>
      <w:outlineLvl w:val="2"/>
    </w:pPr>
    <w:rPr>
      <w:b/>
    </w:rPr>
  </w:style>
  <w:style w:type="paragraph" w:styleId="Heading4">
    <w:name w:val="heading 4"/>
    <w:basedOn w:val="Normal"/>
    <w:next w:val="ParaNum"/>
    <w:qFormat/>
    <w:rsid w:val="00354A3E"/>
    <w:pPr>
      <w:keepNext/>
      <w:numPr>
        <w:ilvl w:val="3"/>
        <w:numId w:val="3"/>
      </w:numPr>
      <w:tabs>
        <w:tab w:val="left" w:pos="2880"/>
      </w:tabs>
      <w:spacing w:after="120"/>
      <w:outlineLvl w:val="3"/>
    </w:pPr>
    <w:rPr>
      <w:b/>
    </w:rPr>
  </w:style>
  <w:style w:type="paragraph" w:styleId="Heading5">
    <w:name w:val="heading 5"/>
    <w:basedOn w:val="Normal"/>
    <w:next w:val="ParaNum"/>
    <w:qFormat/>
    <w:rsid w:val="00354A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54A3E"/>
    <w:pPr>
      <w:numPr>
        <w:ilvl w:val="5"/>
        <w:numId w:val="3"/>
      </w:numPr>
      <w:tabs>
        <w:tab w:val="left" w:pos="4320"/>
      </w:tabs>
      <w:spacing w:after="120"/>
      <w:outlineLvl w:val="5"/>
    </w:pPr>
    <w:rPr>
      <w:b/>
    </w:rPr>
  </w:style>
  <w:style w:type="paragraph" w:styleId="Heading7">
    <w:name w:val="heading 7"/>
    <w:basedOn w:val="Normal"/>
    <w:next w:val="ParaNum"/>
    <w:qFormat/>
    <w:rsid w:val="00354A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54A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54A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54A3E"/>
    <w:pPr>
      <w:numPr>
        <w:numId w:val="2"/>
      </w:numPr>
      <w:tabs>
        <w:tab w:val="clear" w:pos="1080"/>
        <w:tab w:val="num" w:pos="1440"/>
      </w:tabs>
      <w:spacing w:after="120"/>
    </w:pPr>
  </w:style>
  <w:style w:type="paragraph" w:styleId="EndnoteText">
    <w:name w:val="endnote text"/>
    <w:basedOn w:val="Normal"/>
    <w:semiHidden/>
    <w:rsid w:val="00354A3E"/>
    <w:rPr>
      <w:sz w:val="20"/>
    </w:rPr>
  </w:style>
  <w:style w:type="character" w:styleId="EndnoteReference">
    <w:name w:val="endnote reference"/>
    <w:semiHidden/>
    <w:rsid w:val="00354A3E"/>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354A3E"/>
    <w:pPr>
      <w:spacing w:after="120"/>
    </w:pPr>
  </w:style>
  <w:style w:type="character" w:styleId="FootnoteReference">
    <w:name w:val="footnote reference"/>
    <w:aliases w:val="Style 12,(NECG) Footnote Reference,Style 13,Appel note de bas de p,Style 124,fr,o,Style 3,FR,Style 17,Footnote Reference/,Style 6,Style 7"/>
    <w:rsid w:val="00354A3E"/>
    <w:rPr>
      <w:rFonts w:ascii="Times New Roman" w:hAnsi="Times New Roman"/>
      <w:dstrike w:val="0"/>
      <w:color w:val="auto"/>
      <w:sz w:val="20"/>
      <w:vertAlign w:val="superscript"/>
    </w:rPr>
  </w:style>
  <w:style w:type="paragraph" w:styleId="TOC1">
    <w:name w:val="toc 1"/>
    <w:basedOn w:val="Normal"/>
    <w:next w:val="Normal"/>
    <w:semiHidden/>
    <w:rsid w:val="00354A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54A3E"/>
    <w:pPr>
      <w:tabs>
        <w:tab w:val="left" w:pos="720"/>
        <w:tab w:val="right" w:leader="dot" w:pos="9360"/>
      </w:tabs>
      <w:suppressAutoHyphens/>
      <w:ind w:left="720" w:right="720" w:hanging="360"/>
    </w:pPr>
    <w:rPr>
      <w:noProof/>
    </w:rPr>
  </w:style>
  <w:style w:type="paragraph" w:styleId="TOC3">
    <w:name w:val="toc 3"/>
    <w:basedOn w:val="Normal"/>
    <w:next w:val="Normal"/>
    <w:semiHidden/>
    <w:rsid w:val="00354A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54A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54A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54A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54A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54A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54A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54A3E"/>
    <w:pPr>
      <w:tabs>
        <w:tab w:val="right" w:pos="9360"/>
      </w:tabs>
      <w:suppressAutoHyphens/>
    </w:pPr>
  </w:style>
  <w:style w:type="character" w:customStyle="1" w:styleId="EquationCaption">
    <w:name w:val="_Equation Caption"/>
    <w:rsid w:val="00354A3E"/>
  </w:style>
  <w:style w:type="paragraph" w:styleId="Header">
    <w:name w:val="header"/>
    <w:basedOn w:val="Normal"/>
    <w:autoRedefine/>
    <w:rsid w:val="00354A3E"/>
    <w:pPr>
      <w:tabs>
        <w:tab w:val="center" w:pos="4680"/>
        <w:tab w:val="right" w:pos="9360"/>
      </w:tabs>
    </w:pPr>
    <w:rPr>
      <w:b/>
    </w:rPr>
  </w:style>
  <w:style w:type="paragraph" w:styleId="Footer">
    <w:name w:val="footer"/>
    <w:basedOn w:val="Normal"/>
    <w:rsid w:val="00354A3E"/>
    <w:pPr>
      <w:tabs>
        <w:tab w:val="center" w:pos="4320"/>
        <w:tab w:val="right" w:pos="8640"/>
      </w:tabs>
    </w:pPr>
  </w:style>
  <w:style w:type="character" w:styleId="PageNumber">
    <w:name w:val="page number"/>
    <w:basedOn w:val="DefaultParagraphFont"/>
    <w:rsid w:val="00354A3E"/>
  </w:style>
  <w:style w:type="paragraph" w:styleId="BlockText">
    <w:name w:val="Block Text"/>
    <w:basedOn w:val="Normal"/>
    <w:rsid w:val="00354A3E"/>
    <w:pPr>
      <w:spacing w:after="240"/>
      <w:ind w:left="1440" w:right="1440"/>
    </w:pPr>
  </w:style>
  <w:style w:type="paragraph" w:customStyle="1" w:styleId="Paratitle">
    <w:name w:val="Para title"/>
    <w:basedOn w:val="Normal"/>
    <w:rsid w:val="00354A3E"/>
    <w:pPr>
      <w:tabs>
        <w:tab w:val="center" w:pos="9270"/>
      </w:tabs>
      <w:spacing w:after="240"/>
    </w:pPr>
    <w:rPr>
      <w:spacing w:val="-2"/>
    </w:rPr>
  </w:style>
  <w:style w:type="paragraph" w:customStyle="1" w:styleId="Bullet">
    <w:name w:val="Bullet"/>
    <w:basedOn w:val="Normal"/>
    <w:rsid w:val="00354A3E"/>
    <w:pPr>
      <w:tabs>
        <w:tab w:val="left" w:pos="2160"/>
      </w:tabs>
      <w:spacing w:after="220"/>
      <w:ind w:left="2160" w:hanging="720"/>
    </w:pPr>
  </w:style>
  <w:style w:type="paragraph" w:customStyle="1" w:styleId="TableFormat">
    <w:name w:val="TableFormat"/>
    <w:basedOn w:val="Bullet"/>
    <w:rsid w:val="00354A3E"/>
    <w:pPr>
      <w:tabs>
        <w:tab w:val="clear" w:pos="2160"/>
        <w:tab w:val="left" w:pos="5040"/>
      </w:tabs>
      <w:ind w:left="5040" w:hanging="3600"/>
    </w:pPr>
  </w:style>
  <w:style w:type="paragraph" w:customStyle="1" w:styleId="TOCTitle">
    <w:name w:val="TOC Title"/>
    <w:basedOn w:val="Normal"/>
    <w:rsid w:val="00354A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4A3E"/>
    <w:pPr>
      <w:jc w:val="center"/>
    </w:pPr>
    <w:rPr>
      <w:rFonts w:ascii="Times New Roman Bold" w:hAnsi="Times New Roman Bold"/>
      <w:b/>
      <w:bCs/>
      <w:caps/>
      <w:szCs w:val="22"/>
    </w:rPr>
  </w:style>
  <w:style w:type="character" w:styleId="Hyperlink">
    <w:name w:val="Hyperlink"/>
    <w:rsid w:val="00354A3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2600E2"/>
  </w:style>
  <w:style w:type="character" w:customStyle="1" w:styleId="ParaNumCharChar1">
    <w:name w:val="ParaNum Char Char1"/>
    <w:link w:val="ParaNum"/>
    <w:rsid w:val="002600E2"/>
    <w:rPr>
      <w:snapToGrid w:val="0"/>
      <w:kern w:val="28"/>
      <w:sz w:val="22"/>
    </w:rPr>
  </w:style>
  <w:style w:type="paragraph" w:styleId="ListParagraph">
    <w:name w:val="List Paragraph"/>
    <w:basedOn w:val="Normal"/>
    <w:uiPriority w:val="34"/>
    <w:qFormat/>
    <w:rsid w:val="008D36E7"/>
    <w:pPr>
      <w:widowControl/>
      <w:spacing w:after="200" w:line="276" w:lineRule="auto"/>
      <w:ind w:left="720"/>
      <w:contextualSpacing/>
    </w:pPr>
    <w:rPr>
      <w:snapToGrid/>
      <w:kern w:val="0"/>
      <w:szCs w:val="22"/>
    </w:rPr>
  </w:style>
  <w:style w:type="paragraph" w:styleId="BalloonText">
    <w:name w:val="Balloon Text"/>
    <w:basedOn w:val="Normal"/>
    <w:link w:val="BalloonTextChar"/>
    <w:rsid w:val="00C65A21"/>
    <w:rPr>
      <w:rFonts w:ascii="Tahoma" w:hAnsi="Tahoma" w:cs="Tahoma"/>
      <w:sz w:val="16"/>
      <w:szCs w:val="16"/>
    </w:rPr>
  </w:style>
  <w:style w:type="character" w:customStyle="1" w:styleId="BalloonTextChar">
    <w:name w:val="Balloon Text Char"/>
    <w:basedOn w:val="DefaultParagraphFont"/>
    <w:link w:val="BalloonText"/>
    <w:rsid w:val="00C65A21"/>
    <w:rPr>
      <w:rFonts w:ascii="Tahoma" w:hAnsi="Tahoma" w:cs="Tahoma"/>
      <w:snapToGrid w:val="0"/>
      <w:kern w:val="28"/>
      <w:sz w:val="16"/>
      <w:szCs w:val="16"/>
    </w:rPr>
  </w:style>
  <w:style w:type="character" w:styleId="CommentReference">
    <w:name w:val="annotation reference"/>
    <w:basedOn w:val="DefaultParagraphFont"/>
    <w:rsid w:val="00FA59BD"/>
    <w:rPr>
      <w:sz w:val="16"/>
      <w:szCs w:val="16"/>
    </w:rPr>
  </w:style>
  <w:style w:type="paragraph" w:styleId="CommentText">
    <w:name w:val="annotation text"/>
    <w:basedOn w:val="Normal"/>
    <w:link w:val="CommentTextChar"/>
    <w:rsid w:val="00FA59BD"/>
    <w:rPr>
      <w:sz w:val="20"/>
    </w:rPr>
  </w:style>
  <w:style w:type="character" w:customStyle="1" w:styleId="CommentTextChar">
    <w:name w:val="Comment Text Char"/>
    <w:basedOn w:val="DefaultParagraphFont"/>
    <w:link w:val="CommentText"/>
    <w:rsid w:val="00FA59BD"/>
    <w:rPr>
      <w:snapToGrid w:val="0"/>
      <w:kern w:val="28"/>
    </w:rPr>
  </w:style>
  <w:style w:type="paragraph" w:styleId="CommentSubject">
    <w:name w:val="annotation subject"/>
    <w:basedOn w:val="CommentText"/>
    <w:next w:val="CommentText"/>
    <w:link w:val="CommentSubjectChar"/>
    <w:rsid w:val="00FA59BD"/>
    <w:rPr>
      <w:b/>
      <w:bCs/>
    </w:rPr>
  </w:style>
  <w:style w:type="character" w:customStyle="1" w:styleId="CommentSubjectChar">
    <w:name w:val="Comment Subject Char"/>
    <w:basedOn w:val="CommentTextChar"/>
    <w:link w:val="CommentSubject"/>
    <w:rsid w:val="00FA59BD"/>
    <w:rPr>
      <w:b/>
      <w:bCs/>
      <w:snapToGrid w:val="0"/>
      <w:kern w:val="28"/>
    </w:rPr>
  </w:style>
  <w:style w:type="paragraph" w:styleId="Revision">
    <w:name w:val="Revision"/>
    <w:hidden/>
    <w:uiPriority w:val="99"/>
    <w:semiHidden/>
    <w:rsid w:val="000C3841"/>
    <w:rPr>
      <w:snapToGrid w:val="0"/>
      <w:kern w:val="28"/>
      <w:sz w:val="22"/>
    </w:rPr>
  </w:style>
  <w:style w:type="paragraph" w:styleId="NoSpacing">
    <w:name w:val="No Spacing"/>
    <w:uiPriority w:val="1"/>
    <w:qFormat/>
    <w:rsid w:val="008E1A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4260">
      <w:bodyDiv w:val="1"/>
      <w:marLeft w:val="0"/>
      <w:marRight w:val="0"/>
      <w:marTop w:val="0"/>
      <w:marBottom w:val="0"/>
      <w:divBdr>
        <w:top w:val="none" w:sz="0" w:space="0" w:color="auto"/>
        <w:left w:val="none" w:sz="0" w:space="0" w:color="auto"/>
        <w:bottom w:val="none" w:sz="0" w:space="0" w:color="auto"/>
        <w:right w:val="none" w:sz="0" w:space="0" w:color="auto"/>
      </w:divBdr>
    </w:div>
    <w:div w:id="868177805">
      <w:bodyDiv w:val="1"/>
      <w:marLeft w:val="0"/>
      <w:marRight w:val="0"/>
      <w:marTop w:val="0"/>
      <w:marBottom w:val="0"/>
      <w:divBdr>
        <w:top w:val="none" w:sz="0" w:space="0" w:color="auto"/>
        <w:left w:val="none" w:sz="0" w:space="0" w:color="auto"/>
        <w:bottom w:val="none" w:sz="0" w:space="0" w:color="auto"/>
        <w:right w:val="none" w:sz="0" w:space="0" w:color="auto"/>
      </w:divBdr>
    </w:div>
    <w:div w:id="1698266768">
      <w:bodyDiv w:val="1"/>
      <w:marLeft w:val="0"/>
      <w:marRight w:val="0"/>
      <w:marTop w:val="0"/>
      <w:marBottom w:val="0"/>
      <w:divBdr>
        <w:top w:val="none" w:sz="0" w:space="0" w:color="auto"/>
        <w:left w:val="none" w:sz="0" w:space="0" w:color="auto"/>
        <w:bottom w:val="none" w:sz="0" w:space="0" w:color="auto"/>
        <w:right w:val="none" w:sz="0" w:space="0" w:color="auto"/>
      </w:divBdr>
      <w:divsChild>
        <w:div w:id="761294551">
          <w:marLeft w:val="0"/>
          <w:marRight w:val="0"/>
          <w:marTop w:val="0"/>
          <w:marBottom w:val="0"/>
          <w:divBdr>
            <w:top w:val="none" w:sz="0" w:space="0" w:color="auto"/>
            <w:left w:val="none" w:sz="0" w:space="0" w:color="auto"/>
            <w:bottom w:val="none" w:sz="0" w:space="0" w:color="auto"/>
            <w:right w:val="none" w:sz="0" w:space="0" w:color="auto"/>
          </w:divBdr>
        </w:div>
        <w:div w:id="1169715877">
          <w:marLeft w:val="0"/>
          <w:marRight w:val="0"/>
          <w:marTop w:val="0"/>
          <w:marBottom w:val="0"/>
          <w:divBdr>
            <w:top w:val="none" w:sz="0" w:space="0" w:color="auto"/>
            <w:left w:val="none" w:sz="0" w:space="0" w:color="auto"/>
            <w:bottom w:val="none" w:sz="0" w:space="0" w:color="auto"/>
            <w:right w:val="none" w:sz="0" w:space="0" w:color="auto"/>
          </w:divBdr>
        </w:div>
        <w:div w:id="132115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Documents\Orders%20TOC%20by%20Paragrap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4185</Words>
  <Characters>21942</Characters>
  <Application>Microsoft Office Word</Application>
  <DocSecurity>0</DocSecurity>
  <Lines>320</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2014-02-11T20:24:00Z</cp:lastPrinted>
  <dcterms:created xsi:type="dcterms:W3CDTF">2014-06-06T20:56:00Z</dcterms:created>
  <dcterms:modified xsi:type="dcterms:W3CDTF">2014-06-06T20:56:00Z</dcterms:modified>
  <cp:category> </cp:category>
  <cp:contentStatus> </cp:contentStatus>
</cp:coreProperties>
</file>