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r w:rsidRPr="00331410">
        <w:rPr>
          <w:b/>
          <w:sz w:val="22"/>
          <w:szCs w:val="22"/>
        </w:rPr>
        <w:t>Washington, D.C. 20554</w:t>
      </w:r>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9207D9" w:rsidRDefault="00050854" w:rsidP="00BF1922">
            <w:pPr>
              <w:widowControl/>
              <w:rPr>
                <w:sz w:val="22"/>
                <w:szCs w:val="22"/>
              </w:rPr>
            </w:pPr>
            <w:r w:rsidRPr="009207D9">
              <w:rPr>
                <w:spacing w:val="-2"/>
                <w:sz w:val="22"/>
                <w:szCs w:val="22"/>
              </w:rPr>
              <w:t>In the Matter of</w:t>
            </w:r>
            <w:r w:rsidRPr="009207D9">
              <w:rPr>
                <w:sz w:val="22"/>
                <w:szCs w:val="22"/>
              </w:rPr>
              <w:t xml:space="preserve"> </w:t>
            </w:r>
          </w:p>
          <w:p w:rsidR="00050854" w:rsidRPr="009207D9" w:rsidRDefault="00050854" w:rsidP="00BF1922">
            <w:pPr>
              <w:widowControl/>
              <w:rPr>
                <w:sz w:val="22"/>
                <w:szCs w:val="22"/>
              </w:rPr>
            </w:pPr>
          </w:p>
          <w:p w:rsidR="00050854" w:rsidRPr="009207D9" w:rsidRDefault="00BD4286" w:rsidP="002D7103">
            <w:pPr>
              <w:widowControl/>
              <w:rPr>
                <w:spacing w:val="-2"/>
                <w:sz w:val="22"/>
                <w:szCs w:val="22"/>
              </w:rPr>
            </w:pPr>
            <w:r>
              <w:rPr>
                <w:spacing w:val="-2"/>
                <w:sz w:val="22"/>
                <w:szCs w:val="22"/>
              </w:rPr>
              <w:t>Northeast Passage Corporation</w:t>
            </w:r>
          </w:p>
          <w:p w:rsidR="002D7103" w:rsidRPr="009207D9" w:rsidRDefault="002D7103" w:rsidP="002D7103">
            <w:pPr>
              <w:widowControl/>
              <w:rPr>
                <w:sz w:val="22"/>
                <w:szCs w:val="22"/>
              </w:rPr>
            </w:pPr>
          </w:p>
          <w:p w:rsidR="002D7103" w:rsidRPr="009207D9" w:rsidRDefault="002D7103" w:rsidP="002D7103">
            <w:pPr>
              <w:widowControl/>
              <w:rPr>
                <w:sz w:val="22"/>
                <w:szCs w:val="22"/>
              </w:rPr>
            </w:pPr>
            <w:r w:rsidRPr="009207D9">
              <w:rPr>
                <w:sz w:val="22"/>
                <w:szCs w:val="22"/>
              </w:rPr>
              <w:t>Owner of Antenna Structure 1063673</w:t>
            </w:r>
          </w:p>
          <w:p w:rsidR="00050854" w:rsidRPr="009207D9" w:rsidRDefault="002D7103" w:rsidP="002D7103">
            <w:pPr>
              <w:widowControl/>
              <w:rPr>
                <w:sz w:val="22"/>
                <w:szCs w:val="22"/>
              </w:rPr>
            </w:pPr>
            <w:r w:rsidRPr="009207D9">
              <w:rPr>
                <w:sz w:val="22"/>
                <w:szCs w:val="22"/>
              </w:rPr>
              <w:t>High</w:t>
            </w:r>
            <w:r w:rsidR="00DF5744">
              <w:rPr>
                <w:sz w:val="22"/>
                <w:szCs w:val="22"/>
              </w:rPr>
              <w:t>t</w:t>
            </w:r>
            <w:r w:rsidRPr="009207D9">
              <w:rPr>
                <w:sz w:val="22"/>
                <w:szCs w:val="22"/>
              </w:rPr>
              <w:t xml:space="preserve">stown, New Jersey </w:t>
            </w:r>
          </w:p>
          <w:p w:rsidR="00050854" w:rsidRPr="009207D9" w:rsidRDefault="00050854" w:rsidP="00BF1922">
            <w:pPr>
              <w:widowControl/>
              <w:rPr>
                <w:spacing w:val="-2"/>
                <w:sz w:val="22"/>
                <w:szCs w:val="22"/>
              </w:rPr>
            </w:pPr>
          </w:p>
        </w:tc>
        <w:tc>
          <w:tcPr>
            <w:tcW w:w="270" w:type="dxa"/>
          </w:tcPr>
          <w:p w:rsidR="00050854" w:rsidRPr="009207D9" w:rsidRDefault="00050854" w:rsidP="00BF1922">
            <w:pPr>
              <w:widowControl/>
              <w:tabs>
                <w:tab w:val="center" w:pos="4680"/>
              </w:tabs>
              <w:suppressAutoHyphens/>
              <w:spacing w:line="240" w:lineRule="atLeast"/>
              <w:jc w:val="both"/>
              <w:outlineLvl w:val="0"/>
              <w:rPr>
                <w:sz w:val="22"/>
                <w:szCs w:val="22"/>
              </w:rPr>
            </w:pPr>
            <w:r w:rsidRPr="009207D9">
              <w:rPr>
                <w:sz w:val="22"/>
                <w:szCs w:val="22"/>
              </w:rPr>
              <w:t>)</w:t>
            </w:r>
          </w:p>
          <w:p w:rsidR="00050854" w:rsidRPr="009207D9" w:rsidRDefault="00050854" w:rsidP="00BF1922">
            <w:pPr>
              <w:widowControl/>
              <w:tabs>
                <w:tab w:val="center" w:pos="4680"/>
              </w:tabs>
              <w:suppressAutoHyphens/>
              <w:spacing w:line="240" w:lineRule="atLeast"/>
              <w:jc w:val="both"/>
              <w:outlineLvl w:val="0"/>
              <w:rPr>
                <w:sz w:val="22"/>
                <w:szCs w:val="22"/>
              </w:rPr>
            </w:pPr>
            <w:r w:rsidRPr="009207D9">
              <w:rPr>
                <w:sz w:val="22"/>
                <w:szCs w:val="22"/>
              </w:rPr>
              <w:t>)</w:t>
            </w:r>
          </w:p>
          <w:p w:rsidR="00050854" w:rsidRPr="009207D9" w:rsidRDefault="00050854" w:rsidP="00BF1922">
            <w:pPr>
              <w:widowControl/>
              <w:tabs>
                <w:tab w:val="center" w:pos="4680"/>
              </w:tabs>
              <w:suppressAutoHyphens/>
              <w:spacing w:line="240" w:lineRule="atLeast"/>
              <w:jc w:val="both"/>
              <w:outlineLvl w:val="0"/>
              <w:rPr>
                <w:sz w:val="22"/>
                <w:szCs w:val="22"/>
              </w:rPr>
            </w:pPr>
            <w:r w:rsidRPr="009207D9">
              <w:rPr>
                <w:sz w:val="22"/>
                <w:szCs w:val="22"/>
              </w:rPr>
              <w:t>)</w:t>
            </w:r>
          </w:p>
          <w:p w:rsidR="00050854" w:rsidRPr="009207D9" w:rsidRDefault="00050854" w:rsidP="00BF1922">
            <w:pPr>
              <w:widowControl/>
              <w:tabs>
                <w:tab w:val="center" w:pos="4680"/>
              </w:tabs>
              <w:suppressAutoHyphens/>
              <w:spacing w:line="240" w:lineRule="atLeast"/>
              <w:jc w:val="both"/>
              <w:outlineLvl w:val="0"/>
              <w:rPr>
                <w:sz w:val="22"/>
                <w:szCs w:val="22"/>
              </w:rPr>
            </w:pPr>
            <w:r w:rsidRPr="009207D9">
              <w:rPr>
                <w:sz w:val="22"/>
                <w:szCs w:val="22"/>
              </w:rPr>
              <w:t>)</w:t>
            </w:r>
          </w:p>
          <w:p w:rsidR="00050854" w:rsidRPr="009207D9" w:rsidRDefault="00050854" w:rsidP="00BF1922">
            <w:pPr>
              <w:widowControl/>
              <w:tabs>
                <w:tab w:val="center" w:pos="4680"/>
              </w:tabs>
              <w:suppressAutoHyphens/>
              <w:spacing w:line="240" w:lineRule="atLeast"/>
              <w:jc w:val="both"/>
              <w:outlineLvl w:val="0"/>
              <w:rPr>
                <w:sz w:val="22"/>
                <w:szCs w:val="22"/>
              </w:rPr>
            </w:pPr>
            <w:r w:rsidRPr="009207D9">
              <w:rPr>
                <w:sz w:val="22"/>
                <w:szCs w:val="22"/>
              </w:rPr>
              <w:t>)</w:t>
            </w:r>
          </w:p>
          <w:p w:rsidR="00050854" w:rsidRPr="009207D9" w:rsidRDefault="00050854" w:rsidP="00BF1922">
            <w:pPr>
              <w:widowControl/>
              <w:tabs>
                <w:tab w:val="center" w:pos="4680"/>
              </w:tabs>
              <w:suppressAutoHyphens/>
              <w:spacing w:line="240" w:lineRule="atLeast"/>
              <w:jc w:val="both"/>
              <w:outlineLvl w:val="0"/>
              <w:rPr>
                <w:sz w:val="22"/>
                <w:szCs w:val="22"/>
              </w:rPr>
            </w:pPr>
            <w:r w:rsidRPr="009207D9">
              <w:rPr>
                <w:sz w:val="22"/>
                <w:szCs w:val="22"/>
              </w:rPr>
              <w:t>)</w:t>
            </w:r>
          </w:p>
        </w:tc>
        <w:tc>
          <w:tcPr>
            <w:tcW w:w="4680" w:type="dxa"/>
          </w:tcPr>
          <w:p w:rsidR="003E2AD5" w:rsidRPr="009207D9" w:rsidRDefault="003E2AD5" w:rsidP="00BF1922">
            <w:pPr>
              <w:widowControl/>
              <w:rPr>
                <w:spacing w:val="-2"/>
                <w:sz w:val="22"/>
                <w:szCs w:val="22"/>
              </w:rPr>
            </w:pPr>
          </w:p>
          <w:p w:rsidR="005F002F" w:rsidRPr="009207D9" w:rsidRDefault="005F002F" w:rsidP="00BF1922">
            <w:pPr>
              <w:widowControl/>
              <w:ind w:left="702"/>
              <w:rPr>
                <w:spacing w:val="-2"/>
                <w:sz w:val="22"/>
                <w:szCs w:val="22"/>
              </w:rPr>
            </w:pPr>
          </w:p>
          <w:p w:rsidR="00780C18" w:rsidRPr="009207D9" w:rsidRDefault="00050854" w:rsidP="00BF1922">
            <w:pPr>
              <w:widowControl/>
              <w:ind w:left="702"/>
              <w:rPr>
                <w:sz w:val="22"/>
                <w:szCs w:val="22"/>
              </w:rPr>
            </w:pPr>
            <w:r w:rsidRPr="009207D9">
              <w:rPr>
                <w:sz w:val="22"/>
                <w:szCs w:val="22"/>
              </w:rPr>
              <w:t>File N</w:t>
            </w:r>
            <w:r w:rsidR="00A16AF9" w:rsidRPr="009207D9">
              <w:rPr>
                <w:sz w:val="22"/>
                <w:szCs w:val="22"/>
              </w:rPr>
              <w:t>o.</w:t>
            </w:r>
            <w:r w:rsidR="003E2AD5" w:rsidRPr="009207D9">
              <w:rPr>
                <w:sz w:val="22"/>
                <w:szCs w:val="22"/>
              </w:rPr>
              <w:t xml:space="preserve">:  </w:t>
            </w:r>
            <w:r w:rsidR="00780C18" w:rsidRPr="009207D9">
              <w:rPr>
                <w:sz w:val="22"/>
                <w:szCs w:val="22"/>
              </w:rPr>
              <w:t>EB-FIELD</w:t>
            </w:r>
            <w:r w:rsidR="002D7103" w:rsidRPr="009207D9">
              <w:rPr>
                <w:sz w:val="22"/>
                <w:szCs w:val="22"/>
              </w:rPr>
              <w:t>NER-13-00010092</w:t>
            </w:r>
          </w:p>
          <w:p w:rsidR="00050854" w:rsidRPr="009207D9" w:rsidRDefault="00050854" w:rsidP="00BF1922">
            <w:pPr>
              <w:widowControl/>
              <w:ind w:left="702"/>
              <w:rPr>
                <w:sz w:val="22"/>
                <w:szCs w:val="22"/>
              </w:rPr>
            </w:pPr>
            <w:r w:rsidRPr="009207D9">
              <w:rPr>
                <w:sz w:val="22"/>
                <w:szCs w:val="22"/>
              </w:rPr>
              <w:t>NAL/Acct. No.</w:t>
            </w:r>
            <w:r w:rsidR="003E2AD5" w:rsidRPr="009207D9">
              <w:rPr>
                <w:sz w:val="22"/>
                <w:szCs w:val="22"/>
              </w:rPr>
              <w:t>:</w:t>
            </w:r>
            <w:r w:rsidR="00E847E3" w:rsidRPr="009207D9">
              <w:rPr>
                <w:sz w:val="22"/>
                <w:szCs w:val="22"/>
              </w:rPr>
              <w:t xml:space="preserve">  </w:t>
            </w:r>
            <w:r w:rsidR="002D7103" w:rsidRPr="009207D9">
              <w:rPr>
                <w:sz w:val="22"/>
                <w:szCs w:val="22"/>
              </w:rPr>
              <w:t>201</w:t>
            </w:r>
            <w:r w:rsidR="00AA4D28">
              <w:rPr>
                <w:sz w:val="22"/>
                <w:szCs w:val="22"/>
              </w:rPr>
              <w:t>4</w:t>
            </w:r>
            <w:r w:rsidR="002D7103" w:rsidRPr="009207D9">
              <w:rPr>
                <w:sz w:val="22"/>
                <w:szCs w:val="22"/>
              </w:rPr>
              <w:t>3240</w:t>
            </w:r>
            <w:r w:rsidR="00956B3B">
              <w:rPr>
                <w:sz w:val="22"/>
                <w:szCs w:val="22"/>
              </w:rPr>
              <w:t>0007</w:t>
            </w:r>
          </w:p>
          <w:p w:rsidR="00050854" w:rsidRPr="009207D9" w:rsidRDefault="00050854" w:rsidP="00BF1922">
            <w:pPr>
              <w:widowControl/>
              <w:ind w:left="702"/>
              <w:rPr>
                <w:sz w:val="22"/>
                <w:szCs w:val="22"/>
              </w:rPr>
            </w:pPr>
            <w:r w:rsidRPr="009207D9">
              <w:rPr>
                <w:sz w:val="22"/>
                <w:szCs w:val="22"/>
              </w:rPr>
              <w:t>FRN</w:t>
            </w:r>
            <w:r w:rsidR="003E2AD5" w:rsidRPr="009207D9">
              <w:rPr>
                <w:sz w:val="22"/>
                <w:szCs w:val="22"/>
              </w:rPr>
              <w:t>:</w:t>
            </w:r>
            <w:r w:rsidR="002D7103" w:rsidRPr="009207D9">
              <w:rPr>
                <w:sz w:val="22"/>
                <w:szCs w:val="22"/>
              </w:rPr>
              <w:t xml:space="preserve">  0004942041</w:t>
            </w:r>
          </w:p>
          <w:p w:rsidR="008B58B7" w:rsidRPr="009207D9" w:rsidRDefault="008B58B7" w:rsidP="00BF1922">
            <w:pPr>
              <w:widowControl/>
              <w:ind w:left="702"/>
              <w:rPr>
                <w:sz w:val="22"/>
                <w:szCs w:val="22"/>
              </w:rPr>
            </w:pPr>
          </w:p>
          <w:p w:rsidR="00050854" w:rsidRPr="009207D9" w:rsidRDefault="008B58B7" w:rsidP="00BF1922">
            <w:pPr>
              <w:widowControl/>
              <w:rPr>
                <w:sz w:val="22"/>
                <w:szCs w:val="22"/>
              </w:rPr>
            </w:pPr>
            <w:r w:rsidRPr="009207D9">
              <w:rPr>
                <w:sz w:val="22"/>
                <w:szCs w:val="22"/>
              </w:rPr>
              <w:t xml:space="preserve">    </w:t>
            </w:r>
          </w:p>
        </w:tc>
      </w:tr>
    </w:tbl>
    <w:p w:rsidR="00050854" w:rsidRPr="00331410" w:rsidRDefault="00050854" w:rsidP="00E540DC">
      <w:pPr>
        <w:pStyle w:val="Heading2"/>
        <w:widowControl/>
        <w:numPr>
          <w:ilvl w:val="0"/>
          <w:numId w:val="0"/>
        </w:numPr>
        <w:jc w:val="center"/>
        <w:rPr>
          <w:sz w:val="22"/>
          <w:szCs w:val="22"/>
        </w:rPr>
      </w:pPr>
      <w:r w:rsidRPr="00331410">
        <w:rPr>
          <w:sz w:val="22"/>
          <w:szCs w:val="22"/>
        </w:rPr>
        <w:t>NOTICE OF APPARENT LIABILITY FOR FORFEITURE</w:t>
      </w:r>
      <w:r w:rsidR="002D7103">
        <w:rPr>
          <w:sz w:val="22"/>
          <w:szCs w:val="22"/>
        </w:rPr>
        <w:t xml:space="preserve"> AND ORDER</w:t>
      </w:r>
    </w:p>
    <w:p w:rsidR="00050854" w:rsidRPr="00956B3B" w:rsidRDefault="007E2E05" w:rsidP="00BF1922">
      <w:pPr>
        <w:widowControl/>
        <w:rPr>
          <w:spacing w:val="-2"/>
          <w:sz w:val="22"/>
          <w:szCs w:val="22"/>
        </w:rPr>
      </w:pPr>
      <w:r w:rsidRPr="00A14C0F">
        <w:rPr>
          <w:b/>
          <w:sz w:val="22"/>
        </w:rPr>
        <w:t>Adopted:</w:t>
      </w:r>
      <w:r w:rsidR="003E2AD5" w:rsidRPr="00A14C0F">
        <w:rPr>
          <w:b/>
          <w:sz w:val="22"/>
        </w:rPr>
        <w:t xml:space="preserve">  </w:t>
      </w:r>
      <w:r w:rsidR="00956B3B">
        <w:rPr>
          <w:sz w:val="22"/>
        </w:rPr>
        <w:t>June 10, 2014</w:t>
      </w:r>
      <w:r w:rsidRPr="00A14C0F">
        <w:rPr>
          <w:b/>
          <w:color w:val="FF00FF"/>
          <w:sz w:val="22"/>
        </w:rPr>
        <w:tab/>
      </w:r>
      <w:r w:rsidR="00E540DC">
        <w:rPr>
          <w:b/>
          <w:sz w:val="22"/>
        </w:rPr>
        <w:tab/>
      </w:r>
      <w:r w:rsidR="00E540DC">
        <w:rPr>
          <w:b/>
          <w:sz w:val="22"/>
        </w:rPr>
        <w:tab/>
      </w:r>
      <w:r w:rsidR="00E540DC">
        <w:rPr>
          <w:b/>
          <w:sz w:val="22"/>
        </w:rPr>
        <w:tab/>
      </w:r>
      <w:r w:rsidR="00E540DC">
        <w:rPr>
          <w:b/>
          <w:sz w:val="22"/>
        </w:rPr>
        <w:tab/>
      </w:r>
      <w:r w:rsidR="00050854" w:rsidRPr="00A14C0F">
        <w:rPr>
          <w:b/>
          <w:sz w:val="22"/>
        </w:rPr>
        <w:t xml:space="preserve">Released: </w:t>
      </w:r>
      <w:r w:rsidR="00956B3B">
        <w:rPr>
          <w:sz w:val="22"/>
        </w:rPr>
        <w:t>June 10, 2014</w:t>
      </w:r>
    </w:p>
    <w:p w:rsidR="00050854" w:rsidRPr="00A14C0F" w:rsidRDefault="00050854" w:rsidP="00BF1922">
      <w:pPr>
        <w:widowControl/>
        <w:tabs>
          <w:tab w:val="left" w:pos="0"/>
          <w:tab w:val="left" w:pos="720"/>
          <w:tab w:val="left" w:pos="5760"/>
        </w:tabs>
        <w:suppressAutoHyphens/>
        <w:spacing w:line="240" w:lineRule="atLeast"/>
        <w:jc w:val="both"/>
        <w:rPr>
          <w:b/>
          <w:spacing w:val="-2"/>
          <w:sz w:val="22"/>
        </w:rPr>
      </w:pPr>
    </w:p>
    <w:p w:rsidR="00050854" w:rsidRPr="009207D9" w:rsidRDefault="00050854" w:rsidP="00BF1922">
      <w:pPr>
        <w:widowControl/>
        <w:tabs>
          <w:tab w:val="left" w:pos="0"/>
          <w:tab w:val="left" w:pos="720"/>
          <w:tab w:val="left" w:pos="5760"/>
        </w:tabs>
        <w:suppressAutoHyphens/>
        <w:spacing w:line="240" w:lineRule="atLeast"/>
        <w:rPr>
          <w:spacing w:val="-2"/>
          <w:sz w:val="22"/>
          <w:szCs w:val="22"/>
        </w:rPr>
      </w:pPr>
      <w:r w:rsidRPr="009207D9">
        <w:rPr>
          <w:spacing w:val="-2"/>
          <w:sz w:val="22"/>
          <w:szCs w:val="22"/>
        </w:rPr>
        <w:t>By the District Director</w:t>
      </w:r>
      <w:r w:rsidR="002D7103" w:rsidRPr="009207D9">
        <w:rPr>
          <w:spacing w:val="-2"/>
          <w:sz w:val="22"/>
          <w:szCs w:val="22"/>
        </w:rPr>
        <w:t xml:space="preserve">, Philadelphia Office, Northeast Region, </w:t>
      </w:r>
      <w:r w:rsidRPr="009207D9">
        <w:rPr>
          <w:spacing w:val="-2"/>
          <w:sz w:val="22"/>
          <w:szCs w:val="22"/>
        </w:rPr>
        <w:t>Enforcement Bureau:</w:t>
      </w:r>
    </w:p>
    <w:p w:rsidR="00AE3A0F" w:rsidRPr="009207D9" w:rsidRDefault="00AE3A0F" w:rsidP="00BF1922">
      <w:pPr>
        <w:widowControl/>
        <w:tabs>
          <w:tab w:val="left" w:pos="0"/>
        </w:tabs>
        <w:suppressAutoHyphens/>
        <w:spacing w:line="240" w:lineRule="atLeast"/>
        <w:jc w:val="both"/>
        <w:rPr>
          <w:sz w:val="22"/>
          <w:szCs w:val="22"/>
        </w:rPr>
      </w:pPr>
    </w:p>
    <w:p w:rsidR="00990FB6" w:rsidRPr="009207D9" w:rsidRDefault="00990FB6" w:rsidP="00A14C0F">
      <w:pPr>
        <w:pStyle w:val="Heading1"/>
        <w:widowControl/>
        <w:spacing w:after="120"/>
        <w:rPr>
          <w:sz w:val="22"/>
          <w:szCs w:val="22"/>
        </w:rPr>
      </w:pPr>
      <w:r w:rsidRPr="009207D9">
        <w:rPr>
          <w:sz w:val="22"/>
          <w:szCs w:val="22"/>
        </w:rPr>
        <w:t>INTRODUCTION</w:t>
      </w:r>
    </w:p>
    <w:p w:rsidR="00577ADD" w:rsidRPr="00577ADD" w:rsidRDefault="00577ADD" w:rsidP="00A14C0F">
      <w:pPr>
        <w:widowControl/>
        <w:numPr>
          <w:ilvl w:val="0"/>
          <w:numId w:val="22"/>
        </w:numPr>
        <w:tabs>
          <w:tab w:val="clear" w:pos="1260"/>
        </w:tabs>
        <w:suppressAutoHyphens/>
        <w:spacing w:after="120"/>
        <w:ind w:left="0"/>
        <w:rPr>
          <w:sz w:val="22"/>
          <w:szCs w:val="22"/>
        </w:rPr>
      </w:pPr>
      <w:r>
        <w:rPr>
          <w:sz w:val="22"/>
          <w:szCs w:val="22"/>
        </w:rPr>
        <w:t>We propose a penalty of $1</w:t>
      </w:r>
      <w:r w:rsidR="00AA1EDE">
        <w:rPr>
          <w:sz w:val="22"/>
          <w:szCs w:val="22"/>
        </w:rPr>
        <w:t>5</w:t>
      </w:r>
      <w:r w:rsidR="00BD4286">
        <w:rPr>
          <w:sz w:val="22"/>
          <w:szCs w:val="22"/>
        </w:rPr>
        <w:t>,000 against Northeast Passage Corporation</w:t>
      </w:r>
      <w:r>
        <w:rPr>
          <w:sz w:val="22"/>
          <w:szCs w:val="22"/>
        </w:rPr>
        <w:t xml:space="preserve"> (NE Passage)</w:t>
      </w:r>
      <w:r w:rsidR="00B40B8E">
        <w:rPr>
          <w:sz w:val="22"/>
          <w:szCs w:val="22"/>
        </w:rPr>
        <w:t>, the owner of an antenna structure in Hightstown, New Jersey, for several violations of the Commission’</w:t>
      </w:r>
      <w:r w:rsidR="00CC7BEC">
        <w:rPr>
          <w:sz w:val="22"/>
          <w:szCs w:val="22"/>
        </w:rPr>
        <w:t xml:space="preserve">s </w:t>
      </w:r>
      <w:r w:rsidR="005B39AC">
        <w:rPr>
          <w:sz w:val="22"/>
          <w:szCs w:val="22"/>
        </w:rPr>
        <w:t>rules</w:t>
      </w:r>
      <w:r w:rsidR="00CC7BEC">
        <w:rPr>
          <w:sz w:val="22"/>
          <w:szCs w:val="22"/>
        </w:rPr>
        <w:t xml:space="preserve"> concerning antenna structure lighting.  Agents from the </w:t>
      </w:r>
      <w:r w:rsidR="002F4ECF">
        <w:rPr>
          <w:sz w:val="22"/>
          <w:szCs w:val="22"/>
        </w:rPr>
        <w:t xml:space="preserve">Enforcement Bureau’s </w:t>
      </w:r>
      <w:r w:rsidR="00CC7BEC">
        <w:rPr>
          <w:sz w:val="22"/>
          <w:szCs w:val="22"/>
        </w:rPr>
        <w:t>Philadelphia Office found that NE Passage was neither properly monitori</w:t>
      </w:r>
      <w:r w:rsidR="005B39AC">
        <w:rPr>
          <w:sz w:val="22"/>
          <w:szCs w:val="22"/>
        </w:rPr>
        <w:t xml:space="preserve">ng nor maintaining the </w:t>
      </w:r>
      <w:r w:rsidR="00CC7BEC">
        <w:rPr>
          <w:sz w:val="22"/>
          <w:szCs w:val="22"/>
        </w:rPr>
        <w:t xml:space="preserve">daytime lights on </w:t>
      </w:r>
      <w:r w:rsidR="002F4ECF">
        <w:rPr>
          <w:sz w:val="22"/>
          <w:szCs w:val="22"/>
        </w:rPr>
        <w:t xml:space="preserve">its </w:t>
      </w:r>
      <w:r w:rsidR="00CC7BEC">
        <w:rPr>
          <w:sz w:val="22"/>
          <w:szCs w:val="22"/>
        </w:rPr>
        <w:t xml:space="preserve">antenna </w:t>
      </w:r>
      <w:r w:rsidR="002F4ECF">
        <w:rPr>
          <w:sz w:val="22"/>
          <w:szCs w:val="22"/>
        </w:rPr>
        <w:t>structure</w:t>
      </w:r>
      <w:r w:rsidR="00CC7BEC">
        <w:rPr>
          <w:sz w:val="22"/>
          <w:szCs w:val="22"/>
        </w:rPr>
        <w:t xml:space="preserve">.  </w:t>
      </w:r>
      <w:r w:rsidR="006B372C">
        <w:rPr>
          <w:sz w:val="22"/>
          <w:szCs w:val="22"/>
        </w:rPr>
        <w:t>NE Passage also failed</w:t>
      </w:r>
      <w:r w:rsidR="002F4ECF">
        <w:rPr>
          <w:sz w:val="22"/>
          <w:szCs w:val="22"/>
        </w:rPr>
        <w:t xml:space="preserve"> to notify the Commission of an increase in the antenna s</w:t>
      </w:r>
      <w:r w:rsidR="006B372C">
        <w:rPr>
          <w:sz w:val="22"/>
          <w:szCs w:val="22"/>
        </w:rPr>
        <w:t xml:space="preserve">tructure’s height. </w:t>
      </w:r>
      <w:r w:rsidR="002F4ECF">
        <w:rPr>
          <w:sz w:val="22"/>
          <w:szCs w:val="22"/>
        </w:rPr>
        <w:t xml:space="preserve"> </w:t>
      </w:r>
      <w:r w:rsidR="00CC7BEC">
        <w:rPr>
          <w:sz w:val="22"/>
          <w:szCs w:val="22"/>
        </w:rPr>
        <w:t>NE Passage’s disregard for the Rules posed a potenti</w:t>
      </w:r>
      <w:r w:rsidR="002F4ECF">
        <w:rPr>
          <w:sz w:val="22"/>
          <w:szCs w:val="22"/>
        </w:rPr>
        <w:t>al safety hazard to air traffic a</w:t>
      </w:r>
      <w:r w:rsidR="005B39AC">
        <w:rPr>
          <w:sz w:val="22"/>
          <w:szCs w:val="22"/>
        </w:rPr>
        <w:t xml:space="preserve">nd warrants an increased </w:t>
      </w:r>
      <w:r w:rsidR="002F4ECF">
        <w:rPr>
          <w:sz w:val="22"/>
          <w:szCs w:val="22"/>
        </w:rPr>
        <w:t>penalty.</w:t>
      </w:r>
      <w:r w:rsidR="00CC7BEC">
        <w:rPr>
          <w:sz w:val="22"/>
          <w:szCs w:val="22"/>
        </w:rPr>
        <w:t xml:space="preserve">  </w:t>
      </w:r>
      <w:r w:rsidR="00B40B8E">
        <w:rPr>
          <w:spacing w:val="-2"/>
          <w:sz w:val="22"/>
          <w:szCs w:val="22"/>
        </w:rPr>
        <w:t xml:space="preserve">  </w:t>
      </w:r>
    </w:p>
    <w:p w:rsidR="00613F7C" w:rsidRPr="009207D9" w:rsidRDefault="00050854" w:rsidP="00A14C0F">
      <w:pPr>
        <w:widowControl/>
        <w:numPr>
          <w:ilvl w:val="0"/>
          <w:numId w:val="22"/>
        </w:numPr>
        <w:tabs>
          <w:tab w:val="clear" w:pos="1260"/>
        </w:tabs>
        <w:suppressAutoHyphens/>
        <w:spacing w:after="120"/>
        <w:ind w:left="0"/>
        <w:rPr>
          <w:sz w:val="22"/>
          <w:szCs w:val="22"/>
        </w:rPr>
      </w:pPr>
      <w:r w:rsidRPr="009207D9">
        <w:rPr>
          <w:spacing w:val="-2"/>
          <w:sz w:val="22"/>
          <w:szCs w:val="22"/>
        </w:rPr>
        <w:t xml:space="preserve">In this Notice of Apparent Liability for Forfeiture </w:t>
      </w:r>
      <w:r w:rsidR="009711A7" w:rsidRPr="009207D9">
        <w:rPr>
          <w:spacing w:val="-2"/>
          <w:sz w:val="22"/>
          <w:szCs w:val="22"/>
        </w:rPr>
        <w:t xml:space="preserve">and Order </w:t>
      </w:r>
      <w:r w:rsidRPr="009207D9">
        <w:rPr>
          <w:spacing w:val="-2"/>
          <w:sz w:val="22"/>
          <w:szCs w:val="22"/>
        </w:rPr>
        <w:t xml:space="preserve">(NAL), we find that </w:t>
      </w:r>
      <w:r w:rsidR="002F4ECF">
        <w:rPr>
          <w:spacing w:val="-2"/>
          <w:sz w:val="22"/>
          <w:szCs w:val="22"/>
        </w:rPr>
        <w:t xml:space="preserve">NE Passage </w:t>
      </w:r>
      <w:r w:rsidRPr="009207D9">
        <w:rPr>
          <w:spacing w:val="-2"/>
          <w:sz w:val="22"/>
          <w:szCs w:val="22"/>
        </w:rPr>
        <w:t xml:space="preserve">apparently willfully and repeatedly violated </w:t>
      </w:r>
      <w:r w:rsidR="00613F7C" w:rsidRPr="009207D9">
        <w:rPr>
          <w:spacing w:val="-2"/>
          <w:sz w:val="22"/>
          <w:szCs w:val="22"/>
        </w:rPr>
        <w:t>Section 303(q) of the Communications Act of 1934, as amended (Act)</w:t>
      </w:r>
      <w:r w:rsidR="00613F7C" w:rsidRPr="009207D9">
        <w:rPr>
          <w:rStyle w:val="FootnoteReference"/>
          <w:spacing w:val="-3"/>
          <w:sz w:val="22"/>
          <w:szCs w:val="22"/>
        </w:rPr>
        <w:t xml:space="preserve"> </w:t>
      </w:r>
      <w:r w:rsidR="00613F7C" w:rsidRPr="009207D9">
        <w:rPr>
          <w:rStyle w:val="FootnoteReference"/>
          <w:spacing w:val="-3"/>
          <w:sz w:val="22"/>
          <w:szCs w:val="22"/>
        </w:rPr>
        <w:footnoteReference w:id="2"/>
      </w:r>
      <w:r w:rsidR="00613F7C" w:rsidRPr="009207D9">
        <w:rPr>
          <w:spacing w:val="-2"/>
          <w:sz w:val="22"/>
          <w:szCs w:val="22"/>
        </w:rPr>
        <w:t xml:space="preserve"> and </w:t>
      </w:r>
      <w:r w:rsidR="00337B75" w:rsidRPr="009207D9">
        <w:rPr>
          <w:spacing w:val="-2"/>
          <w:sz w:val="22"/>
          <w:szCs w:val="22"/>
        </w:rPr>
        <w:t>Section</w:t>
      </w:r>
      <w:r w:rsidR="002D7103" w:rsidRPr="009207D9">
        <w:rPr>
          <w:spacing w:val="-2"/>
          <w:sz w:val="22"/>
          <w:szCs w:val="22"/>
        </w:rPr>
        <w:t>s</w:t>
      </w:r>
      <w:r w:rsidR="002F4ECF">
        <w:rPr>
          <w:spacing w:val="-2"/>
          <w:sz w:val="22"/>
          <w:szCs w:val="22"/>
        </w:rPr>
        <w:t xml:space="preserve"> </w:t>
      </w:r>
      <w:r w:rsidR="00CD0953">
        <w:rPr>
          <w:spacing w:val="-2"/>
          <w:sz w:val="22"/>
          <w:szCs w:val="22"/>
        </w:rPr>
        <w:t xml:space="preserve">17.23, </w:t>
      </w:r>
      <w:r w:rsidR="002D7103" w:rsidRPr="009207D9">
        <w:rPr>
          <w:spacing w:val="-2"/>
          <w:sz w:val="22"/>
          <w:szCs w:val="22"/>
        </w:rPr>
        <w:t>17.47(a)</w:t>
      </w:r>
      <w:r w:rsidR="00222E98">
        <w:rPr>
          <w:spacing w:val="-2"/>
          <w:sz w:val="22"/>
          <w:szCs w:val="22"/>
        </w:rPr>
        <w:t xml:space="preserve">, </w:t>
      </w:r>
      <w:r w:rsidR="003F3F71">
        <w:rPr>
          <w:spacing w:val="-2"/>
          <w:sz w:val="22"/>
          <w:szCs w:val="22"/>
        </w:rPr>
        <w:t>17.48</w:t>
      </w:r>
      <w:r w:rsidR="00CE17C9">
        <w:rPr>
          <w:spacing w:val="-2"/>
          <w:sz w:val="22"/>
          <w:szCs w:val="22"/>
        </w:rPr>
        <w:t>(a)</w:t>
      </w:r>
      <w:r w:rsidR="002F4ECF">
        <w:rPr>
          <w:spacing w:val="-2"/>
          <w:sz w:val="22"/>
          <w:szCs w:val="22"/>
        </w:rPr>
        <w:t xml:space="preserve">, </w:t>
      </w:r>
      <w:r w:rsidR="002F4ECF" w:rsidRPr="009207D9">
        <w:rPr>
          <w:spacing w:val="-2"/>
          <w:sz w:val="22"/>
          <w:szCs w:val="22"/>
        </w:rPr>
        <w:t xml:space="preserve">17.51(b), </w:t>
      </w:r>
      <w:r w:rsidR="002D7103" w:rsidRPr="009207D9">
        <w:rPr>
          <w:spacing w:val="-2"/>
          <w:sz w:val="22"/>
          <w:szCs w:val="22"/>
        </w:rPr>
        <w:t xml:space="preserve"> and 1</w:t>
      </w:r>
      <w:r w:rsidR="002F4ECF">
        <w:rPr>
          <w:spacing w:val="-2"/>
          <w:sz w:val="22"/>
          <w:szCs w:val="22"/>
        </w:rPr>
        <w:t xml:space="preserve">7.57 of the </w:t>
      </w:r>
      <w:r w:rsidR="005B39AC">
        <w:rPr>
          <w:spacing w:val="-2"/>
          <w:sz w:val="22"/>
          <w:szCs w:val="22"/>
        </w:rPr>
        <w:t>Commission’s rules (</w:t>
      </w:r>
      <w:r w:rsidR="002D7103" w:rsidRPr="009207D9">
        <w:rPr>
          <w:spacing w:val="-2"/>
          <w:sz w:val="22"/>
          <w:szCs w:val="22"/>
        </w:rPr>
        <w:t>Rules</w:t>
      </w:r>
      <w:r w:rsidR="005B39AC">
        <w:rPr>
          <w:spacing w:val="-2"/>
          <w:sz w:val="22"/>
          <w:szCs w:val="22"/>
        </w:rPr>
        <w:t>)</w:t>
      </w:r>
      <w:r w:rsidR="00B54015" w:rsidRPr="009207D9">
        <w:rPr>
          <w:rStyle w:val="FootnoteReference"/>
          <w:spacing w:val="-2"/>
          <w:sz w:val="22"/>
          <w:szCs w:val="22"/>
        </w:rPr>
        <w:footnoteReference w:id="3"/>
      </w:r>
      <w:r w:rsidR="00B54015" w:rsidRPr="009207D9">
        <w:rPr>
          <w:spacing w:val="-2"/>
          <w:sz w:val="22"/>
          <w:szCs w:val="22"/>
        </w:rPr>
        <w:t xml:space="preserve"> </w:t>
      </w:r>
      <w:r w:rsidR="002F4ECF">
        <w:rPr>
          <w:spacing w:val="-2"/>
          <w:sz w:val="22"/>
          <w:szCs w:val="22"/>
        </w:rPr>
        <w:t>in connection with its a</w:t>
      </w:r>
      <w:r w:rsidR="005B39AC">
        <w:rPr>
          <w:spacing w:val="-2"/>
          <w:sz w:val="22"/>
          <w:szCs w:val="22"/>
        </w:rPr>
        <w:t xml:space="preserve">ntenna structure </w:t>
      </w:r>
      <w:r w:rsidR="002F4ECF">
        <w:rPr>
          <w:spacing w:val="-2"/>
          <w:sz w:val="22"/>
          <w:szCs w:val="22"/>
        </w:rPr>
        <w:t xml:space="preserve">(Antenna Structure) </w:t>
      </w:r>
      <w:r w:rsidR="002D7103" w:rsidRPr="009207D9">
        <w:rPr>
          <w:spacing w:val="-2"/>
          <w:sz w:val="22"/>
          <w:szCs w:val="22"/>
        </w:rPr>
        <w:t>by failing to</w:t>
      </w:r>
      <w:r w:rsidR="00613F7C" w:rsidRPr="009207D9">
        <w:rPr>
          <w:spacing w:val="-2"/>
          <w:sz w:val="22"/>
          <w:szCs w:val="22"/>
        </w:rPr>
        <w:t xml:space="preserve"> (1) </w:t>
      </w:r>
      <w:r w:rsidR="009702B0" w:rsidRPr="009207D9">
        <w:rPr>
          <w:spacing w:val="-2"/>
          <w:sz w:val="22"/>
          <w:szCs w:val="22"/>
        </w:rPr>
        <w:t xml:space="preserve">exhibit medium intensity obstruction lighting </w:t>
      </w:r>
      <w:r w:rsidR="002F4ECF">
        <w:rPr>
          <w:spacing w:val="-2"/>
          <w:sz w:val="22"/>
          <w:szCs w:val="22"/>
        </w:rPr>
        <w:t xml:space="preserve">on the Antenna Structure </w:t>
      </w:r>
      <w:r w:rsidR="009702B0" w:rsidRPr="009207D9">
        <w:rPr>
          <w:spacing w:val="-2"/>
          <w:sz w:val="22"/>
          <w:szCs w:val="22"/>
        </w:rPr>
        <w:t>during the daytime;</w:t>
      </w:r>
      <w:r w:rsidR="009702B0">
        <w:rPr>
          <w:spacing w:val="-2"/>
          <w:sz w:val="22"/>
          <w:szCs w:val="22"/>
        </w:rPr>
        <w:t xml:space="preserve"> (2) </w:t>
      </w:r>
      <w:r w:rsidR="002D7103" w:rsidRPr="009207D9">
        <w:rPr>
          <w:spacing w:val="-2"/>
          <w:sz w:val="22"/>
          <w:szCs w:val="22"/>
        </w:rPr>
        <w:t>monitor the</w:t>
      </w:r>
      <w:r w:rsidR="005B39AC">
        <w:rPr>
          <w:spacing w:val="-2"/>
          <w:sz w:val="22"/>
          <w:szCs w:val="22"/>
        </w:rPr>
        <w:t xml:space="preserve"> Antenna Structure</w:t>
      </w:r>
      <w:r w:rsidR="002D7103" w:rsidRPr="009207D9">
        <w:rPr>
          <w:spacing w:val="-2"/>
          <w:sz w:val="22"/>
          <w:szCs w:val="22"/>
        </w:rPr>
        <w:t xml:space="preserve"> obstruction lighting</w:t>
      </w:r>
      <w:r w:rsidR="00613F7C" w:rsidRPr="009207D9">
        <w:rPr>
          <w:spacing w:val="-2"/>
          <w:sz w:val="22"/>
          <w:szCs w:val="22"/>
        </w:rPr>
        <w:t xml:space="preserve">; </w:t>
      </w:r>
      <w:r w:rsidR="003F3F71">
        <w:rPr>
          <w:spacing w:val="-2"/>
          <w:sz w:val="22"/>
          <w:szCs w:val="22"/>
        </w:rPr>
        <w:t xml:space="preserve">(3) notify the Federal Aviation Administration (FAA) of a known light outage; </w:t>
      </w:r>
      <w:r w:rsidR="00AA33AF">
        <w:rPr>
          <w:spacing w:val="-2"/>
          <w:sz w:val="22"/>
          <w:szCs w:val="22"/>
        </w:rPr>
        <w:t xml:space="preserve">and </w:t>
      </w:r>
      <w:r w:rsidR="009702B0">
        <w:rPr>
          <w:spacing w:val="-2"/>
          <w:sz w:val="22"/>
          <w:szCs w:val="22"/>
        </w:rPr>
        <w:t>(</w:t>
      </w:r>
      <w:r w:rsidR="003F3F71">
        <w:rPr>
          <w:spacing w:val="-2"/>
          <w:sz w:val="22"/>
          <w:szCs w:val="22"/>
        </w:rPr>
        <w:t>4</w:t>
      </w:r>
      <w:r w:rsidR="009702B0">
        <w:rPr>
          <w:spacing w:val="-2"/>
          <w:sz w:val="22"/>
          <w:szCs w:val="22"/>
        </w:rPr>
        <w:t xml:space="preserve">) </w:t>
      </w:r>
      <w:r w:rsidR="00613F7C" w:rsidRPr="009207D9">
        <w:rPr>
          <w:spacing w:val="-2"/>
          <w:sz w:val="22"/>
          <w:szCs w:val="22"/>
        </w:rPr>
        <w:t xml:space="preserve">immediately notify the Commission upon a change in </w:t>
      </w:r>
      <w:r w:rsidR="002F4ECF">
        <w:rPr>
          <w:spacing w:val="-2"/>
          <w:sz w:val="22"/>
          <w:szCs w:val="22"/>
        </w:rPr>
        <w:t xml:space="preserve">the </w:t>
      </w:r>
      <w:r w:rsidR="005B39AC">
        <w:rPr>
          <w:spacing w:val="-2"/>
          <w:sz w:val="22"/>
          <w:szCs w:val="22"/>
        </w:rPr>
        <w:t xml:space="preserve">Antenna Structure’s </w:t>
      </w:r>
      <w:r w:rsidR="008376EC">
        <w:rPr>
          <w:spacing w:val="-2"/>
          <w:sz w:val="22"/>
          <w:szCs w:val="22"/>
        </w:rPr>
        <w:t xml:space="preserve">height.  </w:t>
      </w:r>
      <w:r w:rsidRPr="009207D9">
        <w:rPr>
          <w:spacing w:val="-2"/>
          <w:sz w:val="22"/>
          <w:szCs w:val="22"/>
        </w:rPr>
        <w:t xml:space="preserve">We conclude that </w:t>
      </w:r>
      <w:r w:rsidR="002D7103" w:rsidRPr="009207D9">
        <w:rPr>
          <w:spacing w:val="-2"/>
          <w:sz w:val="22"/>
          <w:szCs w:val="22"/>
        </w:rPr>
        <w:t xml:space="preserve">NE Passage is </w:t>
      </w:r>
      <w:r w:rsidRPr="009207D9">
        <w:rPr>
          <w:spacing w:val="-2"/>
          <w:sz w:val="22"/>
          <w:szCs w:val="22"/>
        </w:rPr>
        <w:t xml:space="preserve">apparently liable for a forfeiture in the amount of </w:t>
      </w:r>
      <w:r w:rsidR="00AA1EDE">
        <w:rPr>
          <w:spacing w:val="-2"/>
          <w:sz w:val="22"/>
          <w:szCs w:val="22"/>
        </w:rPr>
        <w:t>fifteen</w:t>
      </w:r>
      <w:r w:rsidR="009702B0">
        <w:rPr>
          <w:spacing w:val="-2"/>
          <w:sz w:val="22"/>
          <w:szCs w:val="22"/>
        </w:rPr>
        <w:t xml:space="preserve"> </w:t>
      </w:r>
      <w:r w:rsidRPr="009207D9">
        <w:rPr>
          <w:spacing w:val="-2"/>
          <w:sz w:val="22"/>
          <w:szCs w:val="22"/>
        </w:rPr>
        <w:t>thousand dollars ($</w:t>
      </w:r>
      <w:r w:rsidR="009702B0">
        <w:rPr>
          <w:spacing w:val="-2"/>
          <w:sz w:val="22"/>
          <w:szCs w:val="22"/>
        </w:rPr>
        <w:t>1</w:t>
      </w:r>
      <w:r w:rsidR="00AA1EDE">
        <w:rPr>
          <w:spacing w:val="-2"/>
          <w:sz w:val="22"/>
          <w:szCs w:val="22"/>
        </w:rPr>
        <w:t>5</w:t>
      </w:r>
      <w:r w:rsidRPr="009207D9">
        <w:rPr>
          <w:spacing w:val="-2"/>
          <w:sz w:val="22"/>
          <w:szCs w:val="22"/>
        </w:rPr>
        <w:t>,000</w:t>
      </w:r>
      <w:r w:rsidR="000A0EEE" w:rsidRPr="009207D9">
        <w:rPr>
          <w:spacing w:val="-2"/>
          <w:sz w:val="22"/>
          <w:szCs w:val="22"/>
        </w:rPr>
        <w:t>).</w:t>
      </w:r>
      <w:r w:rsidR="003A7878" w:rsidRPr="009207D9">
        <w:rPr>
          <w:spacing w:val="-2"/>
          <w:sz w:val="22"/>
          <w:szCs w:val="22"/>
        </w:rPr>
        <w:t xml:space="preserve">  In addition, </w:t>
      </w:r>
      <w:r w:rsidR="008B58B7" w:rsidRPr="009207D9">
        <w:rPr>
          <w:spacing w:val="-2"/>
          <w:sz w:val="22"/>
          <w:szCs w:val="22"/>
        </w:rPr>
        <w:t xml:space="preserve">we direct </w:t>
      </w:r>
      <w:r w:rsidR="002D7103" w:rsidRPr="009207D9">
        <w:rPr>
          <w:spacing w:val="-2"/>
          <w:sz w:val="22"/>
          <w:szCs w:val="22"/>
        </w:rPr>
        <w:t xml:space="preserve">NE Passage </w:t>
      </w:r>
      <w:r w:rsidR="008B58B7" w:rsidRPr="009207D9">
        <w:rPr>
          <w:spacing w:val="-2"/>
          <w:sz w:val="22"/>
          <w:szCs w:val="22"/>
        </w:rPr>
        <w:t xml:space="preserve">to submit, </w:t>
      </w:r>
      <w:r w:rsidR="003A7878" w:rsidRPr="009207D9">
        <w:rPr>
          <w:spacing w:val="-2"/>
          <w:sz w:val="22"/>
          <w:szCs w:val="22"/>
        </w:rPr>
        <w:t>no later than thirty (30) calendar days from the date of this NAL, a statement signed under penalty of perjury</w:t>
      </w:r>
      <w:r w:rsidR="009711A7" w:rsidRPr="009207D9">
        <w:rPr>
          <w:spacing w:val="-2"/>
          <w:sz w:val="22"/>
          <w:szCs w:val="22"/>
        </w:rPr>
        <w:t xml:space="preserve"> stating</w:t>
      </w:r>
      <w:r w:rsidR="003A7878" w:rsidRPr="009207D9">
        <w:rPr>
          <w:spacing w:val="-2"/>
          <w:sz w:val="22"/>
          <w:szCs w:val="22"/>
        </w:rPr>
        <w:t xml:space="preserve"> </w:t>
      </w:r>
      <w:r w:rsidR="005F002F" w:rsidRPr="009207D9">
        <w:rPr>
          <w:spacing w:val="-2"/>
          <w:sz w:val="22"/>
          <w:szCs w:val="22"/>
        </w:rPr>
        <w:t xml:space="preserve">that </w:t>
      </w:r>
      <w:r w:rsidR="002F4ECF">
        <w:rPr>
          <w:spacing w:val="-2"/>
          <w:sz w:val="22"/>
          <w:szCs w:val="22"/>
        </w:rPr>
        <w:t>that the Antenna Structure</w:t>
      </w:r>
      <w:r w:rsidR="00613F7C" w:rsidRPr="009207D9">
        <w:rPr>
          <w:spacing w:val="-2"/>
          <w:sz w:val="22"/>
          <w:szCs w:val="22"/>
        </w:rPr>
        <w:t xml:space="preserve"> </w:t>
      </w:r>
      <w:r w:rsidR="00613F7C" w:rsidRPr="009207D9">
        <w:rPr>
          <w:sz w:val="22"/>
          <w:szCs w:val="22"/>
        </w:rPr>
        <w:t>is now in compliance with Part 17 of the Rules</w:t>
      </w:r>
      <w:r w:rsidR="00613F7C" w:rsidRPr="009207D9">
        <w:rPr>
          <w:spacing w:val="-2"/>
          <w:sz w:val="22"/>
          <w:szCs w:val="22"/>
        </w:rPr>
        <w:t xml:space="preserve">. </w:t>
      </w:r>
    </w:p>
    <w:p w:rsidR="00050854" w:rsidRPr="009207D9" w:rsidRDefault="00050854" w:rsidP="00A14C0F">
      <w:pPr>
        <w:pStyle w:val="Heading1"/>
        <w:widowControl/>
        <w:spacing w:after="120"/>
        <w:rPr>
          <w:spacing w:val="-2"/>
          <w:sz w:val="22"/>
          <w:szCs w:val="22"/>
        </w:rPr>
      </w:pPr>
      <w:r w:rsidRPr="009207D9">
        <w:rPr>
          <w:sz w:val="22"/>
          <w:szCs w:val="22"/>
        </w:rPr>
        <w:t>BACKGROUND</w:t>
      </w:r>
    </w:p>
    <w:p w:rsidR="00324CF6" w:rsidRPr="009207D9" w:rsidRDefault="002D7103" w:rsidP="00A14C0F">
      <w:pPr>
        <w:widowControl/>
        <w:numPr>
          <w:ilvl w:val="0"/>
          <w:numId w:val="22"/>
        </w:numPr>
        <w:tabs>
          <w:tab w:val="clear" w:pos="1260"/>
          <w:tab w:val="left" w:pos="0"/>
          <w:tab w:val="num" w:pos="1440"/>
        </w:tabs>
        <w:suppressAutoHyphens/>
        <w:spacing w:after="120"/>
        <w:ind w:left="0"/>
        <w:rPr>
          <w:sz w:val="22"/>
          <w:szCs w:val="22"/>
        </w:rPr>
      </w:pPr>
      <w:r w:rsidRPr="009207D9">
        <w:rPr>
          <w:spacing w:val="-2"/>
          <w:sz w:val="22"/>
          <w:szCs w:val="22"/>
        </w:rPr>
        <w:t>On July 19, 2013</w:t>
      </w:r>
      <w:r w:rsidR="005C0962">
        <w:rPr>
          <w:spacing w:val="-2"/>
          <w:sz w:val="22"/>
          <w:szCs w:val="22"/>
        </w:rPr>
        <w:t>,</w:t>
      </w:r>
      <w:r w:rsidR="009D4094">
        <w:rPr>
          <w:spacing w:val="-2"/>
          <w:sz w:val="22"/>
          <w:szCs w:val="22"/>
        </w:rPr>
        <w:t xml:space="preserve"> </w:t>
      </w:r>
      <w:r w:rsidR="001A3378" w:rsidRPr="009207D9">
        <w:rPr>
          <w:spacing w:val="-2"/>
          <w:sz w:val="22"/>
          <w:szCs w:val="22"/>
        </w:rPr>
        <w:t xml:space="preserve">an agent of the </w:t>
      </w:r>
      <w:r w:rsidR="00613F7C" w:rsidRPr="009207D9">
        <w:rPr>
          <w:spacing w:val="-2"/>
          <w:sz w:val="22"/>
          <w:szCs w:val="22"/>
        </w:rPr>
        <w:t>Enforcement Bureau’s P</w:t>
      </w:r>
      <w:r w:rsidRPr="009207D9">
        <w:rPr>
          <w:spacing w:val="-2"/>
          <w:sz w:val="22"/>
          <w:szCs w:val="22"/>
        </w:rPr>
        <w:t>hiladelphia Office</w:t>
      </w:r>
      <w:r w:rsidRPr="009207D9">
        <w:rPr>
          <w:sz w:val="22"/>
          <w:szCs w:val="22"/>
        </w:rPr>
        <w:t xml:space="preserve"> </w:t>
      </w:r>
      <w:r w:rsidR="00613F7C" w:rsidRPr="009207D9">
        <w:rPr>
          <w:sz w:val="22"/>
          <w:szCs w:val="22"/>
        </w:rPr>
        <w:t>(Philadelphia Office)</w:t>
      </w:r>
      <w:r w:rsidRPr="009207D9">
        <w:rPr>
          <w:sz w:val="22"/>
          <w:szCs w:val="22"/>
        </w:rPr>
        <w:t xml:space="preserve"> </w:t>
      </w:r>
      <w:r w:rsidR="005C0962">
        <w:rPr>
          <w:sz w:val="22"/>
          <w:szCs w:val="22"/>
        </w:rPr>
        <w:t xml:space="preserve">was returning from another investigation and </w:t>
      </w:r>
      <w:r w:rsidR="00AF45BF">
        <w:rPr>
          <w:sz w:val="22"/>
          <w:szCs w:val="22"/>
        </w:rPr>
        <w:t>pas</w:t>
      </w:r>
      <w:r w:rsidR="008376EC">
        <w:rPr>
          <w:sz w:val="22"/>
          <w:szCs w:val="22"/>
        </w:rPr>
        <w:t>s</w:t>
      </w:r>
      <w:r w:rsidR="005C0962">
        <w:rPr>
          <w:sz w:val="22"/>
          <w:szCs w:val="22"/>
        </w:rPr>
        <w:t xml:space="preserve">ed </w:t>
      </w:r>
      <w:r w:rsidR="00AF45BF">
        <w:rPr>
          <w:sz w:val="22"/>
          <w:szCs w:val="22"/>
        </w:rPr>
        <w:t>the</w:t>
      </w:r>
      <w:r w:rsidRPr="009207D9">
        <w:rPr>
          <w:sz w:val="22"/>
          <w:szCs w:val="22"/>
        </w:rPr>
        <w:t xml:space="preserve"> </w:t>
      </w:r>
      <w:r w:rsidR="00AF45BF">
        <w:rPr>
          <w:sz w:val="22"/>
          <w:szCs w:val="22"/>
        </w:rPr>
        <w:t>A</w:t>
      </w:r>
      <w:r w:rsidRPr="009207D9">
        <w:rPr>
          <w:sz w:val="22"/>
          <w:szCs w:val="22"/>
        </w:rPr>
        <w:t xml:space="preserve">ntenna </w:t>
      </w:r>
      <w:r w:rsidR="00AF45BF">
        <w:rPr>
          <w:sz w:val="22"/>
          <w:szCs w:val="22"/>
        </w:rPr>
        <w:t>S</w:t>
      </w:r>
      <w:r w:rsidRPr="009207D9">
        <w:rPr>
          <w:sz w:val="22"/>
          <w:szCs w:val="22"/>
        </w:rPr>
        <w:t xml:space="preserve">tructure </w:t>
      </w:r>
      <w:r w:rsidR="008376EC">
        <w:rPr>
          <w:sz w:val="22"/>
          <w:szCs w:val="22"/>
        </w:rPr>
        <w:t>in Hightstown, New Jersey</w:t>
      </w:r>
      <w:r w:rsidR="00AF45BF">
        <w:rPr>
          <w:sz w:val="22"/>
          <w:szCs w:val="22"/>
        </w:rPr>
        <w:t>, which</w:t>
      </w:r>
      <w:r w:rsidR="005C0962">
        <w:rPr>
          <w:sz w:val="22"/>
          <w:szCs w:val="22"/>
        </w:rPr>
        <w:t xml:space="preserve"> </w:t>
      </w:r>
      <w:r w:rsidR="009D4094">
        <w:rPr>
          <w:sz w:val="22"/>
          <w:szCs w:val="22"/>
        </w:rPr>
        <w:t xml:space="preserve">did not </w:t>
      </w:r>
      <w:r w:rsidR="005C0962">
        <w:rPr>
          <w:sz w:val="22"/>
          <w:szCs w:val="22"/>
        </w:rPr>
        <w:t>appear</w:t>
      </w:r>
      <w:r w:rsidR="009D4094">
        <w:rPr>
          <w:sz w:val="22"/>
          <w:szCs w:val="22"/>
        </w:rPr>
        <w:t xml:space="preserve"> to</w:t>
      </w:r>
      <w:r w:rsidR="005C0962">
        <w:rPr>
          <w:sz w:val="22"/>
          <w:szCs w:val="22"/>
        </w:rPr>
        <w:t xml:space="preserve"> be painted or lit</w:t>
      </w:r>
      <w:r w:rsidR="005B39AC">
        <w:rPr>
          <w:sz w:val="22"/>
          <w:szCs w:val="22"/>
        </w:rPr>
        <w:t xml:space="preserve"> as required</w:t>
      </w:r>
      <w:r w:rsidR="005C0962">
        <w:rPr>
          <w:sz w:val="22"/>
          <w:szCs w:val="22"/>
        </w:rPr>
        <w:t xml:space="preserve">. </w:t>
      </w:r>
      <w:r w:rsidR="009D4094">
        <w:rPr>
          <w:sz w:val="22"/>
          <w:szCs w:val="22"/>
        </w:rPr>
        <w:t xml:space="preserve"> </w:t>
      </w:r>
      <w:r w:rsidR="00AF45BF">
        <w:rPr>
          <w:sz w:val="22"/>
          <w:szCs w:val="22"/>
        </w:rPr>
        <w:t>At the time, t</w:t>
      </w:r>
      <w:r w:rsidR="005C0962">
        <w:rPr>
          <w:sz w:val="22"/>
          <w:szCs w:val="22"/>
        </w:rPr>
        <w:t>he agent</w:t>
      </w:r>
      <w:r w:rsidR="00AF45BF">
        <w:rPr>
          <w:sz w:val="22"/>
          <w:szCs w:val="22"/>
        </w:rPr>
        <w:t xml:space="preserve"> was not able to conduct an on-scene inspection</w:t>
      </w:r>
      <w:r w:rsidR="005C0962">
        <w:rPr>
          <w:sz w:val="22"/>
          <w:szCs w:val="22"/>
        </w:rPr>
        <w:t>, but returned with another agent o</w:t>
      </w:r>
      <w:r w:rsidR="001A3378" w:rsidRPr="009207D9">
        <w:rPr>
          <w:sz w:val="22"/>
          <w:szCs w:val="22"/>
        </w:rPr>
        <w:t xml:space="preserve">n </w:t>
      </w:r>
      <w:r w:rsidR="009D4094">
        <w:rPr>
          <w:sz w:val="22"/>
          <w:szCs w:val="22"/>
        </w:rPr>
        <w:t>July 22, 2013</w:t>
      </w:r>
      <w:r w:rsidRPr="009207D9">
        <w:rPr>
          <w:sz w:val="22"/>
          <w:szCs w:val="22"/>
        </w:rPr>
        <w:t>.</w:t>
      </w:r>
      <w:r w:rsidR="005C0962">
        <w:rPr>
          <w:sz w:val="22"/>
          <w:szCs w:val="22"/>
        </w:rPr>
        <w:t xml:space="preserve">  </w:t>
      </w:r>
      <w:r w:rsidR="00AF45BF">
        <w:rPr>
          <w:sz w:val="22"/>
          <w:szCs w:val="22"/>
        </w:rPr>
        <w:t xml:space="preserve">According to </w:t>
      </w:r>
      <w:r w:rsidR="001A3378" w:rsidRPr="009207D9">
        <w:rPr>
          <w:sz w:val="22"/>
          <w:szCs w:val="22"/>
        </w:rPr>
        <w:t xml:space="preserve">the </w:t>
      </w:r>
      <w:r w:rsidR="009D4094">
        <w:rPr>
          <w:sz w:val="22"/>
          <w:szCs w:val="22"/>
        </w:rPr>
        <w:t xml:space="preserve">Commission’s </w:t>
      </w:r>
      <w:r w:rsidR="00AF45BF">
        <w:rPr>
          <w:sz w:val="22"/>
          <w:szCs w:val="22"/>
        </w:rPr>
        <w:t>A</w:t>
      </w:r>
      <w:r w:rsidR="001A3378" w:rsidRPr="009207D9">
        <w:rPr>
          <w:sz w:val="22"/>
          <w:szCs w:val="22"/>
        </w:rPr>
        <w:t xml:space="preserve">ntenna </w:t>
      </w:r>
      <w:r w:rsidR="00AF45BF">
        <w:rPr>
          <w:sz w:val="22"/>
          <w:szCs w:val="22"/>
        </w:rPr>
        <w:t>S</w:t>
      </w:r>
      <w:r w:rsidR="001A3378" w:rsidRPr="009207D9">
        <w:rPr>
          <w:sz w:val="22"/>
          <w:szCs w:val="22"/>
        </w:rPr>
        <w:t>tructure</w:t>
      </w:r>
      <w:r w:rsidR="00AF45BF">
        <w:rPr>
          <w:sz w:val="22"/>
          <w:szCs w:val="22"/>
        </w:rPr>
        <w:t xml:space="preserve"> Registration (ASR) database, the Antenna Structure </w:t>
      </w:r>
      <w:r w:rsidR="00AF45BF">
        <w:rPr>
          <w:spacing w:val="-2"/>
          <w:sz w:val="22"/>
          <w:szCs w:val="22"/>
        </w:rPr>
        <w:t>s</w:t>
      </w:r>
      <w:r w:rsidR="008376EC">
        <w:rPr>
          <w:spacing w:val="-2"/>
          <w:sz w:val="22"/>
          <w:szCs w:val="22"/>
        </w:rPr>
        <w:t xml:space="preserve">hould </w:t>
      </w:r>
      <w:r w:rsidR="00C14521" w:rsidRPr="009207D9">
        <w:rPr>
          <w:spacing w:val="-2"/>
          <w:sz w:val="22"/>
          <w:szCs w:val="22"/>
        </w:rPr>
        <w:t xml:space="preserve">stand 78.3 meters in height above ground level and </w:t>
      </w:r>
      <w:r w:rsidR="00AF45BF">
        <w:rPr>
          <w:spacing w:val="-2"/>
          <w:sz w:val="22"/>
          <w:szCs w:val="22"/>
        </w:rPr>
        <w:t>should have p</w:t>
      </w:r>
      <w:r w:rsidR="00C14521" w:rsidRPr="009207D9">
        <w:rPr>
          <w:spacing w:val="-2"/>
          <w:sz w:val="22"/>
          <w:szCs w:val="22"/>
        </w:rPr>
        <w:t>aint</w:t>
      </w:r>
      <w:r w:rsidR="00AF45BF">
        <w:rPr>
          <w:spacing w:val="-2"/>
          <w:sz w:val="22"/>
          <w:szCs w:val="22"/>
        </w:rPr>
        <w:t xml:space="preserve"> for daytime visibility </w:t>
      </w:r>
      <w:r w:rsidR="00C14521" w:rsidRPr="009207D9">
        <w:rPr>
          <w:spacing w:val="-2"/>
          <w:sz w:val="22"/>
          <w:szCs w:val="22"/>
        </w:rPr>
        <w:t xml:space="preserve">and red obstruction lighting </w:t>
      </w:r>
      <w:r w:rsidR="00AF45BF">
        <w:rPr>
          <w:spacing w:val="-2"/>
          <w:sz w:val="22"/>
          <w:szCs w:val="22"/>
        </w:rPr>
        <w:t xml:space="preserve">for </w:t>
      </w:r>
      <w:r w:rsidR="00C14521" w:rsidRPr="009207D9">
        <w:rPr>
          <w:spacing w:val="-2"/>
          <w:sz w:val="22"/>
          <w:szCs w:val="22"/>
        </w:rPr>
        <w:t>nighttime</w:t>
      </w:r>
      <w:r w:rsidR="00AF45BF">
        <w:rPr>
          <w:spacing w:val="-2"/>
          <w:sz w:val="22"/>
          <w:szCs w:val="22"/>
        </w:rPr>
        <w:t xml:space="preserve"> visibility</w:t>
      </w:r>
      <w:r w:rsidR="00C14521" w:rsidRPr="009207D9">
        <w:rPr>
          <w:spacing w:val="-2"/>
          <w:sz w:val="22"/>
          <w:szCs w:val="22"/>
        </w:rPr>
        <w:t>.</w:t>
      </w:r>
      <w:r w:rsidR="00C14521" w:rsidRPr="009207D9">
        <w:rPr>
          <w:rStyle w:val="FootnoteReference"/>
          <w:spacing w:val="-2"/>
          <w:sz w:val="22"/>
          <w:szCs w:val="22"/>
        </w:rPr>
        <w:footnoteReference w:id="4"/>
      </w:r>
      <w:r w:rsidR="00C14521" w:rsidRPr="009207D9">
        <w:rPr>
          <w:spacing w:val="-2"/>
          <w:sz w:val="22"/>
          <w:szCs w:val="22"/>
        </w:rPr>
        <w:t xml:space="preserve">  </w:t>
      </w:r>
    </w:p>
    <w:p w:rsidR="006D037B" w:rsidRDefault="009D4094" w:rsidP="00A14C0F">
      <w:pPr>
        <w:widowControl/>
        <w:numPr>
          <w:ilvl w:val="0"/>
          <w:numId w:val="22"/>
        </w:numPr>
        <w:tabs>
          <w:tab w:val="clear" w:pos="1260"/>
          <w:tab w:val="left" w:pos="0"/>
          <w:tab w:val="num" w:pos="1440"/>
        </w:tabs>
        <w:suppressAutoHyphens/>
        <w:spacing w:after="120"/>
        <w:ind w:left="0"/>
        <w:rPr>
          <w:sz w:val="22"/>
          <w:szCs w:val="22"/>
        </w:rPr>
      </w:pPr>
      <w:r>
        <w:rPr>
          <w:sz w:val="22"/>
          <w:szCs w:val="22"/>
        </w:rPr>
        <w:lastRenderedPageBreak/>
        <w:t>During the July 22</w:t>
      </w:r>
      <w:r w:rsidR="00324CF6" w:rsidRPr="009207D9">
        <w:rPr>
          <w:sz w:val="22"/>
          <w:szCs w:val="22"/>
        </w:rPr>
        <w:t xml:space="preserve"> inspection, </w:t>
      </w:r>
      <w:r w:rsidR="00C14521" w:rsidRPr="009207D9">
        <w:rPr>
          <w:sz w:val="22"/>
          <w:szCs w:val="22"/>
        </w:rPr>
        <w:t>t</w:t>
      </w:r>
      <w:r w:rsidR="00C14521" w:rsidRPr="009207D9">
        <w:rPr>
          <w:spacing w:val="-2"/>
          <w:sz w:val="22"/>
          <w:szCs w:val="22"/>
        </w:rPr>
        <w:t xml:space="preserve">he agents </w:t>
      </w:r>
      <w:r w:rsidR="00324CF6" w:rsidRPr="009207D9">
        <w:rPr>
          <w:sz w:val="22"/>
          <w:szCs w:val="22"/>
        </w:rPr>
        <w:t xml:space="preserve">observed that the Antenna Structure did not conform to the painting and lighting requirements specified on the ASR.  </w:t>
      </w:r>
      <w:r w:rsidR="00B70C8B">
        <w:rPr>
          <w:sz w:val="22"/>
          <w:szCs w:val="22"/>
        </w:rPr>
        <w:t xml:space="preserve">The Antenna Structure had the </w:t>
      </w:r>
      <w:r w:rsidR="009857C3">
        <w:rPr>
          <w:sz w:val="22"/>
          <w:szCs w:val="22"/>
        </w:rPr>
        <w:t xml:space="preserve">required </w:t>
      </w:r>
      <w:r w:rsidR="00B70C8B">
        <w:rPr>
          <w:sz w:val="22"/>
          <w:szCs w:val="22"/>
        </w:rPr>
        <w:t>red obstruction lighting, but i</w:t>
      </w:r>
      <w:r w:rsidR="00324CF6" w:rsidRPr="009207D9">
        <w:rPr>
          <w:sz w:val="22"/>
          <w:szCs w:val="22"/>
        </w:rPr>
        <w:t xml:space="preserve">n lieu of </w:t>
      </w:r>
      <w:r w:rsidR="00DD6ECB">
        <w:rPr>
          <w:sz w:val="22"/>
          <w:szCs w:val="22"/>
        </w:rPr>
        <w:t xml:space="preserve">the required </w:t>
      </w:r>
      <w:r w:rsidR="00B70C8B">
        <w:rPr>
          <w:sz w:val="22"/>
          <w:szCs w:val="22"/>
        </w:rPr>
        <w:t xml:space="preserve">paint, </w:t>
      </w:r>
      <w:r w:rsidR="00DD6ECB">
        <w:rPr>
          <w:sz w:val="22"/>
          <w:szCs w:val="22"/>
        </w:rPr>
        <w:t xml:space="preserve">it </w:t>
      </w:r>
      <w:r w:rsidR="00B70C8B">
        <w:rPr>
          <w:sz w:val="22"/>
          <w:szCs w:val="22"/>
        </w:rPr>
        <w:t>had white medium intensity lighting.</w:t>
      </w:r>
      <w:r w:rsidR="00324CF6" w:rsidRPr="009207D9">
        <w:rPr>
          <w:sz w:val="22"/>
          <w:szCs w:val="22"/>
        </w:rPr>
        <w:t xml:space="preserve">  The agents</w:t>
      </w:r>
      <w:r w:rsidR="00DD6ECB">
        <w:rPr>
          <w:sz w:val="22"/>
          <w:szCs w:val="22"/>
        </w:rPr>
        <w:t xml:space="preserve"> also</w:t>
      </w:r>
      <w:r w:rsidR="00324CF6" w:rsidRPr="009207D9">
        <w:rPr>
          <w:sz w:val="22"/>
          <w:szCs w:val="22"/>
        </w:rPr>
        <w:t xml:space="preserve"> </w:t>
      </w:r>
      <w:r w:rsidR="00F53E3E">
        <w:rPr>
          <w:sz w:val="22"/>
          <w:szCs w:val="22"/>
        </w:rPr>
        <w:t>o</w:t>
      </w:r>
      <w:r w:rsidR="002D7103" w:rsidRPr="009207D9">
        <w:rPr>
          <w:sz w:val="22"/>
          <w:szCs w:val="22"/>
        </w:rPr>
        <w:t xml:space="preserve">bserved that one of the two white </w:t>
      </w:r>
      <w:r w:rsidR="009702B0">
        <w:rPr>
          <w:sz w:val="22"/>
          <w:szCs w:val="22"/>
        </w:rPr>
        <w:t xml:space="preserve">medium intensity </w:t>
      </w:r>
      <w:r w:rsidR="002D7103" w:rsidRPr="009207D9">
        <w:rPr>
          <w:sz w:val="22"/>
          <w:szCs w:val="22"/>
        </w:rPr>
        <w:t xml:space="preserve">lights at the mid-level </w:t>
      </w:r>
      <w:r w:rsidR="006A1345" w:rsidRPr="009207D9">
        <w:rPr>
          <w:sz w:val="22"/>
          <w:szCs w:val="22"/>
        </w:rPr>
        <w:t xml:space="preserve">of the Antenna Structure </w:t>
      </w:r>
      <w:r w:rsidR="002D7103" w:rsidRPr="009207D9">
        <w:rPr>
          <w:sz w:val="22"/>
          <w:szCs w:val="22"/>
        </w:rPr>
        <w:t xml:space="preserve">and all white </w:t>
      </w:r>
      <w:r w:rsidR="009702B0">
        <w:rPr>
          <w:sz w:val="22"/>
          <w:szCs w:val="22"/>
        </w:rPr>
        <w:t xml:space="preserve">medium intensity </w:t>
      </w:r>
      <w:r w:rsidR="002D7103" w:rsidRPr="009207D9">
        <w:rPr>
          <w:sz w:val="22"/>
          <w:szCs w:val="22"/>
        </w:rPr>
        <w:t xml:space="preserve">lights at the top-level </w:t>
      </w:r>
      <w:r w:rsidR="006A1345" w:rsidRPr="009207D9">
        <w:rPr>
          <w:sz w:val="22"/>
          <w:szCs w:val="22"/>
        </w:rPr>
        <w:t xml:space="preserve">of the Antenna Structure </w:t>
      </w:r>
      <w:r w:rsidR="002D7103" w:rsidRPr="009207D9">
        <w:rPr>
          <w:sz w:val="22"/>
          <w:szCs w:val="22"/>
        </w:rPr>
        <w:t xml:space="preserve">were extinguished.  </w:t>
      </w:r>
      <w:r w:rsidR="00C14521" w:rsidRPr="009207D9">
        <w:rPr>
          <w:sz w:val="22"/>
          <w:szCs w:val="22"/>
        </w:rPr>
        <w:t xml:space="preserve">The agents contacted the </w:t>
      </w:r>
      <w:r w:rsidR="00AA33AF">
        <w:rPr>
          <w:sz w:val="22"/>
          <w:szCs w:val="22"/>
        </w:rPr>
        <w:t xml:space="preserve">FAA </w:t>
      </w:r>
      <w:r w:rsidR="00C14521" w:rsidRPr="009207D9">
        <w:rPr>
          <w:sz w:val="22"/>
          <w:szCs w:val="22"/>
        </w:rPr>
        <w:t>and learned that no Notice to Airmen (NOTAM) had been issued for the Antenna Structure</w:t>
      </w:r>
      <w:r w:rsidR="00DD6ECB">
        <w:rPr>
          <w:sz w:val="22"/>
          <w:szCs w:val="22"/>
        </w:rPr>
        <w:t xml:space="preserve">, which would </w:t>
      </w:r>
      <w:r w:rsidR="005B39AC">
        <w:rPr>
          <w:sz w:val="22"/>
          <w:szCs w:val="22"/>
        </w:rPr>
        <w:t xml:space="preserve">have </w:t>
      </w:r>
      <w:r w:rsidR="00DD6ECB">
        <w:rPr>
          <w:sz w:val="22"/>
          <w:szCs w:val="22"/>
        </w:rPr>
        <w:t>warn</w:t>
      </w:r>
      <w:r w:rsidR="005B39AC">
        <w:rPr>
          <w:sz w:val="22"/>
          <w:szCs w:val="22"/>
        </w:rPr>
        <w:t>ed</w:t>
      </w:r>
      <w:r w:rsidR="00DD6ECB">
        <w:rPr>
          <w:sz w:val="22"/>
          <w:szCs w:val="22"/>
        </w:rPr>
        <w:t xml:space="preserve"> pilots of the</w:t>
      </w:r>
      <w:r w:rsidR="00C62CF3">
        <w:rPr>
          <w:sz w:val="22"/>
          <w:szCs w:val="22"/>
        </w:rPr>
        <w:t xml:space="preserve"> hazards posed by the</w:t>
      </w:r>
      <w:r w:rsidR="00DD6ECB">
        <w:rPr>
          <w:sz w:val="22"/>
          <w:szCs w:val="22"/>
        </w:rPr>
        <w:t xml:space="preserve"> lighting outage</w:t>
      </w:r>
      <w:r w:rsidR="00C14521" w:rsidRPr="009207D9">
        <w:rPr>
          <w:sz w:val="22"/>
          <w:szCs w:val="22"/>
        </w:rPr>
        <w:t xml:space="preserve">. </w:t>
      </w:r>
      <w:r w:rsidR="008376EC">
        <w:rPr>
          <w:sz w:val="22"/>
          <w:szCs w:val="22"/>
        </w:rPr>
        <w:t xml:space="preserve"> </w:t>
      </w:r>
      <w:r w:rsidR="005B39AC">
        <w:rPr>
          <w:sz w:val="22"/>
          <w:szCs w:val="22"/>
        </w:rPr>
        <w:t>In addition, b</w:t>
      </w:r>
      <w:r w:rsidR="008376EC">
        <w:rPr>
          <w:sz w:val="22"/>
          <w:szCs w:val="22"/>
        </w:rPr>
        <w:t xml:space="preserve">ased on information from a contractor who was working on the Antenna Structure, the </w:t>
      </w:r>
      <w:r w:rsidR="00C14521" w:rsidRPr="009207D9">
        <w:rPr>
          <w:sz w:val="22"/>
          <w:szCs w:val="22"/>
        </w:rPr>
        <w:t xml:space="preserve">agents </w:t>
      </w:r>
      <w:r w:rsidR="008376EC">
        <w:rPr>
          <w:sz w:val="22"/>
          <w:szCs w:val="22"/>
        </w:rPr>
        <w:t xml:space="preserve">determined that the Antenna Structure significantly </w:t>
      </w:r>
      <w:r w:rsidR="00C14521" w:rsidRPr="009207D9">
        <w:rPr>
          <w:sz w:val="22"/>
          <w:szCs w:val="22"/>
        </w:rPr>
        <w:t>exceeded the 78.3 meters specified on the ASR.</w:t>
      </w:r>
      <w:r w:rsidR="008376EC">
        <w:rPr>
          <w:rStyle w:val="FootnoteReference"/>
          <w:sz w:val="22"/>
          <w:szCs w:val="22"/>
        </w:rPr>
        <w:footnoteReference w:id="5"/>
      </w:r>
    </w:p>
    <w:p w:rsidR="00AA33AF" w:rsidRPr="00AA33AF" w:rsidRDefault="00DD6ECB" w:rsidP="00A14C0F">
      <w:pPr>
        <w:widowControl/>
        <w:numPr>
          <w:ilvl w:val="0"/>
          <w:numId w:val="22"/>
        </w:numPr>
        <w:tabs>
          <w:tab w:val="clear" w:pos="1260"/>
          <w:tab w:val="left" w:pos="0"/>
          <w:tab w:val="num" w:pos="1440"/>
        </w:tabs>
        <w:suppressAutoHyphens/>
        <w:spacing w:after="120"/>
        <w:ind w:left="0" w:right="720"/>
        <w:rPr>
          <w:sz w:val="22"/>
          <w:szCs w:val="22"/>
        </w:rPr>
      </w:pPr>
      <w:r>
        <w:rPr>
          <w:sz w:val="22"/>
          <w:szCs w:val="22"/>
        </w:rPr>
        <w:t xml:space="preserve">The agents checked </w:t>
      </w:r>
      <w:r w:rsidR="00AA33AF" w:rsidRPr="00AA33AF">
        <w:rPr>
          <w:sz w:val="22"/>
          <w:szCs w:val="22"/>
        </w:rPr>
        <w:t xml:space="preserve">FAA records and found that </w:t>
      </w:r>
      <w:r w:rsidR="00AA33AF">
        <w:rPr>
          <w:sz w:val="22"/>
          <w:szCs w:val="22"/>
        </w:rPr>
        <w:t xml:space="preserve">NE Passage </w:t>
      </w:r>
      <w:r w:rsidR="00AA33AF" w:rsidRPr="00AA33AF">
        <w:rPr>
          <w:sz w:val="22"/>
          <w:szCs w:val="22"/>
        </w:rPr>
        <w:t>file</w:t>
      </w:r>
      <w:r w:rsidR="00AA33AF">
        <w:rPr>
          <w:sz w:val="22"/>
          <w:szCs w:val="22"/>
        </w:rPr>
        <w:t xml:space="preserve">d an application with the FAA in 2006 </w:t>
      </w:r>
      <w:r w:rsidR="00AA33AF" w:rsidRPr="00AA33AF">
        <w:rPr>
          <w:sz w:val="22"/>
          <w:szCs w:val="22"/>
        </w:rPr>
        <w:t xml:space="preserve">specifying that the </w:t>
      </w:r>
      <w:r w:rsidR="00AA33AF">
        <w:rPr>
          <w:sz w:val="22"/>
          <w:szCs w:val="22"/>
        </w:rPr>
        <w:t xml:space="preserve">new </w:t>
      </w:r>
      <w:r w:rsidR="00AA33AF" w:rsidRPr="00AA33AF">
        <w:rPr>
          <w:sz w:val="22"/>
          <w:szCs w:val="22"/>
        </w:rPr>
        <w:t>overall height of the Antenna Structure was 382 feet above ground level.  The FAA issued a Determination of No Hazard on April 26, 2006</w:t>
      </w:r>
      <w:r w:rsidR="00AA33AF">
        <w:rPr>
          <w:sz w:val="22"/>
          <w:szCs w:val="22"/>
        </w:rPr>
        <w:t>,</w:t>
      </w:r>
      <w:r w:rsidR="00AA33AF" w:rsidRPr="00AA33AF">
        <w:rPr>
          <w:sz w:val="22"/>
          <w:szCs w:val="22"/>
        </w:rPr>
        <w:t xml:space="preserve"> specifying that the 382 foot structure required a medium intensity dual lighting system in accordance </w:t>
      </w:r>
      <w:r w:rsidR="00F53E3E">
        <w:rPr>
          <w:sz w:val="22"/>
          <w:szCs w:val="22"/>
        </w:rPr>
        <w:t xml:space="preserve">with </w:t>
      </w:r>
      <w:r w:rsidR="00AA33AF" w:rsidRPr="00AA33AF">
        <w:rPr>
          <w:sz w:val="22"/>
          <w:szCs w:val="22"/>
        </w:rPr>
        <w:t>Chapters 4, 8 and 12 of FAA Advisory Circular 70/7460-1K.</w:t>
      </w:r>
      <w:r w:rsidR="00AA33AF">
        <w:rPr>
          <w:rStyle w:val="FootnoteReference"/>
          <w:sz w:val="22"/>
          <w:szCs w:val="22"/>
        </w:rPr>
        <w:footnoteReference w:id="6"/>
      </w:r>
      <w:r w:rsidR="00AA33AF">
        <w:rPr>
          <w:sz w:val="22"/>
          <w:szCs w:val="22"/>
        </w:rPr>
        <w:t xml:space="preserve">  NE Passage,</w:t>
      </w:r>
      <w:r>
        <w:rPr>
          <w:sz w:val="22"/>
          <w:szCs w:val="22"/>
        </w:rPr>
        <w:t xml:space="preserve"> however, did not notify the Commission</w:t>
      </w:r>
      <w:r w:rsidR="00AA33AF">
        <w:rPr>
          <w:sz w:val="22"/>
          <w:szCs w:val="22"/>
        </w:rPr>
        <w:t xml:space="preserve"> of the new Antenna Structure height and the associated change in the lighting specifications.</w:t>
      </w:r>
    </w:p>
    <w:p w:rsidR="00382261" w:rsidRPr="009207D9" w:rsidRDefault="004A0D07" w:rsidP="00A14C0F">
      <w:pPr>
        <w:widowControl/>
        <w:numPr>
          <w:ilvl w:val="0"/>
          <w:numId w:val="22"/>
        </w:numPr>
        <w:tabs>
          <w:tab w:val="clear" w:pos="1260"/>
          <w:tab w:val="left" w:pos="0"/>
          <w:tab w:val="num" w:pos="1440"/>
        </w:tabs>
        <w:suppressAutoHyphens/>
        <w:spacing w:after="120"/>
        <w:ind w:left="0"/>
        <w:rPr>
          <w:b/>
          <w:spacing w:val="-2"/>
          <w:sz w:val="22"/>
          <w:szCs w:val="22"/>
        </w:rPr>
      </w:pPr>
      <w:r>
        <w:rPr>
          <w:sz w:val="22"/>
          <w:szCs w:val="22"/>
        </w:rPr>
        <w:t xml:space="preserve">The agent spoke by telephone with the </w:t>
      </w:r>
      <w:r w:rsidRPr="009207D9">
        <w:rPr>
          <w:sz w:val="22"/>
          <w:szCs w:val="22"/>
        </w:rPr>
        <w:t xml:space="preserve">President of NE Passage </w:t>
      </w:r>
      <w:r>
        <w:rPr>
          <w:sz w:val="22"/>
          <w:szCs w:val="22"/>
        </w:rPr>
        <w:t xml:space="preserve">(President) </w:t>
      </w:r>
      <w:r w:rsidR="006A1345" w:rsidRPr="009207D9">
        <w:rPr>
          <w:sz w:val="22"/>
          <w:szCs w:val="22"/>
        </w:rPr>
        <w:t>on July 22</w:t>
      </w:r>
      <w:r>
        <w:rPr>
          <w:sz w:val="22"/>
          <w:szCs w:val="22"/>
        </w:rPr>
        <w:t xml:space="preserve"> and 25, </w:t>
      </w:r>
      <w:r w:rsidR="006A1345" w:rsidRPr="009207D9">
        <w:rPr>
          <w:sz w:val="22"/>
          <w:szCs w:val="22"/>
        </w:rPr>
        <w:t>2013</w:t>
      </w:r>
      <w:r>
        <w:rPr>
          <w:sz w:val="22"/>
          <w:szCs w:val="22"/>
        </w:rPr>
        <w:t>,</w:t>
      </w:r>
      <w:r w:rsidR="00AC2869">
        <w:rPr>
          <w:sz w:val="22"/>
          <w:szCs w:val="22"/>
        </w:rPr>
        <w:t xml:space="preserve"> and </w:t>
      </w:r>
      <w:r w:rsidR="00F05F84" w:rsidRPr="009207D9">
        <w:rPr>
          <w:sz w:val="22"/>
          <w:szCs w:val="22"/>
        </w:rPr>
        <w:t>August 5, 2013</w:t>
      </w:r>
      <w:r>
        <w:rPr>
          <w:sz w:val="22"/>
          <w:szCs w:val="22"/>
        </w:rPr>
        <w:t xml:space="preserve">. </w:t>
      </w:r>
      <w:r w:rsidR="00DD6ECB">
        <w:rPr>
          <w:sz w:val="22"/>
          <w:szCs w:val="22"/>
        </w:rPr>
        <w:t xml:space="preserve"> </w:t>
      </w:r>
      <w:r>
        <w:rPr>
          <w:sz w:val="22"/>
          <w:szCs w:val="22"/>
        </w:rPr>
        <w:t>During the course of those conversations, t</w:t>
      </w:r>
      <w:r w:rsidR="00495486" w:rsidRPr="009207D9">
        <w:rPr>
          <w:sz w:val="22"/>
          <w:szCs w:val="22"/>
        </w:rPr>
        <w:t xml:space="preserve">he </w:t>
      </w:r>
      <w:r>
        <w:rPr>
          <w:sz w:val="22"/>
          <w:szCs w:val="22"/>
        </w:rPr>
        <w:t xml:space="preserve">President </w:t>
      </w:r>
      <w:r w:rsidR="006A1345" w:rsidRPr="009207D9">
        <w:rPr>
          <w:sz w:val="22"/>
          <w:szCs w:val="22"/>
        </w:rPr>
        <w:t xml:space="preserve">informed the agent that he was aware of the </w:t>
      </w:r>
      <w:r w:rsidR="00B70C8B">
        <w:rPr>
          <w:sz w:val="22"/>
          <w:szCs w:val="22"/>
        </w:rPr>
        <w:t xml:space="preserve">light </w:t>
      </w:r>
      <w:r w:rsidR="006A1345" w:rsidRPr="009207D9">
        <w:rPr>
          <w:sz w:val="22"/>
          <w:szCs w:val="22"/>
        </w:rPr>
        <w:t>outage at the mid-level of the Antenna Structure</w:t>
      </w:r>
      <w:r w:rsidR="00B70C8B">
        <w:rPr>
          <w:sz w:val="22"/>
          <w:szCs w:val="22"/>
        </w:rPr>
        <w:t>,</w:t>
      </w:r>
      <w:r w:rsidR="006A1345" w:rsidRPr="009207D9">
        <w:rPr>
          <w:sz w:val="22"/>
          <w:szCs w:val="22"/>
        </w:rPr>
        <w:t xml:space="preserve"> but he was not aware of the </w:t>
      </w:r>
      <w:r w:rsidR="00B70C8B">
        <w:rPr>
          <w:sz w:val="22"/>
          <w:szCs w:val="22"/>
        </w:rPr>
        <w:t xml:space="preserve">light </w:t>
      </w:r>
      <w:r w:rsidR="006A1345" w:rsidRPr="009207D9">
        <w:rPr>
          <w:sz w:val="22"/>
          <w:szCs w:val="22"/>
        </w:rPr>
        <w:t xml:space="preserve">outage </w:t>
      </w:r>
      <w:r w:rsidR="00B70C8B">
        <w:rPr>
          <w:sz w:val="22"/>
          <w:szCs w:val="22"/>
        </w:rPr>
        <w:t xml:space="preserve">at </w:t>
      </w:r>
      <w:r w:rsidR="006A1345" w:rsidRPr="009207D9">
        <w:rPr>
          <w:sz w:val="22"/>
          <w:szCs w:val="22"/>
        </w:rPr>
        <w:t>the top-level</w:t>
      </w:r>
      <w:r w:rsidR="00B313E8">
        <w:rPr>
          <w:sz w:val="22"/>
          <w:szCs w:val="22"/>
        </w:rPr>
        <w:t xml:space="preserve">. </w:t>
      </w:r>
      <w:r w:rsidR="00DD6ECB">
        <w:rPr>
          <w:sz w:val="22"/>
          <w:szCs w:val="22"/>
        </w:rPr>
        <w:t xml:space="preserve"> </w:t>
      </w:r>
      <w:r w:rsidR="00B313E8">
        <w:rPr>
          <w:sz w:val="22"/>
          <w:szCs w:val="22"/>
        </w:rPr>
        <w:t xml:space="preserve">He claimed that the contractors who were working on the Antenna Structure were going to fix the lights, a claim that the contractors </w:t>
      </w:r>
      <w:r>
        <w:rPr>
          <w:sz w:val="22"/>
          <w:szCs w:val="22"/>
        </w:rPr>
        <w:t xml:space="preserve">later </w:t>
      </w:r>
      <w:r w:rsidR="00F53E3E">
        <w:rPr>
          <w:sz w:val="22"/>
          <w:szCs w:val="22"/>
        </w:rPr>
        <w:t>denied</w:t>
      </w:r>
      <w:r>
        <w:rPr>
          <w:sz w:val="22"/>
          <w:szCs w:val="22"/>
        </w:rPr>
        <w:t xml:space="preserve">. </w:t>
      </w:r>
      <w:r w:rsidR="00DD6ECB">
        <w:rPr>
          <w:sz w:val="22"/>
          <w:szCs w:val="22"/>
        </w:rPr>
        <w:t xml:space="preserve"> </w:t>
      </w:r>
      <w:r>
        <w:rPr>
          <w:sz w:val="22"/>
          <w:szCs w:val="22"/>
        </w:rPr>
        <w:t xml:space="preserve">The President also claimed that </w:t>
      </w:r>
      <w:r w:rsidR="00D0773B">
        <w:rPr>
          <w:sz w:val="22"/>
          <w:szCs w:val="22"/>
        </w:rPr>
        <w:t xml:space="preserve">the Antenna Structure lights were being monitored by US Tower Services, which in turn contracted </w:t>
      </w:r>
      <w:r w:rsidR="00AA33AF">
        <w:rPr>
          <w:sz w:val="22"/>
          <w:szCs w:val="22"/>
        </w:rPr>
        <w:t xml:space="preserve">with </w:t>
      </w:r>
      <w:r w:rsidR="00D0773B">
        <w:rPr>
          <w:sz w:val="22"/>
          <w:szCs w:val="22"/>
        </w:rPr>
        <w:t>Nextel</w:t>
      </w:r>
      <w:r w:rsidR="0029079C">
        <w:rPr>
          <w:sz w:val="22"/>
          <w:szCs w:val="22"/>
        </w:rPr>
        <w:t xml:space="preserve"> to monitor the lights</w:t>
      </w:r>
      <w:r w:rsidR="00D0773B">
        <w:rPr>
          <w:sz w:val="22"/>
          <w:szCs w:val="22"/>
        </w:rPr>
        <w:t xml:space="preserve">. </w:t>
      </w:r>
      <w:r w:rsidR="00DD6ECB">
        <w:rPr>
          <w:sz w:val="22"/>
          <w:szCs w:val="22"/>
        </w:rPr>
        <w:t xml:space="preserve"> </w:t>
      </w:r>
      <w:r w:rsidR="00D0773B">
        <w:rPr>
          <w:sz w:val="22"/>
          <w:szCs w:val="22"/>
        </w:rPr>
        <w:t>The agent spoke to representatives from US Tower Services</w:t>
      </w:r>
      <w:r w:rsidR="0029079C">
        <w:rPr>
          <w:sz w:val="22"/>
          <w:szCs w:val="22"/>
        </w:rPr>
        <w:t xml:space="preserve"> and Nextel, both of whom indicated that there was no contract in place with NE Passage to monitor the Antenna Structure lights.</w:t>
      </w:r>
    </w:p>
    <w:p w:rsidR="005F1CF0" w:rsidRPr="009857C3" w:rsidRDefault="005F1CF0" w:rsidP="00A14C0F">
      <w:pPr>
        <w:widowControl/>
        <w:numPr>
          <w:ilvl w:val="0"/>
          <w:numId w:val="22"/>
        </w:numPr>
        <w:tabs>
          <w:tab w:val="clear" w:pos="1260"/>
          <w:tab w:val="left" w:pos="0"/>
          <w:tab w:val="num" w:pos="1440"/>
        </w:tabs>
        <w:suppressAutoHyphens/>
        <w:spacing w:after="120"/>
        <w:ind w:left="0"/>
        <w:rPr>
          <w:b/>
          <w:spacing w:val="-2"/>
          <w:sz w:val="22"/>
          <w:szCs w:val="22"/>
        </w:rPr>
      </w:pPr>
      <w:r w:rsidRPr="009857C3">
        <w:rPr>
          <w:sz w:val="22"/>
          <w:szCs w:val="22"/>
        </w:rPr>
        <w:t xml:space="preserve">On August 7, 2013, the Philadelphia Office issued a Notice of Violation to NE Passage </w:t>
      </w:r>
      <w:r w:rsidR="009857C3" w:rsidRPr="009857C3">
        <w:rPr>
          <w:sz w:val="22"/>
          <w:szCs w:val="22"/>
        </w:rPr>
        <w:t>regarding the violations observed on July 19 and 22, 2013, and confirmed during subsequent conversations with the President.</w:t>
      </w:r>
      <w:r w:rsidR="009857C3">
        <w:rPr>
          <w:rStyle w:val="FootnoteReference"/>
          <w:sz w:val="22"/>
          <w:szCs w:val="22"/>
        </w:rPr>
        <w:footnoteReference w:id="7"/>
      </w:r>
      <w:r w:rsidR="009857C3" w:rsidRPr="009857C3">
        <w:rPr>
          <w:sz w:val="22"/>
          <w:szCs w:val="22"/>
        </w:rPr>
        <w:t xml:space="preserve"> </w:t>
      </w:r>
      <w:r w:rsidR="00DD6ECB">
        <w:rPr>
          <w:sz w:val="22"/>
          <w:szCs w:val="22"/>
        </w:rPr>
        <w:t xml:space="preserve"> </w:t>
      </w:r>
      <w:r w:rsidR="006D037B" w:rsidRPr="009857C3">
        <w:rPr>
          <w:sz w:val="22"/>
          <w:szCs w:val="22"/>
        </w:rPr>
        <w:t xml:space="preserve">By </w:t>
      </w:r>
      <w:r w:rsidRPr="009857C3">
        <w:rPr>
          <w:sz w:val="22"/>
          <w:szCs w:val="22"/>
        </w:rPr>
        <w:t xml:space="preserve">letter dated August 28, 2013, NE Passage </w:t>
      </w:r>
      <w:r w:rsidR="006D037B" w:rsidRPr="009857C3">
        <w:rPr>
          <w:sz w:val="22"/>
          <w:szCs w:val="22"/>
        </w:rPr>
        <w:t>submitted a response to the Notice of Violation</w:t>
      </w:r>
      <w:r w:rsidR="009857C3">
        <w:rPr>
          <w:sz w:val="22"/>
          <w:szCs w:val="22"/>
        </w:rPr>
        <w:t>,</w:t>
      </w:r>
      <w:r w:rsidR="006D037B" w:rsidRPr="009857C3">
        <w:rPr>
          <w:sz w:val="22"/>
          <w:szCs w:val="22"/>
        </w:rPr>
        <w:t xml:space="preserve"> stating </w:t>
      </w:r>
      <w:r w:rsidRPr="009857C3">
        <w:rPr>
          <w:sz w:val="22"/>
          <w:szCs w:val="22"/>
        </w:rPr>
        <w:t xml:space="preserve">that </w:t>
      </w:r>
      <w:r w:rsidR="009857C3" w:rsidRPr="009857C3">
        <w:rPr>
          <w:sz w:val="22"/>
          <w:szCs w:val="22"/>
        </w:rPr>
        <w:t xml:space="preserve">the </w:t>
      </w:r>
      <w:r w:rsidRPr="009857C3">
        <w:rPr>
          <w:sz w:val="22"/>
          <w:szCs w:val="22"/>
        </w:rPr>
        <w:t xml:space="preserve">lights </w:t>
      </w:r>
      <w:r w:rsidR="009857C3" w:rsidRPr="009857C3">
        <w:rPr>
          <w:sz w:val="22"/>
          <w:szCs w:val="22"/>
        </w:rPr>
        <w:t xml:space="preserve">would be repaired </w:t>
      </w:r>
      <w:r w:rsidRPr="009857C3">
        <w:rPr>
          <w:sz w:val="22"/>
          <w:szCs w:val="22"/>
        </w:rPr>
        <w:t>on or about September 6, 2013.</w:t>
      </w:r>
      <w:r w:rsidR="00E15C34">
        <w:rPr>
          <w:rStyle w:val="FootnoteReference"/>
          <w:sz w:val="22"/>
          <w:szCs w:val="22"/>
        </w:rPr>
        <w:footnoteReference w:id="8"/>
      </w:r>
      <w:r w:rsidRPr="009857C3">
        <w:rPr>
          <w:sz w:val="22"/>
          <w:szCs w:val="22"/>
        </w:rPr>
        <w:t xml:space="preserve">  NE Passage </w:t>
      </w:r>
      <w:r w:rsidR="009857C3">
        <w:rPr>
          <w:sz w:val="22"/>
          <w:szCs w:val="22"/>
        </w:rPr>
        <w:t xml:space="preserve">also claimed </w:t>
      </w:r>
      <w:r w:rsidRPr="009857C3">
        <w:rPr>
          <w:sz w:val="22"/>
          <w:szCs w:val="22"/>
        </w:rPr>
        <w:t xml:space="preserve">that </w:t>
      </w:r>
      <w:r w:rsidR="009857C3">
        <w:rPr>
          <w:sz w:val="22"/>
          <w:szCs w:val="22"/>
        </w:rPr>
        <w:t xml:space="preserve">visual monitoring of the lights </w:t>
      </w:r>
      <w:r w:rsidRPr="009857C3">
        <w:rPr>
          <w:sz w:val="22"/>
          <w:szCs w:val="22"/>
        </w:rPr>
        <w:t>had been conduct</w:t>
      </w:r>
      <w:r w:rsidR="009857C3">
        <w:rPr>
          <w:sz w:val="22"/>
          <w:szCs w:val="22"/>
        </w:rPr>
        <w:t xml:space="preserve">ed </w:t>
      </w:r>
      <w:r w:rsidRPr="009857C3">
        <w:rPr>
          <w:sz w:val="22"/>
          <w:szCs w:val="22"/>
        </w:rPr>
        <w:t>periodic</w:t>
      </w:r>
      <w:r w:rsidR="00EB672E">
        <w:rPr>
          <w:sz w:val="22"/>
          <w:szCs w:val="22"/>
        </w:rPr>
        <w:t>ally by a local electrical contractor and by tenants on the Antenna Structure.</w:t>
      </w:r>
      <w:r w:rsidR="00E15C34">
        <w:rPr>
          <w:rStyle w:val="FootnoteReference"/>
          <w:sz w:val="22"/>
          <w:szCs w:val="22"/>
        </w:rPr>
        <w:footnoteReference w:id="9"/>
      </w:r>
      <w:r w:rsidR="00EB672E">
        <w:rPr>
          <w:sz w:val="22"/>
          <w:szCs w:val="22"/>
        </w:rPr>
        <w:t xml:space="preserve"> </w:t>
      </w:r>
      <w:r w:rsidR="00E15C34">
        <w:rPr>
          <w:sz w:val="22"/>
          <w:szCs w:val="22"/>
        </w:rPr>
        <w:t xml:space="preserve"> </w:t>
      </w:r>
      <w:r w:rsidR="00EB672E">
        <w:rPr>
          <w:sz w:val="22"/>
          <w:szCs w:val="22"/>
        </w:rPr>
        <w:t xml:space="preserve">Further, </w:t>
      </w:r>
      <w:r w:rsidRPr="009857C3">
        <w:rPr>
          <w:sz w:val="22"/>
          <w:szCs w:val="22"/>
        </w:rPr>
        <w:t xml:space="preserve">NE Passage </w:t>
      </w:r>
      <w:r w:rsidR="00EB672E">
        <w:rPr>
          <w:sz w:val="22"/>
          <w:szCs w:val="22"/>
        </w:rPr>
        <w:t xml:space="preserve">reported </w:t>
      </w:r>
      <w:r w:rsidRPr="009857C3">
        <w:rPr>
          <w:sz w:val="22"/>
          <w:szCs w:val="22"/>
        </w:rPr>
        <w:t>that it ordered a</w:t>
      </w:r>
      <w:r w:rsidR="00EB672E">
        <w:rPr>
          <w:sz w:val="22"/>
          <w:szCs w:val="22"/>
        </w:rPr>
        <w:t>n automatic</w:t>
      </w:r>
      <w:r w:rsidRPr="009857C3">
        <w:rPr>
          <w:sz w:val="22"/>
          <w:szCs w:val="22"/>
        </w:rPr>
        <w:t xml:space="preserve"> </w:t>
      </w:r>
      <w:r w:rsidR="00EB672E">
        <w:rPr>
          <w:sz w:val="22"/>
          <w:szCs w:val="22"/>
        </w:rPr>
        <w:t xml:space="preserve">monitoring </w:t>
      </w:r>
      <w:r w:rsidRPr="009857C3">
        <w:rPr>
          <w:sz w:val="22"/>
          <w:szCs w:val="22"/>
        </w:rPr>
        <w:t>system t</w:t>
      </w:r>
      <w:r w:rsidR="00EB672E">
        <w:rPr>
          <w:sz w:val="22"/>
          <w:szCs w:val="22"/>
        </w:rPr>
        <w:t xml:space="preserve">hat would be </w:t>
      </w:r>
      <w:r w:rsidRPr="009857C3">
        <w:rPr>
          <w:sz w:val="22"/>
          <w:szCs w:val="22"/>
        </w:rPr>
        <w:t>installed to monitor the obstruction lights</w:t>
      </w:r>
      <w:r w:rsidR="00867268">
        <w:rPr>
          <w:sz w:val="22"/>
          <w:szCs w:val="22"/>
        </w:rPr>
        <w:t xml:space="preserve"> and that the ASR database would be updated</w:t>
      </w:r>
      <w:r w:rsidRPr="009857C3">
        <w:rPr>
          <w:sz w:val="22"/>
          <w:szCs w:val="22"/>
        </w:rPr>
        <w:t>.</w:t>
      </w:r>
      <w:r w:rsidR="00E15C34">
        <w:rPr>
          <w:rStyle w:val="FootnoteReference"/>
          <w:sz w:val="22"/>
          <w:szCs w:val="22"/>
        </w:rPr>
        <w:footnoteReference w:id="10"/>
      </w:r>
      <w:r w:rsidRPr="009857C3">
        <w:rPr>
          <w:sz w:val="22"/>
          <w:szCs w:val="22"/>
        </w:rPr>
        <w:t xml:space="preserve">  </w:t>
      </w:r>
    </w:p>
    <w:p w:rsidR="00050854" w:rsidRPr="00EB672E" w:rsidRDefault="00050854" w:rsidP="00A14C0F">
      <w:pPr>
        <w:pStyle w:val="Heading1"/>
        <w:widowControl/>
        <w:spacing w:after="120"/>
        <w:rPr>
          <w:sz w:val="22"/>
          <w:szCs w:val="22"/>
        </w:rPr>
      </w:pPr>
      <w:r w:rsidRPr="00EB672E">
        <w:rPr>
          <w:sz w:val="22"/>
          <w:szCs w:val="22"/>
        </w:rPr>
        <w:t>DISCUSSION</w:t>
      </w:r>
    </w:p>
    <w:p w:rsidR="00050854" w:rsidRPr="009207D9" w:rsidRDefault="00050854" w:rsidP="00A14C0F">
      <w:pPr>
        <w:widowControl/>
        <w:numPr>
          <w:ilvl w:val="0"/>
          <w:numId w:val="22"/>
        </w:numPr>
        <w:tabs>
          <w:tab w:val="clear" w:pos="1260"/>
          <w:tab w:val="num" w:pos="1440"/>
          <w:tab w:val="left" w:pos="4680"/>
          <w:tab w:val="left" w:pos="5760"/>
        </w:tabs>
        <w:spacing w:after="120"/>
        <w:ind w:left="0"/>
        <w:rPr>
          <w:sz w:val="22"/>
          <w:szCs w:val="22"/>
        </w:rPr>
      </w:pPr>
      <w:r w:rsidRPr="00EB672E">
        <w:rPr>
          <w:spacing w:val="-3"/>
          <w:sz w:val="22"/>
          <w:szCs w:val="22"/>
        </w:rPr>
        <w:t xml:space="preserve">Section 503(b) of the </w:t>
      </w:r>
      <w:r w:rsidR="00DC7D2B" w:rsidRPr="00EB672E">
        <w:rPr>
          <w:spacing w:val="-3"/>
          <w:sz w:val="22"/>
          <w:szCs w:val="22"/>
        </w:rPr>
        <w:t>Act</w:t>
      </w:r>
      <w:r w:rsidR="007907B0" w:rsidRPr="00EB672E">
        <w:rPr>
          <w:spacing w:val="-3"/>
          <w:sz w:val="22"/>
          <w:szCs w:val="22"/>
        </w:rPr>
        <w:t xml:space="preserve"> </w:t>
      </w:r>
      <w:r w:rsidRPr="00EB672E">
        <w:rPr>
          <w:spacing w:val="-3"/>
          <w:sz w:val="22"/>
          <w:szCs w:val="22"/>
        </w:rPr>
        <w:t xml:space="preserve">provides that any person who willfully </w:t>
      </w:r>
      <w:r w:rsidR="0011170C" w:rsidRPr="00EB672E">
        <w:rPr>
          <w:spacing w:val="-3"/>
          <w:sz w:val="22"/>
          <w:szCs w:val="22"/>
        </w:rPr>
        <w:t xml:space="preserve">or repeatedly </w:t>
      </w:r>
      <w:r w:rsidRPr="00EB672E">
        <w:rPr>
          <w:spacing w:val="-3"/>
          <w:sz w:val="22"/>
          <w:szCs w:val="22"/>
        </w:rPr>
        <w:t>fails to comply substantially with the terms and conditions of any license, or</w:t>
      </w:r>
      <w:r w:rsidRPr="00EB672E">
        <w:rPr>
          <w:bCs/>
          <w:spacing w:val="-2"/>
          <w:sz w:val="22"/>
          <w:szCs w:val="22"/>
        </w:rPr>
        <w:t xml:space="preserve"> </w:t>
      </w:r>
      <w:r w:rsidRPr="00EB672E">
        <w:rPr>
          <w:spacing w:val="-3"/>
          <w:sz w:val="22"/>
          <w:szCs w:val="22"/>
        </w:rPr>
        <w:t xml:space="preserve">willfully </w:t>
      </w:r>
      <w:r w:rsidR="0011170C" w:rsidRPr="00EB672E">
        <w:rPr>
          <w:spacing w:val="-3"/>
          <w:sz w:val="22"/>
          <w:szCs w:val="22"/>
        </w:rPr>
        <w:t xml:space="preserve">or repeatedly </w:t>
      </w:r>
      <w:r w:rsidRPr="00EB672E">
        <w:rPr>
          <w:spacing w:val="-3"/>
          <w:sz w:val="22"/>
          <w:szCs w:val="22"/>
        </w:rPr>
        <w:t>fails to comply with any of the provisions of the Act or of any rule, regulation</w:t>
      </w:r>
      <w:r w:rsidR="009711A7" w:rsidRPr="00EB672E">
        <w:rPr>
          <w:spacing w:val="-3"/>
          <w:sz w:val="22"/>
          <w:szCs w:val="22"/>
        </w:rPr>
        <w:t>,</w:t>
      </w:r>
      <w:r w:rsidRPr="00EB672E">
        <w:rPr>
          <w:spacing w:val="-3"/>
          <w:sz w:val="22"/>
          <w:szCs w:val="22"/>
        </w:rPr>
        <w:t xml:space="preserve"> or order issued by the Commission thereunder, shall be liable for a forfeiture penalty.</w:t>
      </w:r>
      <w:r w:rsidR="009711A7" w:rsidRPr="00EB672E">
        <w:rPr>
          <w:rStyle w:val="FootnoteReference"/>
          <w:spacing w:val="-3"/>
          <w:sz w:val="22"/>
          <w:szCs w:val="22"/>
        </w:rPr>
        <w:footnoteReference w:id="11"/>
      </w:r>
      <w:r w:rsidRPr="00EB672E">
        <w:rPr>
          <w:spacing w:val="-3"/>
          <w:sz w:val="22"/>
          <w:szCs w:val="22"/>
        </w:rPr>
        <w:t xml:space="preserve">  </w:t>
      </w:r>
      <w:r w:rsidR="001665F5" w:rsidRPr="00EB672E">
        <w:rPr>
          <w:spacing w:val="-3"/>
          <w:sz w:val="22"/>
          <w:szCs w:val="22"/>
        </w:rPr>
        <w:t xml:space="preserve">Section 312(f)(1) of the Act defines </w:t>
      </w:r>
      <w:r w:rsidR="009711A7" w:rsidRPr="00EB672E">
        <w:rPr>
          <w:spacing w:val="-3"/>
          <w:sz w:val="22"/>
          <w:szCs w:val="22"/>
        </w:rPr>
        <w:t>“</w:t>
      </w:r>
      <w:r w:rsidR="001665F5" w:rsidRPr="00EB672E">
        <w:rPr>
          <w:spacing w:val="-3"/>
          <w:sz w:val="22"/>
          <w:szCs w:val="22"/>
        </w:rPr>
        <w:t>willful</w:t>
      </w:r>
      <w:r w:rsidR="009711A7" w:rsidRPr="00EB672E">
        <w:rPr>
          <w:spacing w:val="-3"/>
          <w:sz w:val="22"/>
          <w:szCs w:val="22"/>
        </w:rPr>
        <w:t>”</w:t>
      </w:r>
      <w:r w:rsidR="001665F5" w:rsidRPr="00EB672E">
        <w:rPr>
          <w:spacing w:val="-3"/>
          <w:sz w:val="22"/>
          <w:szCs w:val="22"/>
        </w:rPr>
        <w:t xml:space="preserve"> as the “c</w:t>
      </w:r>
      <w:r w:rsidR="001665F5" w:rsidRPr="00EB672E">
        <w:rPr>
          <w:spacing w:val="-2"/>
          <w:sz w:val="22"/>
          <w:szCs w:val="22"/>
        </w:rPr>
        <w:t>o</w:t>
      </w:r>
      <w:r w:rsidR="001665F5" w:rsidRPr="00EB672E">
        <w:rPr>
          <w:spacing w:val="-3"/>
          <w:sz w:val="22"/>
          <w:szCs w:val="22"/>
        </w:rPr>
        <w:t>nscious and deliberate commission or omission of [any] act, irrespective of any intent to violate” the law.</w:t>
      </w:r>
      <w:r w:rsidR="001665F5" w:rsidRPr="00EB672E">
        <w:rPr>
          <w:rStyle w:val="FootnoteReference"/>
          <w:spacing w:val="-3"/>
          <w:sz w:val="22"/>
          <w:szCs w:val="22"/>
        </w:rPr>
        <w:footnoteReference w:id="12"/>
      </w:r>
      <w:r w:rsidR="001665F5" w:rsidRPr="00EB672E">
        <w:rPr>
          <w:spacing w:val="-3"/>
          <w:sz w:val="22"/>
          <w:szCs w:val="22"/>
        </w:rPr>
        <w:t xml:space="preserve">  The legislative history to </w:t>
      </w:r>
      <w:r w:rsidR="009711A7" w:rsidRPr="00EB672E">
        <w:rPr>
          <w:spacing w:val="-3"/>
          <w:sz w:val="22"/>
          <w:szCs w:val="22"/>
        </w:rPr>
        <w:t>S</w:t>
      </w:r>
      <w:r w:rsidR="001665F5" w:rsidRPr="00EB672E">
        <w:rPr>
          <w:spacing w:val="-3"/>
          <w:sz w:val="22"/>
          <w:szCs w:val="22"/>
        </w:rPr>
        <w:t xml:space="preserve">ection 312(f)(1) of the Act clarifies that this definition of willful applies to both </w:t>
      </w:r>
      <w:r w:rsidR="00174A12" w:rsidRPr="00EB672E">
        <w:rPr>
          <w:spacing w:val="-3"/>
          <w:sz w:val="22"/>
          <w:szCs w:val="22"/>
        </w:rPr>
        <w:t>S</w:t>
      </w:r>
      <w:r w:rsidR="001665F5" w:rsidRPr="00EB672E">
        <w:rPr>
          <w:spacing w:val="-3"/>
          <w:sz w:val="22"/>
          <w:szCs w:val="22"/>
        </w:rPr>
        <w:t>ection</w:t>
      </w:r>
      <w:r w:rsidR="00174A12" w:rsidRPr="00EB672E">
        <w:rPr>
          <w:spacing w:val="-2"/>
          <w:sz w:val="22"/>
          <w:szCs w:val="22"/>
        </w:rPr>
        <w:t>s</w:t>
      </w:r>
      <w:r w:rsidR="001665F5" w:rsidRPr="00EB672E">
        <w:rPr>
          <w:spacing w:val="-3"/>
          <w:sz w:val="22"/>
          <w:szCs w:val="22"/>
        </w:rPr>
        <w:t xml:space="preserve"> 312 and 503(b) of the A</w:t>
      </w:r>
      <w:r w:rsidR="001665F5" w:rsidRPr="00EB672E">
        <w:rPr>
          <w:spacing w:val="-2"/>
          <w:sz w:val="22"/>
          <w:szCs w:val="22"/>
        </w:rPr>
        <w:t>c</w:t>
      </w:r>
      <w:r w:rsidR="001665F5" w:rsidRPr="00EB672E">
        <w:rPr>
          <w:spacing w:val="-3"/>
          <w:sz w:val="22"/>
          <w:szCs w:val="22"/>
        </w:rPr>
        <w:t>t</w:t>
      </w:r>
      <w:r w:rsidR="00174A12" w:rsidRPr="00EB672E">
        <w:rPr>
          <w:spacing w:val="-3"/>
          <w:sz w:val="22"/>
          <w:szCs w:val="22"/>
        </w:rPr>
        <w:t>,</w:t>
      </w:r>
      <w:r w:rsidR="001665F5" w:rsidRPr="00EB672E">
        <w:rPr>
          <w:rStyle w:val="FootnoteReference"/>
          <w:spacing w:val="-3"/>
          <w:sz w:val="22"/>
          <w:szCs w:val="22"/>
        </w:rPr>
        <w:footnoteReference w:id="13"/>
      </w:r>
      <w:r w:rsidR="001665F5" w:rsidRPr="00EB672E">
        <w:rPr>
          <w:spacing w:val="-3"/>
          <w:sz w:val="22"/>
          <w:szCs w:val="22"/>
        </w:rPr>
        <w:t xml:space="preserve"> and the Commission has so interpreted the term in the </w:t>
      </w:r>
      <w:r w:rsidR="00174A12" w:rsidRPr="00EB672E">
        <w:rPr>
          <w:spacing w:val="-3"/>
          <w:sz w:val="22"/>
          <w:szCs w:val="22"/>
        </w:rPr>
        <w:t>S</w:t>
      </w:r>
      <w:r w:rsidR="001665F5" w:rsidRPr="00EB672E">
        <w:rPr>
          <w:spacing w:val="-3"/>
          <w:sz w:val="22"/>
          <w:szCs w:val="22"/>
        </w:rPr>
        <w:t>ection 503(b) context.</w:t>
      </w:r>
      <w:r w:rsidR="001665F5" w:rsidRPr="00EB672E">
        <w:rPr>
          <w:rStyle w:val="FootnoteReference"/>
          <w:spacing w:val="-3"/>
          <w:sz w:val="22"/>
          <w:szCs w:val="22"/>
        </w:rPr>
        <w:footnoteReference w:id="14"/>
      </w:r>
      <w:r w:rsidR="001665F5" w:rsidRPr="009207D9">
        <w:rPr>
          <w:spacing w:val="-3"/>
          <w:sz w:val="22"/>
          <w:szCs w:val="22"/>
        </w:rPr>
        <w:t xml:space="preserve">  </w:t>
      </w:r>
      <w:r w:rsidR="001665F5" w:rsidRPr="009207D9">
        <w:rPr>
          <w:sz w:val="22"/>
          <w:szCs w:val="22"/>
        </w:rPr>
        <w:t>The Commission may also assess a forfeiture for violations that are merely repeated, and not willful.</w:t>
      </w:r>
      <w:r w:rsidR="001665F5" w:rsidRPr="009207D9">
        <w:rPr>
          <w:rStyle w:val="FootnoteReference"/>
          <w:sz w:val="22"/>
          <w:szCs w:val="22"/>
        </w:rPr>
        <w:footnoteReference w:id="15"/>
      </w:r>
      <w:r w:rsidR="001665F5" w:rsidRPr="009207D9">
        <w:t xml:space="preserve">  </w:t>
      </w:r>
      <w:r w:rsidRPr="009207D9">
        <w:rPr>
          <w:spacing w:val="-3"/>
          <w:sz w:val="22"/>
          <w:szCs w:val="22"/>
        </w:rPr>
        <w:t>The term “repeated” means the commission or omission of such act more than on</w:t>
      </w:r>
      <w:r w:rsidR="00FB30D7" w:rsidRPr="009207D9">
        <w:rPr>
          <w:spacing w:val="-3"/>
          <w:sz w:val="22"/>
          <w:szCs w:val="22"/>
        </w:rPr>
        <w:t>c</w:t>
      </w:r>
      <w:r w:rsidRPr="009207D9">
        <w:rPr>
          <w:spacing w:val="-3"/>
          <w:sz w:val="22"/>
          <w:szCs w:val="22"/>
        </w:rPr>
        <w:t>e or for more than one day.</w:t>
      </w:r>
      <w:r w:rsidRPr="009207D9">
        <w:rPr>
          <w:rStyle w:val="FootnoteReference"/>
          <w:spacing w:val="-3"/>
          <w:sz w:val="22"/>
          <w:szCs w:val="22"/>
        </w:rPr>
        <w:footnoteReference w:id="16"/>
      </w:r>
      <w:r w:rsidRPr="009207D9">
        <w:rPr>
          <w:spacing w:val="-3"/>
          <w:sz w:val="22"/>
          <w:szCs w:val="22"/>
        </w:rPr>
        <w:t xml:space="preserve"> </w:t>
      </w:r>
    </w:p>
    <w:p w:rsidR="00C602A6" w:rsidRPr="00A14C0F" w:rsidRDefault="009844E6" w:rsidP="00A14C0F">
      <w:pPr>
        <w:pStyle w:val="Heading2"/>
        <w:spacing w:after="120"/>
        <w:rPr>
          <w:sz w:val="22"/>
        </w:rPr>
      </w:pPr>
      <w:r w:rsidRPr="00A14C0F">
        <w:rPr>
          <w:sz w:val="22"/>
        </w:rPr>
        <w:t>F</w:t>
      </w:r>
      <w:r w:rsidR="00C602A6" w:rsidRPr="00A14C0F">
        <w:rPr>
          <w:sz w:val="22"/>
        </w:rPr>
        <w:t>ailure to Monitor and Exhibit Required Obstruction Lighting on the Antenna</w:t>
      </w:r>
      <w:r w:rsidR="00C602A6" w:rsidRPr="00E15C34">
        <w:rPr>
          <w:bCs/>
          <w:sz w:val="22"/>
          <w:szCs w:val="22"/>
        </w:rPr>
        <w:t xml:space="preserve"> Structure </w:t>
      </w:r>
      <w:r w:rsidR="00AF4CA3">
        <w:rPr>
          <w:bCs/>
          <w:sz w:val="22"/>
          <w:szCs w:val="22"/>
        </w:rPr>
        <w:t xml:space="preserve">and </w:t>
      </w:r>
      <w:r w:rsidR="006936B8" w:rsidRPr="00E15C34">
        <w:rPr>
          <w:bCs/>
          <w:sz w:val="22"/>
          <w:szCs w:val="22"/>
        </w:rPr>
        <w:t>Notify the FAA</w:t>
      </w:r>
      <w:r w:rsidR="00AF4CA3">
        <w:rPr>
          <w:bCs/>
          <w:sz w:val="22"/>
          <w:szCs w:val="22"/>
        </w:rPr>
        <w:t xml:space="preserve"> of the Lighting Outage</w:t>
      </w:r>
    </w:p>
    <w:p w:rsidR="00A05ADB" w:rsidRPr="00A05ADB" w:rsidRDefault="00E40324" w:rsidP="00A14C0F">
      <w:pPr>
        <w:widowControl/>
        <w:numPr>
          <w:ilvl w:val="0"/>
          <w:numId w:val="22"/>
        </w:numPr>
        <w:tabs>
          <w:tab w:val="clear" w:pos="1260"/>
          <w:tab w:val="num" w:pos="1440"/>
          <w:tab w:val="left" w:pos="1926"/>
          <w:tab w:val="left" w:pos="3978"/>
          <w:tab w:val="left" w:pos="4680"/>
          <w:tab w:val="left" w:pos="5760"/>
        </w:tabs>
        <w:spacing w:after="120"/>
        <w:ind w:left="0"/>
        <w:rPr>
          <w:sz w:val="22"/>
          <w:szCs w:val="22"/>
        </w:rPr>
      </w:pPr>
      <w:r w:rsidRPr="00A05ADB">
        <w:rPr>
          <w:sz w:val="22"/>
          <w:szCs w:val="22"/>
        </w:rPr>
        <w:t>Section 303(q) of the Act states that antenna structure owners shall maintain the painting and lighting of antenna structures as prescribed by the Commission.</w:t>
      </w:r>
      <w:r w:rsidRPr="009207D9">
        <w:rPr>
          <w:rStyle w:val="FootnoteReference"/>
          <w:sz w:val="22"/>
          <w:szCs w:val="22"/>
        </w:rPr>
        <w:footnoteReference w:id="17"/>
      </w:r>
      <w:r w:rsidRPr="00A05ADB">
        <w:rPr>
          <w:sz w:val="22"/>
          <w:szCs w:val="22"/>
        </w:rPr>
        <w:t xml:space="preserve">  </w:t>
      </w:r>
      <w:r w:rsidR="00D87FC7">
        <w:rPr>
          <w:sz w:val="22"/>
          <w:szCs w:val="22"/>
        </w:rPr>
        <w:t xml:space="preserve">Section 17.23 </w:t>
      </w:r>
      <w:r w:rsidR="00AF653D">
        <w:rPr>
          <w:sz w:val="22"/>
          <w:szCs w:val="22"/>
        </w:rPr>
        <w:t xml:space="preserve">of the Rules </w:t>
      </w:r>
      <w:r w:rsidR="00D87FC7">
        <w:rPr>
          <w:sz w:val="22"/>
          <w:szCs w:val="22"/>
        </w:rPr>
        <w:t xml:space="preserve">provides that </w:t>
      </w:r>
      <w:r w:rsidR="00C04B38">
        <w:rPr>
          <w:sz w:val="22"/>
          <w:szCs w:val="22"/>
        </w:rPr>
        <w:t>“each new or altered antenna structure . . . must conform to the FAA’s painting and lighting recommendations set forth on the st</w:t>
      </w:r>
      <w:r w:rsidR="00AF653D">
        <w:rPr>
          <w:sz w:val="22"/>
          <w:szCs w:val="22"/>
        </w:rPr>
        <w:t>ructure’s FAA determination of ‘</w:t>
      </w:r>
      <w:r w:rsidR="00C04B38">
        <w:rPr>
          <w:sz w:val="22"/>
          <w:szCs w:val="22"/>
        </w:rPr>
        <w:t>no hazard.</w:t>
      </w:r>
      <w:r w:rsidR="00AF653D">
        <w:rPr>
          <w:sz w:val="22"/>
          <w:szCs w:val="22"/>
        </w:rPr>
        <w:t>’</w:t>
      </w:r>
      <w:r w:rsidR="00C04B38">
        <w:rPr>
          <w:sz w:val="22"/>
          <w:szCs w:val="22"/>
        </w:rPr>
        <w:t>”</w:t>
      </w:r>
      <w:r w:rsidR="00C04B38">
        <w:rPr>
          <w:rStyle w:val="FootnoteReference"/>
          <w:sz w:val="22"/>
          <w:szCs w:val="22"/>
        </w:rPr>
        <w:footnoteReference w:id="18"/>
      </w:r>
      <w:r w:rsidR="00C04B38">
        <w:rPr>
          <w:sz w:val="22"/>
          <w:szCs w:val="22"/>
        </w:rPr>
        <w:t xml:space="preserve">  </w:t>
      </w:r>
      <w:r w:rsidRPr="00A05ADB">
        <w:rPr>
          <w:sz w:val="22"/>
          <w:szCs w:val="22"/>
        </w:rPr>
        <w:t xml:space="preserve">Section 17.51(b) of the Rules states that “[a]ll </w:t>
      </w:r>
      <w:r w:rsidR="00473F0B" w:rsidRPr="00A05ADB">
        <w:rPr>
          <w:sz w:val="22"/>
          <w:szCs w:val="22"/>
        </w:rPr>
        <w:t>high intensity and medium intensity obstruction lighting shall be exhibited continuously unless otherwise specified</w:t>
      </w:r>
      <w:r w:rsidRPr="00A05ADB">
        <w:rPr>
          <w:sz w:val="22"/>
          <w:szCs w:val="22"/>
        </w:rPr>
        <w:t>.”</w:t>
      </w:r>
      <w:r w:rsidRPr="009207D9">
        <w:rPr>
          <w:rStyle w:val="FootnoteReference"/>
          <w:sz w:val="22"/>
          <w:szCs w:val="22"/>
        </w:rPr>
        <w:footnoteReference w:id="19"/>
      </w:r>
      <w:r w:rsidRPr="00A05ADB">
        <w:rPr>
          <w:sz w:val="22"/>
          <w:szCs w:val="22"/>
        </w:rPr>
        <w:t xml:space="preserve">  </w:t>
      </w:r>
      <w:r w:rsidR="00C602A6" w:rsidRPr="00A05ADB">
        <w:rPr>
          <w:sz w:val="22"/>
          <w:szCs w:val="22"/>
        </w:rPr>
        <w:t xml:space="preserve">Section 17.47(a) of the Rules states that owners of antenna structures “(1) </w:t>
      </w:r>
      <w:r w:rsidR="00AF653D">
        <w:rPr>
          <w:sz w:val="22"/>
          <w:szCs w:val="22"/>
        </w:rPr>
        <w:t>[</w:t>
      </w:r>
      <w:r w:rsidR="00C602A6" w:rsidRPr="00A05ADB">
        <w:rPr>
          <w:sz w:val="22"/>
          <w:szCs w:val="22"/>
        </w:rPr>
        <w:t>s</w:t>
      </w:r>
      <w:r w:rsidR="00AF653D">
        <w:rPr>
          <w:sz w:val="22"/>
          <w:szCs w:val="22"/>
        </w:rPr>
        <w:t>]</w:t>
      </w:r>
      <w:r w:rsidR="00C602A6" w:rsidRPr="00A05ADB">
        <w:rPr>
          <w:sz w:val="22"/>
          <w:szCs w:val="22"/>
        </w:rPr>
        <w:t>hall make an observation of the antenna structure’s lights at least onc</w:t>
      </w:r>
      <w:r w:rsidR="00AF653D">
        <w:rPr>
          <w:sz w:val="22"/>
          <w:szCs w:val="22"/>
        </w:rPr>
        <w:t xml:space="preserve">e each 24 hours </w:t>
      </w:r>
      <w:r w:rsidR="00C602A6" w:rsidRPr="00A05ADB">
        <w:rPr>
          <w:sz w:val="22"/>
          <w:szCs w:val="22"/>
        </w:rPr>
        <w:t xml:space="preserve">. . . to </w:t>
      </w:r>
      <w:r w:rsidR="00C602A6" w:rsidRPr="00AF653D">
        <w:rPr>
          <w:sz w:val="22"/>
          <w:szCs w:val="22"/>
        </w:rPr>
        <w:t xml:space="preserve">insure that all such lights are functioning properly as required; or alternatively (2) </w:t>
      </w:r>
      <w:r w:rsidR="00AF653D">
        <w:rPr>
          <w:sz w:val="22"/>
          <w:szCs w:val="22"/>
        </w:rPr>
        <w:t>[</w:t>
      </w:r>
      <w:r w:rsidR="00C602A6" w:rsidRPr="00AF653D">
        <w:rPr>
          <w:sz w:val="22"/>
          <w:szCs w:val="22"/>
        </w:rPr>
        <w:t>s</w:t>
      </w:r>
      <w:r w:rsidR="00AF653D">
        <w:rPr>
          <w:sz w:val="22"/>
          <w:szCs w:val="22"/>
        </w:rPr>
        <w:t>]</w:t>
      </w:r>
      <w:r w:rsidR="00C602A6" w:rsidRPr="00AF653D">
        <w:rPr>
          <w:sz w:val="22"/>
          <w:szCs w:val="22"/>
        </w:rPr>
        <w:t>hall provide and properly maintain an automatic alarm system designed to detect any failure of such lights and to provide indication of such failure to the owner.”</w:t>
      </w:r>
      <w:r w:rsidR="00C602A6" w:rsidRPr="00AF653D">
        <w:rPr>
          <w:rStyle w:val="FootnoteReference"/>
          <w:sz w:val="22"/>
          <w:szCs w:val="22"/>
        </w:rPr>
        <w:footnoteReference w:id="20"/>
      </w:r>
      <w:r w:rsidR="00C602A6" w:rsidRPr="00AF653D">
        <w:rPr>
          <w:sz w:val="22"/>
          <w:szCs w:val="22"/>
        </w:rPr>
        <w:t xml:space="preserve">  </w:t>
      </w:r>
      <w:r w:rsidR="003C732E" w:rsidRPr="00AF653D">
        <w:rPr>
          <w:sz w:val="22"/>
          <w:szCs w:val="22"/>
        </w:rPr>
        <w:t>Section 17.48</w:t>
      </w:r>
      <w:r w:rsidR="00CE17C9">
        <w:rPr>
          <w:sz w:val="22"/>
          <w:szCs w:val="22"/>
        </w:rPr>
        <w:t>(a)</w:t>
      </w:r>
      <w:r w:rsidR="003C732E" w:rsidRPr="00AF653D">
        <w:rPr>
          <w:sz w:val="22"/>
          <w:szCs w:val="22"/>
        </w:rPr>
        <w:t xml:space="preserve"> provides that </w:t>
      </w:r>
      <w:r w:rsidR="003C732E" w:rsidRPr="00A14C0F">
        <w:rPr>
          <w:sz w:val="22"/>
        </w:rPr>
        <w:t xml:space="preserve">“[t]he owner of any antenna structure </w:t>
      </w:r>
      <w:r w:rsidR="003C732E" w:rsidRPr="00AF653D">
        <w:rPr>
          <w:sz w:val="22"/>
          <w:szCs w:val="22"/>
        </w:rPr>
        <w:t xml:space="preserve">which is registered with the Commission and has been assigned lighting specifications referenced in this part: (a) </w:t>
      </w:r>
      <w:r w:rsidR="00AF653D">
        <w:rPr>
          <w:sz w:val="22"/>
          <w:szCs w:val="22"/>
        </w:rPr>
        <w:t>[s]</w:t>
      </w:r>
      <w:r w:rsidR="003C732E" w:rsidRPr="00AF653D">
        <w:rPr>
          <w:sz w:val="22"/>
          <w:szCs w:val="22"/>
        </w:rPr>
        <w:t>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w:t>
      </w:r>
      <w:r w:rsidR="003C732E" w:rsidRPr="00D87FC7">
        <w:rPr>
          <w:sz w:val="22"/>
          <w:szCs w:val="22"/>
        </w:rPr>
        <w:t>.”</w:t>
      </w:r>
      <w:r w:rsidR="00AF653D">
        <w:rPr>
          <w:rStyle w:val="FootnoteReference"/>
          <w:sz w:val="22"/>
          <w:szCs w:val="22"/>
        </w:rPr>
        <w:footnoteReference w:id="21"/>
      </w:r>
    </w:p>
    <w:p w:rsidR="00613F7C" w:rsidRPr="00A05ADB" w:rsidRDefault="004C7BF7" w:rsidP="00A14C0F">
      <w:pPr>
        <w:widowControl/>
        <w:numPr>
          <w:ilvl w:val="0"/>
          <w:numId w:val="22"/>
        </w:numPr>
        <w:tabs>
          <w:tab w:val="clear" w:pos="1260"/>
          <w:tab w:val="num" w:pos="1440"/>
          <w:tab w:val="left" w:pos="1926"/>
          <w:tab w:val="left" w:pos="3978"/>
          <w:tab w:val="left" w:pos="4680"/>
          <w:tab w:val="left" w:pos="5760"/>
        </w:tabs>
        <w:spacing w:after="120"/>
        <w:ind w:left="0"/>
        <w:rPr>
          <w:sz w:val="22"/>
          <w:szCs w:val="22"/>
        </w:rPr>
      </w:pPr>
      <w:r w:rsidRPr="00A05ADB">
        <w:rPr>
          <w:bCs/>
          <w:spacing w:val="-2"/>
          <w:sz w:val="22"/>
          <w:szCs w:val="22"/>
        </w:rPr>
        <w:t xml:space="preserve">The evidence in this case is sufficient to establish that NE Passage violated </w:t>
      </w:r>
      <w:r w:rsidRPr="00A05ADB">
        <w:rPr>
          <w:sz w:val="22"/>
          <w:szCs w:val="22"/>
        </w:rPr>
        <w:t xml:space="preserve">Section 303(q) of the Act and Sections </w:t>
      </w:r>
      <w:r w:rsidR="00D202A8">
        <w:rPr>
          <w:sz w:val="22"/>
          <w:szCs w:val="22"/>
        </w:rPr>
        <w:t xml:space="preserve">17.23, </w:t>
      </w:r>
      <w:r w:rsidRPr="00A05ADB">
        <w:rPr>
          <w:sz w:val="22"/>
          <w:szCs w:val="22"/>
        </w:rPr>
        <w:t>17.47(a)</w:t>
      </w:r>
      <w:r w:rsidR="00DD79C3">
        <w:rPr>
          <w:sz w:val="22"/>
          <w:szCs w:val="22"/>
        </w:rPr>
        <w:t xml:space="preserve">, </w:t>
      </w:r>
      <w:r w:rsidR="006936B8">
        <w:rPr>
          <w:sz w:val="22"/>
          <w:szCs w:val="22"/>
        </w:rPr>
        <w:t>1</w:t>
      </w:r>
      <w:r w:rsidR="00CD0953">
        <w:rPr>
          <w:sz w:val="22"/>
          <w:szCs w:val="22"/>
        </w:rPr>
        <w:t>7.48</w:t>
      </w:r>
      <w:r w:rsidR="00CE17C9">
        <w:rPr>
          <w:sz w:val="22"/>
          <w:szCs w:val="22"/>
        </w:rPr>
        <w:t>(a)</w:t>
      </w:r>
      <w:r w:rsidR="00DD79C3">
        <w:rPr>
          <w:sz w:val="22"/>
          <w:szCs w:val="22"/>
        </w:rPr>
        <w:t xml:space="preserve">, and </w:t>
      </w:r>
      <w:r w:rsidR="00DD79C3" w:rsidRPr="00A05ADB">
        <w:rPr>
          <w:sz w:val="22"/>
          <w:szCs w:val="22"/>
        </w:rPr>
        <w:t>17.51(b)</w:t>
      </w:r>
      <w:r w:rsidR="00F53E3E">
        <w:rPr>
          <w:sz w:val="22"/>
          <w:szCs w:val="22"/>
        </w:rPr>
        <w:t xml:space="preserve"> </w:t>
      </w:r>
      <w:r w:rsidRPr="00A05ADB">
        <w:rPr>
          <w:sz w:val="22"/>
          <w:szCs w:val="22"/>
        </w:rPr>
        <w:t>of the Rules</w:t>
      </w:r>
      <w:r w:rsidRPr="00A05ADB">
        <w:rPr>
          <w:bCs/>
          <w:spacing w:val="-2"/>
          <w:sz w:val="22"/>
          <w:szCs w:val="22"/>
        </w:rPr>
        <w:t>.</w:t>
      </w:r>
      <w:r w:rsidR="00D202A8">
        <w:rPr>
          <w:rStyle w:val="FootnoteReference"/>
          <w:bCs/>
          <w:spacing w:val="-2"/>
          <w:sz w:val="22"/>
          <w:szCs w:val="22"/>
        </w:rPr>
        <w:footnoteReference w:id="22"/>
      </w:r>
      <w:r w:rsidRPr="00A05ADB">
        <w:rPr>
          <w:bCs/>
          <w:spacing w:val="-2"/>
          <w:sz w:val="22"/>
          <w:szCs w:val="22"/>
        </w:rPr>
        <w:t xml:space="preserve">  </w:t>
      </w:r>
      <w:r w:rsidR="00E40324" w:rsidRPr="00A05ADB">
        <w:rPr>
          <w:spacing w:val="-2"/>
          <w:sz w:val="22"/>
          <w:szCs w:val="22"/>
        </w:rPr>
        <w:t xml:space="preserve">According to the FAA Determination of No Hazard issued on </w:t>
      </w:r>
      <w:r w:rsidR="00473F0B" w:rsidRPr="00A05ADB">
        <w:rPr>
          <w:spacing w:val="-2"/>
          <w:sz w:val="22"/>
          <w:szCs w:val="22"/>
        </w:rPr>
        <w:t xml:space="preserve">April 26, 2006, </w:t>
      </w:r>
      <w:r w:rsidR="00E40324" w:rsidRPr="00A05ADB">
        <w:rPr>
          <w:spacing w:val="-2"/>
          <w:sz w:val="22"/>
          <w:szCs w:val="22"/>
        </w:rPr>
        <w:t xml:space="preserve">the </w:t>
      </w:r>
      <w:r w:rsidR="00E40324" w:rsidRPr="00A05ADB">
        <w:rPr>
          <w:sz w:val="22"/>
          <w:szCs w:val="22"/>
        </w:rPr>
        <w:t>Antenna Structure</w:t>
      </w:r>
      <w:r w:rsidR="00E40324" w:rsidRPr="00A05ADB">
        <w:rPr>
          <w:spacing w:val="-2"/>
          <w:sz w:val="22"/>
          <w:szCs w:val="22"/>
        </w:rPr>
        <w:t xml:space="preserve"> is required to display a dual lighting system</w:t>
      </w:r>
      <w:r w:rsidR="00EB672E">
        <w:rPr>
          <w:spacing w:val="-2"/>
          <w:sz w:val="22"/>
          <w:szCs w:val="22"/>
        </w:rPr>
        <w:t>,</w:t>
      </w:r>
      <w:r w:rsidR="00E40324" w:rsidRPr="00A05ADB">
        <w:rPr>
          <w:spacing w:val="-2"/>
          <w:sz w:val="22"/>
          <w:szCs w:val="22"/>
        </w:rPr>
        <w:t xml:space="preserve"> which consists of medium intensity white obstruction lighting during the daytime and red obstruction lighting at night.</w:t>
      </w:r>
      <w:r w:rsidR="00473F0B" w:rsidRPr="00A05ADB">
        <w:rPr>
          <w:spacing w:val="-2"/>
          <w:sz w:val="22"/>
          <w:szCs w:val="22"/>
        </w:rPr>
        <w:t xml:space="preserve">  </w:t>
      </w:r>
      <w:r w:rsidR="00E40324" w:rsidRPr="00A05ADB">
        <w:rPr>
          <w:spacing w:val="-2"/>
          <w:sz w:val="22"/>
          <w:szCs w:val="22"/>
        </w:rPr>
        <w:t xml:space="preserve">On </w:t>
      </w:r>
      <w:r w:rsidR="00C602A6" w:rsidRPr="00A05ADB">
        <w:rPr>
          <w:spacing w:val="-2"/>
          <w:sz w:val="22"/>
          <w:szCs w:val="22"/>
        </w:rPr>
        <w:t>July 19, 2013,</w:t>
      </w:r>
      <w:r w:rsidR="00473F0B" w:rsidRPr="00A05ADB">
        <w:rPr>
          <w:spacing w:val="-2"/>
          <w:sz w:val="22"/>
          <w:szCs w:val="22"/>
        </w:rPr>
        <w:t xml:space="preserve"> an</w:t>
      </w:r>
      <w:r w:rsidR="00E40324" w:rsidRPr="00A05ADB">
        <w:rPr>
          <w:spacing w:val="-2"/>
          <w:sz w:val="22"/>
          <w:szCs w:val="22"/>
        </w:rPr>
        <w:t xml:space="preserve"> agent from the </w:t>
      </w:r>
      <w:r w:rsidR="00473F0B" w:rsidRPr="00A05ADB">
        <w:rPr>
          <w:spacing w:val="-2"/>
          <w:sz w:val="22"/>
          <w:szCs w:val="22"/>
        </w:rPr>
        <w:t xml:space="preserve">Philadelphia Office observed </w:t>
      </w:r>
      <w:r w:rsidR="00EB672E">
        <w:rPr>
          <w:spacing w:val="-2"/>
          <w:sz w:val="22"/>
          <w:szCs w:val="22"/>
        </w:rPr>
        <w:t xml:space="preserve">during daytime hours </w:t>
      </w:r>
      <w:r w:rsidR="00473F0B" w:rsidRPr="00A05ADB">
        <w:rPr>
          <w:spacing w:val="-2"/>
          <w:sz w:val="22"/>
          <w:szCs w:val="22"/>
        </w:rPr>
        <w:t xml:space="preserve">that </w:t>
      </w:r>
      <w:r w:rsidR="00C602A6" w:rsidRPr="00A05ADB">
        <w:rPr>
          <w:spacing w:val="-2"/>
          <w:sz w:val="22"/>
          <w:szCs w:val="22"/>
        </w:rPr>
        <w:t xml:space="preserve">the required top-level white medium intensity </w:t>
      </w:r>
      <w:r w:rsidR="00473F0B" w:rsidRPr="00A05ADB">
        <w:rPr>
          <w:spacing w:val="-2"/>
          <w:sz w:val="22"/>
          <w:szCs w:val="22"/>
        </w:rPr>
        <w:t xml:space="preserve">obstruction lighting </w:t>
      </w:r>
      <w:r w:rsidR="00C602A6" w:rsidRPr="00A05ADB">
        <w:rPr>
          <w:spacing w:val="-2"/>
          <w:sz w:val="22"/>
          <w:szCs w:val="22"/>
        </w:rPr>
        <w:t xml:space="preserve">was extinguished </w:t>
      </w:r>
      <w:r w:rsidR="00473F0B" w:rsidRPr="00A05ADB">
        <w:rPr>
          <w:spacing w:val="-2"/>
          <w:sz w:val="22"/>
          <w:szCs w:val="22"/>
        </w:rPr>
        <w:t xml:space="preserve">on the Antenna Structure.  </w:t>
      </w:r>
      <w:r w:rsidR="00C602A6" w:rsidRPr="00A05ADB">
        <w:rPr>
          <w:spacing w:val="-2"/>
          <w:sz w:val="22"/>
          <w:szCs w:val="22"/>
        </w:rPr>
        <w:t xml:space="preserve">On July 22, 2013, agents from the Philadelphia Office conducted an inspection and </w:t>
      </w:r>
      <w:r w:rsidR="00A05ADB">
        <w:rPr>
          <w:spacing w:val="-2"/>
          <w:sz w:val="22"/>
          <w:szCs w:val="22"/>
        </w:rPr>
        <w:t>confirmed t</w:t>
      </w:r>
      <w:r w:rsidR="00C602A6" w:rsidRPr="00A05ADB">
        <w:rPr>
          <w:spacing w:val="-2"/>
          <w:sz w:val="22"/>
          <w:szCs w:val="22"/>
        </w:rPr>
        <w:t>hat the top-level white obstruction light</w:t>
      </w:r>
      <w:r w:rsidR="00146EF3">
        <w:rPr>
          <w:spacing w:val="-2"/>
          <w:sz w:val="22"/>
          <w:szCs w:val="22"/>
        </w:rPr>
        <w:t>ing</w:t>
      </w:r>
      <w:r w:rsidR="00C602A6" w:rsidRPr="00A05ADB">
        <w:rPr>
          <w:spacing w:val="-2"/>
          <w:sz w:val="22"/>
          <w:szCs w:val="22"/>
        </w:rPr>
        <w:t xml:space="preserve"> w</w:t>
      </w:r>
      <w:r w:rsidR="00A05ADB">
        <w:rPr>
          <w:spacing w:val="-2"/>
          <w:sz w:val="22"/>
          <w:szCs w:val="22"/>
        </w:rPr>
        <w:t>as</w:t>
      </w:r>
      <w:r w:rsidR="00C602A6" w:rsidRPr="00A05ADB">
        <w:rPr>
          <w:spacing w:val="-2"/>
          <w:sz w:val="22"/>
          <w:szCs w:val="22"/>
        </w:rPr>
        <w:t xml:space="preserve"> extinguished</w:t>
      </w:r>
      <w:r w:rsidR="005C1200" w:rsidRPr="00A05ADB">
        <w:rPr>
          <w:spacing w:val="-2"/>
          <w:sz w:val="22"/>
          <w:szCs w:val="22"/>
        </w:rPr>
        <w:t xml:space="preserve"> and </w:t>
      </w:r>
      <w:r w:rsidR="00A05ADB">
        <w:rPr>
          <w:spacing w:val="-2"/>
          <w:sz w:val="22"/>
          <w:szCs w:val="22"/>
        </w:rPr>
        <w:t xml:space="preserve">also found that </w:t>
      </w:r>
      <w:r w:rsidR="00C602A6" w:rsidRPr="00A05ADB">
        <w:rPr>
          <w:spacing w:val="-2"/>
          <w:sz w:val="22"/>
          <w:szCs w:val="22"/>
        </w:rPr>
        <w:t xml:space="preserve">one of the two </w:t>
      </w:r>
      <w:r w:rsidR="005C1200" w:rsidRPr="00A05ADB">
        <w:rPr>
          <w:spacing w:val="-2"/>
          <w:sz w:val="22"/>
          <w:szCs w:val="22"/>
        </w:rPr>
        <w:t>w</w:t>
      </w:r>
      <w:r w:rsidR="00C602A6" w:rsidRPr="00A05ADB">
        <w:rPr>
          <w:spacing w:val="-2"/>
          <w:sz w:val="22"/>
          <w:szCs w:val="22"/>
        </w:rPr>
        <w:t>hite medium intensity obstruction lights</w:t>
      </w:r>
      <w:r w:rsidR="005C1200" w:rsidRPr="00A05ADB">
        <w:rPr>
          <w:spacing w:val="-2"/>
          <w:sz w:val="22"/>
          <w:szCs w:val="22"/>
        </w:rPr>
        <w:t xml:space="preserve"> at the mid-level of the Antenna Structure </w:t>
      </w:r>
      <w:r w:rsidR="00146EF3">
        <w:rPr>
          <w:spacing w:val="-2"/>
          <w:sz w:val="22"/>
          <w:szCs w:val="22"/>
        </w:rPr>
        <w:t>was</w:t>
      </w:r>
      <w:r w:rsidR="00146EF3" w:rsidRPr="00A05ADB">
        <w:rPr>
          <w:spacing w:val="-2"/>
          <w:sz w:val="22"/>
          <w:szCs w:val="22"/>
        </w:rPr>
        <w:t xml:space="preserve"> </w:t>
      </w:r>
      <w:r w:rsidR="00C602A6" w:rsidRPr="00A05ADB">
        <w:rPr>
          <w:spacing w:val="-2"/>
          <w:sz w:val="22"/>
          <w:szCs w:val="22"/>
        </w:rPr>
        <w:t>also extinguished.  During telephone conversation</w:t>
      </w:r>
      <w:r w:rsidR="00EB672E">
        <w:rPr>
          <w:spacing w:val="-2"/>
          <w:sz w:val="22"/>
          <w:szCs w:val="22"/>
        </w:rPr>
        <w:t>s,</w:t>
      </w:r>
      <w:r w:rsidR="00C602A6" w:rsidRPr="00A05ADB">
        <w:rPr>
          <w:spacing w:val="-2"/>
          <w:sz w:val="22"/>
          <w:szCs w:val="22"/>
        </w:rPr>
        <w:t xml:space="preserve"> the President of </w:t>
      </w:r>
      <w:r w:rsidR="00473F0B" w:rsidRPr="00A05ADB">
        <w:rPr>
          <w:spacing w:val="-2"/>
          <w:sz w:val="22"/>
          <w:szCs w:val="22"/>
        </w:rPr>
        <w:t>NE Passage</w:t>
      </w:r>
      <w:r w:rsidR="00C602A6" w:rsidRPr="00A05ADB">
        <w:rPr>
          <w:spacing w:val="-2"/>
          <w:sz w:val="22"/>
          <w:szCs w:val="22"/>
        </w:rPr>
        <w:t xml:space="preserve"> </w:t>
      </w:r>
      <w:r w:rsidR="00EB672E">
        <w:rPr>
          <w:spacing w:val="-2"/>
          <w:sz w:val="22"/>
          <w:szCs w:val="22"/>
        </w:rPr>
        <w:t xml:space="preserve">admitted that </w:t>
      </w:r>
      <w:r w:rsidR="00C602A6" w:rsidRPr="00A05ADB">
        <w:rPr>
          <w:spacing w:val="-2"/>
          <w:sz w:val="22"/>
          <w:szCs w:val="22"/>
        </w:rPr>
        <w:t xml:space="preserve">he </w:t>
      </w:r>
      <w:r w:rsidR="00473F0B" w:rsidRPr="00A05ADB">
        <w:rPr>
          <w:spacing w:val="-2"/>
          <w:sz w:val="22"/>
          <w:szCs w:val="22"/>
        </w:rPr>
        <w:t xml:space="preserve">was aware of the </w:t>
      </w:r>
      <w:r w:rsidR="00603740">
        <w:rPr>
          <w:spacing w:val="-2"/>
          <w:sz w:val="22"/>
          <w:szCs w:val="22"/>
        </w:rPr>
        <w:t xml:space="preserve">mid-level </w:t>
      </w:r>
      <w:r w:rsidR="00473F0B" w:rsidRPr="00A05ADB">
        <w:rPr>
          <w:spacing w:val="-2"/>
          <w:sz w:val="22"/>
          <w:szCs w:val="22"/>
        </w:rPr>
        <w:t xml:space="preserve">obstruction lighting </w:t>
      </w:r>
      <w:r w:rsidR="00D54341">
        <w:rPr>
          <w:spacing w:val="-2"/>
          <w:sz w:val="22"/>
          <w:szCs w:val="22"/>
        </w:rPr>
        <w:t>outage</w:t>
      </w:r>
      <w:r w:rsidR="00473F0B" w:rsidRPr="00A05ADB">
        <w:rPr>
          <w:spacing w:val="-2"/>
          <w:sz w:val="22"/>
          <w:szCs w:val="22"/>
        </w:rPr>
        <w:t xml:space="preserve">.  </w:t>
      </w:r>
      <w:r w:rsidRPr="00A05ADB">
        <w:rPr>
          <w:spacing w:val="-2"/>
          <w:sz w:val="22"/>
          <w:szCs w:val="22"/>
        </w:rPr>
        <w:t xml:space="preserve">The agents also </w:t>
      </w:r>
      <w:r>
        <w:rPr>
          <w:spacing w:val="-2"/>
          <w:sz w:val="22"/>
          <w:szCs w:val="22"/>
        </w:rPr>
        <w:t>determined</w:t>
      </w:r>
      <w:r w:rsidRPr="00A05ADB">
        <w:rPr>
          <w:spacing w:val="-2"/>
          <w:sz w:val="22"/>
          <w:szCs w:val="22"/>
        </w:rPr>
        <w:t xml:space="preserve"> that </w:t>
      </w:r>
      <w:r>
        <w:rPr>
          <w:spacing w:val="-2"/>
          <w:sz w:val="22"/>
          <w:szCs w:val="22"/>
        </w:rPr>
        <w:t xml:space="preserve">NE Passage had not notified the FAA of the </w:t>
      </w:r>
      <w:r w:rsidR="00EF406C">
        <w:rPr>
          <w:spacing w:val="-2"/>
          <w:sz w:val="22"/>
          <w:szCs w:val="22"/>
        </w:rPr>
        <w:t xml:space="preserve">known mid-level </w:t>
      </w:r>
      <w:r>
        <w:rPr>
          <w:spacing w:val="-2"/>
          <w:sz w:val="22"/>
          <w:szCs w:val="22"/>
        </w:rPr>
        <w:t>light outage</w:t>
      </w:r>
      <w:r w:rsidRPr="00A05ADB">
        <w:rPr>
          <w:spacing w:val="-2"/>
          <w:sz w:val="22"/>
          <w:szCs w:val="22"/>
        </w:rPr>
        <w:t xml:space="preserve">.  </w:t>
      </w:r>
      <w:r w:rsidR="00613F7C" w:rsidRPr="00A05ADB">
        <w:rPr>
          <w:spacing w:val="-2"/>
          <w:sz w:val="22"/>
          <w:szCs w:val="22"/>
        </w:rPr>
        <w:t>Although</w:t>
      </w:r>
      <w:r>
        <w:rPr>
          <w:spacing w:val="-2"/>
          <w:sz w:val="22"/>
          <w:szCs w:val="22"/>
        </w:rPr>
        <w:t xml:space="preserve"> </w:t>
      </w:r>
      <w:r w:rsidR="006936B8">
        <w:rPr>
          <w:spacing w:val="-2"/>
          <w:sz w:val="22"/>
          <w:szCs w:val="22"/>
        </w:rPr>
        <w:t xml:space="preserve">NE Passage claimed at various times </w:t>
      </w:r>
      <w:r>
        <w:rPr>
          <w:spacing w:val="-2"/>
          <w:sz w:val="22"/>
          <w:szCs w:val="22"/>
        </w:rPr>
        <w:t xml:space="preserve">during </w:t>
      </w:r>
      <w:r w:rsidR="006936B8">
        <w:rPr>
          <w:spacing w:val="-2"/>
          <w:sz w:val="22"/>
          <w:szCs w:val="22"/>
        </w:rPr>
        <w:t xml:space="preserve">the course of the investigation </w:t>
      </w:r>
      <w:r>
        <w:rPr>
          <w:spacing w:val="-2"/>
          <w:sz w:val="22"/>
          <w:szCs w:val="22"/>
        </w:rPr>
        <w:t>that the lights were being monitored by US Tower Services, Nextel, a local electrical contract</w:t>
      </w:r>
      <w:r w:rsidR="006936B8">
        <w:rPr>
          <w:spacing w:val="-2"/>
          <w:sz w:val="22"/>
          <w:szCs w:val="22"/>
        </w:rPr>
        <w:t>or,</w:t>
      </w:r>
      <w:r>
        <w:rPr>
          <w:spacing w:val="-2"/>
          <w:sz w:val="22"/>
          <w:szCs w:val="22"/>
        </w:rPr>
        <w:t xml:space="preserve"> and</w:t>
      </w:r>
      <w:r w:rsidR="006936B8">
        <w:rPr>
          <w:spacing w:val="-2"/>
          <w:sz w:val="22"/>
          <w:szCs w:val="22"/>
        </w:rPr>
        <w:t>/or</w:t>
      </w:r>
      <w:r>
        <w:rPr>
          <w:spacing w:val="-2"/>
          <w:sz w:val="22"/>
          <w:szCs w:val="22"/>
        </w:rPr>
        <w:t xml:space="preserve"> tenants on the Antenna Structure, </w:t>
      </w:r>
      <w:r w:rsidR="00613F7C" w:rsidRPr="00A05ADB">
        <w:rPr>
          <w:spacing w:val="-2"/>
          <w:sz w:val="22"/>
          <w:szCs w:val="22"/>
        </w:rPr>
        <w:t>the agents</w:t>
      </w:r>
      <w:r w:rsidR="006936B8">
        <w:rPr>
          <w:spacing w:val="-2"/>
          <w:sz w:val="22"/>
          <w:szCs w:val="22"/>
        </w:rPr>
        <w:t xml:space="preserve"> determined </w:t>
      </w:r>
      <w:r>
        <w:rPr>
          <w:spacing w:val="-2"/>
          <w:sz w:val="22"/>
          <w:szCs w:val="22"/>
        </w:rPr>
        <w:t xml:space="preserve">that </w:t>
      </w:r>
      <w:r w:rsidR="00AC2869" w:rsidRPr="00A05ADB">
        <w:rPr>
          <w:spacing w:val="-2"/>
          <w:sz w:val="22"/>
          <w:szCs w:val="22"/>
        </w:rPr>
        <w:t xml:space="preserve">no one was </w:t>
      </w:r>
      <w:r w:rsidR="00613F7C" w:rsidRPr="00A05ADB">
        <w:rPr>
          <w:spacing w:val="-2"/>
          <w:sz w:val="22"/>
          <w:szCs w:val="22"/>
        </w:rPr>
        <w:t>conducting daily monitoring.  NE Passage is responsible for monitoring the Antenna Structure lights and is liable for any violations resulting from the failures or omissions of its employees.</w:t>
      </w:r>
      <w:r w:rsidR="00613F7C" w:rsidRPr="009207D9">
        <w:rPr>
          <w:rStyle w:val="FootnoteReference"/>
          <w:spacing w:val="-2"/>
          <w:sz w:val="22"/>
          <w:szCs w:val="22"/>
        </w:rPr>
        <w:footnoteReference w:id="23"/>
      </w:r>
      <w:r w:rsidR="00613F7C" w:rsidRPr="00A05ADB">
        <w:rPr>
          <w:spacing w:val="-2"/>
          <w:sz w:val="22"/>
          <w:szCs w:val="22"/>
        </w:rPr>
        <w:t xml:space="preserve">  Therefore, b</w:t>
      </w:r>
      <w:r w:rsidR="00613F7C" w:rsidRPr="00A05ADB">
        <w:rPr>
          <w:sz w:val="22"/>
          <w:szCs w:val="22"/>
        </w:rPr>
        <w:t xml:space="preserve">ased on the evidence before us, we find that NE Passage apparently willfully and repeatedly violated Section 303(q) of the Act and Sections </w:t>
      </w:r>
      <w:r w:rsidR="00CE17C9">
        <w:rPr>
          <w:sz w:val="22"/>
          <w:szCs w:val="22"/>
        </w:rPr>
        <w:t xml:space="preserve">17.23, </w:t>
      </w:r>
      <w:r w:rsidR="00CE17C9" w:rsidRPr="00A05ADB">
        <w:rPr>
          <w:sz w:val="22"/>
          <w:szCs w:val="22"/>
        </w:rPr>
        <w:t>17.47(a)</w:t>
      </w:r>
      <w:r w:rsidR="00CE17C9">
        <w:rPr>
          <w:sz w:val="22"/>
          <w:szCs w:val="22"/>
        </w:rPr>
        <w:t xml:space="preserve">, 17.48(a), and </w:t>
      </w:r>
      <w:r w:rsidR="00CE17C9" w:rsidRPr="00A05ADB">
        <w:rPr>
          <w:sz w:val="22"/>
          <w:szCs w:val="22"/>
        </w:rPr>
        <w:t>17.51(b)</w:t>
      </w:r>
      <w:r w:rsidR="00CE17C9">
        <w:rPr>
          <w:sz w:val="22"/>
          <w:szCs w:val="22"/>
        </w:rPr>
        <w:t xml:space="preserve"> </w:t>
      </w:r>
      <w:r w:rsidR="00CE17C9" w:rsidRPr="00A05ADB">
        <w:rPr>
          <w:sz w:val="22"/>
          <w:szCs w:val="22"/>
        </w:rPr>
        <w:t>of the Rules</w:t>
      </w:r>
      <w:r w:rsidR="00D54341">
        <w:rPr>
          <w:sz w:val="22"/>
          <w:szCs w:val="22"/>
        </w:rPr>
        <w:t xml:space="preserve"> </w:t>
      </w:r>
      <w:r w:rsidR="00613F7C" w:rsidRPr="00A05ADB">
        <w:rPr>
          <w:sz w:val="22"/>
          <w:szCs w:val="22"/>
        </w:rPr>
        <w:t xml:space="preserve">by failing to (1) exhibit all required obstruction lighting from sunrise </w:t>
      </w:r>
      <w:r w:rsidR="00146EF3">
        <w:rPr>
          <w:sz w:val="22"/>
          <w:szCs w:val="22"/>
        </w:rPr>
        <w:t xml:space="preserve">to sunset </w:t>
      </w:r>
      <w:r w:rsidR="00613F7C" w:rsidRPr="00A05ADB">
        <w:rPr>
          <w:sz w:val="22"/>
          <w:szCs w:val="22"/>
        </w:rPr>
        <w:t>on the Antenna Structure, (2) monitor the Antenna Structure’s lights on a daily basis</w:t>
      </w:r>
      <w:r w:rsidR="00245F69">
        <w:rPr>
          <w:sz w:val="22"/>
          <w:szCs w:val="22"/>
        </w:rPr>
        <w:t>, and (3) notify the FAA of a known tower light outage</w:t>
      </w:r>
      <w:r w:rsidR="00613F7C" w:rsidRPr="00A05ADB">
        <w:rPr>
          <w:sz w:val="22"/>
          <w:szCs w:val="22"/>
        </w:rPr>
        <w:t>.</w:t>
      </w:r>
    </w:p>
    <w:p w:rsidR="00DA6D25" w:rsidRPr="009207D9" w:rsidRDefault="00DA6D25" w:rsidP="00A14C0F">
      <w:pPr>
        <w:pStyle w:val="Heading2"/>
        <w:numPr>
          <w:ilvl w:val="1"/>
          <w:numId w:val="36"/>
        </w:numPr>
        <w:spacing w:after="120"/>
        <w:rPr>
          <w:bCs/>
          <w:sz w:val="22"/>
          <w:szCs w:val="22"/>
        </w:rPr>
      </w:pPr>
      <w:r w:rsidRPr="009207D9">
        <w:rPr>
          <w:bCs/>
          <w:sz w:val="22"/>
          <w:szCs w:val="22"/>
        </w:rPr>
        <w:t xml:space="preserve">Failure to Notify the Commission of a Change in </w:t>
      </w:r>
      <w:r w:rsidR="00EC161B" w:rsidRPr="009207D9">
        <w:rPr>
          <w:bCs/>
          <w:sz w:val="22"/>
          <w:szCs w:val="22"/>
        </w:rPr>
        <w:t>Structure Height</w:t>
      </w:r>
    </w:p>
    <w:p w:rsidR="00DA6D25" w:rsidRPr="009207D9" w:rsidRDefault="00DA6D25" w:rsidP="00A14C0F">
      <w:pPr>
        <w:widowControl/>
        <w:numPr>
          <w:ilvl w:val="0"/>
          <w:numId w:val="22"/>
        </w:numPr>
        <w:tabs>
          <w:tab w:val="clear" w:pos="1260"/>
          <w:tab w:val="num" w:pos="1440"/>
          <w:tab w:val="left" w:pos="4680"/>
          <w:tab w:val="left" w:pos="5760"/>
        </w:tabs>
        <w:spacing w:after="120"/>
        <w:ind w:left="0"/>
        <w:rPr>
          <w:spacing w:val="-2"/>
          <w:sz w:val="22"/>
          <w:szCs w:val="22"/>
        </w:rPr>
      </w:pPr>
      <w:r w:rsidRPr="009207D9">
        <w:rPr>
          <w:spacing w:val="-2"/>
          <w:sz w:val="22"/>
          <w:szCs w:val="22"/>
        </w:rPr>
        <w:t xml:space="preserve">Section 17.57 of the Rules states that the </w:t>
      </w:r>
      <w:r w:rsidRPr="009207D9">
        <w:rPr>
          <w:sz w:val="22"/>
          <w:szCs w:val="22"/>
        </w:rPr>
        <w:t>“owner [of a registered antenna structure] must also immediately notify the Co</w:t>
      </w:r>
      <w:r w:rsidR="00CE17C9">
        <w:rPr>
          <w:sz w:val="22"/>
          <w:szCs w:val="22"/>
        </w:rPr>
        <w:t>mmission using FCC Form 854</w:t>
      </w:r>
      <w:r w:rsidRPr="009207D9">
        <w:rPr>
          <w:sz w:val="22"/>
          <w:szCs w:val="22"/>
        </w:rPr>
        <w:t xml:space="preserve"> upon any change in structure height or change in ownership information.”</w:t>
      </w:r>
      <w:r w:rsidRPr="009207D9">
        <w:rPr>
          <w:rStyle w:val="FootnoteReference"/>
          <w:sz w:val="22"/>
          <w:szCs w:val="22"/>
        </w:rPr>
        <w:footnoteReference w:id="24"/>
      </w:r>
      <w:r w:rsidRPr="009207D9">
        <w:rPr>
          <w:sz w:val="22"/>
          <w:szCs w:val="22"/>
        </w:rPr>
        <w:t xml:space="preserve">  </w:t>
      </w:r>
      <w:r w:rsidR="009A13E4" w:rsidRPr="009207D9">
        <w:rPr>
          <w:sz w:val="22"/>
          <w:szCs w:val="22"/>
        </w:rPr>
        <w:t xml:space="preserve">On July 22, 2013, an agent inspected the Antenna Structure and found that it had an overall height that far exceeded the 78.3 meter height specified on the ASR.  </w:t>
      </w:r>
      <w:r w:rsidRPr="009207D9">
        <w:rPr>
          <w:sz w:val="22"/>
          <w:szCs w:val="22"/>
        </w:rPr>
        <w:t>Based on the evidence befor</w:t>
      </w:r>
      <w:r w:rsidR="009A13E4" w:rsidRPr="009207D9">
        <w:rPr>
          <w:sz w:val="22"/>
          <w:szCs w:val="22"/>
        </w:rPr>
        <w:t>e us, we find that NE Passage</w:t>
      </w:r>
      <w:r w:rsidRPr="009207D9">
        <w:rPr>
          <w:sz w:val="22"/>
          <w:szCs w:val="22"/>
        </w:rPr>
        <w:t xml:space="preserve"> apparently willfully and repeatedly violated Section 17.57 of the Rules by failing to immediately notify the Commission of a change in </w:t>
      </w:r>
      <w:r w:rsidR="009A13E4" w:rsidRPr="009207D9">
        <w:rPr>
          <w:sz w:val="22"/>
          <w:szCs w:val="22"/>
        </w:rPr>
        <w:t xml:space="preserve">antenna height </w:t>
      </w:r>
      <w:r w:rsidRPr="009207D9">
        <w:rPr>
          <w:sz w:val="22"/>
          <w:szCs w:val="22"/>
        </w:rPr>
        <w:t>for the Antenna Structure.</w:t>
      </w:r>
    </w:p>
    <w:p w:rsidR="00F46870" w:rsidRPr="009207D9" w:rsidRDefault="00F46870" w:rsidP="00A14C0F">
      <w:pPr>
        <w:pStyle w:val="Heading2"/>
        <w:widowControl/>
        <w:numPr>
          <w:ilvl w:val="1"/>
          <w:numId w:val="36"/>
        </w:numPr>
        <w:tabs>
          <w:tab w:val="left" w:pos="0"/>
          <w:tab w:val="left" w:pos="720"/>
        </w:tabs>
        <w:suppressAutoHyphens/>
        <w:spacing w:after="120"/>
        <w:rPr>
          <w:spacing w:val="-2"/>
          <w:sz w:val="22"/>
          <w:szCs w:val="22"/>
        </w:rPr>
      </w:pPr>
      <w:r w:rsidRPr="009207D9">
        <w:rPr>
          <w:spacing w:val="-2"/>
          <w:sz w:val="22"/>
          <w:szCs w:val="22"/>
        </w:rPr>
        <w:t xml:space="preserve">Proposed Forfeiture </w:t>
      </w:r>
      <w:r w:rsidR="00D57AE2" w:rsidRPr="009207D9">
        <w:rPr>
          <w:spacing w:val="-2"/>
          <w:sz w:val="22"/>
          <w:szCs w:val="22"/>
        </w:rPr>
        <w:t>and Reporting Requirement</w:t>
      </w:r>
    </w:p>
    <w:p w:rsidR="00D3403D" w:rsidRPr="0036399E" w:rsidRDefault="007E2E05" w:rsidP="00A14C0F">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36399E">
        <w:rPr>
          <w:spacing w:val="-2"/>
          <w:sz w:val="22"/>
          <w:szCs w:val="22"/>
        </w:rPr>
        <w:t>Pursuant to the Commission’s</w:t>
      </w:r>
      <w:r w:rsidRPr="0036399E">
        <w:rPr>
          <w:i/>
          <w:spacing w:val="-2"/>
          <w:sz w:val="22"/>
          <w:szCs w:val="22"/>
        </w:rPr>
        <w:t xml:space="preserve"> Forfeiture Policy Statement</w:t>
      </w:r>
      <w:r w:rsidR="00D57AE2" w:rsidRPr="0036399E">
        <w:rPr>
          <w:spacing w:val="-2"/>
          <w:sz w:val="22"/>
          <w:szCs w:val="22"/>
        </w:rPr>
        <w:t xml:space="preserve"> and S</w:t>
      </w:r>
      <w:r w:rsidRPr="0036399E">
        <w:rPr>
          <w:spacing w:val="-2"/>
          <w:sz w:val="22"/>
          <w:szCs w:val="22"/>
        </w:rPr>
        <w:t>ection 1.80 of the Rules, the base forfeiture amount for</w:t>
      </w:r>
      <w:r w:rsidR="00050854" w:rsidRPr="0036399E">
        <w:rPr>
          <w:spacing w:val="-2"/>
          <w:sz w:val="22"/>
          <w:szCs w:val="22"/>
        </w:rPr>
        <w:t xml:space="preserve"> </w:t>
      </w:r>
      <w:bookmarkStart w:id="1" w:name="OLE_LINK1"/>
      <w:bookmarkStart w:id="2" w:name="OLE_LINK2"/>
      <w:r w:rsidR="00D3403D" w:rsidRPr="0036399E">
        <w:rPr>
          <w:spacing w:val="-2"/>
          <w:sz w:val="22"/>
          <w:szCs w:val="22"/>
        </w:rPr>
        <w:t>failure to comply with prescribed lighting and or marking (painting) is $10,000</w:t>
      </w:r>
      <w:r w:rsidR="00577ADD" w:rsidRPr="0036399E">
        <w:rPr>
          <w:spacing w:val="-2"/>
          <w:sz w:val="22"/>
          <w:szCs w:val="22"/>
        </w:rPr>
        <w:t xml:space="preserve"> and</w:t>
      </w:r>
      <w:r w:rsidR="00577ADD" w:rsidRPr="0036399E">
        <w:rPr>
          <w:color w:val="000000"/>
          <w:spacing w:val="-2"/>
          <w:sz w:val="22"/>
          <w:szCs w:val="22"/>
        </w:rPr>
        <w:t xml:space="preserve"> the base forfeiture amount for failing to</w:t>
      </w:r>
      <w:r w:rsidR="00577ADD" w:rsidRPr="0036399E">
        <w:rPr>
          <w:b/>
          <w:color w:val="000000"/>
          <w:spacing w:val="-2"/>
          <w:sz w:val="22"/>
          <w:szCs w:val="22"/>
        </w:rPr>
        <w:t xml:space="preserve"> </w:t>
      </w:r>
      <w:r w:rsidR="00577ADD" w:rsidRPr="0036399E">
        <w:rPr>
          <w:color w:val="000000"/>
          <w:spacing w:val="-2"/>
          <w:sz w:val="22"/>
          <w:szCs w:val="22"/>
        </w:rPr>
        <w:t>file required forms or information is $3,000</w:t>
      </w:r>
      <w:r w:rsidR="00245F69" w:rsidRPr="0036399E">
        <w:rPr>
          <w:spacing w:val="-2"/>
          <w:sz w:val="22"/>
          <w:szCs w:val="22"/>
        </w:rPr>
        <w:t>.</w:t>
      </w:r>
      <w:bookmarkEnd w:id="1"/>
      <w:bookmarkEnd w:id="2"/>
      <w:r w:rsidR="00050854" w:rsidRPr="009207D9">
        <w:rPr>
          <w:rStyle w:val="FootnoteReference"/>
          <w:spacing w:val="-2"/>
          <w:sz w:val="22"/>
          <w:szCs w:val="22"/>
        </w:rPr>
        <w:footnoteReference w:id="25"/>
      </w:r>
      <w:r w:rsidR="00050854" w:rsidRPr="0036399E">
        <w:rPr>
          <w:spacing w:val="-2"/>
          <w:sz w:val="22"/>
          <w:szCs w:val="22"/>
        </w:rPr>
        <w:t xml:space="preserve">  </w:t>
      </w:r>
      <w:bookmarkStart w:id="3" w:name="FN[FN16]"/>
      <w:bookmarkEnd w:id="3"/>
      <w:r w:rsidR="00050854" w:rsidRPr="0036399E">
        <w:rPr>
          <w:spacing w:val="-2"/>
          <w:sz w:val="22"/>
          <w:szCs w:val="22"/>
        </w:rPr>
        <w:t xml:space="preserve">In assessing the monetary forfeiture amount, we must also take into account the statutory factors </w:t>
      </w:r>
      <w:r w:rsidR="00D57AE2" w:rsidRPr="0036399E">
        <w:rPr>
          <w:spacing w:val="-2"/>
          <w:sz w:val="22"/>
          <w:szCs w:val="22"/>
        </w:rPr>
        <w:t>set forth in S</w:t>
      </w:r>
      <w:r w:rsidR="00D15A5F" w:rsidRPr="0036399E">
        <w:rPr>
          <w:spacing w:val="-2"/>
          <w:sz w:val="22"/>
          <w:szCs w:val="22"/>
        </w:rPr>
        <w:t>ection 503(b)(2)(E</w:t>
      </w:r>
      <w:r w:rsidR="00050854" w:rsidRPr="0036399E">
        <w:rPr>
          <w:spacing w:val="-2"/>
          <w:sz w:val="22"/>
          <w:szCs w:val="22"/>
        </w:rPr>
        <w:t>) of the Act, which include the nature, circumstances, extent, and gravity of the violations, and with respect to the violator</w:t>
      </w:r>
      <w:r w:rsidR="003E2AD5" w:rsidRPr="0036399E">
        <w:rPr>
          <w:spacing w:val="-2"/>
          <w:sz w:val="22"/>
          <w:szCs w:val="22"/>
        </w:rPr>
        <w:t>, the degree of culpability, any</w:t>
      </w:r>
      <w:r w:rsidR="00050854" w:rsidRPr="0036399E">
        <w:rPr>
          <w:spacing w:val="-2"/>
          <w:sz w:val="22"/>
          <w:szCs w:val="22"/>
        </w:rPr>
        <w:t xml:space="preserve"> history of prior offenses, ability to pay, and other such matters as justice may require.</w:t>
      </w:r>
      <w:r w:rsidR="00050854" w:rsidRPr="009207D9">
        <w:rPr>
          <w:rStyle w:val="FootnoteReference"/>
          <w:spacing w:val="-2"/>
          <w:sz w:val="22"/>
          <w:szCs w:val="22"/>
        </w:rPr>
        <w:footnoteReference w:id="26"/>
      </w:r>
      <w:r w:rsidR="00050854" w:rsidRPr="0036399E">
        <w:rPr>
          <w:spacing w:val="-2"/>
          <w:sz w:val="22"/>
          <w:szCs w:val="22"/>
        </w:rPr>
        <w:t xml:space="preserve">  </w:t>
      </w:r>
      <w:r w:rsidR="0036399E" w:rsidRPr="00EE7A85">
        <w:rPr>
          <w:spacing w:val="-2"/>
          <w:sz w:val="22"/>
          <w:szCs w:val="22"/>
        </w:rPr>
        <w:t>We find that the fa</w:t>
      </w:r>
      <w:r w:rsidR="00D54341">
        <w:rPr>
          <w:spacing w:val="-2"/>
          <w:sz w:val="22"/>
          <w:szCs w:val="22"/>
        </w:rPr>
        <w:t xml:space="preserve">ilure of NE Passage </w:t>
      </w:r>
      <w:r w:rsidR="0036399E" w:rsidRPr="00EE7A85">
        <w:rPr>
          <w:spacing w:val="-2"/>
          <w:sz w:val="22"/>
          <w:szCs w:val="22"/>
        </w:rPr>
        <w:t>to notify the FAA of a known light outa</w:t>
      </w:r>
      <w:r w:rsidR="00D54341">
        <w:rPr>
          <w:spacing w:val="-2"/>
          <w:sz w:val="22"/>
          <w:szCs w:val="22"/>
        </w:rPr>
        <w:t>ge combined with its</w:t>
      </w:r>
      <w:r w:rsidR="0036399E" w:rsidRPr="00EE7A85">
        <w:rPr>
          <w:spacing w:val="-2"/>
          <w:sz w:val="22"/>
          <w:szCs w:val="22"/>
        </w:rPr>
        <w:t xml:space="preserve"> lack of diligence with r</w:t>
      </w:r>
      <w:r w:rsidR="000412F5">
        <w:rPr>
          <w:spacing w:val="-2"/>
          <w:sz w:val="22"/>
          <w:szCs w:val="22"/>
        </w:rPr>
        <w:t>egard to the monitoring of the Antenna S</w:t>
      </w:r>
      <w:r w:rsidR="0036399E" w:rsidRPr="00EE7A85">
        <w:rPr>
          <w:spacing w:val="-2"/>
          <w:sz w:val="22"/>
          <w:szCs w:val="22"/>
        </w:rPr>
        <w:t>tructure lights represent a deliberate disregard for Commission rules that are critical to ensuring the safety of air navigation.  Accordingly, we conclude that an upward adjustment of $2,000 is warranted.</w:t>
      </w:r>
      <w:r w:rsidR="0036399E" w:rsidRPr="0036399E">
        <w:rPr>
          <w:spacing w:val="-2"/>
          <w:sz w:val="22"/>
          <w:szCs w:val="22"/>
        </w:rPr>
        <w:t xml:space="preserve">  </w:t>
      </w:r>
      <w:r w:rsidR="00050854" w:rsidRPr="0036399E">
        <w:rPr>
          <w:spacing w:val="-2"/>
          <w:sz w:val="22"/>
          <w:szCs w:val="22"/>
        </w:rPr>
        <w:t xml:space="preserve">Applying the </w:t>
      </w:r>
      <w:r w:rsidR="00050854" w:rsidRPr="0036399E">
        <w:rPr>
          <w:i/>
          <w:spacing w:val="-2"/>
          <w:sz w:val="22"/>
          <w:szCs w:val="22"/>
        </w:rPr>
        <w:t>Forfeiture Policy Statement</w:t>
      </w:r>
      <w:r w:rsidR="00D57AE2" w:rsidRPr="0036399E">
        <w:rPr>
          <w:spacing w:val="-2"/>
          <w:sz w:val="22"/>
          <w:szCs w:val="22"/>
        </w:rPr>
        <w:t>, S</w:t>
      </w:r>
      <w:r w:rsidR="00260C08" w:rsidRPr="0036399E">
        <w:rPr>
          <w:spacing w:val="-2"/>
          <w:sz w:val="22"/>
          <w:szCs w:val="22"/>
        </w:rPr>
        <w:t>ection 1.80</w:t>
      </w:r>
      <w:r w:rsidR="000E2560" w:rsidRPr="0036399E">
        <w:rPr>
          <w:spacing w:val="-2"/>
          <w:sz w:val="22"/>
          <w:szCs w:val="22"/>
        </w:rPr>
        <w:t xml:space="preserve"> of the Rules</w:t>
      </w:r>
      <w:r w:rsidR="00260C08" w:rsidRPr="0036399E">
        <w:rPr>
          <w:spacing w:val="-2"/>
          <w:sz w:val="22"/>
          <w:szCs w:val="22"/>
        </w:rPr>
        <w:t xml:space="preserve">, and </w:t>
      </w:r>
      <w:r w:rsidR="00050854" w:rsidRPr="0036399E">
        <w:rPr>
          <w:spacing w:val="-2"/>
          <w:sz w:val="22"/>
          <w:szCs w:val="22"/>
        </w:rPr>
        <w:t>the statutory factors</w:t>
      </w:r>
      <w:r w:rsidR="00787C4B" w:rsidRPr="0036399E">
        <w:rPr>
          <w:spacing w:val="-2"/>
          <w:sz w:val="22"/>
          <w:szCs w:val="22"/>
        </w:rPr>
        <w:t xml:space="preserve"> to the instant case, we conclude that </w:t>
      </w:r>
      <w:r w:rsidR="00D3403D" w:rsidRPr="0036399E">
        <w:rPr>
          <w:spacing w:val="-2"/>
          <w:sz w:val="22"/>
          <w:szCs w:val="22"/>
        </w:rPr>
        <w:t xml:space="preserve">NE Passage </w:t>
      </w:r>
      <w:r w:rsidR="00787C4B" w:rsidRPr="0036399E">
        <w:rPr>
          <w:spacing w:val="-2"/>
          <w:sz w:val="22"/>
          <w:szCs w:val="22"/>
        </w:rPr>
        <w:t xml:space="preserve">is apparently liable for </w:t>
      </w:r>
      <w:r w:rsidR="00D3403D" w:rsidRPr="0036399E">
        <w:rPr>
          <w:spacing w:val="-2"/>
          <w:sz w:val="22"/>
          <w:szCs w:val="22"/>
        </w:rPr>
        <w:t xml:space="preserve">a total </w:t>
      </w:r>
      <w:r w:rsidR="00050854" w:rsidRPr="0036399E">
        <w:rPr>
          <w:spacing w:val="-2"/>
          <w:sz w:val="22"/>
          <w:szCs w:val="22"/>
        </w:rPr>
        <w:t>forfeiture</w:t>
      </w:r>
      <w:r w:rsidR="00E847E3" w:rsidRPr="0036399E">
        <w:rPr>
          <w:spacing w:val="-2"/>
          <w:sz w:val="22"/>
          <w:szCs w:val="22"/>
        </w:rPr>
        <w:t xml:space="preserve"> </w:t>
      </w:r>
      <w:r w:rsidR="00337B75" w:rsidRPr="0036399E">
        <w:rPr>
          <w:spacing w:val="-2"/>
          <w:sz w:val="22"/>
          <w:szCs w:val="22"/>
        </w:rPr>
        <w:t xml:space="preserve">in the amount </w:t>
      </w:r>
      <w:r w:rsidR="00E847E3" w:rsidRPr="0036399E">
        <w:rPr>
          <w:spacing w:val="-2"/>
          <w:sz w:val="22"/>
          <w:szCs w:val="22"/>
        </w:rPr>
        <w:t>of $</w:t>
      </w:r>
      <w:r w:rsidR="00D3403D" w:rsidRPr="0036399E">
        <w:rPr>
          <w:spacing w:val="-2"/>
          <w:sz w:val="22"/>
          <w:szCs w:val="22"/>
        </w:rPr>
        <w:t>1</w:t>
      </w:r>
      <w:r w:rsidR="00BE4038" w:rsidRPr="0036399E">
        <w:rPr>
          <w:spacing w:val="-2"/>
          <w:sz w:val="22"/>
          <w:szCs w:val="22"/>
        </w:rPr>
        <w:t>5</w:t>
      </w:r>
      <w:r w:rsidR="00E847E3" w:rsidRPr="0036399E">
        <w:rPr>
          <w:spacing w:val="-2"/>
          <w:sz w:val="22"/>
          <w:szCs w:val="22"/>
        </w:rPr>
        <w:t>,000</w:t>
      </w:r>
      <w:r w:rsidR="00245F69" w:rsidRPr="0036399E">
        <w:rPr>
          <w:spacing w:val="-2"/>
          <w:sz w:val="22"/>
          <w:szCs w:val="22"/>
        </w:rPr>
        <w:t>.</w:t>
      </w:r>
      <w:r w:rsidR="00E847E3" w:rsidRPr="0036399E">
        <w:rPr>
          <w:spacing w:val="-2"/>
          <w:sz w:val="22"/>
          <w:szCs w:val="22"/>
        </w:rPr>
        <w:t xml:space="preserve"> </w:t>
      </w:r>
      <w:bookmarkStart w:id="4" w:name="_Ref352938134"/>
      <w:r w:rsidR="00C91445" w:rsidRPr="0036399E">
        <w:rPr>
          <w:spacing w:val="-2"/>
          <w:sz w:val="22"/>
          <w:szCs w:val="22"/>
        </w:rPr>
        <w:t xml:space="preserve"> </w:t>
      </w:r>
    </w:p>
    <w:p w:rsidR="00050854" w:rsidRPr="009207D9" w:rsidRDefault="00D3403D" w:rsidP="00A14C0F">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36399E">
        <w:rPr>
          <w:sz w:val="22"/>
          <w:szCs w:val="22"/>
        </w:rPr>
        <w:t xml:space="preserve">We also direct </w:t>
      </w:r>
      <w:r w:rsidR="009844E6" w:rsidRPr="0036399E">
        <w:rPr>
          <w:sz w:val="22"/>
          <w:szCs w:val="22"/>
        </w:rPr>
        <w:t>NE Passage t</w:t>
      </w:r>
      <w:r w:rsidRPr="0036399E">
        <w:rPr>
          <w:sz w:val="22"/>
          <w:szCs w:val="22"/>
        </w:rPr>
        <w:t>o submit a written statement, pursuant to Section 1.16 of the Rules</w:t>
      </w:r>
      <w:r w:rsidRPr="00245F69">
        <w:rPr>
          <w:sz w:val="22"/>
          <w:szCs w:val="22"/>
        </w:rPr>
        <w:t>,</w:t>
      </w:r>
      <w:r w:rsidRPr="0036399E">
        <w:rPr>
          <w:rStyle w:val="FootnoteReference"/>
          <w:spacing w:val="-2"/>
          <w:sz w:val="22"/>
          <w:szCs w:val="22"/>
        </w:rPr>
        <w:footnoteReference w:id="27"/>
      </w:r>
      <w:r w:rsidRPr="0036399E">
        <w:rPr>
          <w:sz w:val="22"/>
          <w:szCs w:val="22"/>
        </w:rPr>
        <w:t xml:space="preserve"> signed under penalty of perjury by a principal or officer of </w:t>
      </w:r>
      <w:r w:rsidR="009844E6" w:rsidRPr="0036399E">
        <w:rPr>
          <w:sz w:val="22"/>
          <w:szCs w:val="22"/>
        </w:rPr>
        <w:t>NE Passage</w:t>
      </w:r>
      <w:r w:rsidRPr="0036399E">
        <w:rPr>
          <w:sz w:val="22"/>
          <w:szCs w:val="22"/>
        </w:rPr>
        <w:t>, stating the steps taken to correct the violations, including the dates on which</w:t>
      </w:r>
      <w:r w:rsidR="00C62CF3">
        <w:rPr>
          <w:sz w:val="22"/>
          <w:szCs w:val="22"/>
        </w:rPr>
        <w:t>:  (1)</w:t>
      </w:r>
      <w:r w:rsidRPr="0036399E">
        <w:rPr>
          <w:sz w:val="22"/>
          <w:szCs w:val="22"/>
        </w:rPr>
        <w:t xml:space="preserve"> </w:t>
      </w:r>
      <w:r w:rsidR="00A05ADB" w:rsidRPr="0036399E">
        <w:rPr>
          <w:sz w:val="22"/>
          <w:szCs w:val="22"/>
        </w:rPr>
        <w:t xml:space="preserve">all </w:t>
      </w:r>
      <w:r w:rsidR="009844E6" w:rsidRPr="0036399E">
        <w:rPr>
          <w:sz w:val="22"/>
          <w:szCs w:val="22"/>
        </w:rPr>
        <w:t>obstruction light outage</w:t>
      </w:r>
      <w:r w:rsidR="00A05ADB" w:rsidRPr="0036399E">
        <w:rPr>
          <w:sz w:val="22"/>
          <w:szCs w:val="22"/>
        </w:rPr>
        <w:t xml:space="preserve">s were </w:t>
      </w:r>
      <w:r w:rsidR="00C62CF3">
        <w:rPr>
          <w:sz w:val="22"/>
          <w:szCs w:val="22"/>
        </w:rPr>
        <w:t>corrected;</w:t>
      </w:r>
      <w:r w:rsidR="00A05ADB" w:rsidRPr="0036399E">
        <w:rPr>
          <w:sz w:val="22"/>
          <w:szCs w:val="22"/>
        </w:rPr>
        <w:t xml:space="preserve"> </w:t>
      </w:r>
      <w:r w:rsidR="00D54341">
        <w:rPr>
          <w:sz w:val="22"/>
          <w:szCs w:val="22"/>
        </w:rPr>
        <w:t xml:space="preserve">(2) </w:t>
      </w:r>
      <w:r w:rsidR="00A05ADB" w:rsidRPr="0036399E">
        <w:rPr>
          <w:sz w:val="22"/>
          <w:szCs w:val="22"/>
        </w:rPr>
        <w:t xml:space="preserve">the </w:t>
      </w:r>
      <w:r w:rsidR="009844E6" w:rsidRPr="0036399E">
        <w:rPr>
          <w:sz w:val="22"/>
          <w:szCs w:val="22"/>
        </w:rPr>
        <w:t xml:space="preserve">obstruction lighting </w:t>
      </w:r>
      <w:r w:rsidR="00C62CF3">
        <w:rPr>
          <w:sz w:val="22"/>
          <w:szCs w:val="22"/>
        </w:rPr>
        <w:t xml:space="preserve">began </w:t>
      </w:r>
      <w:r w:rsidR="009844E6" w:rsidRPr="0036399E">
        <w:rPr>
          <w:sz w:val="22"/>
          <w:szCs w:val="22"/>
        </w:rPr>
        <w:t>b</w:t>
      </w:r>
      <w:r w:rsidR="00C62CF3">
        <w:rPr>
          <w:sz w:val="22"/>
          <w:szCs w:val="22"/>
        </w:rPr>
        <w:t>eing monitored on a daily basis; and (3)</w:t>
      </w:r>
      <w:r w:rsidR="009844E6" w:rsidRPr="0036399E">
        <w:rPr>
          <w:sz w:val="22"/>
          <w:szCs w:val="22"/>
        </w:rPr>
        <w:t xml:space="preserve"> </w:t>
      </w:r>
      <w:r w:rsidRPr="0036399E">
        <w:rPr>
          <w:sz w:val="22"/>
          <w:szCs w:val="22"/>
        </w:rPr>
        <w:t xml:space="preserve">the FCC Form 854 </w:t>
      </w:r>
      <w:r w:rsidR="000C4049">
        <w:rPr>
          <w:sz w:val="22"/>
          <w:szCs w:val="22"/>
        </w:rPr>
        <w:t xml:space="preserve">was submitted to the Commission regarding </w:t>
      </w:r>
      <w:r w:rsidR="009844E6" w:rsidRPr="0036399E">
        <w:rPr>
          <w:sz w:val="22"/>
          <w:szCs w:val="22"/>
        </w:rPr>
        <w:t xml:space="preserve">the change in </w:t>
      </w:r>
      <w:r w:rsidR="000C4049">
        <w:rPr>
          <w:sz w:val="22"/>
          <w:szCs w:val="22"/>
        </w:rPr>
        <w:t xml:space="preserve">the Antenna Structure’s </w:t>
      </w:r>
      <w:r w:rsidR="009844E6" w:rsidRPr="0036399E">
        <w:rPr>
          <w:sz w:val="22"/>
          <w:szCs w:val="22"/>
        </w:rPr>
        <w:t>overall</w:t>
      </w:r>
      <w:r w:rsidR="000C4049">
        <w:rPr>
          <w:sz w:val="22"/>
          <w:szCs w:val="22"/>
        </w:rPr>
        <w:t xml:space="preserve"> height</w:t>
      </w:r>
      <w:r w:rsidR="00D54341">
        <w:rPr>
          <w:sz w:val="22"/>
          <w:szCs w:val="22"/>
        </w:rPr>
        <w:t>; and (4) the ASR database was updated</w:t>
      </w:r>
      <w:r w:rsidR="009844E6" w:rsidRPr="0036399E">
        <w:rPr>
          <w:sz w:val="22"/>
          <w:szCs w:val="22"/>
        </w:rPr>
        <w:t xml:space="preserve">.  NE Passage </w:t>
      </w:r>
      <w:r w:rsidRPr="0036399E">
        <w:rPr>
          <w:sz w:val="22"/>
          <w:szCs w:val="22"/>
        </w:rPr>
        <w:t>shall also certify that it will otherwise comply with th</w:t>
      </w:r>
      <w:r w:rsidRPr="0036399E">
        <w:rPr>
          <w:spacing w:val="-2"/>
          <w:sz w:val="22"/>
          <w:szCs w:val="22"/>
        </w:rPr>
        <w:t>e Co</w:t>
      </w:r>
      <w:r w:rsidRPr="0036399E">
        <w:rPr>
          <w:sz w:val="22"/>
          <w:szCs w:val="22"/>
        </w:rPr>
        <w:t>mmission’s antenna structure requirements</w:t>
      </w:r>
      <w:r w:rsidRPr="009207D9">
        <w:rPr>
          <w:sz w:val="22"/>
          <w:szCs w:val="22"/>
        </w:rPr>
        <w:t>.</w:t>
      </w:r>
      <w:r w:rsidRPr="0036399E">
        <w:rPr>
          <w:rStyle w:val="FootnoteReference"/>
          <w:sz w:val="22"/>
          <w:szCs w:val="22"/>
        </w:rPr>
        <w:footnoteReference w:id="28"/>
      </w:r>
      <w:r w:rsidRPr="0036399E">
        <w:rPr>
          <w:sz w:val="22"/>
          <w:szCs w:val="22"/>
        </w:rPr>
        <w:t xml:space="preserve">  This sta</w:t>
      </w:r>
      <w:r w:rsidR="009844E6" w:rsidRPr="0036399E">
        <w:rPr>
          <w:sz w:val="22"/>
          <w:szCs w:val="22"/>
        </w:rPr>
        <w:t xml:space="preserve">tement must be provided to the Philadelphia Office </w:t>
      </w:r>
      <w:r w:rsidRPr="0036399E">
        <w:rPr>
          <w:sz w:val="22"/>
          <w:szCs w:val="22"/>
        </w:rPr>
        <w:t xml:space="preserve">at the address listed in paragraph </w:t>
      </w:r>
      <w:r w:rsidR="000C4049">
        <w:rPr>
          <w:sz w:val="22"/>
          <w:szCs w:val="22"/>
        </w:rPr>
        <w:t>16</w:t>
      </w:r>
      <w:r w:rsidRPr="0036399E">
        <w:rPr>
          <w:sz w:val="22"/>
          <w:szCs w:val="22"/>
        </w:rPr>
        <w:t xml:space="preserve"> within thirty (30) calendar days of the release date of this NAL</w:t>
      </w:r>
      <w:r w:rsidRPr="009207D9">
        <w:rPr>
          <w:sz w:val="22"/>
          <w:szCs w:val="22"/>
        </w:rPr>
        <w:t>.</w:t>
      </w:r>
      <w:bookmarkEnd w:id="4"/>
      <w:r w:rsidRPr="0036399E">
        <w:rPr>
          <w:spacing w:val="-2"/>
          <w:sz w:val="22"/>
          <w:szCs w:val="22"/>
        </w:rPr>
        <w:t> </w:t>
      </w:r>
      <w:r w:rsidR="00050854" w:rsidRPr="0036399E">
        <w:rPr>
          <w:spacing w:val="-2"/>
          <w:sz w:val="22"/>
          <w:szCs w:val="22"/>
        </w:rPr>
        <w:t xml:space="preserve">  </w:t>
      </w:r>
    </w:p>
    <w:p w:rsidR="00E7176B" w:rsidRPr="009207D9" w:rsidRDefault="00050854" w:rsidP="00A14C0F">
      <w:pPr>
        <w:pStyle w:val="Heading1"/>
        <w:widowControl/>
        <w:spacing w:after="120"/>
        <w:rPr>
          <w:sz w:val="22"/>
          <w:szCs w:val="22"/>
        </w:rPr>
      </w:pPr>
      <w:r w:rsidRPr="009207D9">
        <w:rPr>
          <w:sz w:val="22"/>
          <w:szCs w:val="22"/>
        </w:rPr>
        <w:t>ORDERING CLAUSES</w:t>
      </w:r>
    </w:p>
    <w:p w:rsidR="00050854" w:rsidRPr="00AC2869" w:rsidRDefault="00050854" w:rsidP="003208FD">
      <w:pPr>
        <w:widowControl/>
        <w:numPr>
          <w:ilvl w:val="0"/>
          <w:numId w:val="22"/>
        </w:numPr>
        <w:tabs>
          <w:tab w:val="clear" w:pos="1260"/>
          <w:tab w:val="num" w:pos="1440"/>
          <w:tab w:val="left" w:pos="4680"/>
          <w:tab w:val="left" w:pos="5760"/>
        </w:tabs>
        <w:suppressAutoHyphens/>
        <w:spacing w:after="120" w:line="240" w:lineRule="atLeast"/>
        <w:ind w:left="0"/>
        <w:rPr>
          <w:spacing w:val="-2"/>
          <w:sz w:val="22"/>
          <w:szCs w:val="22"/>
        </w:rPr>
      </w:pPr>
      <w:r w:rsidRPr="009207D9">
        <w:rPr>
          <w:spacing w:val="-2"/>
          <w:sz w:val="22"/>
          <w:szCs w:val="22"/>
        </w:rPr>
        <w:t>Accordingly,</w:t>
      </w:r>
      <w:r w:rsidRPr="009207D9">
        <w:rPr>
          <w:b/>
          <w:spacing w:val="-2"/>
          <w:sz w:val="22"/>
          <w:szCs w:val="22"/>
        </w:rPr>
        <w:t xml:space="preserve"> IT IS ORDERED</w:t>
      </w:r>
      <w:r w:rsidR="003F3CFD" w:rsidRPr="009207D9">
        <w:rPr>
          <w:spacing w:val="-2"/>
          <w:sz w:val="22"/>
          <w:szCs w:val="22"/>
        </w:rPr>
        <w:t xml:space="preserve"> that</w:t>
      </w:r>
      <w:r w:rsidR="00D57AE2" w:rsidRPr="009207D9">
        <w:rPr>
          <w:spacing w:val="-2"/>
          <w:sz w:val="22"/>
          <w:szCs w:val="22"/>
        </w:rPr>
        <w:t>, pursuant to S</w:t>
      </w:r>
      <w:r w:rsidRPr="009207D9">
        <w:rPr>
          <w:spacing w:val="-2"/>
          <w:sz w:val="22"/>
          <w:szCs w:val="22"/>
        </w:rPr>
        <w:t xml:space="preserve">ection 503(b) of the </w:t>
      </w:r>
      <w:r w:rsidR="000C4049">
        <w:rPr>
          <w:spacing w:val="-2"/>
          <w:sz w:val="22"/>
          <w:szCs w:val="22"/>
        </w:rPr>
        <w:t xml:space="preserve">Act </w:t>
      </w:r>
      <w:r w:rsidR="00D57AE2" w:rsidRPr="009207D9">
        <w:rPr>
          <w:spacing w:val="-2"/>
          <w:sz w:val="22"/>
          <w:szCs w:val="22"/>
        </w:rPr>
        <w:t>and S</w:t>
      </w:r>
      <w:r w:rsidRPr="009207D9">
        <w:rPr>
          <w:spacing w:val="-2"/>
          <w:sz w:val="22"/>
          <w:szCs w:val="22"/>
        </w:rPr>
        <w:t xml:space="preserve">ections 0.111, </w:t>
      </w:r>
      <w:r w:rsidR="00856437" w:rsidRPr="009207D9">
        <w:rPr>
          <w:spacing w:val="-2"/>
          <w:sz w:val="22"/>
          <w:szCs w:val="22"/>
        </w:rPr>
        <w:t xml:space="preserve">0.204, </w:t>
      </w:r>
      <w:r w:rsidRPr="009207D9">
        <w:rPr>
          <w:spacing w:val="-2"/>
          <w:sz w:val="22"/>
          <w:szCs w:val="22"/>
        </w:rPr>
        <w:t>0.311</w:t>
      </w:r>
      <w:r w:rsidR="00716561" w:rsidRPr="009207D9">
        <w:rPr>
          <w:spacing w:val="-2"/>
          <w:sz w:val="22"/>
          <w:szCs w:val="22"/>
        </w:rPr>
        <w:t>, 0.314</w:t>
      </w:r>
      <w:r w:rsidR="002C62DA" w:rsidRPr="009207D9">
        <w:rPr>
          <w:spacing w:val="-2"/>
          <w:sz w:val="22"/>
          <w:szCs w:val="22"/>
        </w:rPr>
        <w:t>,</w:t>
      </w:r>
      <w:r w:rsidR="003E2AD5" w:rsidRPr="009207D9">
        <w:rPr>
          <w:spacing w:val="-2"/>
          <w:sz w:val="22"/>
          <w:szCs w:val="22"/>
        </w:rPr>
        <w:t xml:space="preserve"> and 1.80 of the </w:t>
      </w:r>
      <w:r w:rsidR="000C4049">
        <w:rPr>
          <w:spacing w:val="-2"/>
          <w:sz w:val="22"/>
          <w:szCs w:val="22"/>
        </w:rPr>
        <w:t>Rules</w:t>
      </w:r>
      <w:r w:rsidRPr="000C4049">
        <w:rPr>
          <w:spacing w:val="-2"/>
          <w:sz w:val="22"/>
          <w:szCs w:val="22"/>
        </w:rPr>
        <w:t xml:space="preserve">, </w:t>
      </w:r>
      <w:r w:rsidR="00BD4286">
        <w:rPr>
          <w:spacing w:val="-2"/>
          <w:sz w:val="22"/>
        </w:rPr>
        <w:t>Northeast Passage Corporation</w:t>
      </w:r>
      <w:r w:rsidR="00A05ADB" w:rsidRPr="00A14C0F">
        <w:rPr>
          <w:spacing w:val="-2"/>
          <w:sz w:val="22"/>
        </w:rPr>
        <w:t xml:space="preserve"> </w:t>
      </w:r>
      <w:r w:rsidRPr="000C4049">
        <w:rPr>
          <w:spacing w:val="-2"/>
          <w:sz w:val="22"/>
          <w:szCs w:val="22"/>
        </w:rPr>
        <w:t>is</w:t>
      </w:r>
      <w:r w:rsidRPr="009207D9">
        <w:rPr>
          <w:spacing w:val="-2"/>
          <w:sz w:val="22"/>
          <w:szCs w:val="22"/>
        </w:rPr>
        <w:t xml:space="preserve"> hereby </w:t>
      </w:r>
      <w:r w:rsidRPr="009207D9">
        <w:rPr>
          <w:b/>
          <w:spacing w:val="-2"/>
          <w:sz w:val="22"/>
          <w:szCs w:val="22"/>
        </w:rPr>
        <w:t xml:space="preserve">NOTIFIED </w:t>
      </w:r>
      <w:r w:rsidRPr="009207D9">
        <w:rPr>
          <w:spacing w:val="-2"/>
          <w:sz w:val="22"/>
          <w:szCs w:val="22"/>
        </w:rPr>
        <w:t xml:space="preserve">of this </w:t>
      </w:r>
      <w:r w:rsidRPr="009207D9">
        <w:rPr>
          <w:b/>
          <w:spacing w:val="-2"/>
          <w:sz w:val="22"/>
          <w:szCs w:val="22"/>
        </w:rPr>
        <w:t>APPARENT LIABILITY FOR A FORFEITURE</w:t>
      </w:r>
      <w:r w:rsidR="00484313" w:rsidRPr="009207D9">
        <w:rPr>
          <w:b/>
          <w:spacing w:val="-2"/>
          <w:sz w:val="22"/>
          <w:szCs w:val="22"/>
        </w:rPr>
        <w:t xml:space="preserve"> </w:t>
      </w:r>
      <w:r w:rsidRPr="009207D9">
        <w:rPr>
          <w:spacing w:val="-2"/>
          <w:sz w:val="22"/>
          <w:szCs w:val="22"/>
        </w:rPr>
        <w:t>in the amount of</w:t>
      </w:r>
      <w:r w:rsidRPr="009207D9">
        <w:rPr>
          <w:sz w:val="22"/>
          <w:szCs w:val="22"/>
        </w:rPr>
        <w:t xml:space="preserve"> </w:t>
      </w:r>
      <w:r w:rsidR="003208FD">
        <w:rPr>
          <w:sz w:val="22"/>
          <w:szCs w:val="22"/>
        </w:rPr>
        <w:t>fifteen</w:t>
      </w:r>
      <w:r w:rsidR="00E7176B" w:rsidRPr="009207D9">
        <w:rPr>
          <w:sz w:val="22"/>
          <w:szCs w:val="22"/>
        </w:rPr>
        <w:t xml:space="preserve"> </w:t>
      </w:r>
      <w:r w:rsidRPr="009207D9">
        <w:rPr>
          <w:sz w:val="22"/>
          <w:szCs w:val="22"/>
        </w:rPr>
        <w:t>thousand dollars ($</w:t>
      </w:r>
      <w:r w:rsidR="00E7176B" w:rsidRPr="009207D9">
        <w:rPr>
          <w:sz w:val="22"/>
          <w:szCs w:val="22"/>
        </w:rPr>
        <w:t>1</w:t>
      </w:r>
      <w:r w:rsidR="003208FD">
        <w:rPr>
          <w:sz w:val="22"/>
          <w:szCs w:val="22"/>
        </w:rPr>
        <w:t>5</w:t>
      </w:r>
      <w:r w:rsidRPr="009207D9">
        <w:rPr>
          <w:sz w:val="22"/>
          <w:szCs w:val="22"/>
        </w:rPr>
        <w:t xml:space="preserve">,000) for violations of </w:t>
      </w:r>
      <w:r w:rsidR="000C4049">
        <w:rPr>
          <w:sz w:val="22"/>
          <w:szCs w:val="22"/>
        </w:rPr>
        <w:t>Section 303(q) of the</w:t>
      </w:r>
      <w:r w:rsidR="000C4049">
        <w:rPr>
          <w:spacing w:val="-2"/>
          <w:sz w:val="22"/>
          <w:szCs w:val="22"/>
        </w:rPr>
        <w:t xml:space="preserve"> Act and</w:t>
      </w:r>
      <w:r w:rsidR="000C4049" w:rsidRPr="009207D9">
        <w:rPr>
          <w:sz w:val="22"/>
          <w:szCs w:val="22"/>
        </w:rPr>
        <w:t xml:space="preserve"> </w:t>
      </w:r>
      <w:r w:rsidR="00D57AE2" w:rsidRPr="009207D9">
        <w:rPr>
          <w:sz w:val="22"/>
          <w:szCs w:val="22"/>
        </w:rPr>
        <w:t>S</w:t>
      </w:r>
      <w:r w:rsidRPr="009207D9">
        <w:rPr>
          <w:sz w:val="22"/>
          <w:szCs w:val="22"/>
        </w:rPr>
        <w:t xml:space="preserve">ections </w:t>
      </w:r>
      <w:r w:rsidR="00867268">
        <w:rPr>
          <w:sz w:val="22"/>
          <w:szCs w:val="22"/>
        </w:rPr>
        <w:t xml:space="preserve">17.23, </w:t>
      </w:r>
      <w:r w:rsidR="000C4049" w:rsidRPr="009207D9">
        <w:rPr>
          <w:spacing w:val="-2"/>
          <w:sz w:val="22"/>
          <w:szCs w:val="22"/>
        </w:rPr>
        <w:t>17.47(a)</w:t>
      </w:r>
      <w:r w:rsidR="000C4049">
        <w:rPr>
          <w:spacing w:val="-2"/>
          <w:sz w:val="22"/>
          <w:szCs w:val="22"/>
        </w:rPr>
        <w:t xml:space="preserve">, 17.48(a), </w:t>
      </w:r>
      <w:r w:rsidR="00E7176B" w:rsidRPr="009207D9">
        <w:rPr>
          <w:spacing w:val="-2"/>
          <w:sz w:val="22"/>
          <w:szCs w:val="22"/>
        </w:rPr>
        <w:t xml:space="preserve">17.51(b), and 17.57 </w:t>
      </w:r>
      <w:r w:rsidRPr="009207D9">
        <w:rPr>
          <w:spacing w:val="-2"/>
          <w:sz w:val="22"/>
          <w:szCs w:val="22"/>
        </w:rPr>
        <w:t>o</w:t>
      </w:r>
      <w:r w:rsidRPr="009207D9">
        <w:rPr>
          <w:sz w:val="22"/>
          <w:szCs w:val="22"/>
        </w:rPr>
        <w:t xml:space="preserve">f the </w:t>
      </w:r>
      <w:r w:rsidR="00484313" w:rsidRPr="009207D9">
        <w:rPr>
          <w:sz w:val="22"/>
          <w:szCs w:val="22"/>
        </w:rPr>
        <w:t>R</w:t>
      </w:r>
      <w:r w:rsidRPr="009207D9">
        <w:rPr>
          <w:sz w:val="22"/>
          <w:szCs w:val="22"/>
        </w:rPr>
        <w:t>ules.</w:t>
      </w:r>
      <w:r w:rsidRPr="009207D9">
        <w:rPr>
          <w:rStyle w:val="FootnoteReference"/>
          <w:sz w:val="22"/>
          <w:szCs w:val="22"/>
        </w:rPr>
        <w:footnoteReference w:id="29"/>
      </w:r>
    </w:p>
    <w:p w:rsidR="00E7176B" w:rsidRPr="009207D9" w:rsidRDefault="00050854" w:rsidP="00E7176B">
      <w:pPr>
        <w:widowControl/>
        <w:numPr>
          <w:ilvl w:val="0"/>
          <w:numId w:val="22"/>
        </w:numPr>
        <w:tabs>
          <w:tab w:val="clear" w:pos="1260"/>
          <w:tab w:val="num" w:pos="1440"/>
          <w:tab w:val="left" w:pos="4680"/>
          <w:tab w:val="left" w:pos="5760"/>
        </w:tabs>
        <w:suppressAutoHyphens/>
        <w:spacing w:after="120" w:line="240" w:lineRule="atLeast"/>
        <w:ind w:left="0"/>
        <w:rPr>
          <w:spacing w:val="-2"/>
          <w:sz w:val="22"/>
          <w:szCs w:val="22"/>
        </w:rPr>
      </w:pPr>
      <w:r w:rsidRPr="009207D9">
        <w:rPr>
          <w:b/>
          <w:spacing w:val="-2"/>
          <w:sz w:val="22"/>
          <w:szCs w:val="22"/>
        </w:rPr>
        <w:t>IT IS FURTHER ORDERED</w:t>
      </w:r>
      <w:r w:rsidRPr="009207D9">
        <w:rPr>
          <w:spacing w:val="-2"/>
          <w:sz w:val="22"/>
          <w:szCs w:val="22"/>
        </w:rPr>
        <w:t xml:space="preserve"> </w:t>
      </w:r>
      <w:r w:rsidR="003F3CFD" w:rsidRPr="009207D9">
        <w:rPr>
          <w:spacing w:val="-2"/>
          <w:sz w:val="22"/>
          <w:szCs w:val="22"/>
        </w:rPr>
        <w:t>that</w:t>
      </w:r>
      <w:r w:rsidR="00D57AE2" w:rsidRPr="009207D9">
        <w:rPr>
          <w:spacing w:val="-2"/>
          <w:sz w:val="22"/>
          <w:szCs w:val="22"/>
        </w:rPr>
        <w:t>, pursuant to S</w:t>
      </w:r>
      <w:r w:rsidR="003E2AD5" w:rsidRPr="009207D9">
        <w:rPr>
          <w:spacing w:val="-2"/>
          <w:sz w:val="22"/>
          <w:szCs w:val="22"/>
        </w:rPr>
        <w:t>e</w:t>
      </w:r>
      <w:r w:rsidR="000C4049">
        <w:rPr>
          <w:spacing w:val="-2"/>
          <w:sz w:val="22"/>
          <w:szCs w:val="22"/>
        </w:rPr>
        <w:t>ction 1.80 of the Rules</w:t>
      </w:r>
      <w:r w:rsidR="002C62DA" w:rsidRPr="009207D9">
        <w:rPr>
          <w:spacing w:val="-2"/>
          <w:sz w:val="22"/>
          <w:szCs w:val="22"/>
        </w:rPr>
        <w:t>,</w:t>
      </w:r>
      <w:r w:rsidRPr="009207D9">
        <w:rPr>
          <w:spacing w:val="-2"/>
          <w:sz w:val="22"/>
          <w:szCs w:val="22"/>
        </w:rPr>
        <w:t xml:space="preserve"> within thirty </w:t>
      </w:r>
      <w:r w:rsidR="003A7878" w:rsidRPr="009207D9">
        <w:rPr>
          <w:spacing w:val="-2"/>
          <w:sz w:val="22"/>
          <w:szCs w:val="22"/>
        </w:rPr>
        <w:t xml:space="preserve">(30) calendar </w:t>
      </w:r>
      <w:r w:rsidRPr="009207D9">
        <w:rPr>
          <w:spacing w:val="-2"/>
          <w:sz w:val="22"/>
          <w:szCs w:val="22"/>
        </w:rPr>
        <w:t xml:space="preserve">days of the </w:t>
      </w:r>
      <w:r w:rsidR="000C4049">
        <w:rPr>
          <w:spacing w:val="-2"/>
          <w:sz w:val="22"/>
          <w:szCs w:val="22"/>
        </w:rPr>
        <w:t>release date of th</w:t>
      </w:r>
      <w:r w:rsidR="008258ED">
        <w:rPr>
          <w:spacing w:val="-2"/>
          <w:sz w:val="22"/>
          <w:szCs w:val="22"/>
        </w:rPr>
        <w:t xml:space="preserve">is </w:t>
      </w:r>
      <w:r w:rsidR="008258ED" w:rsidRPr="009207D9">
        <w:rPr>
          <w:spacing w:val="-2"/>
          <w:sz w:val="22"/>
          <w:szCs w:val="22"/>
        </w:rPr>
        <w:t>Notice of Apparent Liability for Forfeiture and Order</w:t>
      </w:r>
      <w:r w:rsidRPr="009207D9">
        <w:rPr>
          <w:spacing w:val="-2"/>
          <w:sz w:val="22"/>
          <w:szCs w:val="22"/>
        </w:rPr>
        <w:t xml:space="preserve">, </w:t>
      </w:r>
      <w:r w:rsidR="00BD4286">
        <w:rPr>
          <w:spacing w:val="-2"/>
          <w:sz w:val="22"/>
          <w:szCs w:val="22"/>
        </w:rPr>
        <w:t>Northeast Passage Corporation</w:t>
      </w:r>
      <w:r w:rsidR="00A05ADB">
        <w:rPr>
          <w:spacing w:val="-2"/>
          <w:sz w:val="22"/>
          <w:szCs w:val="22"/>
        </w:rPr>
        <w:t xml:space="preserve"> </w:t>
      </w:r>
      <w:r w:rsidR="00145224" w:rsidRPr="009207D9">
        <w:rPr>
          <w:b/>
          <w:spacing w:val="-2"/>
          <w:sz w:val="22"/>
          <w:szCs w:val="22"/>
        </w:rPr>
        <w:t>SHALL PAY</w:t>
      </w:r>
      <w:r w:rsidRPr="009207D9">
        <w:rPr>
          <w:spacing w:val="-2"/>
          <w:sz w:val="22"/>
          <w:szCs w:val="22"/>
        </w:rPr>
        <w:t xml:space="preserve"> the full amount of the proposed forfeiture or </w:t>
      </w:r>
      <w:r w:rsidR="00145224" w:rsidRPr="009207D9">
        <w:rPr>
          <w:b/>
          <w:spacing w:val="-2"/>
          <w:sz w:val="22"/>
          <w:szCs w:val="22"/>
        </w:rPr>
        <w:t>SHALL FILE</w:t>
      </w:r>
      <w:r w:rsidRPr="009207D9">
        <w:rPr>
          <w:spacing w:val="-2"/>
          <w:sz w:val="22"/>
          <w:szCs w:val="22"/>
        </w:rPr>
        <w:t xml:space="preserve"> a written statement seeking reduction or cancellation of the proposed forfeiture.</w:t>
      </w:r>
    </w:p>
    <w:p w:rsidR="00E7176B" w:rsidRPr="009207D9" w:rsidRDefault="00A12D37" w:rsidP="00E7176B">
      <w:pPr>
        <w:widowControl/>
        <w:numPr>
          <w:ilvl w:val="0"/>
          <w:numId w:val="22"/>
        </w:numPr>
        <w:tabs>
          <w:tab w:val="clear" w:pos="1260"/>
          <w:tab w:val="num" w:pos="1440"/>
          <w:tab w:val="left" w:pos="4680"/>
          <w:tab w:val="left" w:pos="5760"/>
        </w:tabs>
        <w:suppressAutoHyphens/>
        <w:spacing w:after="120" w:line="240" w:lineRule="atLeast"/>
        <w:ind w:left="0"/>
        <w:rPr>
          <w:spacing w:val="-2"/>
          <w:sz w:val="22"/>
          <w:szCs w:val="22"/>
        </w:rPr>
      </w:pPr>
      <w:r w:rsidRPr="009207D9">
        <w:rPr>
          <w:b/>
          <w:sz w:val="22"/>
          <w:szCs w:val="22"/>
        </w:rPr>
        <w:t xml:space="preserve">IT IS FURTHER ORDERED </w:t>
      </w:r>
      <w:r w:rsidRPr="009207D9">
        <w:rPr>
          <w:sz w:val="22"/>
          <w:szCs w:val="22"/>
        </w:rPr>
        <w:t>that</w:t>
      </w:r>
      <w:r w:rsidR="00E7176B" w:rsidRPr="009207D9">
        <w:rPr>
          <w:sz w:val="22"/>
          <w:szCs w:val="22"/>
        </w:rPr>
        <w:t xml:space="preserve"> N</w:t>
      </w:r>
      <w:r w:rsidR="00915C43">
        <w:rPr>
          <w:sz w:val="22"/>
          <w:szCs w:val="22"/>
        </w:rPr>
        <w:t xml:space="preserve">ortheast Passage Corporation </w:t>
      </w:r>
      <w:r w:rsidRPr="009207D9">
        <w:rPr>
          <w:b/>
          <w:sz w:val="22"/>
          <w:szCs w:val="22"/>
        </w:rPr>
        <w:t>SHALL SUBMIT</w:t>
      </w:r>
      <w:r w:rsidRPr="009207D9">
        <w:rPr>
          <w:sz w:val="22"/>
          <w:szCs w:val="22"/>
        </w:rPr>
        <w:t xml:space="preserve"> a written statement, as described in paragraph </w:t>
      </w:r>
      <w:r w:rsidR="000C4049">
        <w:rPr>
          <w:sz w:val="22"/>
          <w:szCs w:val="22"/>
        </w:rPr>
        <w:t>13</w:t>
      </w:r>
      <w:r w:rsidRPr="009207D9">
        <w:rPr>
          <w:sz w:val="22"/>
          <w:szCs w:val="22"/>
        </w:rPr>
        <w:t>, within thirty (30) calendar days of the release da</w:t>
      </w:r>
      <w:r w:rsidR="000C4049">
        <w:rPr>
          <w:sz w:val="22"/>
          <w:szCs w:val="22"/>
        </w:rPr>
        <w:t>te of</w:t>
      </w:r>
      <w:r w:rsidR="008258ED">
        <w:rPr>
          <w:sz w:val="22"/>
          <w:szCs w:val="22"/>
        </w:rPr>
        <w:t xml:space="preserve"> this </w:t>
      </w:r>
      <w:r w:rsidR="008258ED" w:rsidRPr="00A14C0F">
        <w:rPr>
          <w:spacing w:val="-2"/>
          <w:sz w:val="22"/>
        </w:rPr>
        <w:t>Notice of Apparent Liability for Forfeiture and Order</w:t>
      </w:r>
      <w:r w:rsidRPr="009207D9">
        <w:rPr>
          <w:sz w:val="22"/>
          <w:szCs w:val="22"/>
        </w:rPr>
        <w:t>.  The statement must be mailed to Federal Communications Commission, Enforcement Bureau,</w:t>
      </w:r>
      <w:r w:rsidRPr="009207D9">
        <w:rPr>
          <w:spacing w:val="-2"/>
          <w:sz w:val="22"/>
          <w:szCs w:val="22"/>
        </w:rPr>
        <w:t xml:space="preserve"> </w:t>
      </w:r>
      <w:r w:rsidR="00E7176B" w:rsidRPr="009207D9">
        <w:rPr>
          <w:spacing w:val="-2"/>
          <w:sz w:val="22"/>
          <w:szCs w:val="22"/>
        </w:rPr>
        <w:t xml:space="preserve">Northeast </w:t>
      </w:r>
      <w:r w:rsidRPr="009207D9">
        <w:rPr>
          <w:spacing w:val="-2"/>
          <w:sz w:val="22"/>
          <w:szCs w:val="22"/>
        </w:rPr>
        <w:t>Region</w:t>
      </w:r>
      <w:r w:rsidR="00E7176B" w:rsidRPr="009207D9">
        <w:rPr>
          <w:spacing w:val="-2"/>
          <w:sz w:val="22"/>
          <w:szCs w:val="22"/>
        </w:rPr>
        <w:t xml:space="preserve">, Philadelphia Office, One Oxford Valley Building, Suite 404, 2300 East Lincoln Highway, Langhorne, Pennsylvania 19047.  </w:t>
      </w:r>
      <w:r w:rsidR="003A3D53" w:rsidRPr="00A14C0F">
        <w:rPr>
          <w:sz w:val="22"/>
        </w:rPr>
        <w:t>N</w:t>
      </w:r>
      <w:r w:rsidR="00BD4286">
        <w:rPr>
          <w:sz w:val="22"/>
        </w:rPr>
        <w:t>ortheast Passage Corporation</w:t>
      </w:r>
      <w:r w:rsidR="003A3D53" w:rsidRPr="00A14C0F">
        <w:rPr>
          <w:sz w:val="22"/>
        </w:rPr>
        <w:t xml:space="preserve"> </w:t>
      </w:r>
      <w:r w:rsidRPr="009207D9">
        <w:rPr>
          <w:spacing w:val="-2"/>
          <w:sz w:val="22"/>
          <w:szCs w:val="22"/>
        </w:rPr>
        <w:t>shall also e</w:t>
      </w:r>
      <w:r w:rsidR="00F30E61" w:rsidRPr="009207D9">
        <w:rPr>
          <w:spacing w:val="-2"/>
          <w:sz w:val="22"/>
          <w:szCs w:val="22"/>
        </w:rPr>
        <w:t>-</w:t>
      </w:r>
      <w:r w:rsidRPr="009207D9">
        <w:rPr>
          <w:spacing w:val="-2"/>
          <w:sz w:val="22"/>
          <w:szCs w:val="22"/>
        </w:rPr>
        <w:t>mail the written statement to</w:t>
      </w:r>
      <w:r w:rsidRPr="009207D9">
        <w:rPr>
          <w:sz w:val="22"/>
          <w:szCs w:val="22"/>
        </w:rPr>
        <w:t xml:space="preserve"> </w:t>
      </w:r>
      <w:hyperlink r:id="rId8" w:history="1">
        <w:r w:rsidRPr="00245F69">
          <w:rPr>
            <w:rStyle w:val="Hyperlink"/>
            <w:color w:val="auto"/>
            <w:sz w:val="22"/>
            <w:szCs w:val="22"/>
            <w:u w:val="none"/>
          </w:rPr>
          <w:t>NER-Response@fcc.gov</w:t>
        </w:r>
      </w:hyperlink>
      <w:r w:rsidR="00E7176B" w:rsidRPr="009207D9">
        <w:rPr>
          <w:sz w:val="22"/>
          <w:szCs w:val="22"/>
        </w:rPr>
        <w:t>.</w:t>
      </w:r>
    </w:p>
    <w:p w:rsidR="00A66F85" w:rsidRPr="009207D9" w:rsidRDefault="00A66F85" w:rsidP="00E7176B">
      <w:pPr>
        <w:widowControl/>
        <w:numPr>
          <w:ilvl w:val="0"/>
          <w:numId w:val="22"/>
        </w:numPr>
        <w:tabs>
          <w:tab w:val="clear" w:pos="1260"/>
          <w:tab w:val="num" w:pos="1440"/>
          <w:tab w:val="left" w:pos="4680"/>
          <w:tab w:val="left" w:pos="5760"/>
        </w:tabs>
        <w:suppressAutoHyphens/>
        <w:spacing w:after="120" w:line="240" w:lineRule="atLeast"/>
        <w:ind w:left="0"/>
        <w:rPr>
          <w:spacing w:val="-2"/>
          <w:sz w:val="22"/>
          <w:szCs w:val="22"/>
        </w:rPr>
      </w:pPr>
      <w:r w:rsidRPr="009207D9">
        <w:rPr>
          <w:rFonts w:eastAsia="MS Mincho" w:cs="Arial"/>
          <w:sz w:val="22"/>
          <w:szCs w:val="22"/>
        </w:rPr>
        <w:t>Payment of the forfeiture must be made by check or similar instrument, wire transfer, or credit card, an</w:t>
      </w:r>
      <w:r w:rsidR="000C4049">
        <w:rPr>
          <w:rFonts w:eastAsia="MS Mincho" w:cs="Arial"/>
          <w:sz w:val="22"/>
          <w:szCs w:val="22"/>
        </w:rPr>
        <w:t>d must include the NAL/Account N</w:t>
      </w:r>
      <w:r w:rsidRPr="009207D9">
        <w:rPr>
          <w:rFonts w:eastAsia="MS Mincho" w:cs="Arial"/>
          <w:sz w:val="22"/>
          <w:szCs w:val="22"/>
        </w:rPr>
        <w:t xml:space="preserve">umber and FRN referenced above.  </w:t>
      </w:r>
      <w:r w:rsidR="003A3D53" w:rsidRPr="009207D9">
        <w:rPr>
          <w:sz w:val="22"/>
          <w:szCs w:val="22"/>
        </w:rPr>
        <w:t>N</w:t>
      </w:r>
      <w:r w:rsidR="00BD4286">
        <w:rPr>
          <w:sz w:val="22"/>
          <w:szCs w:val="22"/>
        </w:rPr>
        <w:t>ortheast Passage Corporation</w:t>
      </w:r>
      <w:r w:rsidR="00E7176B" w:rsidRPr="009207D9">
        <w:rPr>
          <w:rFonts w:eastAsia="MS Mincho" w:cs="Arial"/>
          <w:sz w:val="22"/>
          <w:szCs w:val="22"/>
        </w:rPr>
        <w:t xml:space="preserve"> </w:t>
      </w:r>
      <w:r w:rsidR="0095119D" w:rsidRPr="009207D9">
        <w:rPr>
          <w:sz w:val="22"/>
          <w:szCs w:val="22"/>
          <w:lang w:bidi="he-IL"/>
        </w:rPr>
        <w:t xml:space="preserve">shall also send electronic notification on the date said payment is made to </w:t>
      </w:r>
      <w:hyperlink r:id="rId9" w:history="1">
        <w:r w:rsidR="0095119D" w:rsidRPr="00AC5318">
          <w:rPr>
            <w:rStyle w:val="Hyperlink"/>
            <w:color w:val="auto"/>
            <w:sz w:val="22"/>
            <w:szCs w:val="22"/>
            <w:u w:val="none"/>
          </w:rPr>
          <w:t>NER-Response@fcc.gov</w:t>
        </w:r>
      </w:hyperlink>
      <w:r w:rsidR="0095119D" w:rsidRPr="009207D9">
        <w:rPr>
          <w:sz w:val="22"/>
          <w:szCs w:val="22"/>
        </w:rPr>
        <w:t xml:space="preserve">.  </w:t>
      </w:r>
      <w:r w:rsidRPr="009207D9">
        <w:rPr>
          <w:rFonts w:eastAsia="MS Mincho" w:cs="Arial"/>
          <w:sz w:val="22"/>
          <w:szCs w:val="22"/>
        </w:rPr>
        <w:t>Regardless of the form of payment, a completed FCC Form 159 (Remittance Advice) must be submitted.</w:t>
      </w:r>
      <w:r w:rsidRPr="009207D9">
        <w:rPr>
          <w:rStyle w:val="FootnoteReference"/>
          <w:rFonts w:eastAsia="MS Mincho" w:cs="Arial"/>
          <w:sz w:val="22"/>
          <w:szCs w:val="22"/>
        </w:rPr>
        <w:footnoteReference w:id="30"/>
      </w:r>
      <w:r w:rsidRPr="009207D9">
        <w:rPr>
          <w:rFonts w:eastAsia="MS Mincho" w:cs="Arial"/>
          <w:sz w:val="22"/>
          <w:szCs w:val="22"/>
        </w:rPr>
        <w:t xml:space="preserve">  When completing the FCC Form 159, enter the Account Number in block number 23A (call sign/other ID) and enter the letters “FORF” in block number 24A (payment</w:t>
      </w:r>
      <w:r w:rsidR="000C4049">
        <w:rPr>
          <w:rFonts w:eastAsia="MS Mincho" w:cs="Arial"/>
          <w:sz w:val="22"/>
          <w:szCs w:val="22"/>
        </w:rPr>
        <w:t xml:space="preserve"> type code).</w:t>
      </w:r>
      <w:r w:rsidRPr="009207D9">
        <w:rPr>
          <w:rFonts w:eastAsia="MS Mincho" w:cs="Arial"/>
          <w:sz w:val="22"/>
          <w:szCs w:val="22"/>
        </w:rPr>
        <w:t xml:space="preserve">  </w:t>
      </w:r>
      <w:r w:rsidRPr="009207D9">
        <w:rPr>
          <w:sz w:val="22"/>
          <w:szCs w:val="22"/>
        </w:rPr>
        <w:t>Below are additional instructions you should follow based on the form of payment you select:</w:t>
      </w:r>
    </w:p>
    <w:p w:rsidR="00A66F85" w:rsidRPr="009207D9" w:rsidRDefault="00A66F85" w:rsidP="00E7176B">
      <w:pPr>
        <w:pStyle w:val="ParaNum"/>
        <w:numPr>
          <w:ilvl w:val="0"/>
          <w:numId w:val="27"/>
        </w:numPr>
        <w:tabs>
          <w:tab w:val="clear" w:pos="1440"/>
        </w:tabs>
        <w:autoSpaceDE/>
        <w:autoSpaceDN/>
        <w:adjustRightInd/>
        <w:spacing w:after="120"/>
        <w:jc w:val="left"/>
        <w:rPr>
          <w:rFonts w:eastAsia="MS Mincho"/>
          <w:sz w:val="22"/>
          <w:szCs w:val="22"/>
        </w:rPr>
      </w:pPr>
      <w:r w:rsidRPr="009207D9">
        <w:rPr>
          <w:rFonts w:eastAsia="MS Mincho"/>
          <w:sz w:val="22"/>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w:t>
      </w:r>
      <w:r w:rsidR="00BF72FB">
        <w:rPr>
          <w:rFonts w:eastAsia="MS Mincho"/>
          <w:sz w:val="22"/>
          <w:szCs w:val="22"/>
        </w:rPr>
        <w:t>on Plaza, St. Louis, MO 63101.</w:t>
      </w:r>
    </w:p>
    <w:p w:rsidR="00A66F85" w:rsidRPr="009207D9" w:rsidRDefault="00A66F85" w:rsidP="00E7176B">
      <w:pPr>
        <w:pStyle w:val="ParaNum"/>
        <w:numPr>
          <w:ilvl w:val="0"/>
          <w:numId w:val="27"/>
        </w:numPr>
        <w:tabs>
          <w:tab w:val="clear" w:pos="1440"/>
        </w:tabs>
        <w:autoSpaceDE/>
        <w:autoSpaceDN/>
        <w:adjustRightInd/>
        <w:spacing w:after="120"/>
        <w:jc w:val="left"/>
        <w:rPr>
          <w:rFonts w:eastAsia="MS Mincho"/>
          <w:sz w:val="22"/>
          <w:szCs w:val="22"/>
        </w:rPr>
      </w:pPr>
      <w:r w:rsidRPr="009207D9">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9207D9" w:rsidRDefault="00A66F85" w:rsidP="00E7176B">
      <w:pPr>
        <w:pStyle w:val="ParaNum"/>
        <w:numPr>
          <w:ilvl w:val="0"/>
          <w:numId w:val="27"/>
        </w:numPr>
        <w:tabs>
          <w:tab w:val="clear" w:pos="1440"/>
        </w:tabs>
        <w:autoSpaceDE/>
        <w:autoSpaceDN/>
        <w:adjustRightInd/>
        <w:spacing w:after="120"/>
        <w:jc w:val="left"/>
        <w:rPr>
          <w:rFonts w:eastAsia="MS Mincho"/>
          <w:sz w:val="22"/>
          <w:szCs w:val="22"/>
        </w:rPr>
      </w:pPr>
      <w:r w:rsidRPr="009207D9">
        <w:rPr>
          <w:rFonts w:eastAsia="MS Mincho"/>
          <w:sz w:val="22"/>
          <w:szCs w:val="22"/>
        </w:rPr>
        <w:t>Payment by credit card must be made by providing the required credit card information on FCC Form 159 and signing and dating the Form 159 to autho</w:t>
      </w:r>
      <w:r w:rsidR="000C4049">
        <w:rPr>
          <w:rFonts w:eastAsia="MS Mincho"/>
          <w:sz w:val="22"/>
          <w:szCs w:val="22"/>
        </w:rPr>
        <w:t xml:space="preserve">rize the credit card payment.  </w:t>
      </w:r>
      <w:r w:rsidRPr="009207D9">
        <w:rPr>
          <w:rFonts w:eastAsia="MS Mincho"/>
          <w:sz w:val="22"/>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rsidR="00612C1A" w:rsidRPr="00245F69" w:rsidRDefault="00A66F85" w:rsidP="00612C1A">
      <w:pPr>
        <w:widowControl/>
        <w:numPr>
          <w:ilvl w:val="0"/>
          <w:numId w:val="22"/>
        </w:numPr>
        <w:tabs>
          <w:tab w:val="clear" w:pos="1260"/>
          <w:tab w:val="num" w:pos="1440"/>
          <w:tab w:val="left" w:pos="4680"/>
          <w:tab w:val="left" w:pos="5760"/>
        </w:tabs>
        <w:suppressAutoHyphens/>
        <w:spacing w:after="120" w:line="240" w:lineRule="atLeast"/>
        <w:ind w:left="0"/>
        <w:rPr>
          <w:rFonts w:eastAsia="MS Mincho"/>
          <w:sz w:val="22"/>
          <w:szCs w:val="22"/>
        </w:rPr>
      </w:pPr>
      <w:r w:rsidRPr="009207D9">
        <w:rPr>
          <w:rFonts w:eastAsia="MS Mincho"/>
          <w:sz w:val="22"/>
          <w:szCs w:val="22"/>
        </w:rPr>
        <w:t xml:space="preserve">Any request for </w:t>
      </w:r>
      <w:r w:rsidR="00D13FA6" w:rsidRPr="009207D9">
        <w:rPr>
          <w:rFonts w:eastAsia="MS Mincho"/>
          <w:sz w:val="22"/>
          <w:szCs w:val="22"/>
        </w:rPr>
        <w:t xml:space="preserve">making </w:t>
      </w:r>
      <w:r w:rsidRPr="009207D9">
        <w:rPr>
          <w:rFonts w:eastAsia="MS Mincho"/>
          <w:sz w:val="22"/>
          <w:szCs w:val="22"/>
        </w:rPr>
        <w:t xml:space="preserve">full payment </w:t>
      </w:r>
      <w:r w:rsidR="00D13FA6" w:rsidRPr="009207D9">
        <w:rPr>
          <w:rFonts w:eastAsia="MS Mincho"/>
          <w:sz w:val="22"/>
          <w:szCs w:val="22"/>
        </w:rPr>
        <w:t xml:space="preserve">over time </w:t>
      </w:r>
      <w:r w:rsidRPr="009207D9">
        <w:rPr>
          <w:rFonts w:eastAsia="MS Mincho" w:cs="Arial"/>
          <w:sz w:val="22"/>
          <w:szCs w:val="22"/>
        </w:rPr>
        <w:t>under</w:t>
      </w:r>
      <w:r w:rsidRPr="009207D9">
        <w:rPr>
          <w:rFonts w:eastAsia="MS Mincho"/>
          <w:sz w:val="22"/>
          <w:szCs w:val="22"/>
        </w:rPr>
        <w:t xml:space="preserve"> an installment plan should be sent to:  Chief Financial Officer—Financial Operations, </w:t>
      </w:r>
      <w:r w:rsidRPr="009207D9">
        <w:rPr>
          <w:rFonts w:eastAsia="MS Mincho" w:cs="Arial"/>
          <w:sz w:val="22"/>
          <w:szCs w:val="22"/>
        </w:rPr>
        <w:t>Federal</w:t>
      </w:r>
      <w:r w:rsidRPr="009207D9">
        <w:rPr>
          <w:rFonts w:eastAsia="MS Mincho"/>
          <w:sz w:val="22"/>
          <w:szCs w:val="22"/>
        </w:rPr>
        <w:t xml:space="preserve"> Communications Commission, 445 12th Street, S.W., Room 1-A625, Washington, D.C.  20554.</w:t>
      </w:r>
      <w:r w:rsidRPr="009207D9">
        <w:rPr>
          <w:rStyle w:val="FootnoteReference"/>
          <w:rFonts w:eastAsia="MS Mincho"/>
          <w:sz w:val="22"/>
          <w:szCs w:val="22"/>
        </w:rPr>
        <w:footnoteReference w:id="31"/>
      </w:r>
      <w:r w:rsidRPr="009207D9">
        <w:rPr>
          <w:rFonts w:eastAsia="MS Mincho"/>
          <w:sz w:val="22"/>
          <w:szCs w:val="22"/>
        </w:rPr>
        <w:t>  If you have questions regarding payment procedures, please contact the Financial Operations Group Help Desk by phone, 1-877-480-3201, or by e</w:t>
      </w:r>
      <w:r w:rsidRPr="009207D9">
        <w:rPr>
          <w:rFonts w:eastAsia="MS Mincho"/>
          <w:sz w:val="22"/>
          <w:szCs w:val="22"/>
        </w:rPr>
        <w:noBreakHyphen/>
        <w:t xml:space="preserve">mail, </w:t>
      </w:r>
      <w:r w:rsidRPr="009207D9">
        <w:rPr>
          <w:rFonts w:eastAsia="MS Mincho" w:cs="Arial"/>
          <w:sz w:val="22"/>
          <w:szCs w:val="22"/>
        </w:rPr>
        <w:t>ARINQUIRIES@fcc.gov</w:t>
      </w:r>
      <w:r w:rsidRPr="009207D9">
        <w:rPr>
          <w:rFonts w:eastAsia="MS Mincho"/>
          <w:sz w:val="22"/>
          <w:szCs w:val="22"/>
        </w:rPr>
        <w:t xml:space="preserve">.  </w:t>
      </w:r>
    </w:p>
    <w:p w:rsidR="009207D9" w:rsidRPr="009207D9" w:rsidRDefault="007E2E05" w:rsidP="009207D9">
      <w:pPr>
        <w:widowControl/>
        <w:numPr>
          <w:ilvl w:val="0"/>
          <w:numId w:val="22"/>
        </w:numPr>
        <w:tabs>
          <w:tab w:val="clear" w:pos="1260"/>
          <w:tab w:val="num" w:pos="1440"/>
          <w:tab w:val="left" w:pos="4680"/>
          <w:tab w:val="left" w:pos="5760"/>
        </w:tabs>
        <w:suppressAutoHyphens/>
        <w:spacing w:after="120" w:line="240" w:lineRule="atLeast"/>
        <w:ind w:left="0"/>
        <w:rPr>
          <w:spacing w:val="-2"/>
          <w:sz w:val="22"/>
          <w:szCs w:val="22"/>
        </w:rPr>
      </w:pPr>
      <w:r w:rsidRPr="00245F69">
        <w:rPr>
          <w:rFonts w:eastAsia="MS Mincho"/>
          <w:sz w:val="22"/>
          <w:szCs w:val="22"/>
        </w:rPr>
        <w:t>The written statement seeking reduction or</w:t>
      </w:r>
      <w:r w:rsidRPr="00245F69">
        <w:rPr>
          <w:rFonts w:eastAsia="MS Mincho" w:cs="Arial"/>
          <w:sz w:val="22"/>
          <w:szCs w:val="22"/>
        </w:rPr>
        <w:t xml:space="preserve"> canc</w:t>
      </w:r>
      <w:r w:rsidRPr="00245F69">
        <w:rPr>
          <w:rFonts w:eastAsia="MS Mincho"/>
          <w:sz w:val="22"/>
          <w:szCs w:val="22"/>
        </w:rPr>
        <w:t xml:space="preserve">ellation of the proposed forfeiture, if any, must include a detailed factual statement </w:t>
      </w:r>
      <w:r w:rsidRPr="00245F69">
        <w:rPr>
          <w:rFonts w:eastAsia="MS Mincho" w:cs="Arial"/>
          <w:sz w:val="22"/>
          <w:szCs w:val="22"/>
        </w:rPr>
        <w:t>support</w:t>
      </w:r>
      <w:r w:rsidRPr="00245F69">
        <w:rPr>
          <w:rFonts w:eastAsia="MS Mincho"/>
          <w:sz w:val="22"/>
          <w:szCs w:val="22"/>
        </w:rPr>
        <w:t>ed by appropriate documentat</w:t>
      </w:r>
      <w:r w:rsidR="00D57AE2" w:rsidRPr="00245F69">
        <w:rPr>
          <w:rFonts w:eastAsia="MS Mincho"/>
          <w:sz w:val="22"/>
          <w:szCs w:val="22"/>
        </w:rPr>
        <w:t>ion and affidavits pursuant to S</w:t>
      </w:r>
      <w:r w:rsidRPr="00245F69">
        <w:rPr>
          <w:rFonts w:eastAsia="MS Mincho"/>
          <w:sz w:val="22"/>
          <w:szCs w:val="22"/>
        </w:rPr>
        <w:t xml:space="preserve">ections </w:t>
      </w:r>
      <w:r w:rsidR="00F30E61" w:rsidRPr="00245F69">
        <w:rPr>
          <w:rFonts w:eastAsia="MS Mincho"/>
          <w:sz w:val="22"/>
          <w:szCs w:val="22"/>
        </w:rPr>
        <w:t xml:space="preserve">1.16 and </w:t>
      </w:r>
      <w:r w:rsidRPr="00245F69">
        <w:rPr>
          <w:rFonts w:eastAsia="MS Mincho"/>
          <w:sz w:val="22"/>
          <w:szCs w:val="22"/>
        </w:rPr>
        <w:t xml:space="preserve">1.80(f)(3) </w:t>
      </w:r>
      <w:r w:rsidRPr="009207D9">
        <w:rPr>
          <w:sz w:val="22"/>
          <w:szCs w:val="22"/>
        </w:rPr>
        <w:t>o</w:t>
      </w:r>
      <w:r w:rsidRPr="00245F69">
        <w:rPr>
          <w:rFonts w:eastAsia="MS Mincho"/>
          <w:sz w:val="22"/>
          <w:szCs w:val="22"/>
        </w:rPr>
        <w:t>f the Rules.</w:t>
      </w:r>
      <w:r w:rsidR="003E2AD5" w:rsidRPr="00245F69">
        <w:rPr>
          <w:rStyle w:val="FootnoteReference"/>
          <w:rFonts w:eastAsia="MS Mincho"/>
          <w:sz w:val="22"/>
          <w:szCs w:val="22"/>
        </w:rPr>
        <w:footnoteReference w:id="32"/>
      </w:r>
      <w:r w:rsidRPr="00245F69">
        <w:rPr>
          <w:rFonts w:eastAsia="MS Mincho"/>
          <w:sz w:val="22"/>
          <w:szCs w:val="22"/>
        </w:rPr>
        <w:t xml:space="preserve">  Mail the written statement to </w:t>
      </w:r>
      <w:r w:rsidR="009207D9" w:rsidRPr="00245F69">
        <w:rPr>
          <w:rFonts w:eastAsia="MS Mincho"/>
          <w:sz w:val="22"/>
          <w:szCs w:val="22"/>
        </w:rPr>
        <w:t>Federal Communications Commission, Enforcement Bureau,</w:t>
      </w:r>
      <w:r w:rsidR="009207D9" w:rsidRPr="00245F69">
        <w:rPr>
          <w:rFonts w:eastAsia="MS Mincho"/>
          <w:spacing w:val="-2"/>
          <w:sz w:val="22"/>
          <w:szCs w:val="22"/>
        </w:rPr>
        <w:t xml:space="preserve"> Northeast Region, Philadelphia Office, One Oxford </w:t>
      </w:r>
      <w:r w:rsidR="009207D9" w:rsidRPr="00245F69">
        <w:rPr>
          <w:rFonts w:eastAsia="MS Mincho" w:cs="Arial"/>
          <w:spacing w:val="-2"/>
          <w:sz w:val="22"/>
          <w:szCs w:val="22"/>
        </w:rPr>
        <w:t>Valley Building, Su</w:t>
      </w:r>
      <w:r w:rsidR="009207D9" w:rsidRPr="00245F69">
        <w:rPr>
          <w:rFonts w:eastAsia="MS Mincho"/>
          <w:spacing w:val="-2"/>
          <w:sz w:val="22"/>
          <w:szCs w:val="22"/>
        </w:rPr>
        <w:t xml:space="preserve">ite </w:t>
      </w:r>
      <w:r w:rsidR="009207D9" w:rsidRPr="009207D9">
        <w:rPr>
          <w:spacing w:val="-2"/>
          <w:sz w:val="22"/>
          <w:szCs w:val="22"/>
        </w:rPr>
        <w:t>404, 2300 East Lincoln Highway, Langhorne, Pennsylvania 19047</w:t>
      </w:r>
      <w:r w:rsidR="00BF72FB" w:rsidRPr="00A14C0F">
        <w:rPr>
          <w:spacing w:val="-2"/>
          <w:sz w:val="22"/>
        </w:rPr>
        <w:t>,</w:t>
      </w:r>
      <w:r w:rsidR="00050854" w:rsidRPr="009207D9">
        <w:rPr>
          <w:spacing w:val="-2"/>
          <w:sz w:val="22"/>
          <w:szCs w:val="22"/>
        </w:rPr>
        <w:t xml:space="preserve"> and include the NAL/Acct. No. referenced in the caption.</w:t>
      </w:r>
      <w:r w:rsidR="00683F6F" w:rsidRPr="009207D9">
        <w:rPr>
          <w:spacing w:val="-2"/>
          <w:sz w:val="22"/>
          <w:szCs w:val="22"/>
        </w:rPr>
        <w:t xml:space="preserve">  </w:t>
      </w:r>
      <w:r w:rsidR="00BD4286">
        <w:rPr>
          <w:spacing w:val="-2"/>
          <w:sz w:val="22"/>
          <w:szCs w:val="22"/>
        </w:rPr>
        <w:t xml:space="preserve">Northeast </w:t>
      </w:r>
      <w:r w:rsidR="009207D9" w:rsidRPr="009207D9">
        <w:rPr>
          <w:spacing w:val="-2"/>
          <w:sz w:val="22"/>
          <w:szCs w:val="22"/>
        </w:rPr>
        <w:t xml:space="preserve">Passage </w:t>
      </w:r>
      <w:r w:rsidR="00BD4286">
        <w:rPr>
          <w:spacing w:val="-2"/>
          <w:sz w:val="22"/>
          <w:szCs w:val="22"/>
        </w:rPr>
        <w:t xml:space="preserve">Corporation </w:t>
      </w:r>
      <w:r w:rsidR="005F67D7" w:rsidRPr="009207D9">
        <w:rPr>
          <w:spacing w:val="-2"/>
          <w:sz w:val="22"/>
          <w:szCs w:val="22"/>
        </w:rPr>
        <w:t xml:space="preserve">also </w:t>
      </w:r>
      <w:r w:rsidR="00683F6F" w:rsidRPr="009207D9">
        <w:rPr>
          <w:spacing w:val="-2"/>
          <w:sz w:val="22"/>
          <w:szCs w:val="22"/>
        </w:rPr>
        <w:t>shall e</w:t>
      </w:r>
      <w:r w:rsidR="00C009F7" w:rsidRPr="009207D9">
        <w:rPr>
          <w:spacing w:val="-2"/>
          <w:sz w:val="22"/>
          <w:szCs w:val="22"/>
        </w:rPr>
        <w:t>-</w:t>
      </w:r>
      <w:r w:rsidR="00683F6F" w:rsidRPr="009207D9">
        <w:rPr>
          <w:spacing w:val="-2"/>
          <w:sz w:val="22"/>
          <w:szCs w:val="22"/>
        </w:rPr>
        <w:t xml:space="preserve">mail the written response to </w:t>
      </w:r>
      <w:hyperlink r:id="rId10" w:history="1">
        <w:r w:rsidR="00683F6F" w:rsidRPr="00AC5318">
          <w:rPr>
            <w:rStyle w:val="Hyperlink"/>
            <w:color w:val="auto"/>
            <w:sz w:val="22"/>
            <w:szCs w:val="22"/>
            <w:u w:val="none"/>
          </w:rPr>
          <w:t>NER-Response@fcc.gov</w:t>
        </w:r>
      </w:hyperlink>
      <w:r w:rsidR="009207D9" w:rsidRPr="009207D9">
        <w:rPr>
          <w:sz w:val="22"/>
          <w:szCs w:val="22"/>
        </w:rPr>
        <w:t>.</w:t>
      </w:r>
    </w:p>
    <w:p w:rsidR="009207D9" w:rsidRPr="009207D9" w:rsidRDefault="00050854" w:rsidP="009207D9">
      <w:pPr>
        <w:widowControl/>
        <w:numPr>
          <w:ilvl w:val="0"/>
          <w:numId w:val="22"/>
        </w:numPr>
        <w:tabs>
          <w:tab w:val="clear" w:pos="1260"/>
          <w:tab w:val="num" w:pos="1440"/>
          <w:tab w:val="left" w:pos="4680"/>
          <w:tab w:val="left" w:pos="5760"/>
        </w:tabs>
        <w:suppressAutoHyphens/>
        <w:spacing w:after="120" w:line="240" w:lineRule="atLeast"/>
        <w:ind w:left="0"/>
        <w:rPr>
          <w:spacing w:val="-2"/>
          <w:sz w:val="22"/>
          <w:szCs w:val="22"/>
        </w:rPr>
      </w:pPr>
      <w:r w:rsidRPr="009207D9">
        <w:rPr>
          <w:spacing w:val="-2"/>
          <w:sz w:val="22"/>
          <w:szCs w:val="22"/>
        </w:rPr>
        <w:t xml:space="preserve">The Commission will not consider reducing or canceling a forfeiture in response to a claim of inability to pay unless the petitioner submits: </w:t>
      </w:r>
      <w:r w:rsidR="00F30E61" w:rsidRPr="009207D9">
        <w:rPr>
          <w:spacing w:val="-2"/>
          <w:sz w:val="22"/>
          <w:szCs w:val="22"/>
        </w:rPr>
        <w:t xml:space="preserve"> </w:t>
      </w:r>
      <w:r w:rsidRPr="009207D9">
        <w:rPr>
          <w:spacing w:val="-2"/>
          <w:sz w:val="22"/>
          <w:szCs w:val="22"/>
        </w:rPr>
        <w:t>(1) federal tax returns for the most recent three-year period; (2) financial statements prepared according to generally accepted accounting pr</w:t>
      </w:r>
      <w:r w:rsidR="00D13FA6" w:rsidRPr="009207D9">
        <w:rPr>
          <w:spacing w:val="-2"/>
          <w:sz w:val="22"/>
          <w:szCs w:val="22"/>
        </w:rPr>
        <w:t>inciples</w:t>
      </w:r>
      <w:r w:rsidRPr="009207D9">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331410" w:rsidRPr="009207D9" w:rsidRDefault="00050854" w:rsidP="00D3403D">
      <w:pPr>
        <w:widowControl/>
        <w:numPr>
          <w:ilvl w:val="0"/>
          <w:numId w:val="22"/>
        </w:numPr>
        <w:tabs>
          <w:tab w:val="clear" w:pos="1260"/>
          <w:tab w:val="num" w:pos="1440"/>
          <w:tab w:val="left" w:pos="4680"/>
          <w:tab w:val="left" w:pos="5760"/>
        </w:tabs>
        <w:suppressAutoHyphens/>
        <w:spacing w:after="120" w:line="240" w:lineRule="atLeast"/>
        <w:ind w:left="0"/>
        <w:rPr>
          <w:spacing w:val="-2"/>
          <w:sz w:val="22"/>
          <w:szCs w:val="22"/>
        </w:rPr>
      </w:pPr>
      <w:r w:rsidRPr="009207D9">
        <w:rPr>
          <w:b/>
          <w:spacing w:val="-2"/>
          <w:sz w:val="22"/>
          <w:szCs w:val="22"/>
        </w:rPr>
        <w:t>IT IS FURTHER ORDERED</w:t>
      </w:r>
      <w:r w:rsidRPr="009207D9">
        <w:rPr>
          <w:spacing w:val="-2"/>
          <w:sz w:val="22"/>
          <w:szCs w:val="22"/>
        </w:rPr>
        <w:t xml:space="preserve"> </w:t>
      </w:r>
      <w:r w:rsidR="003F3CFD" w:rsidRPr="009207D9">
        <w:rPr>
          <w:spacing w:val="-2"/>
          <w:sz w:val="22"/>
          <w:szCs w:val="22"/>
        </w:rPr>
        <w:t>that</w:t>
      </w:r>
      <w:r w:rsidRPr="009207D9">
        <w:rPr>
          <w:spacing w:val="-2"/>
          <w:sz w:val="22"/>
          <w:szCs w:val="22"/>
        </w:rPr>
        <w:t xml:space="preserve"> a copy of this Notice of Apparent Liability for Forfeiture </w:t>
      </w:r>
      <w:r w:rsidR="00337B75" w:rsidRPr="009207D9">
        <w:rPr>
          <w:spacing w:val="-2"/>
          <w:sz w:val="22"/>
          <w:szCs w:val="22"/>
        </w:rPr>
        <w:t xml:space="preserve">and Order </w:t>
      </w:r>
      <w:r w:rsidRPr="009207D9">
        <w:rPr>
          <w:spacing w:val="-2"/>
          <w:sz w:val="22"/>
          <w:szCs w:val="22"/>
        </w:rPr>
        <w:t xml:space="preserve">shall be sent by </w:t>
      </w:r>
      <w:r w:rsidR="00683F6F" w:rsidRPr="009207D9">
        <w:rPr>
          <w:spacing w:val="-2"/>
          <w:sz w:val="22"/>
          <w:szCs w:val="22"/>
        </w:rPr>
        <w:t xml:space="preserve">both </w:t>
      </w:r>
      <w:r w:rsidRPr="009207D9">
        <w:rPr>
          <w:spacing w:val="-2"/>
          <w:sz w:val="22"/>
          <w:szCs w:val="22"/>
        </w:rPr>
        <w:t xml:space="preserve">Certified Mail, Return Receipt Requested, and </w:t>
      </w:r>
      <w:r w:rsidR="008C26F7" w:rsidRPr="009207D9">
        <w:rPr>
          <w:spacing w:val="-2"/>
          <w:sz w:val="22"/>
          <w:szCs w:val="22"/>
        </w:rPr>
        <w:t xml:space="preserve">first class </w:t>
      </w:r>
      <w:r w:rsidRPr="009207D9">
        <w:rPr>
          <w:spacing w:val="-2"/>
          <w:sz w:val="22"/>
          <w:szCs w:val="22"/>
        </w:rPr>
        <w:t xml:space="preserve">mail to </w:t>
      </w:r>
      <w:r w:rsidR="00BD4286">
        <w:rPr>
          <w:spacing w:val="-2"/>
          <w:sz w:val="22"/>
          <w:szCs w:val="22"/>
        </w:rPr>
        <w:t>Northeast Passage Corporation</w:t>
      </w:r>
      <w:r w:rsidR="009207D9" w:rsidRPr="009207D9">
        <w:rPr>
          <w:spacing w:val="-2"/>
          <w:sz w:val="22"/>
          <w:szCs w:val="22"/>
        </w:rPr>
        <w:t xml:space="preserve">, PO Box 390, Bayville, New Jersey 08721.  </w:t>
      </w:r>
    </w:p>
    <w:p w:rsidR="00050854" w:rsidRPr="009207D9" w:rsidRDefault="00050854" w:rsidP="00D3403D">
      <w:pPr>
        <w:widowControl/>
        <w:tabs>
          <w:tab w:val="left" w:pos="0"/>
          <w:tab w:val="num" w:pos="1440"/>
        </w:tabs>
        <w:suppressAutoHyphens/>
        <w:spacing w:line="240" w:lineRule="atLeast"/>
        <w:jc w:val="both"/>
        <w:rPr>
          <w:spacing w:val="-2"/>
          <w:sz w:val="22"/>
          <w:szCs w:val="22"/>
        </w:rPr>
      </w:pPr>
    </w:p>
    <w:p w:rsidR="00050854" w:rsidRPr="009207D9" w:rsidRDefault="00331410" w:rsidP="00D3403D">
      <w:pPr>
        <w:widowControl/>
        <w:tabs>
          <w:tab w:val="left" w:pos="0"/>
          <w:tab w:val="num" w:pos="1440"/>
        </w:tabs>
        <w:suppressAutoHyphens/>
        <w:spacing w:line="240" w:lineRule="atLeast"/>
        <w:rPr>
          <w:spacing w:val="-2"/>
          <w:sz w:val="22"/>
          <w:szCs w:val="22"/>
        </w:rPr>
      </w:pP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r w:rsidR="00050854" w:rsidRPr="009207D9">
        <w:rPr>
          <w:spacing w:val="-2"/>
          <w:sz w:val="22"/>
          <w:szCs w:val="22"/>
        </w:rPr>
        <w:t>FEDERAL COMMUNICATIONS COMMISSION</w:t>
      </w:r>
    </w:p>
    <w:p w:rsidR="00050854" w:rsidRPr="00E34AAE" w:rsidRDefault="00050854" w:rsidP="00D3403D">
      <w:pPr>
        <w:widowControl/>
        <w:tabs>
          <w:tab w:val="left" w:pos="0"/>
          <w:tab w:val="num" w:pos="1440"/>
        </w:tabs>
        <w:suppressAutoHyphens/>
        <w:spacing w:line="240" w:lineRule="atLeast"/>
        <w:jc w:val="both"/>
        <w:rPr>
          <w:spacing w:val="-2"/>
          <w:sz w:val="22"/>
          <w:szCs w:val="22"/>
        </w:rPr>
      </w:pPr>
    </w:p>
    <w:p w:rsidR="00050854" w:rsidRPr="009207D9" w:rsidRDefault="00050854" w:rsidP="00D3403D">
      <w:pPr>
        <w:widowControl/>
        <w:tabs>
          <w:tab w:val="left" w:pos="0"/>
          <w:tab w:val="num" w:pos="1440"/>
        </w:tabs>
        <w:suppressAutoHyphens/>
        <w:spacing w:line="240" w:lineRule="atLeast"/>
        <w:jc w:val="both"/>
        <w:rPr>
          <w:spacing w:val="-2"/>
          <w:sz w:val="22"/>
          <w:szCs w:val="22"/>
        </w:rPr>
      </w:pPr>
    </w:p>
    <w:p w:rsidR="00050854" w:rsidRPr="009207D9" w:rsidRDefault="00050854" w:rsidP="00D3403D">
      <w:pPr>
        <w:widowControl/>
        <w:tabs>
          <w:tab w:val="left" w:pos="0"/>
          <w:tab w:val="num" w:pos="1440"/>
        </w:tabs>
        <w:suppressAutoHyphens/>
        <w:spacing w:line="240" w:lineRule="atLeast"/>
        <w:jc w:val="both"/>
        <w:rPr>
          <w:spacing w:val="-2"/>
          <w:sz w:val="22"/>
          <w:szCs w:val="22"/>
        </w:rPr>
      </w:pPr>
    </w:p>
    <w:p w:rsidR="00331410" w:rsidRPr="009207D9" w:rsidRDefault="00050854" w:rsidP="00D3403D">
      <w:pPr>
        <w:widowControl/>
        <w:tabs>
          <w:tab w:val="left" w:pos="0"/>
          <w:tab w:val="num" w:pos="1440"/>
        </w:tabs>
        <w:suppressAutoHyphens/>
        <w:spacing w:line="240" w:lineRule="atLeast"/>
        <w:jc w:val="both"/>
        <w:rPr>
          <w:spacing w:val="-2"/>
          <w:sz w:val="22"/>
          <w:szCs w:val="22"/>
        </w:rPr>
      </w:pP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p>
    <w:p w:rsidR="009207D9" w:rsidRPr="009207D9" w:rsidRDefault="00331410" w:rsidP="00D3403D">
      <w:pPr>
        <w:widowControl/>
        <w:tabs>
          <w:tab w:val="left" w:pos="0"/>
          <w:tab w:val="num" w:pos="1440"/>
        </w:tabs>
        <w:suppressAutoHyphens/>
        <w:spacing w:line="240" w:lineRule="atLeast"/>
        <w:jc w:val="both"/>
        <w:rPr>
          <w:spacing w:val="-2"/>
          <w:sz w:val="22"/>
          <w:szCs w:val="22"/>
        </w:rPr>
      </w:pP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r w:rsidR="00050854" w:rsidRPr="009207D9">
        <w:rPr>
          <w:spacing w:val="-2"/>
          <w:sz w:val="22"/>
          <w:szCs w:val="22"/>
        </w:rPr>
        <w:tab/>
      </w:r>
      <w:r w:rsidR="009207D9" w:rsidRPr="009207D9">
        <w:rPr>
          <w:spacing w:val="-2"/>
          <w:sz w:val="22"/>
          <w:szCs w:val="22"/>
        </w:rPr>
        <w:t>David C. Dombrowski</w:t>
      </w:r>
    </w:p>
    <w:p w:rsidR="009207D9" w:rsidRPr="009207D9" w:rsidRDefault="009207D9" w:rsidP="00D3403D">
      <w:pPr>
        <w:widowControl/>
        <w:tabs>
          <w:tab w:val="left" w:pos="0"/>
          <w:tab w:val="num" w:pos="1440"/>
        </w:tabs>
        <w:suppressAutoHyphens/>
        <w:spacing w:line="240" w:lineRule="atLeast"/>
        <w:jc w:val="both"/>
        <w:rPr>
          <w:spacing w:val="-2"/>
          <w:sz w:val="22"/>
          <w:szCs w:val="22"/>
        </w:rPr>
      </w:pP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t>District Director</w:t>
      </w:r>
    </w:p>
    <w:p w:rsidR="009207D9" w:rsidRPr="009207D9" w:rsidRDefault="00050854" w:rsidP="00D3403D">
      <w:pPr>
        <w:widowControl/>
        <w:tabs>
          <w:tab w:val="left" w:pos="0"/>
          <w:tab w:val="num" w:pos="1440"/>
        </w:tabs>
        <w:suppressAutoHyphens/>
        <w:spacing w:line="240" w:lineRule="atLeast"/>
        <w:jc w:val="both"/>
        <w:rPr>
          <w:spacing w:val="-2"/>
          <w:sz w:val="22"/>
          <w:szCs w:val="22"/>
        </w:rPr>
      </w:pP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r w:rsidR="00331410" w:rsidRPr="009207D9">
        <w:rPr>
          <w:spacing w:val="-2"/>
          <w:sz w:val="22"/>
          <w:szCs w:val="22"/>
        </w:rPr>
        <w:tab/>
      </w:r>
      <w:r w:rsidR="009207D9" w:rsidRPr="009207D9">
        <w:rPr>
          <w:spacing w:val="-2"/>
          <w:sz w:val="22"/>
          <w:szCs w:val="22"/>
        </w:rPr>
        <w:t>Philadelphia Office</w:t>
      </w:r>
    </w:p>
    <w:p w:rsidR="00050854" w:rsidRPr="009207D9" w:rsidRDefault="00050854" w:rsidP="00D3403D">
      <w:pPr>
        <w:widowControl/>
        <w:tabs>
          <w:tab w:val="left" w:pos="0"/>
          <w:tab w:val="num" w:pos="1440"/>
        </w:tabs>
        <w:suppressAutoHyphens/>
        <w:spacing w:line="240" w:lineRule="atLeast"/>
        <w:jc w:val="both"/>
        <w:rPr>
          <w:spacing w:val="-2"/>
          <w:sz w:val="22"/>
          <w:szCs w:val="22"/>
        </w:rPr>
      </w:pP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r w:rsidR="009207D9" w:rsidRPr="009207D9">
        <w:rPr>
          <w:spacing w:val="-2"/>
          <w:sz w:val="22"/>
          <w:szCs w:val="22"/>
        </w:rPr>
        <w:t xml:space="preserve">Northeast </w:t>
      </w:r>
      <w:r w:rsidRPr="009207D9">
        <w:rPr>
          <w:spacing w:val="-2"/>
          <w:sz w:val="22"/>
          <w:szCs w:val="22"/>
        </w:rPr>
        <w:t>Region</w:t>
      </w:r>
    </w:p>
    <w:p w:rsidR="00050854" w:rsidRPr="00E34AAE" w:rsidRDefault="00050854" w:rsidP="00E664B4">
      <w:pPr>
        <w:widowControl/>
        <w:tabs>
          <w:tab w:val="left" w:pos="0"/>
          <w:tab w:val="num" w:pos="1440"/>
        </w:tabs>
        <w:suppressAutoHyphens/>
        <w:spacing w:line="240" w:lineRule="atLeast"/>
        <w:jc w:val="both"/>
        <w:rPr>
          <w:spacing w:val="-2"/>
          <w:sz w:val="22"/>
          <w:szCs w:val="22"/>
        </w:rPr>
      </w:pP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r>
      <w:r w:rsidRPr="009207D9">
        <w:rPr>
          <w:spacing w:val="-2"/>
          <w:sz w:val="22"/>
          <w:szCs w:val="22"/>
        </w:rPr>
        <w:tab/>
        <w:t>Enforcement Bureau</w:t>
      </w:r>
    </w:p>
    <w:p w:rsidR="009F6C24" w:rsidRDefault="009F6C24" w:rsidP="00D3403D">
      <w:pPr>
        <w:widowControl/>
        <w:tabs>
          <w:tab w:val="num" w:pos="1440"/>
        </w:tabs>
        <w:jc w:val="both"/>
      </w:pPr>
    </w:p>
    <w:sectPr w:rsidR="009F6C24" w:rsidSect="0039241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F1" w:rsidRDefault="00FB0BF1">
      <w:r>
        <w:separator/>
      </w:r>
    </w:p>
  </w:endnote>
  <w:endnote w:type="continuationSeparator" w:id="0">
    <w:p w:rsidR="00FB0BF1" w:rsidRDefault="00FB0BF1">
      <w:r>
        <w:continuationSeparator/>
      </w:r>
    </w:p>
  </w:endnote>
  <w:endnote w:type="continuationNotice" w:id="1">
    <w:p w:rsidR="00FB0BF1" w:rsidRDefault="00FB0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7" w:rsidRDefault="00AF2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86" w:rsidRDefault="00661204">
    <w:pPr>
      <w:pStyle w:val="Footer"/>
      <w:jc w:val="center"/>
      <w:rPr>
        <w:rStyle w:val="PageNumber"/>
      </w:rPr>
    </w:pPr>
    <w:r>
      <w:rPr>
        <w:rStyle w:val="PageNumber"/>
      </w:rPr>
      <w:fldChar w:fldCharType="begin"/>
    </w:r>
    <w:r w:rsidR="00495486">
      <w:rPr>
        <w:rStyle w:val="PageNumber"/>
      </w:rPr>
      <w:instrText xml:space="preserve"> PAGE </w:instrText>
    </w:r>
    <w:r>
      <w:rPr>
        <w:rStyle w:val="PageNumber"/>
      </w:rPr>
      <w:fldChar w:fldCharType="separate"/>
    </w:r>
    <w:r w:rsidR="000D00B2">
      <w:rPr>
        <w:rStyle w:val="PageNumber"/>
        <w:noProof/>
      </w:rPr>
      <w:t>6</w:t>
    </w:r>
    <w:r>
      <w:rPr>
        <w:rStyle w:val="PageNumber"/>
      </w:rPr>
      <w:fldChar w:fldCharType="end"/>
    </w:r>
  </w:p>
  <w:p w:rsidR="00495486" w:rsidRPr="004110FC" w:rsidRDefault="00495486" w:rsidP="004110FC">
    <w:pPr>
      <w:pStyle w:val="Header"/>
      <w:tabs>
        <w:tab w:val="clear" w:pos="4320"/>
        <w:tab w:val="clear" w:pos="8640"/>
        <w:tab w:val="center" w:pos="4680"/>
        <w:tab w:val="right" w:pos="9360"/>
      </w:tabs>
      <w:rPr>
        <w:b/>
      </w:rPr>
    </w:pPr>
  </w:p>
  <w:p w:rsidR="00495486" w:rsidRDefault="00495486"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7" w:rsidRDefault="00AF2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F1" w:rsidRDefault="00FB0BF1">
      <w:r>
        <w:separator/>
      </w:r>
    </w:p>
  </w:footnote>
  <w:footnote w:type="continuationSeparator" w:id="0">
    <w:p w:rsidR="00FB0BF1" w:rsidRDefault="00FB0BF1">
      <w:r>
        <w:separator/>
      </w:r>
    </w:p>
    <w:p w:rsidR="00FB0BF1" w:rsidRDefault="00FB0BF1">
      <w:r>
        <w:t>(...continued from previous page)</w:t>
      </w:r>
    </w:p>
  </w:footnote>
  <w:footnote w:type="continuationNotice" w:id="1">
    <w:p w:rsidR="00FB0BF1" w:rsidRDefault="00FB0BF1">
      <w:pPr>
        <w:jc w:val="right"/>
      </w:pPr>
      <w:r>
        <w:t>(continued....)</w:t>
      </w:r>
    </w:p>
  </w:footnote>
  <w:footnote w:id="2">
    <w:p w:rsidR="00613F7C" w:rsidRDefault="00613F7C" w:rsidP="000C4049">
      <w:pPr>
        <w:pStyle w:val="FootnoteText"/>
      </w:pPr>
      <w:r>
        <w:rPr>
          <w:rStyle w:val="FootnoteReference"/>
        </w:rPr>
        <w:footnoteRef/>
      </w:r>
      <w:r>
        <w:t xml:space="preserve"> 47 U.S.C. § 303(q).</w:t>
      </w:r>
      <w:r>
        <w:tab/>
      </w:r>
    </w:p>
  </w:footnote>
  <w:footnote w:id="3">
    <w:p w:rsidR="00B54015" w:rsidRDefault="00B54015" w:rsidP="000C4049">
      <w:pPr>
        <w:pStyle w:val="FootnoteText"/>
        <w:jc w:val="left"/>
      </w:pPr>
      <w:r w:rsidRPr="006D037B">
        <w:rPr>
          <w:rStyle w:val="FootnoteReference"/>
        </w:rPr>
        <w:footnoteRef/>
      </w:r>
      <w:r w:rsidRPr="006D037B">
        <w:t xml:space="preserve"> 47 C.F.R. §</w:t>
      </w:r>
      <w:r>
        <w:t>§</w:t>
      </w:r>
      <w:r w:rsidRPr="006D037B">
        <w:t xml:space="preserve"> </w:t>
      </w:r>
      <w:r w:rsidR="00CD0953" w:rsidRPr="00A14C0F">
        <w:t>17.</w:t>
      </w:r>
      <w:r w:rsidR="00CD0953">
        <w:t>23,</w:t>
      </w:r>
      <w:r w:rsidR="00CD0953" w:rsidRPr="00A14C0F">
        <w:t xml:space="preserve"> </w:t>
      </w:r>
      <w:r w:rsidRPr="006D037B">
        <w:rPr>
          <w:spacing w:val="-2"/>
        </w:rPr>
        <w:t>17.47(a)</w:t>
      </w:r>
      <w:r>
        <w:rPr>
          <w:spacing w:val="-2"/>
        </w:rPr>
        <w:t>, 17.48</w:t>
      </w:r>
      <w:r w:rsidR="00CE17C9">
        <w:rPr>
          <w:spacing w:val="-2"/>
        </w:rPr>
        <w:t>(a)</w:t>
      </w:r>
      <w:r>
        <w:rPr>
          <w:spacing w:val="-2"/>
        </w:rPr>
        <w:t>,</w:t>
      </w:r>
      <w:r w:rsidRPr="006D037B">
        <w:rPr>
          <w:spacing w:val="-2"/>
        </w:rPr>
        <w:t xml:space="preserve"> </w:t>
      </w:r>
      <w:r w:rsidR="002F4ECF" w:rsidRPr="006D037B">
        <w:rPr>
          <w:spacing w:val="-2"/>
        </w:rPr>
        <w:t xml:space="preserve">17.51(b), </w:t>
      </w:r>
      <w:r w:rsidRPr="006D037B">
        <w:rPr>
          <w:spacing w:val="-2"/>
        </w:rPr>
        <w:t>17.57</w:t>
      </w:r>
      <w:r>
        <w:t>.</w:t>
      </w:r>
    </w:p>
  </w:footnote>
  <w:footnote w:id="4">
    <w:p w:rsidR="00C14521" w:rsidRDefault="00C14521" w:rsidP="000C4049">
      <w:pPr>
        <w:pStyle w:val="FootnoteText"/>
      </w:pPr>
      <w:r>
        <w:rPr>
          <w:rStyle w:val="FootnoteReference"/>
        </w:rPr>
        <w:footnoteRef/>
      </w:r>
      <w:r>
        <w:t xml:space="preserve"> </w:t>
      </w:r>
      <w:r>
        <w:rPr>
          <w:i/>
          <w:iCs/>
        </w:rPr>
        <w:t xml:space="preserve">See </w:t>
      </w:r>
      <w:r>
        <w:t xml:space="preserve">Antenna Structure Registration database for antenna structure number </w:t>
      </w:r>
      <w:r>
        <w:rPr>
          <w:spacing w:val="-2"/>
        </w:rPr>
        <w:t xml:space="preserve">1063673; </w:t>
      </w:r>
      <w:r>
        <w:rPr>
          <w:i/>
          <w:iCs/>
          <w:spacing w:val="-2"/>
        </w:rPr>
        <w:t>see also</w:t>
      </w:r>
      <w:r>
        <w:t xml:space="preserve"> 47 C.F.R. § 17.21 </w:t>
      </w:r>
      <w:r>
        <w:rPr>
          <w:color w:val="000000"/>
        </w:rPr>
        <w:t>(requiring antenna structures more than 60.96 meters in height to be painted and lighted)</w:t>
      </w:r>
      <w:r>
        <w:t>.</w:t>
      </w:r>
    </w:p>
  </w:footnote>
  <w:footnote w:id="5">
    <w:p w:rsidR="008376EC" w:rsidRDefault="008376EC" w:rsidP="000C4049">
      <w:pPr>
        <w:pStyle w:val="FootnoteText"/>
      </w:pPr>
      <w:r>
        <w:rPr>
          <w:rStyle w:val="FootnoteReference"/>
        </w:rPr>
        <w:footnoteRef/>
      </w:r>
      <w:r>
        <w:t xml:space="preserve"> The contractor performed a tape drop measurement which showed that a cellular antenna mounted just below the mid-level of the Antenna Structure was 146 feet (44.5 meters) above ground level.  Based on the tape-drop measurement information, the agent concluded that the Antenna Structure exceeded 292 feet (89 meters).</w:t>
      </w:r>
    </w:p>
  </w:footnote>
  <w:footnote w:id="6">
    <w:p w:rsidR="00AA33AF" w:rsidRDefault="00AA33AF" w:rsidP="000C4049">
      <w:pPr>
        <w:pStyle w:val="FootnoteText"/>
      </w:pPr>
      <w:r>
        <w:rPr>
          <w:rStyle w:val="FootnoteReference"/>
        </w:rPr>
        <w:footnoteRef/>
      </w:r>
      <w:r>
        <w:t xml:space="preserve"> </w:t>
      </w:r>
      <w:r>
        <w:rPr>
          <w:i/>
          <w:iCs/>
        </w:rPr>
        <w:t xml:space="preserve">See </w:t>
      </w:r>
      <w:r w:rsidRPr="00AA33AF">
        <w:t>Aeronautical Study No. 2006-AEA-1463-OE</w:t>
      </w:r>
      <w:r>
        <w:t>.</w:t>
      </w:r>
    </w:p>
  </w:footnote>
  <w:footnote w:id="7">
    <w:p w:rsidR="009857C3" w:rsidRPr="00A14C0F" w:rsidRDefault="009857C3" w:rsidP="00A14C0F">
      <w:pPr>
        <w:widowControl/>
        <w:tabs>
          <w:tab w:val="left" w:pos="0"/>
        </w:tabs>
        <w:suppressAutoHyphens/>
        <w:spacing w:after="120"/>
        <w:rPr>
          <w:b/>
          <w:spacing w:val="-2"/>
        </w:rPr>
      </w:pPr>
      <w:r>
        <w:rPr>
          <w:rStyle w:val="FootnoteReference"/>
        </w:rPr>
        <w:footnoteRef/>
      </w:r>
      <w:r>
        <w:t xml:space="preserve"> </w:t>
      </w:r>
      <w:r>
        <w:rPr>
          <w:i/>
          <w:iCs/>
        </w:rPr>
        <w:t>See NE Passage, Inc.</w:t>
      </w:r>
      <w:r w:rsidR="00DD6ECB">
        <w:rPr>
          <w:iCs/>
        </w:rPr>
        <w:t>,</w:t>
      </w:r>
      <w:r>
        <w:rPr>
          <w:i/>
          <w:iCs/>
        </w:rPr>
        <w:t xml:space="preserve"> </w:t>
      </w:r>
      <w:r>
        <w:t>Notice of Violation,V201332400039 (rel. August 7, 2013).</w:t>
      </w:r>
    </w:p>
  </w:footnote>
  <w:footnote w:id="8">
    <w:p w:rsidR="00E15C34" w:rsidRPr="00A14C0F" w:rsidRDefault="00E15C34" w:rsidP="000C4049">
      <w:pPr>
        <w:pStyle w:val="FootnoteText"/>
      </w:pPr>
      <w:r>
        <w:rPr>
          <w:rStyle w:val="FootnoteReference"/>
        </w:rPr>
        <w:footnoteRef/>
      </w:r>
      <w:r>
        <w:t xml:space="preserve"> </w:t>
      </w:r>
      <w:r w:rsidR="00A14C0F">
        <w:rPr>
          <w:i/>
        </w:rPr>
        <w:t xml:space="preserve">See </w:t>
      </w:r>
      <w:r w:rsidR="00A14C0F">
        <w:t>Letter from Walter Holm, Pr</w:t>
      </w:r>
      <w:r w:rsidR="00915C43">
        <w:t>esident, Northeast Passage Corporation</w:t>
      </w:r>
      <w:r w:rsidR="00A14C0F">
        <w:t xml:space="preserve"> to David Dombrowski, District Director, Philadelphia Office, Northeast Region, Enforcement Bureau, dated August 28, 2013.</w:t>
      </w:r>
    </w:p>
  </w:footnote>
  <w:footnote w:id="9">
    <w:p w:rsidR="00E15C34" w:rsidRPr="00E15C34" w:rsidRDefault="00E15C34" w:rsidP="000C4049">
      <w:pPr>
        <w:pStyle w:val="FootnoteText"/>
      </w:pPr>
      <w:r>
        <w:rPr>
          <w:rStyle w:val="FootnoteReference"/>
        </w:rPr>
        <w:footnoteRef/>
      </w:r>
      <w:r>
        <w:t xml:space="preserve"> </w:t>
      </w:r>
      <w:r>
        <w:rPr>
          <w:i/>
        </w:rPr>
        <w:t>Id.</w:t>
      </w:r>
    </w:p>
  </w:footnote>
  <w:footnote w:id="10">
    <w:p w:rsidR="00E15C34" w:rsidRPr="00E15C34" w:rsidRDefault="00E15C34" w:rsidP="000C4049">
      <w:pPr>
        <w:pStyle w:val="FootnoteText"/>
      </w:pPr>
      <w:r>
        <w:rPr>
          <w:rStyle w:val="FootnoteReference"/>
        </w:rPr>
        <w:footnoteRef/>
      </w:r>
      <w:r>
        <w:t xml:space="preserve"> </w:t>
      </w:r>
      <w:r>
        <w:rPr>
          <w:i/>
        </w:rPr>
        <w:t>Id.</w:t>
      </w:r>
    </w:p>
  </w:footnote>
  <w:footnote w:id="11">
    <w:p w:rsidR="00495486" w:rsidRDefault="00495486" w:rsidP="000C4049">
      <w:pPr>
        <w:pStyle w:val="FootnoteText"/>
      </w:pPr>
      <w:r>
        <w:rPr>
          <w:rStyle w:val="FootnoteReference"/>
        </w:rPr>
        <w:footnoteRef/>
      </w:r>
      <w:r>
        <w:t xml:space="preserve"> 47 U.S.C. § 503(b).</w:t>
      </w:r>
    </w:p>
  </w:footnote>
  <w:footnote w:id="12">
    <w:p w:rsidR="00495486" w:rsidRDefault="00495486" w:rsidP="000C4049">
      <w:pPr>
        <w:pStyle w:val="FootnoteText"/>
        <w:widowControl/>
      </w:pPr>
      <w:r>
        <w:rPr>
          <w:rStyle w:val="FootnoteReference"/>
        </w:rPr>
        <w:footnoteRef/>
      </w:r>
      <w:r>
        <w:t xml:space="preserve"> 47 U.S.C. § 312(f)(1).</w:t>
      </w:r>
    </w:p>
  </w:footnote>
  <w:footnote w:id="13">
    <w:p w:rsidR="00495486" w:rsidRDefault="00495486" w:rsidP="000C4049">
      <w:pPr>
        <w:pStyle w:val="FootnoteText"/>
        <w:jc w:val="left"/>
      </w:pPr>
      <w:r>
        <w:rPr>
          <w:rStyle w:val="FootnoteReference"/>
        </w:rPr>
        <w:footnoteRef/>
      </w:r>
      <w: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xml:space="preserve">[,]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 .</w:t>
      </w:r>
      <w:r w:rsidRPr="00811CB2">
        <w:rPr>
          <w:rStyle w:val="documentbody"/>
        </w:rPr>
        <w:t>”).</w:t>
      </w:r>
    </w:p>
  </w:footnote>
  <w:footnote w:id="14">
    <w:p w:rsidR="00495486" w:rsidRPr="00484313" w:rsidRDefault="00495486" w:rsidP="000C4049">
      <w:pPr>
        <w:pStyle w:val="FootnoteText"/>
        <w:jc w:val="left"/>
      </w:pPr>
      <w:r>
        <w:rPr>
          <w:rStyle w:val="FootnoteReference"/>
        </w:rPr>
        <w:footnoteRef/>
      </w:r>
      <w:r>
        <w:t xml:space="preserve"> </w:t>
      </w:r>
      <w:r w:rsidR="00905DC7">
        <w:rPr>
          <w:i/>
        </w:rPr>
        <w:t>See, e.g.</w:t>
      </w:r>
      <w:r w:rsidR="00905DC7" w:rsidRPr="00A14C0F">
        <w:t>,</w:t>
      </w:r>
      <w:r>
        <w:rPr>
          <w:i/>
        </w:rPr>
        <w:t xml:space="preserve"> Southern California Broadcasting Co.</w:t>
      </w:r>
      <w:r>
        <w:t>, Memorandum Opinion and Order, 6 FCC Rcd 4387, 4388</w:t>
      </w:r>
      <w:r w:rsidR="00905DC7">
        <w:t>, para. 5</w:t>
      </w:r>
      <w:r>
        <w:t xml:space="preserve"> (1991), </w:t>
      </w:r>
      <w:r w:rsidR="00905DC7">
        <w:rPr>
          <w:i/>
        </w:rPr>
        <w:t>recons. denied</w:t>
      </w:r>
      <w:r w:rsidR="00905DC7" w:rsidRPr="00A14C0F">
        <w:t>,</w:t>
      </w:r>
      <w:r>
        <w:rPr>
          <w:i/>
        </w:rPr>
        <w:t xml:space="preserve"> </w:t>
      </w:r>
      <w:r>
        <w:t>7 FCC Rcd 3454 (1992).</w:t>
      </w:r>
    </w:p>
  </w:footnote>
  <w:footnote w:id="15">
    <w:p w:rsidR="00495486" w:rsidRDefault="00495486" w:rsidP="000C4049">
      <w:pPr>
        <w:pStyle w:val="FootnoteText"/>
        <w:jc w:val="left"/>
      </w:pPr>
      <w:r>
        <w:rPr>
          <w:rStyle w:val="FootnoteReference"/>
        </w:rPr>
        <w:footnoteRef/>
      </w:r>
      <w:r>
        <w:t xml:space="preserve"> </w:t>
      </w:r>
      <w:r>
        <w:rPr>
          <w:i/>
        </w:rPr>
        <w:t>See, e.g.</w:t>
      </w:r>
      <w:r w:rsidR="00905DC7" w:rsidRPr="00A14C0F">
        <w:t>,</w:t>
      </w:r>
      <w:r>
        <w:t xml:space="preserve"> </w:t>
      </w:r>
      <w:r>
        <w:rPr>
          <w:i/>
        </w:rPr>
        <w:t>Callais Cablevision, Inc.</w:t>
      </w:r>
      <w:r>
        <w:t>, Notice of Apparent Liability for Monetary Forfeiture, 16 FCC Rcd 1359, 1362, para. 10 (2001) (</w:t>
      </w:r>
      <w:r>
        <w:rPr>
          <w:i/>
        </w:rPr>
        <w:t>Callais Cablevision, Inc.</w:t>
      </w:r>
      <w:r>
        <w:t xml:space="preserve">) (proposing a forfeiture for, </w:t>
      </w:r>
      <w:r>
        <w:rPr>
          <w:i/>
        </w:rPr>
        <w:t>inter alia</w:t>
      </w:r>
      <w:r>
        <w:t xml:space="preserve">, a cable television operator’s repeated signal leakage). </w:t>
      </w:r>
    </w:p>
  </w:footnote>
  <w:footnote w:id="16">
    <w:p w:rsidR="00495486" w:rsidRDefault="00495486" w:rsidP="000C4049">
      <w:pPr>
        <w:pStyle w:val="FootnoteText"/>
        <w:jc w:val="left"/>
      </w:pPr>
      <w:r>
        <w:rPr>
          <w:rStyle w:val="FootnoteReference"/>
        </w:rPr>
        <w:footnoteRef/>
      </w:r>
      <w:r>
        <w:t xml:space="preserve"> Section 312(f)(2) of the Act, 47 U.S.C. § 312(f)(2), which also applies to violations for which forfeitures are assessed under Section 503(b) of the </w:t>
      </w:r>
      <w:r w:rsidR="00905DC7">
        <w:t>Act, provides that “[t]he term ‘repeated’</w:t>
      </w:r>
      <w:r>
        <w:t xml:space="preserve">, when used with reference to the commission or omission of any act, means the commission or omission of such act more than once or, if such commission or omission is continuous, for more than one day.”  </w:t>
      </w:r>
      <w:r>
        <w:rPr>
          <w:i/>
        </w:rPr>
        <w:t>See Callais Cablevision, Inc.</w:t>
      </w:r>
      <w:r>
        <w:t>, 16 FCC Rcd</w:t>
      </w:r>
      <w:r>
        <w:rPr>
          <w:i/>
        </w:rPr>
        <w:t xml:space="preserve"> </w:t>
      </w:r>
      <w:r>
        <w:t>at 1362</w:t>
      </w:r>
      <w:r w:rsidR="00905DC7">
        <w:t>, para. 9</w:t>
      </w:r>
      <w:r>
        <w:t xml:space="preserve">. </w:t>
      </w:r>
    </w:p>
  </w:footnote>
  <w:footnote w:id="17">
    <w:p w:rsidR="00E40324" w:rsidRDefault="00E40324" w:rsidP="000C4049">
      <w:pPr>
        <w:pStyle w:val="FootnoteText"/>
        <w:widowControl/>
        <w:jc w:val="left"/>
      </w:pPr>
      <w:r>
        <w:rPr>
          <w:rStyle w:val="FootnoteReference"/>
        </w:rPr>
        <w:footnoteRef/>
      </w:r>
      <w:r>
        <w:t xml:space="preserve"> 47 U.S.C. § 303(q).</w:t>
      </w:r>
    </w:p>
  </w:footnote>
  <w:footnote w:id="18">
    <w:p w:rsidR="00C04B38" w:rsidRDefault="00C04B38" w:rsidP="000C4049">
      <w:pPr>
        <w:pStyle w:val="FootnoteText"/>
      </w:pPr>
      <w:r>
        <w:rPr>
          <w:rStyle w:val="FootnoteReference"/>
        </w:rPr>
        <w:footnoteRef/>
      </w:r>
      <w:r>
        <w:t xml:space="preserve"> 47 C.F.R. § 17.23.</w:t>
      </w:r>
    </w:p>
  </w:footnote>
  <w:footnote w:id="19">
    <w:p w:rsidR="00E40324" w:rsidRDefault="00E40324" w:rsidP="000C4049">
      <w:pPr>
        <w:pStyle w:val="FootnoteText"/>
        <w:widowControl/>
        <w:jc w:val="left"/>
      </w:pPr>
      <w:r>
        <w:rPr>
          <w:rStyle w:val="FootnoteReference"/>
        </w:rPr>
        <w:footnoteRef/>
      </w:r>
      <w:r>
        <w:t xml:space="preserve"> 47 C.F.R. § 17.51(b).</w:t>
      </w:r>
    </w:p>
  </w:footnote>
  <w:footnote w:id="20">
    <w:p w:rsidR="00C602A6" w:rsidRDefault="00C602A6" w:rsidP="000C4049">
      <w:pPr>
        <w:pStyle w:val="FootnoteText"/>
        <w:widowControl/>
      </w:pPr>
      <w:r>
        <w:rPr>
          <w:rStyle w:val="FootnoteReference"/>
        </w:rPr>
        <w:footnoteRef/>
      </w:r>
      <w:r>
        <w:t xml:space="preserve"> 47 C.F.R. § 17.47(a).</w:t>
      </w:r>
    </w:p>
  </w:footnote>
  <w:footnote w:id="21">
    <w:p w:rsidR="00AF653D" w:rsidRDefault="00AF653D" w:rsidP="000C4049">
      <w:pPr>
        <w:pStyle w:val="FootnoteText"/>
      </w:pPr>
      <w:r>
        <w:rPr>
          <w:rStyle w:val="FootnoteReference"/>
        </w:rPr>
        <w:footnoteRef/>
      </w:r>
      <w:r>
        <w:t xml:space="preserve"> 47 C.F.R. § 17.48</w:t>
      </w:r>
      <w:r w:rsidR="00CE17C9">
        <w:t>(a)</w:t>
      </w:r>
      <w:r>
        <w:t>.</w:t>
      </w:r>
    </w:p>
  </w:footnote>
  <w:footnote w:id="22">
    <w:p w:rsidR="00D202A8" w:rsidRDefault="00D202A8" w:rsidP="00A14C0F">
      <w:pPr>
        <w:pStyle w:val="FootnoteText"/>
        <w:jc w:val="left"/>
      </w:pPr>
      <w:r>
        <w:rPr>
          <w:rStyle w:val="FootnoteReference"/>
        </w:rPr>
        <w:footnoteRef/>
      </w:r>
      <w:r>
        <w:t xml:space="preserve"> At the time of the inspection on July 22, 2013, NE Passage had not yet updated the ASR database to reflect the new FAA “no hazard”</w:t>
      </w:r>
      <w:r w:rsidR="003A1907">
        <w:t xml:space="preserve"> determination authorizing NE Passage to install medium intensity white </w:t>
      </w:r>
      <w:r>
        <w:t xml:space="preserve">obstruction lighting for daytime visibility in lieu of paint. </w:t>
      </w:r>
      <w:r w:rsidR="00CD0953">
        <w:t xml:space="preserve"> </w:t>
      </w:r>
      <w:r w:rsidR="00AA1EDE">
        <w:t xml:space="preserve">Therefore, in determining whether the Antenna Structure complied with Part 17 of the Rules, we could have chosen to consider the condition of the Antenna Structure’s paint instead of the lighting. </w:t>
      </w:r>
      <w:r w:rsidR="00CD0953">
        <w:t xml:space="preserve"> </w:t>
      </w:r>
      <w:r w:rsidR="002A6039">
        <w:t>T</w:t>
      </w:r>
      <w:r w:rsidR="00AA1EDE">
        <w:t>he paint on the Antenna Structure was so</w:t>
      </w:r>
      <w:r w:rsidR="00867268">
        <w:t xml:space="preserve"> severely faded </w:t>
      </w:r>
      <w:r w:rsidR="00BE4038">
        <w:t xml:space="preserve">that a </w:t>
      </w:r>
      <w:r w:rsidR="00867268">
        <w:t>proposed $10,000 forfeiture for failure to repaint as often as necessary to maintain good visibility, as required by Section 17.50 of the Rules</w:t>
      </w:r>
      <w:r w:rsidR="00BE4038">
        <w:t>, would have been warra</w:t>
      </w:r>
      <w:r w:rsidR="00CD0953">
        <w:t>nted</w:t>
      </w:r>
      <w:r w:rsidR="00AF4CA3">
        <w:t xml:space="preserve"> under that analysis along with </w:t>
      </w:r>
      <w:r w:rsidR="002A6039">
        <w:t>a $2,000 upward adjustment for the duration of the violation</w:t>
      </w:r>
      <w:r w:rsidR="002B36DD">
        <w:t>.</w:t>
      </w:r>
    </w:p>
  </w:footnote>
  <w:footnote w:id="23">
    <w:p w:rsidR="00613F7C" w:rsidRDefault="00613F7C" w:rsidP="000C4049">
      <w:pPr>
        <w:pStyle w:val="FootnoteText"/>
        <w:jc w:val="left"/>
      </w:pPr>
      <w:r>
        <w:rPr>
          <w:rStyle w:val="FootnoteReference"/>
        </w:rPr>
        <w:footnoteRef/>
      </w:r>
      <w:r>
        <w:t xml:space="preserve"> </w:t>
      </w:r>
      <w:r w:rsidR="00D54341">
        <w:rPr>
          <w:i/>
        </w:rPr>
        <w:t>See, e.g.</w:t>
      </w:r>
      <w:r w:rsidR="00D54341" w:rsidRPr="00A14C0F">
        <w:t>,</w:t>
      </w:r>
      <w:r>
        <w:rPr>
          <w:i/>
        </w:rPr>
        <w:t xml:space="preserve"> Tidewater Comm</w:t>
      </w:r>
      <w:r w:rsidR="00793468">
        <w:rPr>
          <w:i/>
        </w:rPr>
        <w:t>unications</w:t>
      </w:r>
      <w:r>
        <w:rPr>
          <w:i/>
        </w:rPr>
        <w:t>, LLC</w:t>
      </w:r>
      <w:r>
        <w:t>, Order on Review, 25 FCC Rcd 1675</w:t>
      </w:r>
      <w:r w:rsidR="00793468">
        <w:t>, 1676, para. 5</w:t>
      </w:r>
      <w:r>
        <w:t xml:space="preserve"> (2010)</w:t>
      </w:r>
      <w:r>
        <w:rPr>
          <w:rFonts w:ascii="Verdana" w:hAnsi="Verdana"/>
          <w:color w:val="000000"/>
          <w:sz w:val="19"/>
          <w:szCs w:val="19"/>
        </w:rPr>
        <w:t xml:space="preserve"> </w:t>
      </w:r>
      <w:r>
        <w:rPr>
          <w:color w:val="000000"/>
        </w:rPr>
        <w:t>(finding that</w:t>
      </w:r>
      <w:r>
        <w:rPr>
          <w:rFonts w:ascii="Verdana" w:hAnsi="Verdana"/>
          <w:color w:val="000000"/>
          <w:sz w:val="19"/>
          <w:szCs w:val="19"/>
        </w:rPr>
        <w:t xml:space="preserve"> </w:t>
      </w:r>
      <w:r>
        <w:rPr>
          <w:color w:val="000000"/>
        </w:rPr>
        <w:t>a violator can be held liable for violations resulting from mistakes of its employees)</w:t>
      </w:r>
      <w:r w:rsidR="00793468">
        <w:t xml:space="preserve"> (</w:t>
      </w:r>
      <w:r>
        <w:rPr>
          <w:i/>
        </w:rPr>
        <w:t>citing</w:t>
      </w:r>
      <w:r>
        <w:t xml:space="preserve"> </w:t>
      </w:r>
      <w:r>
        <w:rPr>
          <w:i/>
        </w:rPr>
        <w:t>North Country Repeaters</w:t>
      </w:r>
      <w:r>
        <w:t xml:space="preserve">, Forfeiture Order, 19 FCC Rcd 22139 (Enf. Bur. 2004); </w:t>
      </w:r>
      <w:r>
        <w:rPr>
          <w:i/>
        </w:rPr>
        <w:t>PBJ Communications of Virginia, Inc.</w:t>
      </w:r>
      <w:r>
        <w:t>, Memorandum Opinion and Or</w:t>
      </w:r>
      <w:r w:rsidR="00793468">
        <w:t xml:space="preserve">der, 7 FCC Rcd 2088 (1988); </w:t>
      </w:r>
      <w:r>
        <w:rPr>
          <w:i/>
        </w:rPr>
        <w:t>Standard Communications Corp.</w:t>
      </w:r>
      <w:r>
        <w:t>, Memorandum Opinion and Order, 1 FCC Rcd 358 (1986)</w:t>
      </w:r>
      <w:r w:rsidR="00793468">
        <w:t xml:space="preserve">; </w:t>
      </w:r>
      <w:r w:rsidR="00793468">
        <w:rPr>
          <w:i/>
        </w:rPr>
        <w:t>Triad Broadcasting Co., Inc.</w:t>
      </w:r>
      <w:r w:rsidR="00793468">
        <w:t>, 96 FCC 2d 1235 (1984)</w:t>
      </w:r>
      <w:r>
        <w:t>.</w:t>
      </w:r>
    </w:p>
  </w:footnote>
  <w:footnote w:id="24">
    <w:p w:rsidR="00DA6D25" w:rsidRDefault="00DA6D25" w:rsidP="000C4049">
      <w:pPr>
        <w:pStyle w:val="FootnoteText"/>
      </w:pPr>
      <w:r>
        <w:rPr>
          <w:rStyle w:val="FootnoteReference"/>
        </w:rPr>
        <w:footnoteRef/>
      </w:r>
      <w:r>
        <w:t xml:space="preserve"> 47 C.F.R. § 17.57.</w:t>
      </w:r>
    </w:p>
  </w:footnote>
  <w:footnote w:id="25">
    <w:p w:rsidR="00495486" w:rsidRDefault="00495486" w:rsidP="000C4049">
      <w:pPr>
        <w:pStyle w:val="FootnoteText"/>
        <w:jc w:val="left"/>
      </w:pPr>
      <w:r>
        <w:rPr>
          <w:rStyle w:val="FootnoteReference"/>
        </w:rPr>
        <w:footnoteRef/>
      </w:r>
      <w:r>
        <w:t xml:space="preserve"> </w:t>
      </w:r>
      <w:r w:rsidRPr="00BB68C5">
        <w:rPr>
          <w:i/>
        </w:rPr>
        <w:t>The Commission’s Forfeiture Policy Statement and Amendment of Section 1.80 of the Rules to Incorporate the Forfeiture Guidelines</w:t>
      </w:r>
      <w:r>
        <w:t xml:space="preserve">, Report and Order, 12 FCC Rcd 17087 (1997) </w:t>
      </w:r>
      <w:r w:rsidRPr="006C72D8">
        <w:t>(</w:t>
      </w:r>
      <w:r w:rsidRPr="00BB68C5">
        <w:rPr>
          <w:i/>
        </w:rPr>
        <w:t>Forfeiture Policy Statement</w:t>
      </w:r>
      <w:r w:rsidRPr="00BB68C5">
        <w:t>)</w:t>
      </w:r>
      <w:r>
        <w:t xml:space="preserve">, </w:t>
      </w:r>
      <w:r>
        <w:rPr>
          <w:i/>
        </w:rPr>
        <w:t>recons. denied</w:t>
      </w:r>
      <w:r>
        <w:t>, 15 FCC Rcd 303 (1999); 47 C.F.R. § 1.80.</w:t>
      </w:r>
    </w:p>
  </w:footnote>
  <w:footnote w:id="26">
    <w:p w:rsidR="00495486" w:rsidRDefault="00495486" w:rsidP="000C4049">
      <w:pPr>
        <w:pStyle w:val="FootnoteText"/>
        <w:jc w:val="left"/>
      </w:pPr>
      <w:r>
        <w:rPr>
          <w:rStyle w:val="FootnoteReference"/>
        </w:rPr>
        <w:footnoteRef/>
      </w:r>
      <w:r>
        <w:t xml:space="preserve"> 47 U.S.C. § 503(b)(2)(E).</w:t>
      </w:r>
    </w:p>
  </w:footnote>
  <w:footnote w:id="27">
    <w:p w:rsidR="00D3403D" w:rsidRPr="00A05ADB" w:rsidRDefault="00D3403D" w:rsidP="000C4049">
      <w:pPr>
        <w:pStyle w:val="FootnoteText"/>
      </w:pPr>
      <w:r>
        <w:rPr>
          <w:rStyle w:val="FootnoteReference"/>
        </w:rPr>
        <w:footnoteRef/>
      </w:r>
      <w:r>
        <w:t xml:space="preserve"> 47 C.F.R</w:t>
      </w:r>
      <w:r w:rsidRPr="00A05ADB">
        <w:t>. § 1.16.</w:t>
      </w:r>
    </w:p>
  </w:footnote>
  <w:footnote w:id="28">
    <w:p w:rsidR="00D3403D" w:rsidRPr="00A05ADB" w:rsidRDefault="00D3403D" w:rsidP="000C4049">
      <w:pPr>
        <w:pStyle w:val="FootnoteText"/>
      </w:pPr>
      <w:r w:rsidRPr="00A05ADB">
        <w:rPr>
          <w:rStyle w:val="FootnoteReference"/>
        </w:rPr>
        <w:footnoteRef/>
      </w:r>
      <w:r w:rsidRPr="00A05ADB">
        <w:t xml:space="preserve"> </w:t>
      </w:r>
      <w:r w:rsidRPr="00A05ADB">
        <w:rPr>
          <w:i/>
        </w:rPr>
        <w:t>See</w:t>
      </w:r>
      <w:r w:rsidRPr="00A05ADB">
        <w:t xml:space="preserve"> 47 U.S.C. § 303(q)</w:t>
      </w:r>
      <w:r w:rsidR="00CE17C9">
        <w:t>; 47 C.F.R. §§ 17.1–</w:t>
      </w:r>
      <w:r w:rsidRPr="00A05ADB">
        <w:t xml:space="preserve">17.57. </w:t>
      </w:r>
    </w:p>
  </w:footnote>
  <w:footnote w:id="29">
    <w:p w:rsidR="00495486" w:rsidRPr="000C4049" w:rsidRDefault="00495486" w:rsidP="000C4049">
      <w:pPr>
        <w:pStyle w:val="FootnoteText"/>
        <w:jc w:val="left"/>
      </w:pPr>
      <w:r w:rsidRPr="000C4049">
        <w:rPr>
          <w:rStyle w:val="FootnoteReference"/>
        </w:rPr>
        <w:footnoteRef/>
      </w:r>
      <w:r w:rsidRPr="000C4049">
        <w:t xml:space="preserve"> 47 U.S.C. </w:t>
      </w:r>
      <w:r w:rsidR="000C4049" w:rsidRPr="000C4049">
        <w:t>§</w:t>
      </w:r>
      <w:r w:rsidRPr="000C4049">
        <w:t xml:space="preserve">§ </w:t>
      </w:r>
      <w:r w:rsidR="000C4049" w:rsidRPr="000C4049">
        <w:t xml:space="preserve">303(q), </w:t>
      </w:r>
      <w:r w:rsidRPr="000C4049">
        <w:t>503(b); 47 C.F.R. §§ 0.111, 0.204, 0.311, 0.314, 1.80,</w:t>
      </w:r>
      <w:r w:rsidR="009B70D9" w:rsidRPr="000C4049">
        <w:t xml:space="preserve"> </w:t>
      </w:r>
      <w:r w:rsidR="000C4049" w:rsidRPr="00A14C0F">
        <w:t xml:space="preserve">17.23, </w:t>
      </w:r>
      <w:r w:rsidR="000C4049" w:rsidRPr="000C4049">
        <w:rPr>
          <w:spacing w:val="-2"/>
        </w:rPr>
        <w:t>17.47(a), 17.48(a), 17.51(b)</w:t>
      </w:r>
      <w:r w:rsidR="00CE17C9" w:rsidRPr="000C4049">
        <w:rPr>
          <w:spacing w:val="-2"/>
        </w:rPr>
        <w:t xml:space="preserve">, </w:t>
      </w:r>
      <w:r w:rsidR="000C4049" w:rsidRPr="000C4049">
        <w:rPr>
          <w:spacing w:val="-2"/>
        </w:rPr>
        <w:t>1</w:t>
      </w:r>
      <w:r w:rsidR="00E7176B" w:rsidRPr="000C4049">
        <w:rPr>
          <w:spacing w:val="-2"/>
        </w:rPr>
        <w:t>7.57</w:t>
      </w:r>
      <w:r w:rsidRPr="000C4049">
        <w:t>.</w:t>
      </w:r>
    </w:p>
  </w:footnote>
  <w:footnote w:id="30">
    <w:p w:rsidR="00495486" w:rsidRDefault="00495486" w:rsidP="000C4049">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31">
    <w:p w:rsidR="00495486" w:rsidRDefault="00495486" w:rsidP="000C4049">
      <w:pPr>
        <w:pStyle w:val="FootnoteText"/>
      </w:pPr>
      <w:r>
        <w:rPr>
          <w:rStyle w:val="FootnoteReference"/>
        </w:rPr>
        <w:footnoteRef/>
      </w:r>
      <w:r>
        <w:t xml:space="preserve"> </w:t>
      </w:r>
      <w:r w:rsidRPr="00D70F1F">
        <w:rPr>
          <w:i/>
        </w:rPr>
        <w:t>See</w:t>
      </w:r>
      <w:r>
        <w:t xml:space="preserve"> 47 C.F.R. § 1.1914.</w:t>
      </w:r>
    </w:p>
  </w:footnote>
  <w:footnote w:id="32">
    <w:p w:rsidR="00495486" w:rsidRDefault="00495486" w:rsidP="000C4049">
      <w:pPr>
        <w:pStyle w:val="FootnoteTex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7" w:rsidRDefault="00AF2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86" w:rsidRPr="00331410" w:rsidRDefault="00495486" w:rsidP="005C0962">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5C0962">
      <w:rPr>
        <w:b/>
        <w:sz w:val="22"/>
        <w:szCs w:val="22"/>
      </w:rPr>
      <w:t>4</w:t>
    </w:r>
    <w:r w:rsidR="007C335E">
      <w:rPr>
        <w:b/>
        <w:sz w:val="22"/>
        <w:szCs w:val="22"/>
      </w:rPr>
      <w:t>-793</w:t>
    </w:r>
  </w:p>
  <w:p w:rsidR="00495486" w:rsidRDefault="00BE12F4">
    <w:pPr>
      <w:pStyle w:val="Header"/>
      <w:tabs>
        <w:tab w:val="clear" w:pos="8640"/>
        <w:tab w:val="right" w:pos="9360"/>
      </w:tabs>
    </w:pPr>
    <w:r>
      <w:rPr>
        <w:noProof/>
      </w:rPr>
      <w:pict>
        <v:line id="_x0000_s2053" style="position:absolute;z-index:251658240" from="0,1.75pt" to="468pt,1.75pt" o:allowincell="f" strokeweight="1.5pt"/>
      </w:pict>
    </w:r>
  </w:p>
  <w:p w:rsidR="00495486" w:rsidRDefault="00495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86" w:rsidRPr="00331410" w:rsidRDefault="00495486" w:rsidP="005C0962">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5C0962">
      <w:rPr>
        <w:b/>
        <w:sz w:val="22"/>
        <w:szCs w:val="22"/>
      </w:rPr>
      <w:t>4</w:t>
    </w:r>
    <w:r w:rsidR="007C335E">
      <w:rPr>
        <w:b/>
        <w:sz w:val="22"/>
        <w:szCs w:val="22"/>
      </w:rPr>
      <w:t>-793</w:t>
    </w:r>
  </w:p>
  <w:p w:rsidR="00495486" w:rsidRDefault="00BE12F4">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C8C1051"/>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F75A2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6292647"/>
    <w:multiLevelType w:val="hybridMultilevel"/>
    <w:tmpl w:val="4F2E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9">
    <w:nsid w:val="73554197"/>
    <w:multiLevelType w:val="hybridMultilevel"/>
    <w:tmpl w:val="385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1">
    <w:nsid w:val="77857A01"/>
    <w:multiLevelType w:val="hybridMultilevel"/>
    <w:tmpl w:val="F3BC0284"/>
    <w:lvl w:ilvl="0" w:tplc="0409000F">
      <w:start w:val="1"/>
      <w:numFmt w:val="decimal"/>
      <w:lvlText w:val="%1."/>
      <w:lvlJc w:val="left"/>
      <w:pPr>
        <w:tabs>
          <w:tab w:val="num" w:pos="720"/>
        </w:tabs>
        <w:ind w:left="720" w:hanging="360"/>
      </w:pPr>
    </w:lvl>
    <w:lvl w:ilvl="1" w:tplc="FF7E1E06">
      <w:start w:val="20"/>
      <w:numFmt w:val="decimal"/>
      <w:lvlText w:val="Exhibit %2"/>
      <w:lvlJc w:val="left"/>
      <w:pPr>
        <w:tabs>
          <w:tab w:val="num" w:pos="2160"/>
        </w:tabs>
        <w:ind w:left="2160" w:hanging="108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6"/>
  </w:num>
  <w:num w:numId="4">
    <w:abstractNumId w:val="23"/>
  </w:num>
  <w:num w:numId="5">
    <w:abstractNumId w:val="8"/>
  </w:num>
  <w:num w:numId="6">
    <w:abstractNumId w:val="26"/>
  </w:num>
  <w:num w:numId="7">
    <w:abstractNumId w:val="20"/>
  </w:num>
  <w:num w:numId="8">
    <w:abstractNumId w:val="9"/>
  </w:num>
  <w:num w:numId="9">
    <w:abstractNumId w:val="25"/>
  </w:num>
  <w:num w:numId="10">
    <w:abstractNumId w:val="15"/>
  </w:num>
  <w:num w:numId="11">
    <w:abstractNumId w:val="13"/>
  </w:num>
  <w:num w:numId="12">
    <w:abstractNumId w:val="10"/>
  </w:num>
  <w:num w:numId="13">
    <w:abstractNumId w:val="17"/>
  </w:num>
  <w:num w:numId="14">
    <w:abstractNumId w:val="24"/>
  </w:num>
  <w:num w:numId="15">
    <w:abstractNumId w:val="4"/>
  </w:num>
  <w:num w:numId="16">
    <w:abstractNumId w:val="5"/>
  </w:num>
  <w:num w:numId="17">
    <w:abstractNumId w:val="11"/>
  </w:num>
  <w:num w:numId="18">
    <w:abstractNumId w:val="0"/>
  </w:num>
  <w:num w:numId="19">
    <w:abstractNumId w:val="12"/>
  </w:num>
  <w:num w:numId="20">
    <w:abstractNumId w:val="21"/>
  </w:num>
  <w:num w:numId="21">
    <w:abstractNumId w:val="22"/>
  </w:num>
  <w:num w:numId="22">
    <w:abstractNumId w:val="19"/>
  </w:num>
  <w:num w:numId="23">
    <w:abstractNumId w:val="14"/>
  </w:num>
  <w:num w:numId="24">
    <w:abstractNumId w:val="27"/>
  </w:num>
  <w:num w:numId="25">
    <w:abstractNumId w:val="16"/>
  </w:num>
  <w:num w:numId="26">
    <w:abstractNumId w:val="18"/>
  </w:num>
  <w:num w:numId="27">
    <w:abstractNumId w:val="2"/>
  </w:num>
  <w:num w:numId="28">
    <w:abstractNumId w:val="29"/>
  </w:num>
  <w:num w:numId="29">
    <w:abstractNumId w:val="7"/>
  </w:num>
  <w:num w:numId="30">
    <w:abstractNumId w:val="31"/>
  </w:num>
  <w:num w:numId="31">
    <w:abstractNumId w:val="3"/>
  </w:num>
  <w:num w:numId="32">
    <w:abstractNumId w:val="1"/>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847E3"/>
    <w:rsid w:val="00017CDA"/>
    <w:rsid w:val="00022679"/>
    <w:rsid w:val="0002461E"/>
    <w:rsid w:val="00030CB6"/>
    <w:rsid w:val="00037295"/>
    <w:rsid w:val="000412F5"/>
    <w:rsid w:val="000453C1"/>
    <w:rsid w:val="00050854"/>
    <w:rsid w:val="00071484"/>
    <w:rsid w:val="0007777A"/>
    <w:rsid w:val="00077F92"/>
    <w:rsid w:val="000875B1"/>
    <w:rsid w:val="00093BBC"/>
    <w:rsid w:val="00095BDC"/>
    <w:rsid w:val="00096FA2"/>
    <w:rsid w:val="000A0EEE"/>
    <w:rsid w:val="000A5F92"/>
    <w:rsid w:val="000A71AC"/>
    <w:rsid w:val="000B3C45"/>
    <w:rsid w:val="000C4049"/>
    <w:rsid w:val="000D00B2"/>
    <w:rsid w:val="000D4504"/>
    <w:rsid w:val="000E0451"/>
    <w:rsid w:val="000E2560"/>
    <w:rsid w:val="0010197F"/>
    <w:rsid w:val="00105973"/>
    <w:rsid w:val="001076A8"/>
    <w:rsid w:val="0011114B"/>
    <w:rsid w:val="0011170C"/>
    <w:rsid w:val="00120233"/>
    <w:rsid w:val="001253C3"/>
    <w:rsid w:val="00125A4D"/>
    <w:rsid w:val="00145224"/>
    <w:rsid w:val="00146EF3"/>
    <w:rsid w:val="001526A2"/>
    <w:rsid w:val="00154417"/>
    <w:rsid w:val="001665F5"/>
    <w:rsid w:val="00174A12"/>
    <w:rsid w:val="00175E71"/>
    <w:rsid w:val="00190523"/>
    <w:rsid w:val="00192FA9"/>
    <w:rsid w:val="001A3378"/>
    <w:rsid w:val="001C0B1F"/>
    <w:rsid w:val="001E2A65"/>
    <w:rsid w:val="001F566B"/>
    <w:rsid w:val="00200735"/>
    <w:rsid w:val="00211D85"/>
    <w:rsid w:val="00222E98"/>
    <w:rsid w:val="0023130D"/>
    <w:rsid w:val="00237F81"/>
    <w:rsid w:val="00245F69"/>
    <w:rsid w:val="002511FB"/>
    <w:rsid w:val="00251A22"/>
    <w:rsid w:val="00256422"/>
    <w:rsid w:val="00260C08"/>
    <w:rsid w:val="0029079C"/>
    <w:rsid w:val="002A6039"/>
    <w:rsid w:val="002A732B"/>
    <w:rsid w:val="002B36DD"/>
    <w:rsid w:val="002C62DA"/>
    <w:rsid w:val="002D7103"/>
    <w:rsid w:val="002F4ECF"/>
    <w:rsid w:val="003003E1"/>
    <w:rsid w:val="003112B5"/>
    <w:rsid w:val="003208FD"/>
    <w:rsid w:val="00321805"/>
    <w:rsid w:val="00323513"/>
    <w:rsid w:val="00324CF6"/>
    <w:rsid w:val="0033085D"/>
    <w:rsid w:val="00331410"/>
    <w:rsid w:val="0033797D"/>
    <w:rsid w:val="00337B75"/>
    <w:rsid w:val="003422DF"/>
    <w:rsid w:val="00347CA1"/>
    <w:rsid w:val="0036399E"/>
    <w:rsid w:val="00371336"/>
    <w:rsid w:val="003740F2"/>
    <w:rsid w:val="00376145"/>
    <w:rsid w:val="00382261"/>
    <w:rsid w:val="00390F1B"/>
    <w:rsid w:val="00392410"/>
    <w:rsid w:val="00392760"/>
    <w:rsid w:val="003A1907"/>
    <w:rsid w:val="003A2112"/>
    <w:rsid w:val="003A3D53"/>
    <w:rsid w:val="003A7878"/>
    <w:rsid w:val="003C732E"/>
    <w:rsid w:val="003D783B"/>
    <w:rsid w:val="003E2AD5"/>
    <w:rsid w:val="003F3CFD"/>
    <w:rsid w:val="003F3F71"/>
    <w:rsid w:val="004110FC"/>
    <w:rsid w:val="00411361"/>
    <w:rsid w:val="0041443C"/>
    <w:rsid w:val="00425706"/>
    <w:rsid w:val="00447AAD"/>
    <w:rsid w:val="00473F0B"/>
    <w:rsid w:val="00484313"/>
    <w:rsid w:val="004930F5"/>
    <w:rsid w:val="00495486"/>
    <w:rsid w:val="004A0D07"/>
    <w:rsid w:val="004C6D99"/>
    <w:rsid w:val="004C7BF7"/>
    <w:rsid w:val="004E00D3"/>
    <w:rsid w:val="00502239"/>
    <w:rsid w:val="00503946"/>
    <w:rsid w:val="00506716"/>
    <w:rsid w:val="00510919"/>
    <w:rsid w:val="00512D71"/>
    <w:rsid w:val="00562A69"/>
    <w:rsid w:val="00571009"/>
    <w:rsid w:val="00574A7A"/>
    <w:rsid w:val="00577ADD"/>
    <w:rsid w:val="005B39AC"/>
    <w:rsid w:val="005C0962"/>
    <w:rsid w:val="005C0D10"/>
    <w:rsid w:val="005C1200"/>
    <w:rsid w:val="005D19E6"/>
    <w:rsid w:val="005D22F4"/>
    <w:rsid w:val="005E587D"/>
    <w:rsid w:val="005F002F"/>
    <w:rsid w:val="005F1CF0"/>
    <w:rsid w:val="005F483B"/>
    <w:rsid w:val="005F67D7"/>
    <w:rsid w:val="00603740"/>
    <w:rsid w:val="00607D4F"/>
    <w:rsid w:val="00612C1A"/>
    <w:rsid w:val="00613F7C"/>
    <w:rsid w:val="00624E7D"/>
    <w:rsid w:val="00651DE2"/>
    <w:rsid w:val="00661204"/>
    <w:rsid w:val="00683F6F"/>
    <w:rsid w:val="006868B5"/>
    <w:rsid w:val="006936B8"/>
    <w:rsid w:val="006943AA"/>
    <w:rsid w:val="006A1345"/>
    <w:rsid w:val="006A1EC1"/>
    <w:rsid w:val="006B372C"/>
    <w:rsid w:val="006C72D8"/>
    <w:rsid w:val="006D037B"/>
    <w:rsid w:val="00716561"/>
    <w:rsid w:val="00735D4D"/>
    <w:rsid w:val="00744632"/>
    <w:rsid w:val="00755EA6"/>
    <w:rsid w:val="00777E77"/>
    <w:rsid w:val="00780C18"/>
    <w:rsid w:val="00787C4B"/>
    <w:rsid w:val="007907B0"/>
    <w:rsid w:val="00793468"/>
    <w:rsid w:val="00794C59"/>
    <w:rsid w:val="007A5366"/>
    <w:rsid w:val="007C335E"/>
    <w:rsid w:val="007E187C"/>
    <w:rsid w:val="007E2E05"/>
    <w:rsid w:val="008024F6"/>
    <w:rsid w:val="008258ED"/>
    <w:rsid w:val="00826E4E"/>
    <w:rsid w:val="00832D6C"/>
    <w:rsid w:val="008376EC"/>
    <w:rsid w:val="00840A6A"/>
    <w:rsid w:val="00852A03"/>
    <w:rsid w:val="00852A75"/>
    <w:rsid w:val="00856437"/>
    <w:rsid w:val="00867268"/>
    <w:rsid w:val="00875DB2"/>
    <w:rsid w:val="00887660"/>
    <w:rsid w:val="00890911"/>
    <w:rsid w:val="008B58B7"/>
    <w:rsid w:val="008C26F7"/>
    <w:rsid w:val="008C4978"/>
    <w:rsid w:val="008D235A"/>
    <w:rsid w:val="008E5455"/>
    <w:rsid w:val="00905DC7"/>
    <w:rsid w:val="0091373D"/>
    <w:rsid w:val="00915C43"/>
    <w:rsid w:val="0091686F"/>
    <w:rsid w:val="009207D9"/>
    <w:rsid w:val="00920C19"/>
    <w:rsid w:val="00925253"/>
    <w:rsid w:val="009423ED"/>
    <w:rsid w:val="0095119D"/>
    <w:rsid w:val="00956B3B"/>
    <w:rsid w:val="009578B1"/>
    <w:rsid w:val="009641E3"/>
    <w:rsid w:val="00967758"/>
    <w:rsid w:val="009702B0"/>
    <w:rsid w:val="009711A7"/>
    <w:rsid w:val="009712F4"/>
    <w:rsid w:val="00980DFC"/>
    <w:rsid w:val="009844E6"/>
    <w:rsid w:val="009857C3"/>
    <w:rsid w:val="00986009"/>
    <w:rsid w:val="00990FB6"/>
    <w:rsid w:val="009A13E4"/>
    <w:rsid w:val="009A7A2E"/>
    <w:rsid w:val="009B70D9"/>
    <w:rsid w:val="009C1847"/>
    <w:rsid w:val="009D1F23"/>
    <w:rsid w:val="009D4094"/>
    <w:rsid w:val="009D6C92"/>
    <w:rsid w:val="009D7325"/>
    <w:rsid w:val="009E4540"/>
    <w:rsid w:val="009E4BAA"/>
    <w:rsid w:val="009F3632"/>
    <w:rsid w:val="009F6C24"/>
    <w:rsid w:val="00A00675"/>
    <w:rsid w:val="00A05ADB"/>
    <w:rsid w:val="00A10DA6"/>
    <w:rsid w:val="00A12D37"/>
    <w:rsid w:val="00A14C0F"/>
    <w:rsid w:val="00A16AF9"/>
    <w:rsid w:val="00A37420"/>
    <w:rsid w:val="00A546FC"/>
    <w:rsid w:val="00A66F85"/>
    <w:rsid w:val="00A76BC5"/>
    <w:rsid w:val="00AA1EDE"/>
    <w:rsid w:val="00AA30D7"/>
    <w:rsid w:val="00AA33AF"/>
    <w:rsid w:val="00AA4D28"/>
    <w:rsid w:val="00AB3F15"/>
    <w:rsid w:val="00AC2869"/>
    <w:rsid w:val="00AC5318"/>
    <w:rsid w:val="00AE25CC"/>
    <w:rsid w:val="00AE3A0F"/>
    <w:rsid w:val="00AF2057"/>
    <w:rsid w:val="00AF45BF"/>
    <w:rsid w:val="00AF4CA3"/>
    <w:rsid w:val="00AF653D"/>
    <w:rsid w:val="00B04DF4"/>
    <w:rsid w:val="00B313E8"/>
    <w:rsid w:val="00B40B8E"/>
    <w:rsid w:val="00B51B09"/>
    <w:rsid w:val="00B54015"/>
    <w:rsid w:val="00B70C8B"/>
    <w:rsid w:val="00B711FC"/>
    <w:rsid w:val="00B943BA"/>
    <w:rsid w:val="00BA6DFF"/>
    <w:rsid w:val="00BB34F3"/>
    <w:rsid w:val="00BB4E8D"/>
    <w:rsid w:val="00BB5A17"/>
    <w:rsid w:val="00BD24E7"/>
    <w:rsid w:val="00BD4286"/>
    <w:rsid w:val="00BE12F4"/>
    <w:rsid w:val="00BE4038"/>
    <w:rsid w:val="00BE6E2F"/>
    <w:rsid w:val="00BF1922"/>
    <w:rsid w:val="00BF1F02"/>
    <w:rsid w:val="00BF4DA8"/>
    <w:rsid w:val="00BF72FB"/>
    <w:rsid w:val="00C009F7"/>
    <w:rsid w:val="00C011F6"/>
    <w:rsid w:val="00C04B38"/>
    <w:rsid w:val="00C14521"/>
    <w:rsid w:val="00C24320"/>
    <w:rsid w:val="00C24414"/>
    <w:rsid w:val="00C46A39"/>
    <w:rsid w:val="00C55AF9"/>
    <w:rsid w:val="00C5634A"/>
    <w:rsid w:val="00C600C5"/>
    <w:rsid w:val="00C602A6"/>
    <w:rsid w:val="00C62CF3"/>
    <w:rsid w:val="00C80F76"/>
    <w:rsid w:val="00C8210C"/>
    <w:rsid w:val="00C91445"/>
    <w:rsid w:val="00C91804"/>
    <w:rsid w:val="00C9495D"/>
    <w:rsid w:val="00CC2A5F"/>
    <w:rsid w:val="00CC7BEC"/>
    <w:rsid w:val="00CD0953"/>
    <w:rsid w:val="00CD5AA2"/>
    <w:rsid w:val="00CE1311"/>
    <w:rsid w:val="00CE17C9"/>
    <w:rsid w:val="00D02F61"/>
    <w:rsid w:val="00D0773B"/>
    <w:rsid w:val="00D13FA6"/>
    <w:rsid w:val="00D15A5F"/>
    <w:rsid w:val="00D202A8"/>
    <w:rsid w:val="00D2090F"/>
    <w:rsid w:val="00D24820"/>
    <w:rsid w:val="00D3403D"/>
    <w:rsid w:val="00D52690"/>
    <w:rsid w:val="00D54341"/>
    <w:rsid w:val="00D57AE2"/>
    <w:rsid w:val="00D7437C"/>
    <w:rsid w:val="00D87FC7"/>
    <w:rsid w:val="00DA6D25"/>
    <w:rsid w:val="00DC7D2B"/>
    <w:rsid w:val="00DD6ECB"/>
    <w:rsid w:val="00DD79C3"/>
    <w:rsid w:val="00DF5744"/>
    <w:rsid w:val="00DF64C1"/>
    <w:rsid w:val="00E15C34"/>
    <w:rsid w:val="00E16103"/>
    <w:rsid w:val="00E40324"/>
    <w:rsid w:val="00E44D9B"/>
    <w:rsid w:val="00E458B2"/>
    <w:rsid w:val="00E52C78"/>
    <w:rsid w:val="00E540DC"/>
    <w:rsid w:val="00E664B4"/>
    <w:rsid w:val="00E7176B"/>
    <w:rsid w:val="00E74469"/>
    <w:rsid w:val="00E847E3"/>
    <w:rsid w:val="00E92EAB"/>
    <w:rsid w:val="00EA4240"/>
    <w:rsid w:val="00EB57F9"/>
    <w:rsid w:val="00EB672E"/>
    <w:rsid w:val="00EC0A33"/>
    <w:rsid w:val="00EC161B"/>
    <w:rsid w:val="00EE7962"/>
    <w:rsid w:val="00EE7A85"/>
    <w:rsid w:val="00EF406C"/>
    <w:rsid w:val="00F05F84"/>
    <w:rsid w:val="00F25F9A"/>
    <w:rsid w:val="00F30E61"/>
    <w:rsid w:val="00F4123C"/>
    <w:rsid w:val="00F42A0D"/>
    <w:rsid w:val="00F46870"/>
    <w:rsid w:val="00F53E3E"/>
    <w:rsid w:val="00F6189B"/>
    <w:rsid w:val="00F634DD"/>
    <w:rsid w:val="00F71B85"/>
    <w:rsid w:val="00F82954"/>
    <w:rsid w:val="00F94935"/>
    <w:rsid w:val="00FA1ABF"/>
    <w:rsid w:val="00FB0BF1"/>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61204"/>
    <w:pPr>
      <w:keepNext/>
      <w:numPr>
        <w:numId w:val="4"/>
      </w:numPr>
      <w:suppressAutoHyphens/>
      <w:spacing w:after="220"/>
      <w:jc w:val="both"/>
      <w:outlineLvl w:val="0"/>
    </w:pPr>
    <w:rPr>
      <w:b/>
      <w:caps/>
    </w:rPr>
  </w:style>
  <w:style w:type="paragraph" w:styleId="Heading2">
    <w:name w:val="heading 2"/>
    <w:basedOn w:val="Normal"/>
    <w:next w:val="ParaNum"/>
    <w:qFormat/>
    <w:rsid w:val="00661204"/>
    <w:pPr>
      <w:keepNext/>
      <w:numPr>
        <w:ilvl w:val="1"/>
        <w:numId w:val="4"/>
      </w:numPr>
      <w:spacing w:after="220"/>
      <w:jc w:val="both"/>
      <w:outlineLvl w:val="1"/>
    </w:pPr>
    <w:rPr>
      <w:b/>
    </w:rPr>
  </w:style>
  <w:style w:type="paragraph" w:styleId="Heading3">
    <w:name w:val="heading 3"/>
    <w:basedOn w:val="Normal"/>
    <w:next w:val="ParaNum"/>
    <w:qFormat/>
    <w:rsid w:val="00661204"/>
    <w:pPr>
      <w:keepNext/>
      <w:numPr>
        <w:ilvl w:val="2"/>
        <w:numId w:val="4"/>
      </w:numPr>
      <w:spacing w:after="220"/>
      <w:jc w:val="both"/>
      <w:outlineLvl w:val="2"/>
    </w:pPr>
    <w:rPr>
      <w:b/>
    </w:rPr>
  </w:style>
  <w:style w:type="paragraph" w:styleId="Heading4">
    <w:name w:val="heading 4"/>
    <w:basedOn w:val="Normal"/>
    <w:next w:val="ParaNum"/>
    <w:qFormat/>
    <w:rsid w:val="00661204"/>
    <w:pPr>
      <w:keepNext/>
      <w:numPr>
        <w:ilvl w:val="3"/>
        <w:numId w:val="4"/>
      </w:numPr>
      <w:spacing w:after="220"/>
      <w:jc w:val="both"/>
      <w:outlineLvl w:val="3"/>
    </w:pPr>
    <w:rPr>
      <w:b/>
    </w:rPr>
  </w:style>
  <w:style w:type="paragraph" w:styleId="Heading5">
    <w:name w:val="heading 5"/>
    <w:basedOn w:val="Normal"/>
    <w:next w:val="ParaNum"/>
    <w:qFormat/>
    <w:rsid w:val="00661204"/>
    <w:pPr>
      <w:keepNext/>
      <w:numPr>
        <w:ilvl w:val="4"/>
        <w:numId w:val="4"/>
      </w:numPr>
      <w:suppressAutoHyphens/>
      <w:spacing w:after="220"/>
      <w:jc w:val="both"/>
      <w:outlineLvl w:val="4"/>
    </w:pPr>
    <w:rPr>
      <w:b/>
    </w:rPr>
  </w:style>
  <w:style w:type="paragraph" w:styleId="Heading6">
    <w:name w:val="heading 6"/>
    <w:basedOn w:val="Normal"/>
    <w:next w:val="ParaNum"/>
    <w:qFormat/>
    <w:rsid w:val="00661204"/>
    <w:pPr>
      <w:numPr>
        <w:ilvl w:val="5"/>
        <w:numId w:val="4"/>
      </w:numPr>
      <w:spacing w:after="220"/>
      <w:jc w:val="both"/>
      <w:outlineLvl w:val="5"/>
    </w:pPr>
    <w:rPr>
      <w:b/>
    </w:rPr>
  </w:style>
  <w:style w:type="paragraph" w:styleId="Heading7">
    <w:name w:val="heading 7"/>
    <w:basedOn w:val="Normal"/>
    <w:next w:val="ParaNum"/>
    <w:qFormat/>
    <w:rsid w:val="00661204"/>
    <w:pPr>
      <w:numPr>
        <w:ilvl w:val="6"/>
        <w:numId w:val="4"/>
      </w:numPr>
      <w:spacing w:after="220"/>
      <w:jc w:val="both"/>
      <w:outlineLvl w:val="6"/>
    </w:pPr>
    <w:rPr>
      <w:b/>
    </w:rPr>
  </w:style>
  <w:style w:type="paragraph" w:styleId="Heading8">
    <w:name w:val="heading 8"/>
    <w:basedOn w:val="Normal"/>
    <w:next w:val="ParaNum"/>
    <w:qFormat/>
    <w:rsid w:val="00661204"/>
    <w:pPr>
      <w:numPr>
        <w:ilvl w:val="7"/>
        <w:numId w:val="4"/>
      </w:numPr>
      <w:spacing w:after="220"/>
      <w:jc w:val="both"/>
      <w:outlineLvl w:val="7"/>
    </w:pPr>
    <w:rPr>
      <w:b/>
    </w:rPr>
  </w:style>
  <w:style w:type="paragraph" w:styleId="Heading9">
    <w:name w:val="heading 9"/>
    <w:basedOn w:val="Normal"/>
    <w:next w:val="ParaNum"/>
    <w:qFormat/>
    <w:rsid w:val="00661204"/>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61204"/>
    <w:pPr>
      <w:spacing w:before="120" w:after="120"/>
    </w:pPr>
    <w:rPr>
      <w:b/>
    </w:rPr>
  </w:style>
  <w:style w:type="paragraph" w:customStyle="1" w:styleId="ParaNum">
    <w:name w:val="ParaNum"/>
    <w:basedOn w:val="Normal"/>
    <w:link w:val="ParaNumChar"/>
    <w:rsid w:val="00661204"/>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61204"/>
    <w:pPr>
      <w:tabs>
        <w:tab w:val="left" w:pos="180"/>
        <w:tab w:val="left" w:pos="720"/>
        <w:tab w:val="left" w:pos="1440"/>
        <w:tab w:val="left" w:pos="2160"/>
      </w:tabs>
      <w:spacing w:after="120"/>
      <w:jc w:val="both"/>
    </w:pPr>
  </w:style>
  <w:style w:type="paragraph" w:customStyle="1" w:styleId="Bullet">
    <w:name w:val="Bullet"/>
    <w:basedOn w:val="Normal"/>
    <w:rsid w:val="00661204"/>
    <w:pPr>
      <w:numPr>
        <w:numId w:val="9"/>
      </w:numPr>
      <w:tabs>
        <w:tab w:val="clear" w:pos="2520"/>
      </w:tabs>
      <w:spacing w:after="220"/>
      <w:ind w:left="2160" w:hanging="720"/>
      <w:jc w:val="both"/>
    </w:pPr>
  </w:style>
  <w:style w:type="paragraph" w:styleId="BlockText">
    <w:name w:val="Block Text"/>
    <w:basedOn w:val="Normal"/>
    <w:rsid w:val="00661204"/>
    <w:pPr>
      <w:spacing w:after="220"/>
      <w:ind w:left="1440" w:right="1440"/>
      <w:jc w:val="both"/>
    </w:pPr>
  </w:style>
  <w:style w:type="paragraph" w:customStyle="1" w:styleId="TableFormat">
    <w:name w:val="TableFormat"/>
    <w:basedOn w:val="Normal"/>
    <w:rsid w:val="00661204"/>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61204"/>
    <w:rPr>
      <w:vertAlign w:val="superscript"/>
    </w:rPr>
  </w:style>
  <w:style w:type="paragraph" w:styleId="Header">
    <w:name w:val="header"/>
    <w:basedOn w:val="Normal"/>
    <w:rsid w:val="00661204"/>
    <w:pPr>
      <w:tabs>
        <w:tab w:val="center" w:pos="4320"/>
        <w:tab w:val="right" w:pos="8640"/>
      </w:tabs>
    </w:pPr>
  </w:style>
  <w:style w:type="paragraph" w:styleId="Footer">
    <w:name w:val="footer"/>
    <w:basedOn w:val="Normal"/>
    <w:rsid w:val="00661204"/>
    <w:pPr>
      <w:tabs>
        <w:tab w:val="center" w:pos="4320"/>
        <w:tab w:val="right" w:pos="8640"/>
      </w:tabs>
    </w:pPr>
  </w:style>
  <w:style w:type="paragraph" w:styleId="TOC2">
    <w:name w:val="toc 2"/>
    <w:basedOn w:val="Normal"/>
    <w:next w:val="Normal"/>
    <w:semiHidden/>
    <w:rsid w:val="00661204"/>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61204"/>
    <w:pPr>
      <w:numPr>
        <w:numId w:val="21"/>
      </w:numPr>
      <w:tabs>
        <w:tab w:val="clear" w:pos="1080"/>
      </w:tabs>
      <w:spacing w:after="220"/>
      <w:ind w:firstLine="0"/>
    </w:pPr>
  </w:style>
  <w:style w:type="paragraph" w:styleId="TOC1">
    <w:name w:val="toc 1"/>
    <w:basedOn w:val="Normal"/>
    <w:next w:val="Normal"/>
    <w:semiHidden/>
    <w:rsid w:val="00661204"/>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61204"/>
    <w:pPr>
      <w:tabs>
        <w:tab w:val="left" w:pos="2160"/>
        <w:tab w:val="right" w:leader="dot" w:pos="9360"/>
      </w:tabs>
      <w:suppressAutoHyphens/>
      <w:ind w:left="2160" w:right="720" w:hanging="720"/>
      <w:jc w:val="both"/>
    </w:pPr>
  </w:style>
  <w:style w:type="paragraph" w:styleId="TOC4">
    <w:name w:val="toc 4"/>
    <w:basedOn w:val="Normal"/>
    <w:next w:val="Normal"/>
    <w:semiHidden/>
    <w:rsid w:val="00661204"/>
    <w:pPr>
      <w:tabs>
        <w:tab w:val="left" w:pos="2880"/>
        <w:tab w:val="right" w:leader="dot" w:pos="9360"/>
      </w:tabs>
      <w:suppressAutoHyphens/>
      <w:ind w:left="2880" w:right="720" w:hanging="720"/>
      <w:jc w:val="both"/>
    </w:pPr>
  </w:style>
  <w:style w:type="paragraph" w:styleId="TOC5">
    <w:name w:val="toc 5"/>
    <w:basedOn w:val="Normal"/>
    <w:next w:val="Normal"/>
    <w:semiHidden/>
    <w:rsid w:val="00661204"/>
    <w:pPr>
      <w:tabs>
        <w:tab w:val="left" w:pos="3600"/>
        <w:tab w:val="right" w:leader="dot" w:pos="9360"/>
      </w:tabs>
      <w:suppressAutoHyphens/>
      <w:ind w:left="3600" w:right="720" w:hanging="720"/>
      <w:jc w:val="both"/>
    </w:pPr>
  </w:style>
  <w:style w:type="paragraph" w:styleId="TOC6">
    <w:name w:val="toc 6"/>
    <w:basedOn w:val="Normal"/>
    <w:next w:val="Normal"/>
    <w:semiHidden/>
    <w:rsid w:val="00661204"/>
    <w:pPr>
      <w:tabs>
        <w:tab w:val="left" w:leader="dot" w:pos="9360"/>
      </w:tabs>
      <w:suppressAutoHyphens/>
      <w:ind w:left="720" w:hanging="720"/>
      <w:jc w:val="both"/>
    </w:pPr>
  </w:style>
  <w:style w:type="paragraph" w:styleId="TOC7">
    <w:name w:val="toc 7"/>
    <w:basedOn w:val="Normal"/>
    <w:next w:val="Normal"/>
    <w:semiHidden/>
    <w:rsid w:val="00661204"/>
    <w:pPr>
      <w:tabs>
        <w:tab w:val="left" w:leader="dot" w:pos="9360"/>
      </w:tabs>
      <w:suppressAutoHyphens/>
      <w:ind w:left="720" w:hanging="720"/>
      <w:jc w:val="both"/>
    </w:pPr>
  </w:style>
  <w:style w:type="paragraph" w:styleId="TOC8">
    <w:name w:val="toc 8"/>
    <w:basedOn w:val="Normal"/>
    <w:next w:val="Normal"/>
    <w:semiHidden/>
    <w:rsid w:val="00661204"/>
    <w:pPr>
      <w:tabs>
        <w:tab w:val="left" w:leader="dot" w:pos="9360"/>
      </w:tabs>
      <w:suppressAutoHyphens/>
      <w:ind w:left="720" w:hanging="720"/>
      <w:jc w:val="both"/>
    </w:pPr>
  </w:style>
  <w:style w:type="paragraph" w:styleId="TOC9">
    <w:name w:val="toc 9"/>
    <w:basedOn w:val="Normal"/>
    <w:next w:val="Normal"/>
    <w:semiHidden/>
    <w:rsid w:val="00661204"/>
    <w:pPr>
      <w:tabs>
        <w:tab w:val="left" w:leader="dot" w:pos="9360"/>
      </w:tabs>
      <w:ind w:left="720" w:hanging="720"/>
      <w:jc w:val="both"/>
    </w:pPr>
  </w:style>
  <w:style w:type="character" w:styleId="PageNumber">
    <w:name w:val="page number"/>
    <w:basedOn w:val="DefaultParagraphFont"/>
    <w:rsid w:val="00661204"/>
  </w:style>
  <w:style w:type="paragraph" w:styleId="Title">
    <w:name w:val="Title"/>
    <w:basedOn w:val="Normal"/>
    <w:qFormat/>
    <w:rsid w:val="00661204"/>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2D7103"/>
    <w:pPr>
      <w:widowControl/>
      <w:autoSpaceDE/>
      <w:autoSpaceDN/>
      <w:adjustRightInd/>
      <w:ind w:left="720"/>
    </w:pPr>
    <w:rPr>
      <w:sz w:val="24"/>
      <w:szCs w:val="24"/>
    </w:rPr>
  </w:style>
  <w:style w:type="character" w:customStyle="1" w:styleId="sectnosection-sectno">
    <w:name w:val="sectno section-sectno"/>
    <w:rsid w:val="006A1345"/>
  </w:style>
  <w:style w:type="paragraph" w:styleId="BodyText">
    <w:name w:val="Body Text"/>
    <w:basedOn w:val="Normal"/>
    <w:link w:val="BodyTextChar"/>
    <w:rsid w:val="00852A03"/>
    <w:pPr>
      <w:tabs>
        <w:tab w:val="left" w:pos="0"/>
      </w:tabs>
      <w:suppressAutoHyphens/>
      <w:autoSpaceDE/>
      <w:autoSpaceDN/>
      <w:adjustRightInd/>
      <w:jc w:val="both"/>
    </w:pPr>
    <w:rPr>
      <w:snapToGrid w:val="0"/>
      <w:spacing w:val="-15"/>
      <w:sz w:val="24"/>
      <w:lang w:bidi="he-IL"/>
    </w:rPr>
  </w:style>
  <w:style w:type="character" w:customStyle="1" w:styleId="BodyTextChar">
    <w:name w:val="Body Text Char"/>
    <w:link w:val="BodyText"/>
    <w:rsid w:val="00852A03"/>
    <w:rPr>
      <w:snapToGrid w:val="0"/>
      <w:spacing w:val="-15"/>
      <w:sz w:val="24"/>
    </w:rPr>
  </w:style>
  <w:style w:type="paragraph" w:styleId="EndnoteText">
    <w:name w:val="endnote text"/>
    <w:basedOn w:val="Normal"/>
    <w:link w:val="EndnoteTextChar"/>
    <w:rsid w:val="00324CF6"/>
  </w:style>
  <w:style w:type="character" w:customStyle="1" w:styleId="EndnoteTextChar">
    <w:name w:val="Endnote Text Char"/>
    <w:basedOn w:val="DefaultParagraphFont"/>
    <w:link w:val="EndnoteText"/>
    <w:rsid w:val="00324CF6"/>
  </w:style>
  <w:style w:type="character" w:styleId="EndnoteReference">
    <w:name w:val="endnote reference"/>
    <w:rsid w:val="00324CF6"/>
    <w:rPr>
      <w:vertAlign w:val="superscript"/>
    </w:rPr>
  </w:style>
  <w:style w:type="character" w:customStyle="1" w:styleId="FootnoteTextChar3">
    <w:name w:val="Footnote Text Char3"/>
    <w:aliases w:val="rrfootnote Char Char Char,rrfootnote Char1 Char,rrfootnote Char1 Char Char Char,Footnote Text Char1 Char Char Char Char,rrfootnote Char Char Char Char Char"/>
    <w:rsid w:val="00613F7C"/>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2D7103"/>
    <w:pPr>
      <w:widowControl/>
      <w:autoSpaceDE/>
      <w:autoSpaceDN/>
      <w:adjustRightInd/>
      <w:ind w:left="720"/>
    </w:pPr>
    <w:rPr>
      <w:sz w:val="24"/>
      <w:szCs w:val="24"/>
    </w:rPr>
  </w:style>
  <w:style w:type="character" w:customStyle="1" w:styleId="sectnosection-sectno">
    <w:name w:val="sectno section-sectno"/>
    <w:rsid w:val="006A1345"/>
  </w:style>
  <w:style w:type="paragraph" w:styleId="BodyText">
    <w:name w:val="Body Text"/>
    <w:basedOn w:val="Normal"/>
    <w:link w:val="BodyTextChar"/>
    <w:rsid w:val="00852A03"/>
    <w:pPr>
      <w:tabs>
        <w:tab w:val="left" w:pos="0"/>
      </w:tabs>
      <w:suppressAutoHyphens/>
      <w:autoSpaceDE/>
      <w:autoSpaceDN/>
      <w:adjustRightInd/>
      <w:jc w:val="both"/>
    </w:pPr>
    <w:rPr>
      <w:snapToGrid w:val="0"/>
      <w:spacing w:val="-15"/>
      <w:sz w:val="24"/>
      <w:lang w:val="x-none" w:eastAsia="x-none" w:bidi="he-IL"/>
    </w:rPr>
  </w:style>
  <w:style w:type="character" w:customStyle="1" w:styleId="BodyTextChar">
    <w:name w:val="Body Text Char"/>
    <w:link w:val="BodyText"/>
    <w:rsid w:val="00852A03"/>
    <w:rPr>
      <w:snapToGrid w:val="0"/>
      <w:spacing w:val="-15"/>
      <w:sz w:val="24"/>
    </w:rPr>
  </w:style>
  <w:style w:type="paragraph" w:styleId="EndnoteText">
    <w:name w:val="endnote text"/>
    <w:basedOn w:val="Normal"/>
    <w:link w:val="EndnoteTextChar"/>
    <w:rsid w:val="00324CF6"/>
  </w:style>
  <w:style w:type="character" w:customStyle="1" w:styleId="EndnoteTextChar">
    <w:name w:val="Endnote Text Char"/>
    <w:basedOn w:val="DefaultParagraphFont"/>
    <w:link w:val="EndnoteText"/>
    <w:rsid w:val="00324CF6"/>
  </w:style>
  <w:style w:type="character" w:styleId="EndnoteReference">
    <w:name w:val="endnote reference"/>
    <w:rsid w:val="00324CF6"/>
    <w:rPr>
      <w:vertAlign w:val="superscript"/>
    </w:rPr>
  </w:style>
  <w:style w:type="character" w:customStyle="1" w:styleId="FootnoteTextChar3">
    <w:name w:val="Footnote Text Char3"/>
    <w:aliases w:val="rrfootnote Char Char Char,rrfootnote Char1 Char,rrfootnote Char1 Char Char Char,Footnote Text Char1 Char Char Char Char,rrfootnote Char Char Char Char Char"/>
    <w:rsid w:val="00613F7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R-Response@fcc.gov" TargetMode="External"/><Relationship Id="rId4" Type="http://schemas.openxmlformats.org/officeDocument/2006/relationships/settings" Target="settings.xml"/><Relationship Id="rId9" Type="http://schemas.openxmlformats.org/officeDocument/2006/relationships/hyperlink" Target="mailto:NER-Response@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2883</Words>
  <Characters>15589</Characters>
  <Application>Microsoft Office Word</Application>
  <DocSecurity>0</DocSecurity>
  <Lines>236</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18555</CharactersWithSpaces>
  <SharedDoc>false</SharedDoc>
  <HyperlinkBase> </HyperlinkBase>
  <HLinks>
    <vt:vector size="18" baseType="variant">
      <vt:variant>
        <vt:i4>65662</vt:i4>
      </vt:variant>
      <vt:variant>
        <vt:i4>6</vt:i4>
      </vt:variant>
      <vt:variant>
        <vt:i4>0</vt:i4>
      </vt:variant>
      <vt:variant>
        <vt:i4>5</vt:i4>
      </vt:variant>
      <vt:variant>
        <vt:lpwstr>mailto:NER-Response@fcc.gov</vt:lpwstr>
      </vt:variant>
      <vt:variant>
        <vt:lpwstr/>
      </vt:variant>
      <vt:variant>
        <vt:i4>65662</vt:i4>
      </vt:variant>
      <vt:variant>
        <vt:i4>3</vt:i4>
      </vt:variant>
      <vt:variant>
        <vt:i4>0</vt:i4>
      </vt:variant>
      <vt:variant>
        <vt:i4>5</vt:i4>
      </vt:variant>
      <vt:variant>
        <vt:lpwstr>mailto:NER-Response@fcc.gov</vt:lpwstr>
      </vt:variant>
      <vt:variant>
        <vt:lpwstr/>
      </vt: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2014-06-10T14:27:00Z</dcterms:created>
  <dcterms:modified xsi:type="dcterms:W3CDTF">2014-06-10T14:27:00Z</dcterms:modified>
  <cp:category> </cp:category>
  <cp:contentStatus> </cp:contentStatus>
</cp:coreProperties>
</file>