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4D" w:rsidRPr="00720071" w:rsidRDefault="00DA414D" w:rsidP="006D5616">
      <w:pPr>
        <w:spacing w:after="120"/>
        <w:jc w:val="right"/>
        <w:rPr>
          <w:b/>
          <w:sz w:val="22"/>
          <w:szCs w:val="22"/>
        </w:rPr>
      </w:pPr>
      <w:bookmarkStart w:id="0" w:name="_GoBack"/>
      <w:bookmarkEnd w:id="0"/>
      <w:r w:rsidRPr="00720071">
        <w:rPr>
          <w:b/>
          <w:sz w:val="22"/>
          <w:szCs w:val="22"/>
        </w:rPr>
        <w:t>DA 1</w:t>
      </w:r>
      <w:r w:rsidR="00D1689A" w:rsidRPr="00720071">
        <w:rPr>
          <w:b/>
          <w:sz w:val="22"/>
          <w:szCs w:val="22"/>
        </w:rPr>
        <w:t>4</w:t>
      </w:r>
      <w:r w:rsidRPr="00720071">
        <w:rPr>
          <w:b/>
          <w:sz w:val="22"/>
          <w:szCs w:val="22"/>
        </w:rPr>
        <w:t>-</w:t>
      </w:r>
      <w:r w:rsidR="006D5616">
        <w:rPr>
          <w:b/>
          <w:sz w:val="22"/>
          <w:szCs w:val="22"/>
        </w:rPr>
        <w:t>794</w:t>
      </w:r>
    </w:p>
    <w:p w:rsidR="00DA414D" w:rsidRPr="00720071" w:rsidRDefault="00DA414D" w:rsidP="00D26D4B">
      <w:pPr>
        <w:jc w:val="right"/>
        <w:rPr>
          <w:b/>
          <w:sz w:val="22"/>
          <w:szCs w:val="22"/>
        </w:rPr>
      </w:pPr>
      <w:r w:rsidRPr="00720071">
        <w:rPr>
          <w:b/>
          <w:sz w:val="22"/>
          <w:szCs w:val="22"/>
        </w:rPr>
        <w:t xml:space="preserve">Released: </w:t>
      </w:r>
      <w:r w:rsidR="0069365C" w:rsidRPr="00720071">
        <w:rPr>
          <w:b/>
          <w:sz w:val="22"/>
          <w:szCs w:val="22"/>
        </w:rPr>
        <w:t>June</w:t>
      </w:r>
      <w:r w:rsidR="00D1689A" w:rsidRPr="00720071">
        <w:rPr>
          <w:b/>
          <w:sz w:val="22"/>
          <w:szCs w:val="22"/>
        </w:rPr>
        <w:t xml:space="preserve"> </w:t>
      </w:r>
      <w:r w:rsidR="008760EC" w:rsidRPr="00720071">
        <w:rPr>
          <w:b/>
          <w:sz w:val="22"/>
          <w:szCs w:val="22"/>
        </w:rPr>
        <w:t>9</w:t>
      </w:r>
      <w:r w:rsidRPr="00720071">
        <w:rPr>
          <w:b/>
          <w:sz w:val="22"/>
          <w:szCs w:val="22"/>
        </w:rPr>
        <w:t>, 201</w:t>
      </w:r>
      <w:r w:rsidR="00D1689A" w:rsidRPr="00720071">
        <w:rPr>
          <w:b/>
          <w:sz w:val="22"/>
          <w:szCs w:val="22"/>
        </w:rPr>
        <w:t>4</w:t>
      </w:r>
    </w:p>
    <w:p w:rsidR="00DA414D" w:rsidRPr="00720071" w:rsidRDefault="00DA414D" w:rsidP="00D26D4B">
      <w:pPr>
        <w:jc w:val="right"/>
        <w:rPr>
          <w:sz w:val="22"/>
          <w:szCs w:val="22"/>
        </w:rPr>
      </w:pPr>
    </w:p>
    <w:p w:rsidR="00DA414D" w:rsidRPr="00720071" w:rsidRDefault="004F3EDD" w:rsidP="00D26D4B">
      <w:pPr>
        <w:pStyle w:val="Caption"/>
        <w:contextualSpacing/>
        <w:jc w:val="center"/>
        <w:rPr>
          <w:szCs w:val="22"/>
        </w:rPr>
      </w:pPr>
      <w:r w:rsidRPr="00720071">
        <w:rPr>
          <w:szCs w:val="22"/>
        </w:rPr>
        <w:t xml:space="preserve">COMMISSION SEEKS COMMENT ON </w:t>
      </w:r>
      <w:r w:rsidR="0069365C" w:rsidRPr="00720071">
        <w:rPr>
          <w:szCs w:val="22"/>
        </w:rPr>
        <w:t>THE NORTH AMERICAN</w:t>
      </w:r>
      <w:r w:rsidR="00E7391B" w:rsidRPr="00720071">
        <w:rPr>
          <w:szCs w:val="22"/>
        </w:rPr>
        <w:t xml:space="preserve"> </w:t>
      </w:r>
      <w:r w:rsidR="0069365C" w:rsidRPr="00720071">
        <w:rPr>
          <w:szCs w:val="22"/>
        </w:rPr>
        <w:t xml:space="preserve">NUMBERING COUNCIL RECOMMENDATION </w:t>
      </w:r>
      <w:r w:rsidR="006B482B" w:rsidRPr="00720071">
        <w:rPr>
          <w:szCs w:val="22"/>
        </w:rPr>
        <w:t xml:space="preserve">OF A VENDOR </w:t>
      </w:r>
      <w:r w:rsidR="00490915" w:rsidRPr="00720071">
        <w:rPr>
          <w:szCs w:val="22"/>
        </w:rPr>
        <w:t>TO SERVE AS LOCAL</w:t>
      </w:r>
      <w:r w:rsidR="0069365C" w:rsidRPr="00720071">
        <w:rPr>
          <w:szCs w:val="22"/>
        </w:rPr>
        <w:t xml:space="preserve"> NUMBER PORTABILITY</w:t>
      </w:r>
      <w:r w:rsidR="00490915" w:rsidRPr="00720071">
        <w:rPr>
          <w:szCs w:val="22"/>
        </w:rPr>
        <w:t xml:space="preserve"> ADMINISTRATOR</w:t>
      </w:r>
    </w:p>
    <w:p w:rsidR="00E7391B" w:rsidRPr="00720071" w:rsidRDefault="00E7391B" w:rsidP="00D26D4B">
      <w:pPr>
        <w:rPr>
          <w:sz w:val="22"/>
          <w:szCs w:val="22"/>
        </w:rPr>
      </w:pPr>
    </w:p>
    <w:p w:rsidR="008F3567" w:rsidRPr="00720071" w:rsidRDefault="0069365C" w:rsidP="00D26D4B">
      <w:pPr>
        <w:jc w:val="center"/>
        <w:rPr>
          <w:b/>
          <w:sz w:val="22"/>
          <w:szCs w:val="22"/>
        </w:rPr>
      </w:pPr>
      <w:r w:rsidRPr="00720071">
        <w:rPr>
          <w:b/>
          <w:sz w:val="22"/>
          <w:szCs w:val="22"/>
        </w:rPr>
        <w:t>CC Docket No. 95-116</w:t>
      </w:r>
    </w:p>
    <w:p w:rsidR="00612D4D" w:rsidRPr="00720071" w:rsidRDefault="0069365C" w:rsidP="00D26D4B">
      <w:pPr>
        <w:jc w:val="center"/>
        <w:rPr>
          <w:b/>
          <w:sz w:val="22"/>
          <w:szCs w:val="22"/>
        </w:rPr>
      </w:pPr>
      <w:r w:rsidRPr="00720071">
        <w:rPr>
          <w:b/>
          <w:sz w:val="22"/>
          <w:szCs w:val="22"/>
        </w:rPr>
        <w:t>WC</w:t>
      </w:r>
      <w:r w:rsidR="00A71787" w:rsidRPr="00720071">
        <w:rPr>
          <w:b/>
          <w:sz w:val="22"/>
          <w:szCs w:val="22"/>
        </w:rPr>
        <w:t xml:space="preserve"> Docket No.</w:t>
      </w:r>
      <w:r w:rsidRPr="00720071">
        <w:rPr>
          <w:b/>
          <w:sz w:val="22"/>
          <w:szCs w:val="22"/>
        </w:rPr>
        <w:t xml:space="preserve"> 09-109</w:t>
      </w:r>
    </w:p>
    <w:p w:rsidR="00716AB0" w:rsidRPr="00720071" w:rsidRDefault="00716AB0" w:rsidP="00D26D4B">
      <w:pPr>
        <w:jc w:val="center"/>
        <w:rPr>
          <w:b/>
          <w:sz w:val="22"/>
          <w:szCs w:val="22"/>
        </w:rPr>
      </w:pPr>
    </w:p>
    <w:p w:rsidR="00861D98" w:rsidRPr="00720071" w:rsidRDefault="002A59EA" w:rsidP="00D26D4B">
      <w:pPr>
        <w:rPr>
          <w:b/>
          <w:sz w:val="22"/>
          <w:szCs w:val="22"/>
        </w:rPr>
      </w:pPr>
      <w:r w:rsidRPr="00720071">
        <w:rPr>
          <w:b/>
          <w:sz w:val="22"/>
          <w:szCs w:val="22"/>
        </w:rPr>
        <w:t>Comment Date</w:t>
      </w:r>
      <w:r w:rsidR="00716AB0" w:rsidRPr="00720071">
        <w:rPr>
          <w:b/>
          <w:sz w:val="22"/>
          <w:szCs w:val="22"/>
        </w:rPr>
        <w:t>:</w:t>
      </w:r>
      <w:r w:rsidR="00243985">
        <w:rPr>
          <w:b/>
          <w:sz w:val="22"/>
          <w:szCs w:val="22"/>
        </w:rPr>
        <w:t xml:space="preserve">  </w:t>
      </w:r>
      <w:r w:rsidR="00861D98" w:rsidRPr="00720071">
        <w:rPr>
          <w:b/>
          <w:sz w:val="22"/>
          <w:szCs w:val="22"/>
        </w:rPr>
        <w:t>July 10</w:t>
      </w:r>
      <w:r w:rsidR="008760EC" w:rsidRPr="00720071">
        <w:rPr>
          <w:b/>
          <w:sz w:val="22"/>
          <w:szCs w:val="22"/>
        </w:rPr>
        <w:t>, 2014</w:t>
      </w:r>
    </w:p>
    <w:p w:rsidR="00716AB0" w:rsidRPr="00720071" w:rsidRDefault="00861D98" w:rsidP="00D26D4B">
      <w:pPr>
        <w:rPr>
          <w:b/>
          <w:sz w:val="22"/>
          <w:szCs w:val="22"/>
        </w:rPr>
      </w:pPr>
      <w:r w:rsidRPr="00720071">
        <w:rPr>
          <w:b/>
          <w:sz w:val="22"/>
          <w:szCs w:val="22"/>
        </w:rPr>
        <w:t>Reply Date:</w:t>
      </w:r>
      <w:r w:rsidR="00243985">
        <w:rPr>
          <w:b/>
          <w:sz w:val="22"/>
          <w:szCs w:val="22"/>
        </w:rPr>
        <w:t xml:space="preserve">  </w:t>
      </w:r>
      <w:r w:rsidRPr="00720071">
        <w:rPr>
          <w:b/>
          <w:sz w:val="22"/>
          <w:szCs w:val="22"/>
        </w:rPr>
        <w:t>July 25, 2014</w:t>
      </w:r>
    </w:p>
    <w:p w:rsidR="00161046" w:rsidRPr="00720071" w:rsidRDefault="00BD4A65" w:rsidP="00D26D4B">
      <w:pPr>
        <w:jc w:val="center"/>
        <w:rPr>
          <w:b/>
          <w:sz w:val="22"/>
          <w:szCs w:val="22"/>
        </w:rPr>
      </w:pPr>
      <w:r w:rsidRPr="00720071">
        <w:rPr>
          <w:b/>
          <w:sz w:val="22"/>
          <w:szCs w:val="22"/>
        </w:rPr>
        <w:t xml:space="preserve"> </w:t>
      </w:r>
      <w:r w:rsidR="00DA414D" w:rsidRPr="00720071">
        <w:rPr>
          <w:b/>
          <w:sz w:val="22"/>
          <w:szCs w:val="22"/>
        </w:rPr>
        <w:t xml:space="preserve"> </w:t>
      </w:r>
    </w:p>
    <w:p w:rsidR="00FD5BA6" w:rsidRPr="00720071" w:rsidRDefault="00E7391B" w:rsidP="00D26D4B">
      <w:pPr>
        <w:ind w:firstLine="720"/>
        <w:rPr>
          <w:iCs/>
          <w:sz w:val="22"/>
          <w:szCs w:val="22"/>
        </w:rPr>
      </w:pPr>
      <w:r w:rsidRPr="00720071">
        <w:rPr>
          <w:iCs/>
          <w:sz w:val="22"/>
          <w:szCs w:val="22"/>
        </w:rPr>
        <w:t xml:space="preserve">On April 24, 2014, the </w:t>
      </w:r>
      <w:r w:rsidR="00EB7FF8" w:rsidRPr="00720071">
        <w:rPr>
          <w:iCs/>
          <w:sz w:val="22"/>
          <w:szCs w:val="22"/>
        </w:rPr>
        <w:t>North American Numbering Council (</w:t>
      </w:r>
      <w:r w:rsidRPr="00720071">
        <w:rPr>
          <w:iCs/>
          <w:sz w:val="22"/>
          <w:szCs w:val="22"/>
        </w:rPr>
        <w:t>NANC</w:t>
      </w:r>
      <w:r w:rsidR="00EB7FF8" w:rsidRPr="00720071">
        <w:rPr>
          <w:iCs/>
          <w:sz w:val="22"/>
          <w:szCs w:val="22"/>
        </w:rPr>
        <w:t>)</w:t>
      </w:r>
      <w:r w:rsidR="007A4048" w:rsidRPr="00720071">
        <w:rPr>
          <w:iCs/>
          <w:sz w:val="22"/>
          <w:szCs w:val="22"/>
        </w:rPr>
        <w:t>, a federal advisory committee,</w:t>
      </w:r>
      <w:r w:rsidRPr="00720071">
        <w:rPr>
          <w:iCs/>
          <w:sz w:val="22"/>
          <w:szCs w:val="22"/>
        </w:rPr>
        <w:t xml:space="preserve"> </w:t>
      </w:r>
      <w:r w:rsidR="000E4E04" w:rsidRPr="00720071">
        <w:rPr>
          <w:iCs/>
          <w:sz w:val="22"/>
          <w:szCs w:val="22"/>
        </w:rPr>
        <w:t xml:space="preserve">submitted </w:t>
      </w:r>
      <w:r w:rsidR="00EB7FF8" w:rsidRPr="00720071">
        <w:rPr>
          <w:iCs/>
          <w:sz w:val="22"/>
          <w:szCs w:val="22"/>
        </w:rPr>
        <w:t xml:space="preserve">its recommendation </w:t>
      </w:r>
      <w:r w:rsidR="00D228EF" w:rsidRPr="00720071">
        <w:rPr>
          <w:iCs/>
          <w:sz w:val="22"/>
          <w:szCs w:val="22"/>
        </w:rPr>
        <w:t>regarding the vendor to serve as the next local number portability administrator (LNPA).</w:t>
      </w:r>
      <w:r w:rsidR="00D228EF" w:rsidRPr="00720071">
        <w:rPr>
          <w:rStyle w:val="FootnoteReference"/>
          <w:iCs/>
          <w:sz w:val="22"/>
          <w:szCs w:val="22"/>
        </w:rPr>
        <w:footnoteReference w:id="1"/>
      </w:r>
      <w:r w:rsidR="00292B54" w:rsidRPr="00720071">
        <w:rPr>
          <w:iCs/>
          <w:sz w:val="22"/>
          <w:szCs w:val="22"/>
        </w:rPr>
        <w:t xml:space="preserve">  The existing LNPA contract expires on June 30, 2015.</w:t>
      </w:r>
      <w:r w:rsidR="00D228EF" w:rsidRPr="00720071">
        <w:rPr>
          <w:iCs/>
          <w:sz w:val="22"/>
          <w:szCs w:val="22"/>
        </w:rPr>
        <w:t xml:space="preserve">  The NANC recommended the selection </w:t>
      </w:r>
      <w:r w:rsidR="00EB7FF8" w:rsidRPr="00720071">
        <w:rPr>
          <w:iCs/>
          <w:sz w:val="22"/>
          <w:szCs w:val="22"/>
        </w:rPr>
        <w:t>of</w:t>
      </w:r>
      <w:r w:rsidR="00FD30DD" w:rsidRPr="00720071">
        <w:rPr>
          <w:iCs/>
          <w:sz w:val="22"/>
          <w:szCs w:val="22"/>
        </w:rPr>
        <w:t xml:space="preserve"> </w:t>
      </w:r>
      <w:r w:rsidR="00FD30DD" w:rsidRPr="00720071">
        <w:rPr>
          <w:sz w:val="22"/>
          <w:szCs w:val="22"/>
        </w:rPr>
        <w:t>Telcordia Technologies, Inc. d/b/a/ iconectiv</w:t>
      </w:r>
      <w:r w:rsidR="00292B54" w:rsidRPr="00720071">
        <w:rPr>
          <w:sz w:val="22"/>
          <w:szCs w:val="22"/>
        </w:rPr>
        <w:t xml:space="preserve"> (Telcordia)</w:t>
      </w:r>
      <w:r w:rsidR="00375328" w:rsidRPr="00720071">
        <w:rPr>
          <w:sz w:val="22"/>
          <w:szCs w:val="22"/>
        </w:rPr>
        <w:t>,</w:t>
      </w:r>
      <w:r w:rsidR="00FD30DD" w:rsidRPr="00720071">
        <w:rPr>
          <w:sz w:val="22"/>
          <w:szCs w:val="22"/>
        </w:rPr>
        <w:t xml:space="preserve"> as the sole </w:t>
      </w:r>
      <w:r w:rsidR="00D228EF" w:rsidRPr="00720071">
        <w:rPr>
          <w:sz w:val="22"/>
          <w:szCs w:val="22"/>
        </w:rPr>
        <w:t>LNPA</w:t>
      </w:r>
      <w:r w:rsidR="00EB7FF8" w:rsidRPr="00720071">
        <w:rPr>
          <w:iCs/>
          <w:sz w:val="22"/>
          <w:szCs w:val="22"/>
        </w:rPr>
        <w:t xml:space="preserve">. </w:t>
      </w:r>
      <w:r w:rsidR="00CC48A4" w:rsidRPr="00720071">
        <w:rPr>
          <w:iCs/>
          <w:sz w:val="22"/>
          <w:szCs w:val="22"/>
        </w:rPr>
        <w:t xml:space="preserve"> </w:t>
      </w:r>
      <w:r w:rsidR="00FD30DD" w:rsidRPr="00720071">
        <w:rPr>
          <w:iCs/>
          <w:sz w:val="22"/>
          <w:szCs w:val="22"/>
        </w:rPr>
        <w:t xml:space="preserve">The NANC members </w:t>
      </w:r>
      <w:r w:rsidR="00D228EF" w:rsidRPr="00720071">
        <w:rPr>
          <w:iCs/>
          <w:sz w:val="22"/>
          <w:szCs w:val="22"/>
        </w:rPr>
        <w:t>unanimously reached</w:t>
      </w:r>
      <w:r w:rsidR="00FD30DD" w:rsidRPr="00720071">
        <w:rPr>
          <w:iCs/>
          <w:sz w:val="22"/>
          <w:szCs w:val="22"/>
        </w:rPr>
        <w:t xml:space="preserve"> this recommendation, with one </w:t>
      </w:r>
      <w:r w:rsidR="00AC3027" w:rsidRPr="00720071">
        <w:rPr>
          <w:iCs/>
          <w:sz w:val="22"/>
          <w:szCs w:val="22"/>
        </w:rPr>
        <w:t>abstention</w:t>
      </w:r>
      <w:r w:rsidR="00FD30DD" w:rsidRPr="00720071">
        <w:rPr>
          <w:iCs/>
          <w:sz w:val="22"/>
          <w:szCs w:val="22"/>
        </w:rPr>
        <w:t xml:space="preserve"> vote, </w:t>
      </w:r>
      <w:r w:rsidR="004E59CF" w:rsidRPr="00720071">
        <w:rPr>
          <w:iCs/>
          <w:sz w:val="22"/>
          <w:szCs w:val="22"/>
        </w:rPr>
        <w:t>in a closed meeting on March 26</w:t>
      </w:r>
      <w:r w:rsidR="00FD30DD" w:rsidRPr="00720071">
        <w:rPr>
          <w:iCs/>
          <w:sz w:val="22"/>
          <w:szCs w:val="22"/>
        </w:rPr>
        <w:t xml:space="preserve">, 2014.  </w:t>
      </w:r>
      <w:r w:rsidR="000E4E04" w:rsidRPr="00720071">
        <w:rPr>
          <w:iCs/>
          <w:sz w:val="22"/>
          <w:szCs w:val="22"/>
        </w:rPr>
        <w:t>The NANC submitted its recommendation</w:t>
      </w:r>
      <w:r w:rsidR="00D228EF" w:rsidRPr="00720071">
        <w:rPr>
          <w:iCs/>
          <w:sz w:val="22"/>
          <w:szCs w:val="22"/>
        </w:rPr>
        <w:t xml:space="preserve"> </w:t>
      </w:r>
      <w:r w:rsidR="007A4048" w:rsidRPr="00720071">
        <w:rPr>
          <w:iCs/>
          <w:sz w:val="22"/>
          <w:szCs w:val="22"/>
        </w:rPr>
        <w:t xml:space="preserve">pursuant to direction from the Wireline Competition Bureau </w:t>
      </w:r>
      <w:r w:rsidR="00375328" w:rsidRPr="00720071">
        <w:rPr>
          <w:iCs/>
          <w:sz w:val="22"/>
          <w:szCs w:val="22"/>
        </w:rPr>
        <w:t xml:space="preserve">(Bureau) </w:t>
      </w:r>
      <w:r w:rsidR="007A4048" w:rsidRPr="00720071">
        <w:rPr>
          <w:iCs/>
          <w:sz w:val="22"/>
          <w:szCs w:val="22"/>
        </w:rPr>
        <w:t>that the NANC recommend one or more independent, non-governmental entities to serve as the next LNPA.</w:t>
      </w:r>
      <w:r w:rsidR="007A4048" w:rsidRPr="00720071">
        <w:rPr>
          <w:rStyle w:val="FootnoteReference"/>
          <w:iCs/>
          <w:sz w:val="22"/>
          <w:szCs w:val="22"/>
        </w:rPr>
        <w:footnoteReference w:id="2"/>
      </w:r>
      <w:r w:rsidR="007A4048" w:rsidRPr="00720071">
        <w:rPr>
          <w:iCs/>
          <w:sz w:val="22"/>
          <w:szCs w:val="22"/>
        </w:rPr>
        <w:t xml:space="preserve">  </w:t>
      </w:r>
    </w:p>
    <w:p w:rsidR="00375328" w:rsidRPr="00720071" w:rsidRDefault="00375328" w:rsidP="00D26D4B">
      <w:pPr>
        <w:ind w:firstLine="720"/>
        <w:rPr>
          <w:iCs/>
          <w:sz w:val="22"/>
          <w:szCs w:val="22"/>
        </w:rPr>
      </w:pPr>
    </w:p>
    <w:p w:rsidR="000502DF" w:rsidRPr="00720071" w:rsidRDefault="00EB7FF8" w:rsidP="00D26D4B">
      <w:pPr>
        <w:ind w:firstLine="720"/>
        <w:rPr>
          <w:color w:val="000000"/>
          <w:sz w:val="22"/>
          <w:szCs w:val="22"/>
        </w:rPr>
      </w:pPr>
      <w:r w:rsidRPr="00720071">
        <w:rPr>
          <w:iCs/>
          <w:sz w:val="22"/>
          <w:szCs w:val="22"/>
        </w:rPr>
        <w:t>The NANC forwarded, along with its</w:t>
      </w:r>
      <w:r w:rsidR="00BF6C9A" w:rsidRPr="00720071">
        <w:rPr>
          <w:iCs/>
          <w:sz w:val="22"/>
          <w:szCs w:val="22"/>
        </w:rPr>
        <w:t xml:space="preserve"> vendor</w:t>
      </w:r>
      <w:r w:rsidRPr="00720071">
        <w:rPr>
          <w:iCs/>
          <w:sz w:val="22"/>
          <w:szCs w:val="22"/>
        </w:rPr>
        <w:t xml:space="preserve"> recommendation, </w:t>
      </w:r>
      <w:r w:rsidR="00E7391B" w:rsidRPr="00720071">
        <w:rPr>
          <w:iCs/>
          <w:sz w:val="22"/>
          <w:szCs w:val="22"/>
        </w:rPr>
        <w:t>report</w:t>
      </w:r>
      <w:r w:rsidR="00500184" w:rsidRPr="00720071">
        <w:rPr>
          <w:iCs/>
          <w:sz w:val="22"/>
          <w:szCs w:val="22"/>
        </w:rPr>
        <w:t>s</w:t>
      </w:r>
      <w:r w:rsidR="00E7391B" w:rsidRPr="00720071">
        <w:rPr>
          <w:iCs/>
          <w:sz w:val="22"/>
          <w:szCs w:val="22"/>
        </w:rPr>
        <w:t xml:space="preserve"> </w:t>
      </w:r>
      <w:r w:rsidR="00EE7D7C" w:rsidRPr="00720071">
        <w:rPr>
          <w:iCs/>
          <w:sz w:val="22"/>
          <w:szCs w:val="22"/>
        </w:rPr>
        <w:t xml:space="preserve">from </w:t>
      </w:r>
      <w:r w:rsidR="00500184" w:rsidRPr="00720071">
        <w:rPr>
          <w:iCs/>
          <w:sz w:val="22"/>
          <w:szCs w:val="22"/>
        </w:rPr>
        <w:t>the NANC’s</w:t>
      </w:r>
      <w:r w:rsidR="00EE7D7C" w:rsidRPr="00720071">
        <w:rPr>
          <w:iCs/>
          <w:sz w:val="22"/>
          <w:szCs w:val="22"/>
        </w:rPr>
        <w:t xml:space="preserve"> LNPA Selection Working Group (SWG) and </w:t>
      </w:r>
      <w:r w:rsidR="00500184" w:rsidRPr="00720071">
        <w:rPr>
          <w:iCs/>
          <w:sz w:val="22"/>
          <w:szCs w:val="22"/>
        </w:rPr>
        <w:t xml:space="preserve">the </w:t>
      </w:r>
      <w:r w:rsidRPr="00720071">
        <w:rPr>
          <w:iCs/>
          <w:sz w:val="22"/>
          <w:szCs w:val="22"/>
        </w:rPr>
        <w:t>North American Portability Management LLC</w:t>
      </w:r>
      <w:r w:rsidR="000E4E04" w:rsidRPr="00720071">
        <w:rPr>
          <w:iCs/>
          <w:sz w:val="22"/>
          <w:szCs w:val="22"/>
        </w:rPr>
        <w:t>’s</w:t>
      </w:r>
      <w:r w:rsidRPr="00720071">
        <w:rPr>
          <w:iCs/>
          <w:sz w:val="22"/>
          <w:szCs w:val="22"/>
        </w:rPr>
        <w:t xml:space="preserve"> (NAPM</w:t>
      </w:r>
      <w:r w:rsidR="000E4E04" w:rsidRPr="00720071">
        <w:rPr>
          <w:iCs/>
          <w:sz w:val="22"/>
          <w:szCs w:val="22"/>
        </w:rPr>
        <w:t>’s</w:t>
      </w:r>
      <w:r w:rsidRPr="00720071">
        <w:rPr>
          <w:iCs/>
          <w:sz w:val="22"/>
          <w:szCs w:val="22"/>
        </w:rPr>
        <w:t>)</w:t>
      </w:r>
      <w:r w:rsidR="000E4E04" w:rsidRPr="00720071">
        <w:rPr>
          <w:iCs/>
          <w:sz w:val="22"/>
          <w:szCs w:val="22"/>
        </w:rPr>
        <w:t xml:space="preserve"> </w:t>
      </w:r>
      <w:r w:rsidR="00EE7D7C" w:rsidRPr="00720071">
        <w:rPr>
          <w:iCs/>
          <w:sz w:val="22"/>
          <w:szCs w:val="22"/>
        </w:rPr>
        <w:t>Future of the Number Portability Administration Center (FoNPAC)</w:t>
      </w:r>
      <w:r w:rsidR="00B970CE" w:rsidRPr="00720071">
        <w:rPr>
          <w:iCs/>
          <w:sz w:val="22"/>
          <w:szCs w:val="22"/>
        </w:rPr>
        <w:t>.</w:t>
      </w:r>
      <w:r w:rsidR="00231180" w:rsidRPr="00720071">
        <w:rPr>
          <w:rStyle w:val="FootnoteReference"/>
          <w:iCs/>
          <w:sz w:val="22"/>
          <w:szCs w:val="22"/>
        </w:rPr>
        <w:footnoteReference w:id="3"/>
      </w:r>
      <w:r w:rsidR="00EE7D7C" w:rsidRPr="00720071">
        <w:rPr>
          <w:iCs/>
          <w:sz w:val="22"/>
          <w:szCs w:val="22"/>
        </w:rPr>
        <w:t xml:space="preserve">  </w:t>
      </w:r>
      <w:r w:rsidR="000E4E04" w:rsidRPr="00720071">
        <w:rPr>
          <w:iCs/>
          <w:sz w:val="22"/>
          <w:szCs w:val="22"/>
        </w:rPr>
        <w:t xml:space="preserve"> </w:t>
      </w:r>
      <w:r w:rsidR="00B970CE" w:rsidRPr="00720071">
        <w:rPr>
          <w:color w:val="000000"/>
          <w:sz w:val="22"/>
          <w:szCs w:val="22"/>
        </w:rPr>
        <w:t>Specifically, the NANC</w:t>
      </w:r>
      <w:r w:rsidR="00500184" w:rsidRPr="00720071">
        <w:rPr>
          <w:color w:val="000000"/>
          <w:sz w:val="22"/>
          <w:szCs w:val="22"/>
        </w:rPr>
        <w:t>’s recommendation addressed the following</w:t>
      </w:r>
      <w:r w:rsidR="000502DF" w:rsidRPr="00720071">
        <w:rPr>
          <w:color w:val="000000"/>
          <w:sz w:val="22"/>
          <w:szCs w:val="22"/>
        </w:rPr>
        <w:t>: (1) how the LNPA</w:t>
      </w:r>
      <w:r w:rsidR="00B970CE" w:rsidRPr="00720071">
        <w:rPr>
          <w:color w:val="000000"/>
          <w:sz w:val="22"/>
          <w:szCs w:val="22"/>
        </w:rPr>
        <w:t xml:space="preserve"> should be selected</w:t>
      </w:r>
      <w:r w:rsidR="000502DF" w:rsidRPr="00720071">
        <w:rPr>
          <w:color w:val="000000"/>
          <w:sz w:val="22"/>
          <w:szCs w:val="22"/>
        </w:rPr>
        <w:t>, including the methodology and criteria that should be used</w:t>
      </w:r>
      <w:r w:rsidR="00B970CE" w:rsidRPr="00720071">
        <w:rPr>
          <w:color w:val="000000"/>
          <w:sz w:val="22"/>
          <w:szCs w:val="22"/>
        </w:rPr>
        <w:t>; (</w:t>
      </w:r>
      <w:r w:rsidR="00D228EF" w:rsidRPr="00720071">
        <w:rPr>
          <w:color w:val="000000"/>
          <w:sz w:val="22"/>
          <w:szCs w:val="22"/>
        </w:rPr>
        <w:t>2</w:t>
      </w:r>
      <w:r w:rsidR="00306B1A" w:rsidRPr="00720071">
        <w:rPr>
          <w:color w:val="000000"/>
          <w:sz w:val="22"/>
          <w:szCs w:val="22"/>
        </w:rPr>
        <w:t>) the</w:t>
      </w:r>
      <w:r w:rsidR="00B970CE" w:rsidRPr="00720071">
        <w:rPr>
          <w:color w:val="000000"/>
          <w:sz w:val="22"/>
          <w:szCs w:val="22"/>
        </w:rPr>
        <w:t xml:space="preserve"> </w:t>
      </w:r>
      <w:r w:rsidR="000502DF" w:rsidRPr="00720071">
        <w:rPr>
          <w:color w:val="000000"/>
          <w:sz w:val="22"/>
          <w:szCs w:val="22"/>
        </w:rPr>
        <w:t>cost differential between vendor national proposals; (</w:t>
      </w:r>
      <w:r w:rsidR="00D228EF" w:rsidRPr="00720071">
        <w:rPr>
          <w:color w:val="000000"/>
          <w:sz w:val="22"/>
          <w:szCs w:val="22"/>
        </w:rPr>
        <w:t>3</w:t>
      </w:r>
      <w:r w:rsidR="000502DF" w:rsidRPr="00720071">
        <w:rPr>
          <w:color w:val="000000"/>
          <w:sz w:val="22"/>
          <w:szCs w:val="22"/>
        </w:rPr>
        <w:t>) transition costs and risks</w:t>
      </w:r>
      <w:r w:rsidR="00D228EF" w:rsidRPr="00720071">
        <w:rPr>
          <w:color w:val="000000"/>
          <w:sz w:val="22"/>
          <w:szCs w:val="22"/>
        </w:rPr>
        <w:t xml:space="preserve">; and (4) which </w:t>
      </w:r>
      <w:r w:rsidR="00963086" w:rsidRPr="00720071">
        <w:rPr>
          <w:color w:val="000000"/>
          <w:sz w:val="22"/>
          <w:szCs w:val="22"/>
        </w:rPr>
        <w:t xml:space="preserve">bidder </w:t>
      </w:r>
      <w:r w:rsidR="00D228EF" w:rsidRPr="00720071">
        <w:rPr>
          <w:color w:val="000000"/>
          <w:sz w:val="22"/>
          <w:szCs w:val="22"/>
        </w:rPr>
        <w:t>should be selected as the LNPA</w:t>
      </w:r>
      <w:r w:rsidR="00B970CE" w:rsidRPr="00720071">
        <w:rPr>
          <w:color w:val="000000"/>
          <w:sz w:val="22"/>
          <w:szCs w:val="22"/>
        </w:rPr>
        <w:t>.</w:t>
      </w:r>
      <w:r w:rsidR="00D12CD6" w:rsidRPr="00720071">
        <w:rPr>
          <w:color w:val="000000"/>
          <w:sz w:val="22"/>
          <w:szCs w:val="22"/>
        </w:rPr>
        <w:t xml:space="preserve">  </w:t>
      </w:r>
      <w:r w:rsidR="00C6045A" w:rsidRPr="00720071">
        <w:rPr>
          <w:color w:val="000000"/>
          <w:sz w:val="22"/>
          <w:szCs w:val="22"/>
        </w:rPr>
        <w:t xml:space="preserve">The NANC also forwarded investigative reports prepared by the NAPM and the SWG that responded to a February 11, 2014, directive from the Bureau that the NANC include in its vendor recommendation an evaluation of filings in the record that questioned the fairness of the process.  </w:t>
      </w:r>
      <w:r w:rsidR="00BF6C9A" w:rsidRPr="00720071">
        <w:rPr>
          <w:color w:val="000000"/>
          <w:sz w:val="22"/>
          <w:szCs w:val="22"/>
        </w:rPr>
        <w:t xml:space="preserve">The NANC’s vendor recommendation </w:t>
      </w:r>
      <w:r w:rsidR="00BF6C9A" w:rsidRPr="00720071">
        <w:rPr>
          <w:color w:val="000000"/>
          <w:sz w:val="22"/>
          <w:szCs w:val="22"/>
        </w:rPr>
        <w:lastRenderedPageBreak/>
        <w:t>and the accompanying reports were submitted as confidential information, subject to protection under section 0.459 of the Commission’s rules.</w:t>
      </w:r>
      <w:r w:rsidR="00BF6C9A" w:rsidRPr="00720071">
        <w:rPr>
          <w:rStyle w:val="FootnoteReference"/>
          <w:color w:val="000000"/>
          <w:sz w:val="22"/>
          <w:szCs w:val="22"/>
        </w:rPr>
        <w:footnoteReference w:id="4"/>
      </w:r>
      <w:r w:rsidR="00CC48A4" w:rsidRPr="00720071">
        <w:rPr>
          <w:color w:val="000000"/>
          <w:sz w:val="22"/>
          <w:szCs w:val="22"/>
        </w:rPr>
        <w:t xml:space="preserve">  In addition to these materials, the Bureau requested that the NAPM</w:t>
      </w:r>
      <w:r w:rsidR="00AF6193" w:rsidRPr="00720071">
        <w:rPr>
          <w:color w:val="000000"/>
          <w:sz w:val="22"/>
          <w:szCs w:val="22"/>
        </w:rPr>
        <w:t>’s FoNPAC</w:t>
      </w:r>
      <w:r w:rsidR="00CC48A4" w:rsidRPr="00720071">
        <w:rPr>
          <w:color w:val="000000"/>
          <w:sz w:val="22"/>
          <w:szCs w:val="22"/>
        </w:rPr>
        <w:t xml:space="preserve"> file the bid documents submitted by the vendors </w:t>
      </w:r>
      <w:r w:rsidR="00AF6193" w:rsidRPr="00720071">
        <w:rPr>
          <w:color w:val="000000"/>
          <w:sz w:val="22"/>
          <w:szCs w:val="22"/>
        </w:rPr>
        <w:t xml:space="preserve">and transcripts of meetings between the FoNPAC and the vendors.  Finally, </w:t>
      </w:r>
      <w:r w:rsidR="001803B4" w:rsidRPr="00720071">
        <w:rPr>
          <w:color w:val="000000"/>
          <w:sz w:val="22"/>
          <w:szCs w:val="22"/>
        </w:rPr>
        <w:t>as part of the bidding process</w:t>
      </w:r>
      <w:r w:rsidR="00192F99" w:rsidRPr="00720071">
        <w:rPr>
          <w:color w:val="000000"/>
          <w:sz w:val="22"/>
          <w:szCs w:val="22"/>
        </w:rPr>
        <w:t>,</w:t>
      </w:r>
      <w:r w:rsidR="001803B4" w:rsidRPr="00720071">
        <w:rPr>
          <w:color w:val="000000"/>
          <w:sz w:val="22"/>
          <w:szCs w:val="22"/>
        </w:rPr>
        <w:t xml:space="preserve"> the vendors submitted opinion letters addressing the vendors’ compliance with the requirements for neutral administration of </w:t>
      </w:r>
      <w:r w:rsidR="00A17848" w:rsidRPr="00720071">
        <w:rPr>
          <w:color w:val="000000"/>
          <w:sz w:val="22"/>
          <w:szCs w:val="22"/>
        </w:rPr>
        <w:t>the local number portability database</w:t>
      </w:r>
      <w:r w:rsidR="001803B4" w:rsidRPr="00720071">
        <w:rPr>
          <w:color w:val="000000"/>
          <w:sz w:val="22"/>
          <w:szCs w:val="22"/>
        </w:rPr>
        <w:t>.</w:t>
      </w:r>
      <w:r w:rsidR="00C26B4A" w:rsidRPr="00720071">
        <w:rPr>
          <w:color w:val="000000"/>
          <w:sz w:val="22"/>
          <w:szCs w:val="22"/>
        </w:rPr>
        <w:t xml:space="preserve">  These materials</w:t>
      </w:r>
      <w:r w:rsidR="00704FCD" w:rsidRPr="00720071">
        <w:rPr>
          <w:color w:val="000000"/>
          <w:sz w:val="22"/>
          <w:szCs w:val="22"/>
        </w:rPr>
        <w:t>, which include technical</w:t>
      </w:r>
      <w:r w:rsidR="00DC6790" w:rsidRPr="00720071">
        <w:rPr>
          <w:color w:val="000000"/>
          <w:sz w:val="22"/>
          <w:szCs w:val="22"/>
        </w:rPr>
        <w:t>,</w:t>
      </w:r>
      <w:r w:rsidR="00704FCD" w:rsidRPr="00720071">
        <w:rPr>
          <w:color w:val="000000"/>
          <w:sz w:val="22"/>
          <w:szCs w:val="22"/>
        </w:rPr>
        <w:t xml:space="preserve"> pricing</w:t>
      </w:r>
      <w:r w:rsidR="00DC6790" w:rsidRPr="00720071">
        <w:rPr>
          <w:color w:val="000000"/>
          <w:sz w:val="22"/>
          <w:szCs w:val="22"/>
        </w:rPr>
        <w:t>, and other proprietary</w:t>
      </w:r>
      <w:r w:rsidR="00704FCD" w:rsidRPr="00720071">
        <w:rPr>
          <w:color w:val="000000"/>
          <w:sz w:val="22"/>
          <w:szCs w:val="22"/>
        </w:rPr>
        <w:t xml:space="preserve"> information,</w:t>
      </w:r>
      <w:r w:rsidR="00C26B4A" w:rsidRPr="00720071">
        <w:rPr>
          <w:color w:val="000000"/>
          <w:sz w:val="22"/>
          <w:szCs w:val="22"/>
        </w:rPr>
        <w:t xml:space="preserve"> were</w:t>
      </w:r>
      <w:r w:rsidR="00704FCD" w:rsidRPr="00720071">
        <w:rPr>
          <w:color w:val="000000"/>
          <w:sz w:val="22"/>
          <w:szCs w:val="22"/>
        </w:rPr>
        <w:t xml:space="preserve"> </w:t>
      </w:r>
      <w:r w:rsidR="00C26B4A" w:rsidRPr="00720071">
        <w:rPr>
          <w:color w:val="000000"/>
          <w:sz w:val="22"/>
          <w:szCs w:val="22"/>
        </w:rPr>
        <w:t xml:space="preserve">submitted as confidential information, subject to protection </w:t>
      </w:r>
      <w:r w:rsidR="00636946" w:rsidRPr="00720071">
        <w:rPr>
          <w:color w:val="000000"/>
          <w:sz w:val="22"/>
          <w:szCs w:val="22"/>
        </w:rPr>
        <w:t>under section 0.459.</w:t>
      </w:r>
      <w:r w:rsidR="00636946" w:rsidRPr="00720071">
        <w:rPr>
          <w:rStyle w:val="FootnoteReference"/>
          <w:color w:val="000000"/>
          <w:sz w:val="22"/>
          <w:szCs w:val="22"/>
        </w:rPr>
        <w:footnoteReference w:id="5"/>
      </w:r>
    </w:p>
    <w:p w:rsidR="00E14A4F" w:rsidRPr="00720071" w:rsidRDefault="00E14A4F" w:rsidP="00D26D4B">
      <w:pPr>
        <w:ind w:firstLine="720"/>
        <w:rPr>
          <w:color w:val="000000"/>
          <w:sz w:val="22"/>
          <w:szCs w:val="22"/>
        </w:rPr>
      </w:pPr>
    </w:p>
    <w:p w:rsidR="00FB7826" w:rsidRPr="00720071" w:rsidRDefault="006128BC" w:rsidP="006F3E40">
      <w:pPr>
        <w:ind w:firstLine="720"/>
        <w:rPr>
          <w:sz w:val="22"/>
          <w:szCs w:val="22"/>
        </w:rPr>
      </w:pPr>
      <w:r w:rsidRPr="00720071">
        <w:rPr>
          <w:sz w:val="22"/>
          <w:szCs w:val="22"/>
        </w:rPr>
        <w:t xml:space="preserve">We seek comment on the </w:t>
      </w:r>
      <w:r w:rsidR="00A17848" w:rsidRPr="00720071">
        <w:rPr>
          <w:sz w:val="22"/>
          <w:szCs w:val="22"/>
        </w:rPr>
        <w:t>materials referenced above</w:t>
      </w:r>
      <w:r w:rsidR="00963086" w:rsidRPr="00720071">
        <w:rPr>
          <w:sz w:val="22"/>
          <w:szCs w:val="22"/>
        </w:rPr>
        <w:t>, in particular on the NANC’s recommendation to select Telcordia as the next LNPA</w:t>
      </w:r>
      <w:r w:rsidR="00A17848" w:rsidRPr="00720071">
        <w:rPr>
          <w:sz w:val="22"/>
          <w:szCs w:val="22"/>
        </w:rPr>
        <w:t xml:space="preserve">.  </w:t>
      </w:r>
      <w:r w:rsidR="00B970CE" w:rsidRPr="00720071">
        <w:rPr>
          <w:sz w:val="22"/>
          <w:szCs w:val="22"/>
        </w:rPr>
        <w:t>Copies of the</w:t>
      </w:r>
      <w:r w:rsidR="00863111" w:rsidRPr="00720071">
        <w:rPr>
          <w:sz w:val="22"/>
          <w:szCs w:val="22"/>
        </w:rPr>
        <w:t>se materials</w:t>
      </w:r>
      <w:r w:rsidR="00B970CE" w:rsidRPr="00720071">
        <w:rPr>
          <w:sz w:val="22"/>
          <w:szCs w:val="22"/>
        </w:rPr>
        <w:t xml:space="preserve"> are available</w:t>
      </w:r>
      <w:r w:rsidR="00FD5BA6" w:rsidRPr="00720071">
        <w:rPr>
          <w:sz w:val="22"/>
          <w:szCs w:val="22"/>
        </w:rPr>
        <w:t xml:space="preserve"> </w:t>
      </w:r>
      <w:r w:rsidR="00A04FFC" w:rsidRPr="00720071">
        <w:rPr>
          <w:sz w:val="22"/>
          <w:szCs w:val="22"/>
        </w:rPr>
        <w:t>pursuant to a Protective Order</w:t>
      </w:r>
      <w:r w:rsidR="00C07A48" w:rsidRPr="00720071">
        <w:rPr>
          <w:sz w:val="22"/>
          <w:szCs w:val="22"/>
        </w:rPr>
        <w:t xml:space="preserve"> released simultaneously</w:t>
      </w:r>
      <w:r w:rsidR="00863111" w:rsidRPr="00720071">
        <w:rPr>
          <w:sz w:val="22"/>
          <w:szCs w:val="22"/>
        </w:rPr>
        <w:t xml:space="preserve"> with this Public Notice</w:t>
      </w:r>
      <w:r w:rsidR="00B87A14" w:rsidRPr="00720071">
        <w:rPr>
          <w:sz w:val="22"/>
          <w:szCs w:val="22"/>
        </w:rPr>
        <w:t>.</w:t>
      </w:r>
      <w:r w:rsidR="000441DE" w:rsidRPr="00720071">
        <w:rPr>
          <w:rStyle w:val="FootnoteReference"/>
          <w:sz w:val="22"/>
          <w:szCs w:val="22"/>
        </w:rPr>
        <w:footnoteReference w:id="6"/>
      </w:r>
      <w:r w:rsidR="00B87A14" w:rsidRPr="00720071">
        <w:rPr>
          <w:sz w:val="22"/>
          <w:szCs w:val="22"/>
        </w:rPr>
        <w:t xml:space="preserve">  </w:t>
      </w:r>
      <w:r w:rsidR="00292B54" w:rsidRPr="00720071">
        <w:rPr>
          <w:sz w:val="22"/>
          <w:szCs w:val="22"/>
        </w:rPr>
        <w:t>The bids, including information regarding compliance with neutral administration requirements, are available at the</w:t>
      </w:r>
      <w:r w:rsidR="00262D9F" w:rsidRPr="00720071">
        <w:rPr>
          <w:sz w:val="22"/>
          <w:szCs w:val="22"/>
        </w:rPr>
        <w:t xml:space="preserve"> </w:t>
      </w:r>
      <w:r w:rsidR="00292B54" w:rsidRPr="00720071">
        <w:rPr>
          <w:sz w:val="22"/>
          <w:szCs w:val="22"/>
        </w:rPr>
        <w:t>offices</w:t>
      </w:r>
      <w:r w:rsidR="00E14A4F" w:rsidRPr="00720071">
        <w:rPr>
          <w:sz w:val="22"/>
          <w:szCs w:val="22"/>
        </w:rPr>
        <w:t xml:space="preserve"> of the </w:t>
      </w:r>
      <w:r w:rsidR="00E14A4F" w:rsidRPr="00984404">
        <w:rPr>
          <w:sz w:val="22"/>
          <w:szCs w:val="22"/>
        </w:rPr>
        <w:t>attorneys of record of the vendors</w:t>
      </w:r>
      <w:r w:rsidR="006F3E40" w:rsidRPr="00CB078D">
        <w:rPr>
          <w:sz w:val="22"/>
          <w:szCs w:val="22"/>
        </w:rPr>
        <w:t>, which will be identified when the vendors make their submission of confidential information pursuant to the Protective Order to the Commission</w:t>
      </w:r>
      <w:r w:rsidR="00B676AE">
        <w:t>.</w:t>
      </w:r>
      <w:r w:rsidR="00292B54" w:rsidRPr="00720071">
        <w:rPr>
          <w:sz w:val="22"/>
          <w:szCs w:val="22"/>
        </w:rPr>
        <w:t xml:space="preserve"> </w:t>
      </w:r>
      <w:r w:rsidR="00262D9F" w:rsidRPr="00720071">
        <w:rPr>
          <w:sz w:val="22"/>
          <w:szCs w:val="22"/>
        </w:rPr>
        <w:t xml:space="preserve"> </w:t>
      </w:r>
      <w:r w:rsidR="00292B54" w:rsidRPr="00720071">
        <w:rPr>
          <w:sz w:val="22"/>
          <w:szCs w:val="22"/>
        </w:rPr>
        <w:t>The NANC recommendation, the SWG and FoNPAC reports</w:t>
      </w:r>
      <w:r w:rsidR="00393D75" w:rsidRPr="00720071">
        <w:rPr>
          <w:sz w:val="22"/>
          <w:szCs w:val="22"/>
        </w:rPr>
        <w:t xml:space="preserve"> on</w:t>
      </w:r>
      <w:r w:rsidR="008957FE" w:rsidRPr="00720071">
        <w:rPr>
          <w:sz w:val="22"/>
          <w:szCs w:val="22"/>
        </w:rPr>
        <w:t xml:space="preserve"> the vendor recommendation and on the selection </w:t>
      </w:r>
      <w:r w:rsidR="00262D9F" w:rsidRPr="00720071">
        <w:rPr>
          <w:sz w:val="22"/>
          <w:szCs w:val="22"/>
        </w:rPr>
        <w:t>process, and the transcripts of meetings between the FoNPAC and the vendors</w:t>
      </w:r>
      <w:r w:rsidR="00526372" w:rsidRPr="00720071">
        <w:rPr>
          <w:sz w:val="22"/>
          <w:szCs w:val="22"/>
        </w:rPr>
        <w:t>,</w:t>
      </w:r>
      <w:r w:rsidR="00262D9F" w:rsidRPr="00720071">
        <w:rPr>
          <w:sz w:val="22"/>
          <w:szCs w:val="22"/>
        </w:rPr>
        <w:t xml:space="preserve"> are available at the offices of the NAPM counsel, </w:t>
      </w:r>
      <w:r w:rsidR="00393D75" w:rsidRPr="00720071">
        <w:rPr>
          <w:sz w:val="22"/>
          <w:szCs w:val="22"/>
        </w:rPr>
        <w:t>Dentons US LLP, 1301 K Street, NW, Suite 600, East Tower, Washington, DC 20005-3363</w:t>
      </w:r>
      <w:r w:rsidR="00262D9F" w:rsidRPr="00720071">
        <w:rPr>
          <w:sz w:val="22"/>
          <w:szCs w:val="22"/>
        </w:rPr>
        <w:t xml:space="preserve">.  Commission representatives have </w:t>
      </w:r>
      <w:r w:rsidR="00350D73" w:rsidRPr="00720071">
        <w:rPr>
          <w:sz w:val="22"/>
          <w:szCs w:val="22"/>
        </w:rPr>
        <w:t>directed</w:t>
      </w:r>
      <w:r w:rsidR="00262D9F" w:rsidRPr="00720071">
        <w:rPr>
          <w:sz w:val="22"/>
          <w:szCs w:val="22"/>
        </w:rPr>
        <w:t xml:space="preserve"> all parties </w:t>
      </w:r>
      <w:r w:rsidR="00350D73" w:rsidRPr="00720071">
        <w:rPr>
          <w:sz w:val="22"/>
          <w:szCs w:val="22"/>
        </w:rPr>
        <w:t xml:space="preserve">to </w:t>
      </w:r>
      <w:r w:rsidR="00262D9F" w:rsidRPr="00720071">
        <w:rPr>
          <w:sz w:val="22"/>
          <w:szCs w:val="22"/>
        </w:rPr>
        <w:t>make the foregoing materials available in the precise form in which they were submitted.</w:t>
      </w:r>
      <w:r w:rsidR="0013718D" w:rsidRPr="00720071">
        <w:rPr>
          <w:sz w:val="22"/>
          <w:szCs w:val="22"/>
        </w:rPr>
        <w:t xml:space="preserve">  </w:t>
      </w:r>
      <w:r w:rsidR="000F0308" w:rsidRPr="00720071">
        <w:rPr>
          <w:sz w:val="22"/>
          <w:szCs w:val="22"/>
        </w:rPr>
        <w:t xml:space="preserve">Commenters are reminded that if they wish to include confidential information in their comments, they must follow the procedures described in the Protective Order.  </w:t>
      </w:r>
      <w:r w:rsidR="0013718D" w:rsidRPr="00720071">
        <w:rPr>
          <w:sz w:val="22"/>
          <w:szCs w:val="22"/>
        </w:rPr>
        <w:t>The record generated by this Public Notice will be taken into account as the full Commission considers this matter</w:t>
      </w:r>
      <w:r w:rsidR="00321064" w:rsidRPr="00720071">
        <w:rPr>
          <w:sz w:val="22"/>
          <w:szCs w:val="22"/>
        </w:rPr>
        <w:t>, including resolving the procedural arguments raised in the record to date</w:t>
      </w:r>
      <w:r w:rsidR="00861D98" w:rsidRPr="00720071">
        <w:rPr>
          <w:sz w:val="22"/>
          <w:szCs w:val="22"/>
        </w:rPr>
        <w:t xml:space="preserve"> and ultimately identif</w:t>
      </w:r>
      <w:r w:rsidR="00B676AE">
        <w:rPr>
          <w:sz w:val="22"/>
          <w:szCs w:val="22"/>
        </w:rPr>
        <w:t>y</w:t>
      </w:r>
      <w:r w:rsidR="00861D98" w:rsidRPr="00720071">
        <w:rPr>
          <w:sz w:val="22"/>
          <w:szCs w:val="22"/>
        </w:rPr>
        <w:t xml:space="preserve">ing the vendor that will serve as the LNPA in a </w:t>
      </w:r>
      <w:r w:rsidR="00CB078D">
        <w:rPr>
          <w:sz w:val="22"/>
          <w:szCs w:val="22"/>
        </w:rPr>
        <w:t xml:space="preserve">cost-effective, </w:t>
      </w:r>
      <w:r w:rsidR="00861D98" w:rsidRPr="00720071">
        <w:rPr>
          <w:sz w:val="22"/>
          <w:szCs w:val="22"/>
        </w:rPr>
        <w:t>neutral and secure fashion</w:t>
      </w:r>
      <w:r w:rsidR="0013718D" w:rsidRPr="00720071">
        <w:rPr>
          <w:sz w:val="22"/>
          <w:szCs w:val="22"/>
        </w:rPr>
        <w:t>.</w:t>
      </w:r>
    </w:p>
    <w:p w:rsidR="00E14A4F" w:rsidRPr="00720071" w:rsidRDefault="00E14A4F" w:rsidP="006F3E40">
      <w:pPr>
        <w:ind w:firstLine="720"/>
        <w:rPr>
          <w:sz w:val="22"/>
          <w:szCs w:val="22"/>
        </w:rPr>
      </w:pPr>
    </w:p>
    <w:p w:rsidR="00FB7826" w:rsidRPr="00720071" w:rsidRDefault="00FB7826" w:rsidP="00D26D4B">
      <w:pPr>
        <w:tabs>
          <w:tab w:val="num" w:pos="1440"/>
        </w:tabs>
        <w:rPr>
          <w:snapToGrid w:val="0"/>
          <w:kern w:val="28"/>
          <w:sz w:val="22"/>
          <w:szCs w:val="22"/>
        </w:rPr>
      </w:pPr>
      <w:r w:rsidRPr="00720071">
        <w:rPr>
          <w:kern w:val="28"/>
          <w:sz w:val="22"/>
          <w:szCs w:val="22"/>
          <w:u w:val="single"/>
        </w:rPr>
        <w:t>Filing Instructions</w:t>
      </w:r>
      <w:r w:rsidRPr="00720071">
        <w:rPr>
          <w:kern w:val="28"/>
          <w:sz w:val="22"/>
          <w:szCs w:val="22"/>
        </w:rPr>
        <w:t xml:space="preserve">.  </w:t>
      </w:r>
      <w:bookmarkStart w:id="1" w:name="_Ref378878508"/>
      <w:r w:rsidRPr="00720071">
        <w:rPr>
          <w:snapToGrid w:val="0"/>
          <w:kern w:val="28"/>
          <w:sz w:val="22"/>
          <w:szCs w:val="22"/>
        </w:rPr>
        <w:t>Pursuant to sections 1.415 and 1.419 of the Commission’s rules,</w:t>
      </w:r>
      <w:r w:rsidR="00CD479E">
        <w:rPr>
          <w:rStyle w:val="FootnoteReference"/>
          <w:snapToGrid w:val="0"/>
          <w:kern w:val="28"/>
          <w:sz w:val="22"/>
          <w:szCs w:val="22"/>
        </w:rPr>
        <w:footnoteReference w:id="7"/>
      </w:r>
      <w:r w:rsidRPr="00720071">
        <w:rPr>
          <w:snapToGrid w:val="0"/>
          <w:kern w:val="28"/>
          <w:sz w:val="22"/>
          <w:szCs w:val="22"/>
        </w:rPr>
        <w:t xml:space="preserve"> interested parties may file comments and reply comments on or before the date indicated above.  Comments may be filed using the Commission’s Electronic Comment Filing System (ECFS)</w:t>
      </w:r>
      <w:r w:rsidR="00CD479E">
        <w:rPr>
          <w:snapToGrid w:val="0"/>
          <w:kern w:val="28"/>
          <w:sz w:val="22"/>
          <w:szCs w:val="22"/>
        </w:rPr>
        <w:t>, or by filing paper copies</w:t>
      </w:r>
      <w:r w:rsidRPr="00720071">
        <w:rPr>
          <w:snapToGrid w:val="0"/>
          <w:kern w:val="28"/>
          <w:sz w:val="22"/>
          <w:szCs w:val="22"/>
        </w:rPr>
        <w:t>.</w:t>
      </w:r>
      <w:r w:rsidR="00CD479E">
        <w:rPr>
          <w:rStyle w:val="FootnoteReference"/>
          <w:snapToGrid w:val="0"/>
          <w:kern w:val="28"/>
          <w:sz w:val="22"/>
          <w:szCs w:val="22"/>
        </w:rPr>
        <w:footnoteReference w:id="8"/>
      </w:r>
      <w:r w:rsidRPr="00720071">
        <w:rPr>
          <w:snapToGrid w:val="0"/>
          <w:kern w:val="28"/>
          <w:sz w:val="22"/>
          <w:szCs w:val="22"/>
        </w:rPr>
        <w:t xml:space="preserve">  </w:t>
      </w:r>
      <w:bookmarkEnd w:id="1"/>
    </w:p>
    <w:p w:rsidR="00FB7826" w:rsidRPr="00720071" w:rsidRDefault="00FB7826" w:rsidP="00D26D4B">
      <w:pPr>
        <w:tabs>
          <w:tab w:val="num" w:pos="1440"/>
        </w:tabs>
        <w:ind w:firstLine="720"/>
        <w:rPr>
          <w:snapToGrid w:val="0"/>
          <w:kern w:val="28"/>
          <w:sz w:val="22"/>
          <w:szCs w:val="22"/>
        </w:rPr>
      </w:pPr>
    </w:p>
    <w:p w:rsidR="00FB7826" w:rsidRPr="00720071" w:rsidRDefault="00FB7826" w:rsidP="00D26D4B">
      <w:pPr>
        <w:numPr>
          <w:ilvl w:val="0"/>
          <w:numId w:val="18"/>
        </w:numPr>
        <w:rPr>
          <w:snapToGrid w:val="0"/>
          <w:kern w:val="28"/>
          <w:sz w:val="22"/>
          <w:szCs w:val="22"/>
        </w:rPr>
      </w:pPr>
      <w:r w:rsidRPr="00720071">
        <w:rPr>
          <w:snapToGrid w:val="0"/>
          <w:kern w:val="28"/>
          <w:sz w:val="22"/>
          <w:szCs w:val="22"/>
        </w:rPr>
        <w:t xml:space="preserve">Electronic Filers:  Comments may be filed electronically using the Internet by accessing the ECFS:  </w:t>
      </w:r>
      <w:hyperlink r:id="rId8" w:history="1">
        <w:r w:rsidRPr="00720071">
          <w:rPr>
            <w:snapToGrid w:val="0"/>
            <w:color w:val="0000FF"/>
            <w:kern w:val="28"/>
            <w:sz w:val="22"/>
            <w:szCs w:val="22"/>
            <w:u w:val="single"/>
          </w:rPr>
          <w:t>http://fjallfoss.fcc.gov/ecfs2/</w:t>
        </w:r>
      </w:hyperlink>
      <w:r w:rsidRPr="00720071">
        <w:rPr>
          <w:snapToGrid w:val="0"/>
          <w:kern w:val="28"/>
          <w:sz w:val="22"/>
          <w:szCs w:val="22"/>
        </w:rPr>
        <w:t xml:space="preserve">.  </w:t>
      </w:r>
    </w:p>
    <w:p w:rsidR="00FB7826" w:rsidRPr="00720071" w:rsidRDefault="00FB7826" w:rsidP="00D26D4B">
      <w:pPr>
        <w:rPr>
          <w:snapToGrid w:val="0"/>
          <w:kern w:val="28"/>
          <w:sz w:val="22"/>
          <w:szCs w:val="22"/>
        </w:rPr>
      </w:pPr>
    </w:p>
    <w:p w:rsidR="00FB7826" w:rsidRPr="00720071" w:rsidRDefault="00FB7826" w:rsidP="00D26D4B">
      <w:pPr>
        <w:numPr>
          <w:ilvl w:val="0"/>
          <w:numId w:val="16"/>
        </w:numPr>
        <w:tabs>
          <w:tab w:val="num" w:pos="720"/>
        </w:tabs>
        <w:ind w:left="720"/>
        <w:rPr>
          <w:snapToGrid w:val="0"/>
          <w:kern w:val="28"/>
          <w:sz w:val="22"/>
          <w:szCs w:val="22"/>
        </w:rPr>
      </w:pPr>
      <w:r w:rsidRPr="00720071">
        <w:rPr>
          <w:snapToGrid w:val="0"/>
          <w:kern w:val="28"/>
          <w:sz w:val="22"/>
          <w:szCs w:val="22"/>
        </w:rPr>
        <w:t xml:space="preserve">Paper Filers:  Parties who choose to file by paper </w:t>
      </w:r>
      <w:r w:rsidR="003F1005" w:rsidRPr="00720071">
        <w:rPr>
          <w:snapToGrid w:val="0"/>
          <w:kern w:val="28"/>
          <w:sz w:val="22"/>
          <w:szCs w:val="22"/>
        </w:rPr>
        <w:t xml:space="preserve">must file an original and </w:t>
      </w:r>
      <w:r w:rsidRPr="00720071">
        <w:rPr>
          <w:snapToGrid w:val="0"/>
          <w:kern w:val="28"/>
          <w:sz w:val="22"/>
          <w:szCs w:val="22"/>
        </w:rPr>
        <w:t>one copy of each filing.  If more than one docket or rulemaking number appears in the caption of this proceeding, filers must submit two additional copies for each additional docket or rulemaking number.</w:t>
      </w:r>
    </w:p>
    <w:p w:rsidR="00FB7826" w:rsidRPr="00720071" w:rsidRDefault="00FB7826" w:rsidP="00D26D4B">
      <w:pPr>
        <w:rPr>
          <w:snapToGrid w:val="0"/>
          <w:kern w:val="28"/>
          <w:sz w:val="22"/>
          <w:szCs w:val="22"/>
        </w:rPr>
      </w:pPr>
    </w:p>
    <w:p w:rsidR="00FB7826" w:rsidRPr="00720071" w:rsidRDefault="00FB7826" w:rsidP="00D26D4B">
      <w:pPr>
        <w:ind w:left="720"/>
        <w:rPr>
          <w:snapToGrid w:val="0"/>
          <w:kern w:val="28"/>
          <w:sz w:val="22"/>
          <w:szCs w:val="22"/>
        </w:rPr>
      </w:pPr>
      <w:r w:rsidRPr="00720071">
        <w:rPr>
          <w:snapToGrid w:val="0"/>
          <w:kern w:val="28"/>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B7826" w:rsidRPr="00720071" w:rsidRDefault="00FB7826" w:rsidP="00D26D4B">
      <w:pPr>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lastRenderedPageBreak/>
        <w:t>All hand-delivered or messenger-delivered paper filings for the Commission’s Secretary must be delivered to FCC Headquarters at 445 12</w:t>
      </w:r>
      <w:r w:rsidRPr="00720071">
        <w:rPr>
          <w:snapToGrid w:val="0"/>
          <w:kern w:val="28"/>
          <w:sz w:val="22"/>
          <w:szCs w:val="22"/>
          <w:vertAlign w:val="superscript"/>
        </w:rPr>
        <w:t>th</w:t>
      </w:r>
      <w:r w:rsidRPr="00720071">
        <w:rPr>
          <w:snapToGrid w:val="0"/>
          <w:kern w:val="28"/>
          <w:sz w:val="22"/>
          <w:szCs w:val="22"/>
        </w:rPr>
        <w:t xml:space="preserve"> St., SW, Room TW-A325, Washington, DC 20554.  The filing hours are 8:00 a.m. to 7:00 p.m.   All hand deliveries must be held together with rubber bands or fasteners.  Any envelopes and boxes must be disposed of </w:t>
      </w:r>
      <w:r w:rsidRPr="00720071">
        <w:rPr>
          <w:snapToGrid w:val="0"/>
          <w:kern w:val="28"/>
          <w:sz w:val="22"/>
          <w:szCs w:val="22"/>
          <w:u w:val="single"/>
        </w:rPr>
        <w:t>before</w:t>
      </w:r>
      <w:r w:rsidRPr="00720071">
        <w:rPr>
          <w:snapToGrid w:val="0"/>
          <w:kern w:val="28"/>
          <w:sz w:val="22"/>
          <w:szCs w:val="22"/>
        </w:rPr>
        <w:t xml:space="preserve"> entering the building.  </w:t>
      </w:r>
    </w:p>
    <w:p w:rsidR="00FB7826" w:rsidRPr="00720071" w:rsidRDefault="00FB7826" w:rsidP="00D26D4B">
      <w:pPr>
        <w:ind w:left="1080"/>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Commercial overnight mail (other than U.S. Postal Service Express Mail and Priority Mail) must be sent to 9300 East Hampton Drive, Capitol Heights, MD  20743.</w:t>
      </w:r>
    </w:p>
    <w:p w:rsidR="00FB7826" w:rsidRPr="00720071" w:rsidRDefault="00FB7826" w:rsidP="00D26D4B">
      <w:pPr>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U.S. Postal Service first-class, Express, and Priority mail must be addressed to 445 12</w:t>
      </w:r>
      <w:r w:rsidRPr="00720071">
        <w:rPr>
          <w:snapToGrid w:val="0"/>
          <w:kern w:val="28"/>
          <w:sz w:val="22"/>
          <w:szCs w:val="22"/>
          <w:vertAlign w:val="superscript"/>
        </w:rPr>
        <w:t>th</w:t>
      </w:r>
      <w:r w:rsidRPr="00720071">
        <w:rPr>
          <w:snapToGrid w:val="0"/>
          <w:kern w:val="28"/>
          <w:sz w:val="22"/>
          <w:szCs w:val="22"/>
        </w:rPr>
        <w:t xml:space="preserve"> Street, SW, Washington DC  20554.</w:t>
      </w:r>
    </w:p>
    <w:p w:rsidR="00FB7826" w:rsidRPr="00720071" w:rsidRDefault="00FB7826" w:rsidP="00D26D4B">
      <w:pPr>
        <w:rPr>
          <w:snapToGrid w:val="0"/>
          <w:kern w:val="28"/>
          <w:sz w:val="22"/>
          <w:szCs w:val="22"/>
        </w:rPr>
      </w:pPr>
    </w:p>
    <w:p w:rsidR="00FB7826" w:rsidRPr="00720071" w:rsidRDefault="00FB7826" w:rsidP="00D26D4B">
      <w:pPr>
        <w:ind w:firstLine="720"/>
        <w:rPr>
          <w:snapToGrid w:val="0"/>
          <w:kern w:val="28"/>
          <w:sz w:val="22"/>
          <w:szCs w:val="22"/>
        </w:rPr>
      </w:pPr>
      <w:r w:rsidRPr="00720071">
        <w:rPr>
          <w:snapToGrid w:val="0"/>
          <w:kern w:val="28"/>
          <w:sz w:val="22"/>
          <w:szCs w:val="22"/>
        </w:rPr>
        <w:t xml:space="preserve">People with Disabilities:  To request materials in accessible formats for people with disabilities (braille, large print, electronic files, audio format), send an e-mail to </w:t>
      </w:r>
      <w:r w:rsidRPr="00720071">
        <w:rPr>
          <w:snapToGrid w:val="0"/>
          <w:color w:val="0000FF"/>
          <w:kern w:val="28"/>
          <w:sz w:val="22"/>
          <w:szCs w:val="22"/>
          <w:u w:val="single"/>
        </w:rPr>
        <w:t>fcc504@fcc.gov</w:t>
      </w:r>
      <w:r w:rsidRPr="00720071">
        <w:rPr>
          <w:snapToGrid w:val="0"/>
          <w:kern w:val="28"/>
          <w:sz w:val="22"/>
          <w:szCs w:val="22"/>
        </w:rPr>
        <w:t xml:space="preserve"> or call the Consumer &amp; Governmental Affairs Bureau at 202-418-0530 (voice), 202-418-0432 (tty).</w:t>
      </w:r>
    </w:p>
    <w:p w:rsidR="00FB7826" w:rsidRPr="00720071" w:rsidRDefault="00FB7826" w:rsidP="00D26D4B">
      <w:pPr>
        <w:rPr>
          <w:snapToGrid w:val="0"/>
          <w:kern w:val="28"/>
          <w:sz w:val="22"/>
          <w:szCs w:val="22"/>
        </w:rPr>
      </w:pPr>
    </w:p>
    <w:p w:rsidR="00FB7826" w:rsidRPr="00720071" w:rsidRDefault="00963086" w:rsidP="00D26D4B">
      <w:pPr>
        <w:tabs>
          <w:tab w:val="num" w:pos="720"/>
        </w:tabs>
        <w:rPr>
          <w:rFonts w:eastAsiaTheme="majorEastAsia" w:cstheme="majorBidi"/>
          <w:sz w:val="22"/>
          <w:szCs w:val="22"/>
        </w:rPr>
      </w:pPr>
      <w:r w:rsidRPr="00720071">
        <w:rPr>
          <w:rFonts w:eastAsiaTheme="majorEastAsia" w:cstheme="majorBidi"/>
          <w:i/>
          <w:sz w:val="22"/>
          <w:szCs w:val="22"/>
        </w:rPr>
        <w:tab/>
      </w:r>
      <w:r w:rsidR="00FB7826" w:rsidRPr="00720071">
        <w:rPr>
          <w:rFonts w:eastAsiaTheme="majorEastAsia" w:cstheme="majorBidi"/>
          <w:i/>
          <w:sz w:val="22"/>
          <w:szCs w:val="22"/>
          <w:u w:val="single"/>
        </w:rPr>
        <w:t>Ex Parte</w:t>
      </w:r>
      <w:r w:rsidR="00FB7826" w:rsidRPr="00720071">
        <w:rPr>
          <w:rFonts w:eastAsiaTheme="majorEastAsia" w:cstheme="majorBidi"/>
          <w:sz w:val="22"/>
          <w:szCs w:val="22"/>
          <w:u w:val="single"/>
        </w:rPr>
        <w:t xml:space="preserve"> Presentations</w:t>
      </w:r>
      <w:r w:rsidR="00FB7826" w:rsidRPr="00720071">
        <w:rPr>
          <w:rFonts w:eastAsiaTheme="majorEastAsia" w:cstheme="majorBidi"/>
          <w:sz w:val="22"/>
          <w:szCs w:val="22"/>
        </w:rPr>
        <w:t xml:space="preserve">.  </w:t>
      </w:r>
      <w:r w:rsidR="000163F1" w:rsidRPr="00720071">
        <w:rPr>
          <w:color w:val="000000"/>
          <w:sz w:val="22"/>
          <w:szCs w:val="22"/>
        </w:rPr>
        <w:t>T</w:t>
      </w:r>
      <w:bookmarkStart w:id="2" w:name="_Ref378852213"/>
      <w:r w:rsidR="00FB7826" w:rsidRPr="00720071">
        <w:rPr>
          <w:rFonts w:eastAsiaTheme="majorEastAsia" w:cstheme="majorBidi"/>
          <w:sz w:val="22"/>
          <w:szCs w:val="22"/>
        </w:rPr>
        <w:t xml:space="preserve">his proceeding shall </w:t>
      </w:r>
      <w:r w:rsidR="00D97F69" w:rsidRPr="00720071">
        <w:rPr>
          <w:rFonts w:eastAsiaTheme="majorEastAsia" w:cstheme="majorBidi"/>
          <w:sz w:val="22"/>
          <w:szCs w:val="22"/>
        </w:rPr>
        <w:t xml:space="preserve">continue to </w:t>
      </w:r>
      <w:r w:rsidR="00FB7826" w:rsidRPr="00720071">
        <w:rPr>
          <w:rFonts w:eastAsiaTheme="majorEastAsia" w:cstheme="majorBidi"/>
          <w:sz w:val="22"/>
          <w:szCs w:val="22"/>
        </w:rPr>
        <w:t xml:space="preserve">be treated as a “permit-but-disclose” proceeding in accordance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r w:rsidR="00FB7826" w:rsidRPr="00720071">
        <w:rPr>
          <w:rFonts w:eastAsiaTheme="majorEastAsia" w:cstheme="majorBidi"/>
          <w:sz w:val="22"/>
          <w:szCs w:val="22"/>
          <w:vertAlign w:val="superscript"/>
        </w:rPr>
        <w:footnoteReference w:id="9"/>
      </w:r>
      <w:r w:rsidR="00FB7826" w:rsidRPr="00720071">
        <w:rPr>
          <w:rFonts w:eastAsiaTheme="majorEastAsia" w:cstheme="majorBidi"/>
          <w:sz w:val="22"/>
          <w:szCs w:val="22"/>
        </w:rPr>
        <w:t xml:space="preserve">  Persons making </w:t>
      </w:r>
      <w:r w:rsidR="00FB7826" w:rsidRPr="00720071">
        <w:rPr>
          <w:rFonts w:eastAsiaTheme="majorEastAsia" w:cstheme="majorBidi"/>
          <w:i/>
          <w:sz w:val="22"/>
          <w:szCs w:val="22"/>
        </w:rPr>
        <w:t xml:space="preserve">ex parte </w:t>
      </w:r>
      <w:r w:rsidR="00FB7826" w:rsidRPr="00720071">
        <w:rPr>
          <w:rFonts w:eastAsiaTheme="majorEastAsia" w:cstheme="majorBidi"/>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are reminded that memoranda summarizing the presentation must (1) list all persons attending or otherwise participating in the meeting at which the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meetings are deemed to be written </w:t>
      </w:r>
      <w:r w:rsidR="00FB7826" w:rsidRPr="00720071">
        <w:rPr>
          <w:rFonts w:eastAsiaTheme="majorEastAsia" w:cstheme="majorBidi"/>
          <w:i/>
          <w:iCs/>
          <w:sz w:val="22"/>
          <w:szCs w:val="22"/>
        </w:rPr>
        <w:t>ex parte</w:t>
      </w:r>
      <w:r w:rsidR="00FB7826" w:rsidRPr="00720071">
        <w:rPr>
          <w:rFonts w:eastAsiaTheme="majorEastAsia" w:cstheme="majorBidi"/>
          <w:sz w:val="22"/>
          <w:szCs w:val="22"/>
        </w:rPr>
        <w:t xml:space="preserve"> presentations and must be filed consistent with rule 1.1206(b).  In proceedings governed by rule 1.49(f) or for which the Commission has made available a method of electronic filing, written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and memoranda summarizing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presentations, and all attachments thereto, must be filed through the electronic comment filing system available for that proceeding, and must be filed in their native format (</w:t>
      </w:r>
      <w:r w:rsidR="00FB7826" w:rsidRPr="00720071">
        <w:rPr>
          <w:rFonts w:eastAsiaTheme="majorEastAsia" w:cstheme="majorBidi"/>
          <w:iCs/>
          <w:sz w:val="22"/>
          <w:szCs w:val="22"/>
        </w:rPr>
        <w:t>e.g.</w:t>
      </w:r>
      <w:r w:rsidR="00FB7826" w:rsidRPr="00720071">
        <w:rPr>
          <w:rFonts w:eastAsiaTheme="majorEastAsia" w:cstheme="majorBidi"/>
          <w:sz w:val="22"/>
          <w:szCs w:val="22"/>
        </w:rPr>
        <w:t xml:space="preserve">, .doc, .xml, .ppt, searchable .pdf).  Participants in this proceeding should familiarize themselves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bookmarkEnd w:id="2"/>
    </w:p>
    <w:p w:rsidR="00FB7826" w:rsidRPr="00720071" w:rsidRDefault="00FB7826" w:rsidP="00D26D4B">
      <w:pPr>
        <w:ind w:firstLine="720"/>
        <w:rPr>
          <w:rFonts w:eastAsiaTheme="majorEastAsia" w:cstheme="majorBidi"/>
          <w:sz w:val="22"/>
          <w:szCs w:val="22"/>
        </w:rPr>
      </w:pPr>
    </w:p>
    <w:p w:rsidR="00DA414D" w:rsidRPr="00720071" w:rsidRDefault="00DA414D" w:rsidP="00D26D4B">
      <w:pPr>
        <w:ind w:firstLine="720"/>
        <w:rPr>
          <w:sz w:val="22"/>
          <w:szCs w:val="22"/>
        </w:rPr>
      </w:pPr>
      <w:r w:rsidRPr="00720071">
        <w:rPr>
          <w:sz w:val="22"/>
          <w:szCs w:val="22"/>
        </w:rPr>
        <w:t xml:space="preserve">For further information, contact </w:t>
      </w:r>
      <w:r w:rsidR="00E6463C" w:rsidRPr="00720071">
        <w:rPr>
          <w:sz w:val="22"/>
          <w:szCs w:val="22"/>
        </w:rPr>
        <w:t>Sanford Williams, Assistant</w:t>
      </w:r>
      <w:r w:rsidR="00105673" w:rsidRPr="00720071">
        <w:rPr>
          <w:sz w:val="22"/>
          <w:szCs w:val="22"/>
        </w:rPr>
        <w:t xml:space="preserve"> Chief, </w:t>
      </w:r>
      <w:r w:rsidR="00E6463C" w:rsidRPr="00720071">
        <w:rPr>
          <w:sz w:val="22"/>
          <w:szCs w:val="22"/>
        </w:rPr>
        <w:t xml:space="preserve">Competition Policy </w:t>
      </w:r>
      <w:r w:rsidR="00595FBA" w:rsidRPr="00720071">
        <w:rPr>
          <w:sz w:val="22"/>
          <w:szCs w:val="22"/>
        </w:rPr>
        <w:t>Division, Wireline</w:t>
      </w:r>
      <w:r w:rsidR="00105673" w:rsidRPr="00720071">
        <w:rPr>
          <w:sz w:val="22"/>
          <w:szCs w:val="22"/>
        </w:rPr>
        <w:t xml:space="preserve"> Competit</w:t>
      </w:r>
      <w:r w:rsidR="00E6463C" w:rsidRPr="00720071">
        <w:rPr>
          <w:sz w:val="22"/>
          <w:szCs w:val="22"/>
        </w:rPr>
        <w:t>ion Bureau at (202) 418-1508</w:t>
      </w:r>
      <w:r w:rsidR="009947C7" w:rsidRPr="00720071">
        <w:rPr>
          <w:sz w:val="22"/>
          <w:szCs w:val="22"/>
        </w:rPr>
        <w:t xml:space="preserve"> or </w:t>
      </w:r>
      <w:hyperlink r:id="rId9" w:history="1">
        <w:r w:rsidR="00E6463C" w:rsidRPr="00720071">
          <w:rPr>
            <w:rStyle w:val="Hyperlink"/>
            <w:sz w:val="22"/>
            <w:szCs w:val="22"/>
          </w:rPr>
          <w:t>sanford.williams@fcc.gov</w:t>
        </w:r>
      </w:hyperlink>
      <w:r w:rsidR="00E6463C" w:rsidRPr="00720071">
        <w:rPr>
          <w:sz w:val="22"/>
          <w:szCs w:val="22"/>
        </w:rPr>
        <w:t xml:space="preserve">. </w:t>
      </w:r>
    </w:p>
    <w:p w:rsidR="00DA414D" w:rsidRPr="00720071" w:rsidRDefault="00DA414D" w:rsidP="00D26D4B">
      <w:pPr>
        <w:ind w:firstLine="720"/>
        <w:rPr>
          <w:sz w:val="22"/>
          <w:szCs w:val="22"/>
        </w:rPr>
      </w:pPr>
    </w:p>
    <w:p w:rsidR="0069365C" w:rsidRPr="00720071" w:rsidRDefault="00DA414D" w:rsidP="00D26D4B">
      <w:pPr>
        <w:rPr>
          <w:b/>
          <w:sz w:val="22"/>
          <w:szCs w:val="22"/>
        </w:rPr>
      </w:pPr>
      <w:r w:rsidRPr="00720071">
        <w:rPr>
          <w:sz w:val="22"/>
          <w:szCs w:val="22"/>
        </w:rPr>
        <w:tab/>
      </w:r>
      <w:r w:rsidRPr="00720071">
        <w:rPr>
          <w:sz w:val="22"/>
          <w:szCs w:val="22"/>
        </w:rPr>
        <w:tab/>
      </w:r>
      <w:r w:rsidRPr="00720071">
        <w:rPr>
          <w:sz w:val="22"/>
          <w:szCs w:val="22"/>
        </w:rPr>
        <w:tab/>
      </w:r>
      <w:r w:rsidRPr="00720071">
        <w:rPr>
          <w:sz w:val="22"/>
          <w:szCs w:val="22"/>
        </w:rPr>
        <w:tab/>
      </w:r>
      <w:r w:rsidRPr="00720071">
        <w:rPr>
          <w:sz w:val="22"/>
          <w:szCs w:val="22"/>
        </w:rPr>
        <w:tab/>
      </w:r>
      <w:r w:rsidRPr="00720071">
        <w:rPr>
          <w:sz w:val="22"/>
          <w:szCs w:val="22"/>
        </w:rPr>
        <w:tab/>
      </w:r>
      <w:r w:rsidRPr="00720071">
        <w:rPr>
          <w:b/>
          <w:sz w:val="22"/>
          <w:szCs w:val="22"/>
        </w:rPr>
        <w:t>-</w:t>
      </w:r>
      <w:r w:rsidR="00615D4B" w:rsidRPr="00720071">
        <w:rPr>
          <w:b/>
          <w:sz w:val="22"/>
          <w:szCs w:val="22"/>
        </w:rPr>
        <w:t xml:space="preserve"> </w:t>
      </w:r>
      <w:r w:rsidRPr="00720071">
        <w:rPr>
          <w:b/>
          <w:sz w:val="22"/>
          <w:szCs w:val="22"/>
        </w:rPr>
        <w:t>FCC</w:t>
      </w:r>
      <w:r w:rsidR="00615D4B" w:rsidRPr="00720071">
        <w:rPr>
          <w:b/>
          <w:sz w:val="22"/>
          <w:szCs w:val="22"/>
        </w:rPr>
        <w:t xml:space="preserve"> </w:t>
      </w:r>
      <w:r w:rsidR="0069365C" w:rsidRPr="00720071">
        <w:rPr>
          <w:b/>
          <w:sz w:val="22"/>
          <w:szCs w:val="22"/>
        </w:rPr>
        <w:t>–</w:t>
      </w:r>
    </w:p>
    <w:sectPr w:rsidR="0069365C" w:rsidRPr="00720071" w:rsidSect="005170E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22" w:rsidRDefault="008A7322">
      <w:r>
        <w:separator/>
      </w:r>
    </w:p>
  </w:endnote>
  <w:endnote w:type="continuationSeparator" w:id="0">
    <w:p w:rsidR="008A7322" w:rsidRDefault="008A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50" w:rsidRDefault="00670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9E" w:rsidRDefault="00CD479E">
    <w:pPr>
      <w:pStyle w:val="Footer"/>
      <w:jc w:val="center"/>
    </w:pPr>
    <w:r>
      <w:fldChar w:fldCharType="begin"/>
    </w:r>
    <w:r>
      <w:instrText xml:space="preserve"> PAGE   \* MERGEFORMAT </w:instrText>
    </w:r>
    <w:r>
      <w:fldChar w:fldCharType="separate"/>
    </w:r>
    <w:r w:rsidR="00343672">
      <w:rPr>
        <w:noProof/>
      </w:rPr>
      <w:t>3</w:t>
    </w:r>
    <w:r>
      <w:fldChar w:fldCharType="end"/>
    </w:r>
  </w:p>
  <w:p w:rsidR="00CD479E" w:rsidRDefault="00CD4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50" w:rsidRDefault="00670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22" w:rsidRDefault="008A7322">
      <w:r>
        <w:separator/>
      </w:r>
    </w:p>
  </w:footnote>
  <w:footnote w:type="continuationSeparator" w:id="0">
    <w:p w:rsidR="008A7322" w:rsidRDefault="008A7322">
      <w:r>
        <w:continuationSeparator/>
      </w:r>
    </w:p>
  </w:footnote>
  <w:footnote w:id="1">
    <w:p w:rsidR="00CD479E" w:rsidRPr="006E75EE" w:rsidRDefault="00CD479E" w:rsidP="00963086">
      <w:pPr>
        <w:pStyle w:val="FootnoteText"/>
        <w:spacing w:after="120"/>
        <w:rPr>
          <w:b/>
        </w:rPr>
      </w:pPr>
      <w:r>
        <w:rPr>
          <w:rStyle w:val="FootnoteReference"/>
        </w:rPr>
        <w:footnoteRef/>
      </w:r>
      <w:r>
        <w:t xml:space="preserve"> </w:t>
      </w:r>
      <w:r>
        <w:rPr>
          <w:lang w:val="en-US"/>
        </w:rPr>
        <w:t xml:space="preserve">Letter from Betty Ann Kane, Chairman, North American Numbering Council, to Julie A. Veach, Chief, Wireline Competition Bureau, Federal Communications Commission, WC Docket No. 09-109, CC Docket 95-116 (dated Apr. 24, 2014 and filed Apr. 25, 2014) (NANC Apr. 24 </w:t>
      </w:r>
      <w:r w:rsidRPr="00375328">
        <w:rPr>
          <w:i/>
        </w:rPr>
        <w:t>Ex Parte</w:t>
      </w:r>
      <w:r>
        <w:rPr>
          <w:lang w:val="en-US"/>
        </w:rPr>
        <w:t xml:space="preserve"> Letter).  </w:t>
      </w:r>
    </w:p>
  </w:footnote>
  <w:footnote w:id="2">
    <w:p w:rsidR="00CD479E" w:rsidRPr="00B86119" w:rsidRDefault="00CD479E" w:rsidP="00963086">
      <w:pPr>
        <w:pStyle w:val="FootnoteText"/>
        <w:spacing w:after="120"/>
      </w:pPr>
      <w:r>
        <w:rPr>
          <w:rStyle w:val="FootnoteReference"/>
        </w:rPr>
        <w:footnoteRef/>
      </w:r>
      <w:r>
        <w:t xml:space="preserve"> </w:t>
      </w:r>
      <w:r w:rsidRPr="009D1DF5">
        <w:rPr>
          <w:i/>
          <w:lang w:val="en-US"/>
        </w:rPr>
        <w:t>Petition of Telcordia Technologies, Inc. to Reform or Strike Amendment 70, to Institute Competitive Bidding for Number Portability Administration and to End the NAPM LLC’s Interim  Role in Number Portability Admi</w:t>
      </w:r>
      <w:r>
        <w:rPr>
          <w:i/>
          <w:lang w:val="en-US"/>
        </w:rPr>
        <w:t>nistration Contract; Telephone N</w:t>
      </w:r>
      <w:r w:rsidRPr="009D1DF5">
        <w:rPr>
          <w:i/>
          <w:lang w:val="en-US"/>
        </w:rPr>
        <w:t>umber Portability,</w:t>
      </w:r>
      <w:r>
        <w:rPr>
          <w:lang w:val="en-US"/>
        </w:rPr>
        <w:t xml:space="preserve"> WC Docket No. 09-109, CC Docket No. 95-116, Order and Request for Comment, 26 FCC Rcd 3685 (2011).</w:t>
      </w:r>
    </w:p>
  </w:footnote>
  <w:footnote w:id="3">
    <w:p w:rsidR="00CD479E" w:rsidRPr="00231180" w:rsidRDefault="00CD479E" w:rsidP="00963086">
      <w:pPr>
        <w:pStyle w:val="FootnoteText"/>
        <w:spacing w:after="120"/>
      </w:pPr>
      <w:r>
        <w:rPr>
          <w:rStyle w:val="FootnoteReference"/>
        </w:rPr>
        <w:footnoteRef/>
      </w:r>
      <w:r>
        <w:t xml:space="preserve"> </w:t>
      </w:r>
      <w:r>
        <w:rPr>
          <w:lang w:val="en-US"/>
        </w:rPr>
        <w:t>The NAPM is an industry consortium, and the FoNPAC is a NAPM subcommittee charged with overseeing the vendor selection process on behalf of the NAPM.</w:t>
      </w:r>
    </w:p>
  </w:footnote>
  <w:footnote w:id="4">
    <w:p w:rsidR="00CD479E" w:rsidRPr="00A04FFC" w:rsidRDefault="00CD479E" w:rsidP="00963086">
      <w:pPr>
        <w:pStyle w:val="FootnoteText"/>
        <w:spacing w:after="120"/>
      </w:pPr>
      <w:r>
        <w:rPr>
          <w:rStyle w:val="FootnoteReference"/>
        </w:rPr>
        <w:footnoteRef/>
      </w:r>
      <w:r>
        <w:t xml:space="preserve"> </w:t>
      </w:r>
      <w:r>
        <w:rPr>
          <w:lang w:val="en-US"/>
        </w:rPr>
        <w:t>47 C.F.R. § 0.459.</w:t>
      </w:r>
    </w:p>
  </w:footnote>
  <w:footnote w:id="5">
    <w:p w:rsidR="00CD479E" w:rsidRPr="00886AE5" w:rsidRDefault="00CD479E" w:rsidP="00963086">
      <w:pPr>
        <w:pStyle w:val="FootnoteText"/>
        <w:spacing w:after="120"/>
      </w:pPr>
      <w:r>
        <w:rPr>
          <w:rStyle w:val="FootnoteReference"/>
        </w:rPr>
        <w:footnoteRef/>
      </w:r>
      <w:r>
        <w:t xml:space="preserve"> </w:t>
      </w:r>
      <w:r w:rsidRPr="00886AE5">
        <w:rPr>
          <w:i/>
          <w:lang w:val="en-US"/>
        </w:rPr>
        <w:t>Id</w:t>
      </w:r>
      <w:r>
        <w:rPr>
          <w:lang w:val="en-US"/>
        </w:rPr>
        <w:t>.</w:t>
      </w:r>
    </w:p>
  </w:footnote>
  <w:footnote w:id="6">
    <w:p w:rsidR="00CD479E" w:rsidRPr="00863111" w:rsidRDefault="00CD479E" w:rsidP="00963086">
      <w:pPr>
        <w:pStyle w:val="FootnoteText"/>
        <w:spacing w:after="120"/>
      </w:pPr>
      <w:r>
        <w:rPr>
          <w:rStyle w:val="FootnoteReference"/>
        </w:rPr>
        <w:footnoteRef/>
      </w:r>
      <w:r>
        <w:t xml:space="preserve"> </w:t>
      </w:r>
      <w:r w:rsidRPr="00E27BAA">
        <w:rPr>
          <w:i/>
          <w:lang w:val="en-US"/>
        </w:rPr>
        <w:t>See</w:t>
      </w:r>
      <w:r>
        <w:rPr>
          <w:lang w:val="en-US"/>
        </w:rPr>
        <w:t xml:space="preserve"> </w:t>
      </w:r>
      <w:r w:rsidRPr="009D1DF5">
        <w:rPr>
          <w:i/>
          <w:lang w:val="en-US"/>
        </w:rPr>
        <w:t>Petition of Telcordia Technologies, Inc. to Reform or Strike Amendment 70, to Institute Competitive Bidding for Number Portability Administration and to End the NAPM LLC’s Interim  Role in Number Portability Administration Contract; Telephone number Portability</w:t>
      </w:r>
      <w:r>
        <w:rPr>
          <w:lang w:val="en-US"/>
        </w:rPr>
        <w:t>, WC Docket No.09-109, CC Docket No. 95-116</w:t>
      </w:r>
      <w:r w:rsidRPr="00E27BAA">
        <w:rPr>
          <w:lang w:val="en-US"/>
        </w:rPr>
        <w:t xml:space="preserve">, </w:t>
      </w:r>
      <w:r>
        <w:rPr>
          <w:lang w:val="en-US"/>
        </w:rPr>
        <w:t>Second Level Protective Order, DA 14-796</w:t>
      </w:r>
      <w:r w:rsidRPr="00E27BAA">
        <w:rPr>
          <w:lang w:val="en-US"/>
        </w:rPr>
        <w:t xml:space="preserve"> (Wireline Comp. Bur. </w:t>
      </w:r>
      <w:r>
        <w:rPr>
          <w:lang w:val="en-US"/>
        </w:rPr>
        <w:t>rel. June 9</w:t>
      </w:r>
      <w:r w:rsidRPr="00E27BAA">
        <w:rPr>
          <w:lang w:val="en-US"/>
        </w:rPr>
        <w:t>, 2014) (Protective Order)</w:t>
      </w:r>
      <w:r>
        <w:rPr>
          <w:lang w:val="en-US"/>
        </w:rPr>
        <w:t>.</w:t>
      </w:r>
    </w:p>
  </w:footnote>
  <w:footnote w:id="7">
    <w:p w:rsidR="00CD479E" w:rsidRPr="00CD479E" w:rsidRDefault="00CD479E" w:rsidP="00CD479E">
      <w:pPr>
        <w:pStyle w:val="FootnoteText"/>
        <w:spacing w:after="120"/>
        <w:rPr>
          <w:lang w:val="en-US"/>
        </w:rPr>
      </w:pPr>
      <w:r w:rsidRPr="00CD479E">
        <w:rPr>
          <w:rStyle w:val="FootnoteReference"/>
        </w:rPr>
        <w:footnoteRef/>
      </w:r>
      <w:r w:rsidRPr="00CD479E">
        <w:t xml:space="preserve"> </w:t>
      </w:r>
      <w:r w:rsidRPr="00CD479E">
        <w:rPr>
          <w:snapToGrid w:val="0"/>
          <w:kern w:val="28"/>
        </w:rPr>
        <w:t>47 C</w:t>
      </w:r>
      <w:r w:rsidRPr="00CD479E">
        <w:rPr>
          <w:snapToGrid w:val="0"/>
          <w:kern w:val="28"/>
          <w:lang w:val="en-US"/>
        </w:rPr>
        <w:t>.</w:t>
      </w:r>
      <w:r w:rsidRPr="00CD479E">
        <w:rPr>
          <w:snapToGrid w:val="0"/>
          <w:kern w:val="28"/>
        </w:rPr>
        <w:t>F</w:t>
      </w:r>
      <w:r w:rsidRPr="00CD479E">
        <w:rPr>
          <w:snapToGrid w:val="0"/>
          <w:kern w:val="28"/>
          <w:lang w:val="en-US"/>
        </w:rPr>
        <w:t>.</w:t>
      </w:r>
      <w:r w:rsidRPr="00CD479E">
        <w:rPr>
          <w:snapToGrid w:val="0"/>
          <w:kern w:val="28"/>
        </w:rPr>
        <w:t>R</w:t>
      </w:r>
      <w:r w:rsidRPr="00CD479E">
        <w:rPr>
          <w:snapToGrid w:val="0"/>
          <w:kern w:val="28"/>
          <w:lang w:val="en-US"/>
        </w:rPr>
        <w:t>.</w:t>
      </w:r>
      <w:r w:rsidRPr="00CD479E">
        <w:rPr>
          <w:snapToGrid w:val="0"/>
          <w:kern w:val="28"/>
        </w:rPr>
        <w:t xml:space="preserve"> §§ 1.415, 1.419</w:t>
      </w:r>
      <w:r w:rsidRPr="00CD479E">
        <w:rPr>
          <w:snapToGrid w:val="0"/>
          <w:kern w:val="28"/>
          <w:lang w:val="en-US"/>
        </w:rPr>
        <w:t>.</w:t>
      </w:r>
    </w:p>
  </w:footnote>
  <w:footnote w:id="8">
    <w:p w:rsidR="00CD479E" w:rsidRPr="00CD479E" w:rsidRDefault="00CD479E" w:rsidP="00CD479E">
      <w:pPr>
        <w:pStyle w:val="FootnoteText"/>
        <w:spacing w:after="120"/>
        <w:rPr>
          <w:lang w:val="en-US"/>
        </w:rPr>
      </w:pPr>
      <w:r w:rsidRPr="00CD479E">
        <w:rPr>
          <w:rStyle w:val="FootnoteReference"/>
        </w:rPr>
        <w:footnoteRef/>
      </w:r>
      <w:r w:rsidRPr="00CD479E">
        <w:t xml:space="preserve"> </w:t>
      </w:r>
      <w:r w:rsidRPr="00CD479E">
        <w:rPr>
          <w:i/>
          <w:snapToGrid w:val="0"/>
          <w:kern w:val="28"/>
        </w:rPr>
        <w:t>See Electronic Filing of Documents in Rulemaking Proceedings</w:t>
      </w:r>
      <w:r w:rsidRPr="00CD479E">
        <w:rPr>
          <w:snapToGrid w:val="0"/>
          <w:kern w:val="28"/>
        </w:rPr>
        <w:t>, 63 FR 24121 (1998).</w:t>
      </w:r>
    </w:p>
  </w:footnote>
  <w:footnote w:id="9">
    <w:p w:rsidR="00CD479E" w:rsidRPr="00E169D5" w:rsidRDefault="00CD479E" w:rsidP="008760EC">
      <w:pPr>
        <w:pStyle w:val="FootnoteText"/>
        <w:spacing w:after="120"/>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50" w:rsidRDefault="00670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50" w:rsidRDefault="00670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9E" w:rsidRPr="002075A8" w:rsidRDefault="00CD479E">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2232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79E" w:rsidRDefault="00CD479E">
                          <w:pPr>
                            <w:rPr>
                              <w:rFonts w:ascii="Arial" w:hAnsi="Arial"/>
                              <w:b/>
                            </w:rPr>
                          </w:pPr>
                          <w:r>
                            <w:rPr>
                              <w:rFonts w:ascii="Arial" w:hAnsi="Arial"/>
                              <w:b/>
                            </w:rPr>
                            <w:t>Federal Communications Commission</w:t>
                          </w:r>
                        </w:p>
                        <w:p w:rsidR="00CD479E" w:rsidRDefault="00CD479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479E" w:rsidRDefault="00CD479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i/hA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" stroked="f">
              <v:textbox>
                <w:txbxContent>
                  <w:p w:rsidR="00CD479E" w:rsidRDefault="00CD479E">
                    <w:pPr>
                      <w:rPr>
                        <w:rFonts w:ascii="Arial" w:hAnsi="Arial"/>
                        <w:b/>
                      </w:rPr>
                    </w:pPr>
                    <w:r>
                      <w:rPr>
                        <w:rFonts w:ascii="Arial" w:hAnsi="Arial"/>
                        <w:b/>
                      </w:rPr>
                      <w:t>Federal Communications Commission</w:t>
                    </w:r>
                  </w:p>
                  <w:p w:rsidR="00CD479E" w:rsidRDefault="00CD479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479E" w:rsidRDefault="00CD479E">
                    <w:pPr>
                      <w:rPr>
                        <w:rFonts w:ascii="Arial" w:hAnsi="Arial"/>
                        <w:sz w:val="24"/>
                      </w:rPr>
                    </w:pPr>
                    <w:r>
                      <w:rPr>
                        <w:rFonts w:ascii="Arial" w:hAnsi="Arial"/>
                        <w:b/>
                      </w:rPr>
                      <w:t>Washington, D.C. 20554</w:t>
                    </w:r>
                  </w:p>
                </w:txbxContent>
              </v:textbox>
            </v:shape>
          </w:pict>
        </mc:Fallback>
      </mc:AlternateContent>
    </w:r>
    <w:r w:rsidRPr="002075A8">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2075A8">
      <w:rPr>
        <w:rFonts w:ascii="Arial" w:hAnsi="Arial" w:cs="Arial"/>
        <w:b/>
        <w:kern w:val="28"/>
        <w:sz w:val="96"/>
      </w:rPr>
      <w:t>PUBLIC NOTICE</w:t>
    </w:r>
  </w:p>
  <w:p w:rsidR="00CD479E" w:rsidRDefault="00CD479E">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58240" behindDoc="0" locked="0" layoutInCell="1" allowOverlap="1">
              <wp:simplePos x="0" y="0"/>
              <wp:positionH relativeFrom="column">
                <wp:posOffset>3271520</wp:posOffset>
              </wp:positionH>
              <wp:positionV relativeFrom="paragraph">
                <wp:posOffset>17145</wp:posOffset>
              </wp:positionV>
              <wp:extent cx="225298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79E" w:rsidRDefault="00CD479E">
                          <w:pPr>
                            <w:spacing w:before="40"/>
                            <w:jc w:val="right"/>
                            <w:rPr>
                              <w:rFonts w:ascii="Arial" w:hAnsi="Arial"/>
                              <w:b/>
                              <w:sz w:val="16"/>
                            </w:rPr>
                          </w:pPr>
                          <w:r>
                            <w:rPr>
                              <w:rFonts w:ascii="Arial" w:hAnsi="Arial"/>
                              <w:b/>
                              <w:sz w:val="16"/>
                            </w:rPr>
                            <w:t>News Media Information 202 / 418-0500</w:t>
                          </w:r>
                        </w:p>
                        <w:p w:rsidR="00CD479E" w:rsidRDefault="00CD479E">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CD479E" w:rsidRDefault="00CD479E">
                          <w:pPr>
                            <w:jc w:val="right"/>
                            <w:rPr>
                              <w:rFonts w:ascii="Arial" w:hAnsi="Arial"/>
                              <w:b/>
                              <w:sz w:val="16"/>
                            </w:rPr>
                          </w:pPr>
                          <w:r>
                            <w:rPr>
                              <w:rFonts w:ascii="Arial" w:hAnsi="Arial"/>
                              <w:b/>
                              <w:sz w:val="16"/>
                            </w:rPr>
                            <w:t>TTY: 1-888-835-5322</w:t>
                          </w:r>
                        </w:p>
                        <w:p w:rsidR="00CD479E" w:rsidRDefault="00CD479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pt;margin-top:1.35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rggIAAA4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" stroked="f">
              <v:textbox inset=",0,,0">
                <w:txbxContent>
                  <w:p w:rsidR="00CD479E" w:rsidRDefault="00CD479E">
                    <w:pPr>
                      <w:spacing w:before="40"/>
                      <w:jc w:val="right"/>
                      <w:rPr>
                        <w:rFonts w:ascii="Arial" w:hAnsi="Arial"/>
                        <w:b/>
                        <w:sz w:val="16"/>
                      </w:rPr>
                    </w:pPr>
                    <w:r>
                      <w:rPr>
                        <w:rFonts w:ascii="Arial" w:hAnsi="Arial"/>
                        <w:b/>
                        <w:sz w:val="16"/>
                      </w:rPr>
                      <w:t>News Media Information 202 / 418-0500</w:t>
                    </w:r>
                  </w:p>
                  <w:p w:rsidR="00CD479E" w:rsidRDefault="00CD479E">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D479E" w:rsidRDefault="00CD479E">
                    <w:pPr>
                      <w:jc w:val="right"/>
                      <w:rPr>
                        <w:rFonts w:ascii="Arial" w:hAnsi="Arial"/>
                        <w:b/>
                        <w:sz w:val="16"/>
                      </w:rPr>
                    </w:pPr>
                    <w:r>
                      <w:rPr>
                        <w:rFonts w:ascii="Arial" w:hAnsi="Arial"/>
                        <w:b/>
                        <w:sz w:val="16"/>
                      </w:rPr>
                      <w:t>TTY: 1-888-835-5322</w:t>
                    </w:r>
                  </w:p>
                  <w:p w:rsidR="00CD479E" w:rsidRDefault="00CD479E">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699135</wp:posOffset>
              </wp:positionV>
              <wp:extent cx="5926455" cy="2540"/>
              <wp:effectExtent l="0" t="0" r="1714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05pt" to="466.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tFgIAACs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" o:allowincell="f"/>
          </w:pict>
        </mc:Fallback>
      </mc:AlternateContent>
    </w:r>
  </w:p>
  <w:p w:rsidR="00CD479E" w:rsidRDefault="00CD479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3"/>
  </w:num>
  <w:num w:numId="14">
    <w:abstractNumId w:val="10"/>
  </w:num>
  <w:num w:numId="15">
    <w:abstractNumId w:val="1"/>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249E"/>
    <w:rsid w:val="00002D42"/>
    <w:rsid w:val="00003600"/>
    <w:rsid w:val="00012043"/>
    <w:rsid w:val="000158A9"/>
    <w:rsid w:val="0001631A"/>
    <w:rsid w:val="000163F1"/>
    <w:rsid w:val="000210A1"/>
    <w:rsid w:val="00022447"/>
    <w:rsid w:val="00030139"/>
    <w:rsid w:val="000441DE"/>
    <w:rsid w:val="0004604B"/>
    <w:rsid w:val="000502DF"/>
    <w:rsid w:val="0005156E"/>
    <w:rsid w:val="00052D92"/>
    <w:rsid w:val="00072D99"/>
    <w:rsid w:val="000809DB"/>
    <w:rsid w:val="00084E2F"/>
    <w:rsid w:val="0009032F"/>
    <w:rsid w:val="00091885"/>
    <w:rsid w:val="000A22C1"/>
    <w:rsid w:val="000A37C5"/>
    <w:rsid w:val="000A5FAB"/>
    <w:rsid w:val="000C5E7A"/>
    <w:rsid w:val="000C5ECB"/>
    <w:rsid w:val="000D4C4A"/>
    <w:rsid w:val="000E3B5F"/>
    <w:rsid w:val="000E4E04"/>
    <w:rsid w:val="000F0308"/>
    <w:rsid w:val="000F129D"/>
    <w:rsid w:val="001039AA"/>
    <w:rsid w:val="00103FE2"/>
    <w:rsid w:val="00105673"/>
    <w:rsid w:val="001139B8"/>
    <w:rsid w:val="00115BCA"/>
    <w:rsid w:val="00126F1F"/>
    <w:rsid w:val="0013718D"/>
    <w:rsid w:val="001447D7"/>
    <w:rsid w:val="00151530"/>
    <w:rsid w:val="001546E3"/>
    <w:rsid w:val="00161046"/>
    <w:rsid w:val="00166F0C"/>
    <w:rsid w:val="001803B4"/>
    <w:rsid w:val="00182463"/>
    <w:rsid w:val="00187A8D"/>
    <w:rsid w:val="00192F99"/>
    <w:rsid w:val="00193740"/>
    <w:rsid w:val="001C5455"/>
    <w:rsid w:val="001D0CE2"/>
    <w:rsid w:val="001D6368"/>
    <w:rsid w:val="001D65CD"/>
    <w:rsid w:val="00201344"/>
    <w:rsid w:val="002026BC"/>
    <w:rsid w:val="002075A8"/>
    <w:rsid w:val="002119A3"/>
    <w:rsid w:val="002272E5"/>
    <w:rsid w:val="00231180"/>
    <w:rsid w:val="00243985"/>
    <w:rsid w:val="00251319"/>
    <w:rsid w:val="00262D9F"/>
    <w:rsid w:val="00263FD7"/>
    <w:rsid w:val="00264C60"/>
    <w:rsid w:val="00292B54"/>
    <w:rsid w:val="002A1638"/>
    <w:rsid w:val="002A2CDC"/>
    <w:rsid w:val="002A59EA"/>
    <w:rsid w:val="002B0D54"/>
    <w:rsid w:val="002E07A0"/>
    <w:rsid w:val="002E3FFE"/>
    <w:rsid w:val="002F5B3A"/>
    <w:rsid w:val="00305A89"/>
    <w:rsid w:val="00306B1A"/>
    <w:rsid w:val="0031093E"/>
    <w:rsid w:val="0031208A"/>
    <w:rsid w:val="00321064"/>
    <w:rsid w:val="0034061F"/>
    <w:rsid w:val="0034151B"/>
    <w:rsid w:val="00343672"/>
    <w:rsid w:val="00350D73"/>
    <w:rsid w:val="00351607"/>
    <w:rsid w:val="00352569"/>
    <w:rsid w:val="00371211"/>
    <w:rsid w:val="00375328"/>
    <w:rsid w:val="00393D75"/>
    <w:rsid w:val="003A358A"/>
    <w:rsid w:val="003B0454"/>
    <w:rsid w:val="003B25B4"/>
    <w:rsid w:val="003B56CC"/>
    <w:rsid w:val="003D1648"/>
    <w:rsid w:val="003E254B"/>
    <w:rsid w:val="003E266A"/>
    <w:rsid w:val="003E5E98"/>
    <w:rsid w:val="003E6A06"/>
    <w:rsid w:val="003F1005"/>
    <w:rsid w:val="003F6858"/>
    <w:rsid w:val="004057F7"/>
    <w:rsid w:val="004157F7"/>
    <w:rsid w:val="00421363"/>
    <w:rsid w:val="0048455E"/>
    <w:rsid w:val="00490915"/>
    <w:rsid w:val="00490AF7"/>
    <w:rsid w:val="004933D5"/>
    <w:rsid w:val="004B5743"/>
    <w:rsid w:val="004B729D"/>
    <w:rsid w:val="004E5688"/>
    <w:rsid w:val="004E59CF"/>
    <w:rsid w:val="004F37E8"/>
    <w:rsid w:val="004F3EDD"/>
    <w:rsid w:val="00500184"/>
    <w:rsid w:val="00511CBB"/>
    <w:rsid w:val="005170E3"/>
    <w:rsid w:val="005213D9"/>
    <w:rsid w:val="00526372"/>
    <w:rsid w:val="005437CB"/>
    <w:rsid w:val="005659AE"/>
    <w:rsid w:val="005745E5"/>
    <w:rsid w:val="00595FBA"/>
    <w:rsid w:val="005A03E1"/>
    <w:rsid w:val="005C225F"/>
    <w:rsid w:val="005C76F1"/>
    <w:rsid w:val="005E4211"/>
    <w:rsid w:val="005E4B46"/>
    <w:rsid w:val="005F56E2"/>
    <w:rsid w:val="005F5FC4"/>
    <w:rsid w:val="006128BC"/>
    <w:rsid w:val="00612D4D"/>
    <w:rsid w:val="00613E65"/>
    <w:rsid w:val="00615D4B"/>
    <w:rsid w:val="00635A80"/>
    <w:rsid w:val="00636946"/>
    <w:rsid w:val="00641BD8"/>
    <w:rsid w:val="00645F18"/>
    <w:rsid w:val="0065091C"/>
    <w:rsid w:val="00660381"/>
    <w:rsid w:val="006613D7"/>
    <w:rsid w:val="00670C50"/>
    <w:rsid w:val="0069365C"/>
    <w:rsid w:val="006B216D"/>
    <w:rsid w:val="006B482B"/>
    <w:rsid w:val="006C1F62"/>
    <w:rsid w:val="006C620F"/>
    <w:rsid w:val="006D5616"/>
    <w:rsid w:val="006D5E3E"/>
    <w:rsid w:val="006D71FC"/>
    <w:rsid w:val="006E6C85"/>
    <w:rsid w:val="006E753A"/>
    <w:rsid w:val="006E75EE"/>
    <w:rsid w:val="006F3E40"/>
    <w:rsid w:val="00704FCD"/>
    <w:rsid w:val="007141D2"/>
    <w:rsid w:val="00716AB0"/>
    <w:rsid w:val="00720071"/>
    <w:rsid w:val="007822E8"/>
    <w:rsid w:val="007879EA"/>
    <w:rsid w:val="0079167F"/>
    <w:rsid w:val="00793B6A"/>
    <w:rsid w:val="00796864"/>
    <w:rsid w:val="007A13C8"/>
    <w:rsid w:val="007A4048"/>
    <w:rsid w:val="007C216A"/>
    <w:rsid w:val="007C22F1"/>
    <w:rsid w:val="007E6D52"/>
    <w:rsid w:val="00806FFF"/>
    <w:rsid w:val="00836E42"/>
    <w:rsid w:val="00847D7C"/>
    <w:rsid w:val="00861D98"/>
    <w:rsid w:val="00863111"/>
    <w:rsid w:val="00864CCD"/>
    <w:rsid w:val="008760EC"/>
    <w:rsid w:val="00882FE5"/>
    <w:rsid w:val="00886AE5"/>
    <w:rsid w:val="008957FE"/>
    <w:rsid w:val="008A7322"/>
    <w:rsid w:val="008C02B0"/>
    <w:rsid w:val="008C1998"/>
    <w:rsid w:val="008E7FFE"/>
    <w:rsid w:val="008F1928"/>
    <w:rsid w:val="008F3567"/>
    <w:rsid w:val="00903E36"/>
    <w:rsid w:val="00933F38"/>
    <w:rsid w:val="00945C45"/>
    <w:rsid w:val="009479B1"/>
    <w:rsid w:val="00963086"/>
    <w:rsid w:val="0096399B"/>
    <w:rsid w:val="00963CA4"/>
    <w:rsid w:val="00970292"/>
    <w:rsid w:val="00984404"/>
    <w:rsid w:val="0099124D"/>
    <w:rsid w:val="009947C7"/>
    <w:rsid w:val="009D03AD"/>
    <w:rsid w:val="009D0E36"/>
    <w:rsid w:val="009D1DF5"/>
    <w:rsid w:val="009D53A4"/>
    <w:rsid w:val="009D541E"/>
    <w:rsid w:val="009D58CD"/>
    <w:rsid w:val="009E04D1"/>
    <w:rsid w:val="009F2E70"/>
    <w:rsid w:val="00A04FFC"/>
    <w:rsid w:val="00A12035"/>
    <w:rsid w:val="00A17848"/>
    <w:rsid w:val="00A26110"/>
    <w:rsid w:val="00A261FE"/>
    <w:rsid w:val="00A345F1"/>
    <w:rsid w:val="00A44EDB"/>
    <w:rsid w:val="00A50A90"/>
    <w:rsid w:val="00A52671"/>
    <w:rsid w:val="00A53863"/>
    <w:rsid w:val="00A71787"/>
    <w:rsid w:val="00AA137D"/>
    <w:rsid w:val="00AA243A"/>
    <w:rsid w:val="00AA4DED"/>
    <w:rsid w:val="00AA7D52"/>
    <w:rsid w:val="00AB02CF"/>
    <w:rsid w:val="00AC3027"/>
    <w:rsid w:val="00AC63FC"/>
    <w:rsid w:val="00AF3D88"/>
    <w:rsid w:val="00AF6193"/>
    <w:rsid w:val="00AF6BAD"/>
    <w:rsid w:val="00B0625C"/>
    <w:rsid w:val="00B172AF"/>
    <w:rsid w:val="00B26FD6"/>
    <w:rsid w:val="00B461C8"/>
    <w:rsid w:val="00B46346"/>
    <w:rsid w:val="00B632B9"/>
    <w:rsid w:val="00B63BD6"/>
    <w:rsid w:val="00B65AEC"/>
    <w:rsid w:val="00B676AE"/>
    <w:rsid w:val="00B8287A"/>
    <w:rsid w:val="00B846AC"/>
    <w:rsid w:val="00B86119"/>
    <w:rsid w:val="00B87A14"/>
    <w:rsid w:val="00B9518D"/>
    <w:rsid w:val="00B970CE"/>
    <w:rsid w:val="00BB43C0"/>
    <w:rsid w:val="00BD4A65"/>
    <w:rsid w:val="00BF2E54"/>
    <w:rsid w:val="00BF6C9A"/>
    <w:rsid w:val="00C07A48"/>
    <w:rsid w:val="00C2671A"/>
    <w:rsid w:val="00C26B4A"/>
    <w:rsid w:val="00C55287"/>
    <w:rsid w:val="00C6045A"/>
    <w:rsid w:val="00C63BFE"/>
    <w:rsid w:val="00C85354"/>
    <w:rsid w:val="00C970B2"/>
    <w:rsid w:val="00CA5C96"/>
    <w:rsid w:val="00CA72BE"/>
    <w:rsid w:val="00CB078D"/>
    <w:rsid w:val="00CB1D87"/>
    <w:rsid w:val="00CB7189"/>
    <w:rsid w:val="00CC1ED1"/>
    <w:rsid w:val="00CC476E"/>
    <w:rsid w:val="00CC48A4"/>
    <w:rsid w:val="00CC64BF"/>
    <w:rsid w:val="00CD479E"/>
    <w:rsid w:val="00CD61B5"/>
    <w:rsid w:val="00CE58B4"/>
    <w:rsid w:val="00D02163"/>
    <w:rsid w:val="00D03A68"/>
    <w:rsid w:val="00D050A6"/>
    <w:rsid w:val="00D12CD6"/>
    <w:rsid w:val="00D1689A"/>
    <w:rsid w:val="00D228EF"/>
    <w:rsid w:val="00D26D4B"/>
    <w:rsid w:val="00D30479"/>
    <w:rsid w:val="00D33F19"/>
    <w:rsid w:val="00D3756D"/>
    <w:rsid w:val="00D42E2E"/>
    <w:rsid w:val="00D47768"/>
    <w:rsid w:val="00D528AF"/>
    <w:rsid w:val="00D619E0"/>
    <w:rsid w:val="00D85520"/>
    <w:rsid w:val="00D97F69"/>
    <w:rsid w:val="00DA414D"/>
    <w:rsid w:val="00DA4F5A"/>
    <w:rsid w:val="00DC6790"/>
    <w:rsid w:val="00DD0FC9"/>
    <w:rsid w:val="00DF4506"/>
    <w:rsid w:val="00E01667"/>
    <w:rsid w:val="00E1291A"/>
    <w:rsid w:val="00E14A4F"/>
    <w:rsid w:val="00E20360"/>
    <w:rsid w:val="00E22BCB"/>
    <w:rsid w:val="00E27BAA"/>
    <w:rsid w:val="00E30B19"/>
    <w:rsid w:val="00E62E28"/>
    <w:rsid w:val="00E6463C"/>
    <w:rsid w:val="00E704F7"/>
    <w:rsid w:val="00E70692"/>
    <w:rsid w:val="00E7218A"/>
    <w:rsid w:val="00E7391B"/>
    <w:rsid w:val="00E73E0A"/>
    <w:rsid w:val="00E73EED"/>
    <w:rsid w:val="00E84324"/>
    <w:rsid w:val="00E924EB"/>
    <w:rsid w:val="00E94886"/>
    <w:rsid w:val="00EA0A56"/>
    <w:rsid w:val="00EB1FE2"/>
    <w:rsid w:val="00EB285F"/>
    <w:rsid w:val="00EB5D19"/>
    <w:rsid w:val="00EB7FF8"/>
    <w:rsid w:val="00EE7D7C"/>
    <w:rsid w:val="00EF689E"/>
    <w:rsid w:val="00F03722"/>
    <w:rsid w:val="00F23097"/>
    <w:rsid w:val="00F31208"/>
    <w:rsid w:val="00F350E0"/>
    <w:rsid w:val="00F52306"/>
    <w:rsid w:val="00F548F7"/>
    <w:rsid w:val="00FA06B6"/>
    <w:rsid w:val="00FA5535"/>
    <w:rsid w:val="00FB6FB8"/>
    <w:rsid w:val="00FB7826"/>
    <w:rsid w:val="00FC1B3B"/>
    <w:rsid w:val="00FD283D"/>
    <w:rsid w:val="00FD30DD"/>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672"/>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3436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672"/>
  </w:style>
  <w:style w:type="paragraph" w:styleId="Header">
    <w:name w:val="header"/>
    <w:basedOn w:val="Normal"/>
    <w:rsid w:val="00343672"/>
    <w:pPr>
      <w:tabs>
        <w:tab w:val="center" w:pos="4320"/>
        <w:tab w:val="right" w:pos="8640"/>
      </w:tabs>
    </w:pPr>
  </w:style>
  <w:style w:type="paragraph" w:styleId="Footer">
    <w:name w:val="footer"/>
    <w:basedOn w:val="Normal"/>
    <w:link w:val="FooterChar"/>
    <w:rsid w:val="00343672"/>
    <w:pPr>
      <w:tabs>
        <w:tab w:val="center" w:pos="4320"/>
        <w:tab w:val="right" w:pos="8640"/>
      </w:tabs>
    </w:pPr>
  </w:style>
  <w:style w:type="character" w:styleId="Hyperlink">
    <w:name w:val="Hyperlink"/>
    <w:rsid w:val="00343672"/>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672"/>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3436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672"/>
  </w:style>
  <w:style w:type="paragraph" w:styleId="Header">
    <w:name w:val="header"/>
    <w:basedOn w:val="Normal"/>
    <w:rsid w:val="00343672"/>
    <w:pPr>
      <w:tabs>
        <w:tab w:val="center" w:pos="4320"/>
        <w:tab w:val="right" w:pos="8640"/>
      </w:tabs>
    </w:pPr>
  </w:style>
  <w:style w:type="paragraph" w:styleId="Footer">
    <w:name w:val="footer"/>
    <w:basedOn w:val="Normal"/>
    <w:link w:val="FooterChar"/>
    <w:rsid w:val="00343672"/>
    <w:pPr>
      <w:tabs>
        <w:tab w:val="center" w:pos="4320"/>
        <w:tab w:val="right" w:pos="8640"/>
      </w:tabs>
    </w:pPr>
  </w:style>
  <w:style w:type="character" w:styleId="Hyperlink">
    <w:name w:val="Hyperlink"/>
    <w:rsid w:val="00343672"/>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399">
      <w:bodyDiv w:val="1"/>
      <w:marLeft w:val="0"/>
      <w:marRight w:val="0"/>
      <w:marTop w:val="0"/>
      <w:marBottom w:val="0"/>
      <w:divBdr>
        <w:top w:val="none" w:sz="0" w:space="0" w:color="auto"/>
        <w:left w:val="none" w:sz="0" w:space="0" w:color="auto"/>
        <w:bottom w:val="none" w:sz="0" w:space="0" w:color="auto"/>
        <w:right w:val="none" w:sz="0" w:space="0" w:color="auto"/>
      </w:divBdr>
    </w:div>
    <w:div w:id="1924990355">
      <w:bodyDiv w:val="1"/>
      <w:marLeft w:val="0"/>
      <w:marRight w:val="0"/>
      <w:marTop w:val="0"/>
      <w:marBottom w:val="0"/>
      <w:divBdr>
        <w:top w:val="none" w:sz="0" w:space="0" w:color="auto"/>
        <w:left w:val="none" w:sz="0" w:space="0" w:color="auto"/>
        <w:bottom w:val="none" w:sz="0" w:space="0" w:color="auto"/>
        <w:right w:val="none" w:sz="0" w:space="0" w:color="auto"/>
      </w:divBdr>
      <w:divsChild>
        <w:div w:id="2015455402">
          <w:marLeft w:val="0"/>
          <w:marRight w:val="0"/>
          <w:marTop w:val="0"/>
          <w:marBottom w:val="0"/>
          <w:divBdr>
            <w:top w:val="none" w:sz="0" w:space="0" w:color="auto"/>
            <w:left w:val="none" w:sz="0" w:space="0" w:color="auto"/>
            <w:bottom w:val="none" w:sz="0" w:space="0" w:color="auto"/>
            <w:right w:val="none" w:sz="0" w:space="0" w:color="auto"/>
          </w:divBdr>
          <w:divsChild>
            <w:div w:id="759833545">
              <w:marLeft w:val="0"/>
              <w:marRight w:val="0"/>
              <w:marTop w:val="0"/>
              <w:marBottom w:val="0"/>
              <w:divBdr>
                <w:top w:val="none" w:sz="0" w:space="0" w:color="auto"/>
                <w:left w:val="none" w:sz="0" w:space="0" w:color="auto"/>
                <w:bottom w:val="none" w:sz="0" w:space="0" w:color="auto"/>
                <w:right w:val="none" w:sz="0" w:space="0" w:color="auto"/>
              </w:divBdr>
              <w:divsChild>
                <w:div w:id="557742747">
                  <w:marLeft w:val="0"/>
                  <w:marRight w:val="0"/>
                  <w:marTop w:val="0"/>
                  <w:marBottom w:val="0"/>
                  <w:divBdr>
                    <w:top w:val="none" w:sz="0" w:space="0" w:color="auto"/>
                    <w:left w:val="none" w:sz="0" w:space="0" w:color="auto"/>
                    <w:bottom w:val="none" w:sz="0" w:space="0" w:color="auto"/>
                    <w:right w:val="none" w:sz="0" w:space="0" w:color="auto"/>
                  </w:divBdr>
                  <w:divsChild>
                    <w:div w:id="581723427">
                      <w:marLeft w:val="0"/>
                      <w:marRight w:val="0"/>
                      <w:marTop w:val="0"/>
                      <w:marBottom w:val="0"/>
                      <w:divBdr>
                        <w:top w:val="none" w:sz="0" w:space="0" w:color="auto"/>
                        <w:left w:val="none" w:sz="0" w:space="0" w:color="auto"/>
                        <w:bottom w:val="none" w:sz="0" w:space="0" w:color="auto"/>
                        <w:right w:val="none" w:sz="0" w:space="0" w:color="auto"/>
                      </w:divBdr>
                      <w:divsChild>
                        <w:div w:id="1538155194">
                          <w:marLeft w:val="0"/>
                          <w:marRight w:val="0"/>
                          <w:marTop w:val="0"/>
                          <w:marBottom w:val="0"/>
                          <w:divBdr>
                            <w:top w:val="none" w:sz="0" w:space="0" w:color="auto"/>
                            <w:left w:val="none" w:sz="0" w:space="0" w:color="auto"/>
                            <w:bottom w:val="none" w:sz="0" w:space="0" w:color="auto"/>
                            <w:right w:val="none" w:sz="0" w:space="0" w:color="auto"/>
                          </w:divBdr>
                          <w:divsChild>
                            <w:div w:id="205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ford.william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3</Pages>
  <Words>1190</Words>
  <Characters>6805</Characters>
  <Application>Microsoft Office Word</Application>
  <DocSecurity>0</DocSecurity>
  <Lines>111</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2014-06-09T21:39:00Z</dcterms:created>
  <dcterms:modified xsi:type="dcterms:W3CDTF">2014-06-09T21:39:00Z</dcterms:modified>
  <cp:category> </cp:category>
  <cp:contentStatus> </cp:contentStatus>
</cp:coreProperties>
</file>