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D2" w:rsidRDefault="004150D2" w:rsidP="004150D2">
      <w:pPr>
        <w:tabs>
          <w:tab w:val="center" w:pos="4680"/>
        </w:tabs>
        <w:suppressAutoHyphens/>
        <w:spacing w:line="240" w:lineRule="atLeast"/>
        <w:jc w:val="center"/>
        <w:outlineLvl w:val="0"/>
        <w:rPr>
          <w:b/>
        </w:rPr>
      </w:pPr>
      <w:bookmarkStart w:id="0" w:name="_GoBack"/>
      <w:bookmarkEnd w:id="0"/>
      <w:r>
        <w:rPr>
          <w:b/>
        </w:rPr>
        <w:t>Before the</w:t>
      </w:r>
    </w:p>
    <w:p w:rsidR="004150D2" w:rsidRDefault="004150D2" w:rsidP="004150D2">
      <w:pPr>
        <w:tabs>
          <w:tab w:val="center" w:pos="4680"/>
        </w:tabs>
        <w:suppressAutoHyphens/>
        <w:spacing w:line="240" w:lineRule="atLeast"/>
        <w:jc w:val="both"/>
        <w:outlineLvl w:val="0"/>
        <w:rPr>
          <w:b/>
        </w:rPr>
      </w:pPr>
      <w:r>
        <w:rPr>
          <w:b/>
        </w:rPr>
        <w:tab/>
        <w:t>Federal Communications Commission</w:t>
      </w:r>
    </w:p>
    <w:p w:rsidR="004150D2" w:rsidRDefault="004150D2" w:rsidP="004150D2">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4150D2" w:rsidRDefault="004150D2" w:rsidP="004150D2">
      <w:pPr>
        <w:tabs>
          <w:tab w:val="center" w:pos="4680"/>
        </w:tabs>
        <w:suppressAutoHyphens/>
        <w:spacing w:line="240" w:lineRule="atLeast"/>
        <w:jc w:val="both"/>
        <w:outlineLvl w:val="0"/>
        <w:rPr>
          <w:b/>
        </w:rPr>
      </w:pPr>
    </w:p>
    <w:tbl>
      <w:tblPr>
        <w:tblW w:w="10085" w:type="dxa"/>
        <w:tblInd w:w="-327" w:type="dxa"/>
        <w:tblLayout w:type="fixed"/>
        <w:tblLook w:val="0000" w:firstRow="0" w:lastRow="0" w:firstColumn="0" w:lastColumn="0" w:noHBand="0" w:noVBand="0"/>
      </w:tblPr>
      <w:tblGrid>
        <w:gridCol w:w="4934"/>
        <w:gridCol w:w="270"/>
        <w:gridCol w:w="4881"/>
      </w:tblGrid>
      <w:tr w:rsidR="004150D2" w:rsidTr="00AA6DF3">
        <w:trPr>
          <w:trHeight w:val="1566"/>
        </w:trPr>
        <w:tc>
          <w:tcPr>
            <w:tcW w:w="4934" w:type="dxa"/>
          </w:tcPr>
          <w:p w:rsidR="004150D2" w:rsidRDefault="004150D2" w:rsidP="00AA6DF3">
            <w:pPr>
              <w:tabs>
                <w:tab w:val="left" w:pos="4680"/>
                <w:tab w:val="left" w:pos="5040"/>
              </w:tabs>
              <w:suppressAutoHyphens/>
              <w:spacing w:line="240" w:lineRule="atLeast"/>
              <w:ind w:left="255"/>
            </w:pPr>
            <w:r>
              <w:t xml:space="preserve">In the Matter of </w:t>
            </w:r>
          </w:p>
          <w:p w:rsidR="004150D2" w:rsidRDefault="004150D2" w:rsidP="00AA6DF3">
            <w:pPr>
              <w:ind w:left="255"/>
              <w:rPr>
                <w:spacing w:val="-2"/>
              </w:rPr>
            </w:pPr>
          </w:p>
          <w:p w:rsidR="004150D2" w:rsidRDefault="004150D2" w:rsidP="00AA6DF3">
            <w:pPr>
              <w:ind w:left="255"/>
              <w:rPr>
                <w:color w:val="000000"/>
              </w:rPr>
            </w:pPr>
            <w:r>
              <w:rPr>
                <w:color w:val="000000"/>
              </w:rPr>
              <w:t>Bold Gold Media WBS, L.P.</w:t>
            </w:r>
            <w:r w:rsidR="00A72211">
              <w:rPr>
                <w:rStyle w:val="FootnoteReference"/>
                <w:color w:val="000000"/>
              </w:rPr>
              <w:footnoteReference w:id="2"/>
            </w:r>
          </w:p>
          <w:p w:rsidR="004150D2" w:rsidRDefault="004150D2" w:rsidP="00AA6DF3">
            <w:pPr>
              <w:ind w:left="255"/>
              <w:rPr>
                <w:color w:val="000000"/>
              </w:rPr>
            </w:pPr>
          </w:p>
          <w:p w:rsidR="004150D2" w:rsidRPr="00AA6DF3" w:rsidRDefault="004150D2" w:rsidP="00AA6DF3">
            <w:pPr>
              <w:ind w:left="255"/>
              <w:rPr>
                <w:color w:val="000000"/>
              </w:rPr>
            </w:pPr>
            <w:r>
              <w:rPr>
                <w:color w:val="000000"/>
              </w:rPr>
              <w:t>Licensee of Station WWRR</w:t>
            </w:r>
          </w:p>
        </w:tc>
        <w:tc>
          <w:tcPr>
            <w:tcW w:w="270" w:type="dxa"/>
          </w:tcPr>
          <w:p w:rsidR="004150D2" w:rsidRDefault="004150D2" w:rsidP="004150D2">
            <w:pPr>
              <w:tabs>
                <w:tab w:val="center" w:pos="4680"/>
              </w:tabs>
              <w:suppressAutoHyphens/>
              <w:spacing w:line="240" w:lineRule="atLeast"/>
              <w:jc w:val="both"/>
              <w:outlineLvl w:val="0"/>
              <w:rPr>
                <w:b/>
              </w:rPr>
            </w:pPr>
            <w:r>
              <w:rPr>
                <w:b/>
              </w:rPr>
              <w:t>)</w:t>
            </w:r>
          </w:p>
          <w:p w:rsidR="004150D2" w:rsidRDefault="004150D2" w:rsidP="004150D2">
            <w:pPr>
              <w:tabs>
                <w:tab w:val="center" w:pos="4680"/>
              </w:tabs>
              <w:suppressAutoHyphens/>
              <w:spacing w:line="240" w:lineRule="atLeast"/>
              <w:jc w:val="both"/>
              <w:outlineLvl w:val="0"/>
              <w:rPr>
                <w:b/>
              </w:rPr>
            </w:pPr>
            <w:r>
              <w:rPr>
                <w:b/>
              </w:rPr>
              <w:t>)</w:t>
            </w:r>
          </w:p>
          <w:p w:rsidR="004150D2" w:rsidRDefault="004150D2" w:rsidP="004150D2">
            <w:pPr>
              <w:tabs>
                <w:tab w:val="center" w:pos="4680"/>
              </w:tabs>
              <w:suppressAutoHyphens/>
              <w:spacing w:line="240" w:lineRule="atLeast"/>
              <w:jc w:val="both"/>
              <w:outlineLvl w:val="0"/>
              <w:rPr>
                <w:b/>
              </w:rPr>
            </w:pPr>
            <w:r>
              <w:rPr>
                <w:b/>
              </w:rPr>
              <w:t>)</w:t>
            </w:r>
          </w:p>
          <w:p w:rsidR="004150D2" w:rsidRDefault="004150D2" w:rsidP="004150D2">
            <w:pPr>
              <w:tabs>
                <w:tab w:val="center" w:pos="4680"/>
              </w:tabs>
              <w:suppressAutoHyphens/>
              <w:spacing w:line="240" w:lineRule="atLeast"/>
              <w:jc w:val="both"/>
              <w:outlineLvl w:val="0"/>
              <w:rPr>
                <w:b/>
              </w:rPr>
            </w:pPr>
            <w:r>
              <w:rPr>
                <w:b/>
              </w:rPr>
              <w:t>)</w:t>
            </w:r>
          </w:p>
          <w:p w:rsidR="004150D2" w:rsidRDefault="004150D2" w:rsidP="004150D2">
            <w:pPr>
              <w:tabs>
                <w:tab w:val="center" w:pos="4680"/>
              </w:tabs>
              <w:suppressAutoHyphens/>
              <w:spacing w:line="240" w:lineRule="atLeast"/>
              <w:jc w:val="both"/>
              <w:outlineLvl w:val="0"/>
              <w:rPr>
                <w:b/>
              </w:rPr>
            </w:pPr>
            <w:r>
              <w:rPr>
                <w:b/>
              </w:rPr>
              <w:t>)</w:t>
            </w:r>
          </w:p>
          <w:p w:rsidR="004150D2" w:rsidRDefault="004150D2" w:rsidP="004150D2">
            <w:pPr>
              <w:tabs>
                <w:tab w:val="center" w:pos="4680"/>
              </w:tabs>
              <w:suppressAutoHyphens/>
              <w:spacing w:line="240" w:lineRule="atLeast"/>
              <w:jc w:val="both"/>
              <w:outlineLvl w:val="0"/>
              <w:rPr>
                <w:b/>
              </w:rPr>
            </w:pPr>
            <w:r>
              <w:rPr>
                <w:b/>
              </w:rPr>
              <w:t>)</w:t>
            </w:r>
          </w:p>
          <w:p w:rsidR="004150D2" w:rsidRDefault="004150D2" w:rsidP="004150D2">
            <w:pPr>
              <w:tabs>
                <w:tab w:val="center" w:pos="4680"/>
              </w:tabs>
              <w:suppressAutoHyphens/>
              <w:spacing w:line="240" w:lineRule="atLeast"/>
              <w:jc w:val="both"/>
              <w:outlineLvl w:val="0"/>
              <w:rPr>
                <w:b/>
              </w:rPr>
            </w:pPr>
            <w:r>
              <w:rPr>
                <w:b/>
              </w:rPr>
              <w:t>)</w:t>
            </w:r>
          </w:p>
        </w:tc>
        <w:tc>
          <w:tcPr>
            <w:tcW w:w="4881" w:type="dxa"/>
          </w:tcPr>
          <w:p w:rsidR="004150D2" w:rsidRDefault="004150D2" w:rsidP="004150D2"/>
          <w:p w:rsidR="004150D2" w:rsidRDefault="004150D2" w:rsidP="004150D2">
            <w:pPr>
              <w:rPr>
                <w:color w:val="000000"/>
              </w:rPr>
            </w:pPr>
          </w:p>
          <w:p w:rsidR="004150D2" w:rsidRDefault="00600307" w:rsidP="00AA6DF3">
            <w:pPr>
              <w:ind w:left="1228"/>
              <w:rPr>
                <w:color w:val="000000"/>
              </w:rPr>
            </w:pPr>
            <w:r>
              <w:rPr>
                <w:color w:val="000000"/>
              </w:rPr>
              <w:t>File Nos.</w:t>
            </w:r>
            <w:r w:rsidR="004150D2">
              <w:rPr>
                <w:color w:val="000000"/>
              </w:rPr>
              <w:t xml:space="preserve">: </w:t>
            </w:r>
            <w:r w:rsidR="004150D2">
              <w:t>EB-09-PA-0286</w:t>
            </w:r>
            <w:r>
              <w:t xml:space="preserve">; </w:t>
            </w:r>
            <w:r w:rsidRPr="00600307">
              <w:t>EB-FIELDNER-12-00004582</w:t>
            </w:r>
            <w:r>
              <w:t xml:space="preserve"> </w:t>
            </w:r>
          </w:p>
          <w:p w:rsidR="004150D2" w:rsidRDefault="004150D2" w:rsidP="00AA6DF3">
            <w:pPr>
              <w:ind w:left="1228"/>
            </w:pPr>
            <w:r>
              <w:rPr>
                <w:color w:val="000000"/>
              </w:rPr>
              <w:t>NAL/Acct. No.:</w:t>
            </w:r>
            <w:r>
              <w:t xml:space="preserve"> 201132400004</w:t>
            </w:r>
          </w:p>
          <w:p w:rsidR="004150D2" w:rsidRDefault="004150D2" w:rsidP="00AA6DF3">
            <w:pPr>
              <w:pStyle w:val="BodyText"/>
              <w:ind w:left="1228"/>
            </w:pPr>
            <w:r>
              <w:rPr>
                <w:color w:val="000000"/>
              </w:rPr>
              <w:t xml:space="preserve">FRN: </w:t>
            </w:r>
            <w:r>
              <w:t>0014795496</w:t>
            </w:r>
          </w:p>
          <w:p w:rsidR="004150D2" w:rsidRPr="00AA6DF3" w:rsidRDefault="004150D2" w:rsidP="00AA6DF3">
            <w:pPr>
              <w:pStyle w:val="BodyText"/>
              <w:ind w:left="1228"/>
              <w:rPr>
                <w:spacing w:val="-2"/>
              </w:rPr>
            </w:pPr>
            <w:r>
              <w:rPr>
                <w:color w:val="000000"/>
              </w:rPr>
              <w:t xml:space="preserve">Facility ID Number </w:t>
            </w:r>
            <w:r>
              <w:t>36508</w:t>
            </w:r>
          </w:p>
        </w:tc>
      </w:tr>
    </w:tbl>
    <w:p w:rsidR="00431D7C" w:rsidRPr="00AA6DF3" w:rsidRDefault="00431D7C" w:rsidP="00AA6DF3">
      <w:pPr>
        <w:pStyle w:val="Heading2"/>
        <w:widowControl/>
        <w:jc w:val="left"/>
      </w:pPr>
    </w:p>
    <w:p w:rsidR="004150D2" w:rsidRDefault="004150D2" w:rsidP="00431D7C">
      <w:pPr>
        <w:pStyle w:val="Heading2"/>
        <w:widowControl/>
        <w:rPr>
          <w:sz w:val="22"/>
          <w:szCs w:val="22"/>
        </w:rPr>
      </w:pPr>
      <w:r>
        <w:rPr>
          <w:sz w:val="22"/>
          <w:szCs w:val="22"/>
        </w:rPr>
        <w:t>FORFEITURE ORDER</w:t>
      </w:r>
    </w:p>
    <w:p w:rsidR="000F467B" w:rsidRDefault="000F467B">
      <w:pPr>
        <w:tabs>
          <w:tab w:val="left" w:pos="0"/>
        </w:tabs>
        <w:suppressAutoHyphens/>
        <w:spacing w:line="240" w:lineRule="atLeast"/>
        <w:jc w:val="center"/>
      </w:pPr>
    </w:p>
    <w:p w:rsidR="000F467B" w:rsidRDefault="000F467B" w:rsidP="000F467B">
      <w:pPr>
        <w:tabs>
          <w:tab w:val="left" w:pos="0"/>
          <w:tab w:val="left" w:pos="720"/>
          <w:tab w:val="left" w:pos="5760"/>
        </w:tabs>
        <w:suppressAutoHyphens/>
        <w:spacing w:line="240" w:lineRule="atLeast"/>
      </w:pPr>
      <w:r>
        <w:rPr>
          <w:b/>
        </w:rPr>
        <w:t xml:space="preserve">Adopted:  </w:t>
      </w:r>
      <w:r w:rsidR="00600307">
        <w:rPr>
          <w:bCs/>
        </w:rPr>
        <w:t>June 10, 2014</w:t>
      </w:r>
      <w:r>
        <w:rPr>
          <w:b/>
        </w:rPr>
        <w:tab/>
      </w:r>
      <w:r>
        <w:rPr>
          <w:b/>
        </w:rPr>
        <w:tab/>
        <w:t xml:space="preserve">Released:  </w:t>
      </w:r>
      <w:r w:rsidR="00600307">
        <w:rPr>
          <w:bCs/>
        </w:rPr>
        <w:t>June 10, 2014</w:t>
      </w:r>
    </w:p>
    <w:p w:rsidR="000F467B" w:rsidRDefault="000F467B">
      <w:pPr>
        <w:tabs>
          <w:tab w:val="left" w:pos="0"/>
          <w:tab w:val="left" w:pos="720"/>
          <w:tab w:val="left" w:pos="5760"/>
        </w:tabs>
        <w:suppressAutoHyphens/>
        <w:spacing w:line="240" w:lineRule="atLeast"/>
        <w:jc w:val="both"/>
      </w:pPr>
    </w:p>
    <w:p w:rsidR="000F467B" w:rsidRDefault="000F467B">
      <w:pPr>
        <w:tabs>
          <w:tab w:val="left" w:pos="0"/>
          <w:tab w:val="left" w:pos="720"/>
          <w:tab w:val="left" w:pos="5760"/>
        </w:tabs>
        <w:suppressAutoHyphens/>
        <w:spacing w:line="240" w:lineRule="atLeast"/>
        <w:jc w:val="both"/>
      </w:pPr>
      <w:r>
        <w:t xml:space="preserve">By the </w:t>
      </w:r>
      <w:r w:rsidR="00431D7C">
        <w:t>Regional Director, Northeast</w:t>
      </w:r>
      <w:r>
        <w:t xml:space="preserve"> Region, Enforcement Bureau:</w:t>
      </w:r>
    </w:p>
    <w:p w:rsidR="000F467B" w:rsidRDefault="000F467B">
      <w:pPr>
        <w:tabs>
          <w:tab w:val="left" w:pos="0"/>
        </w:tabs>
        <w:suppressAutoHyphens/>
        <w:spacing w:line="240" w:lineRule="atLeast"/>
      </w:pPr>
    </w:p>
    <w:p w:rsidR="000F467B" w:rsidRDefault="000F467B" w:rsidP="00AA6DF3">
      <w:pPr>
        <w:tabs>
          <w:tab w:val="center" w:pos="720"/>
        </w:tabs>
        <w:suppressAutoHyphens/>
        <w:spacing w:after="120"/>
      </w:pPr>
      <w:r>
        <w:rPr>
          <w:b/>
        </w:rPr>
        <w:t xml:space="preserve">I. </w:t>
      </w:r>
      <w:r>
        <w:t xml:space="preserve"> </w:t>
      </w:r>
      <w:r>
        <w:tab/>
        <w:t xml:space="preserve">         </w:t>
      </w:r>
      <w:r>
        <w:rPr>
          <w:b/>
        </w:rPr>
        <w:t>INTRODUCTION</w:t>
      </w:r>
    </w:p>
    <w:p w:rsidR="00F818D2" w:rsidRPr="0026461E" w:rsidRDefault="008A77E3" w:rsidP="00F818D2">
      <w:pPr>
        <w:widowControl w:val="0"/>
        <w:numPr>
          <w:ilvl w:val="0"/>
          <w:numId w:val="1"/>
        </w:numPr>
        <w:tabs>
          <w:tab w:val="clear" w:pos="1080"/>
          <w:tab w:val="left" w:pos="0"/>
          <w:tab w:val="num" w:pos="1440"/>
        </w:tabs>
        <w:suppressAutoHyphens/>
        <w:autoSpaceDE w:val="0"/>
        <w:autoSpaceDN w:val="0"/>
        <w:adjustRightInd w:val="0"/>
        <w:spacing w:after="120"/>
        <w:rPr>
          <w:spacing w:val="-2"/>
        </w:rPr>
      </w:pPr>
      <w:r w:rsidRPr="0026461E">
        <w:t xml:space="preserve">We impose a penalty of $6,000 against </w:t>
      </w:r>
      <w:r w:rsidRPr="00AA6DF3">
        <w:t xml:space="preserve">Bold Gold Media WBS, L.P. (Bold Gold), </w:t>
      </w:r>
      <w:r w:rsidR="004150D2" w:rsidRPr="0026461E">
        <w:rPr>
          <w:color w:val="000000"/>
        </w:rPr>
        <w:t xml:space="preserve">licensee of FM Station WWRR in Scranton, Pennsylvania, </w:t>
      </w:r>
      <w:r w:rsidRPr="0026461E">
        <w:t>for failing to install required Emergency Alert System (EAS) equipment.</w:t>
      </w:r>
      <w:r w:rsidR="00F818D2" w:rsidRPr="0026461E">
        <w:t xml:space="preserve">  The EAS rules require broadcasters to provide the</w:t>
      </w:r>
      <w:r w:rsidR="00F818D2" w:rsidRPr="0026461E">
        <w:rPr>
          <w:spacing w:val="-2"/>
        </w:rPr>
        <w:t xml:space="preserve"> </w:t>
      </w:r>
      <w:r w:rsidR="00F818D2" w:rsidRPr="0026461E">
        <w:t>communications capability to address the American public during a</w:t>
      </w:r>
      <w:r w:rsidR="00F818D2" w:rsidRPr="0026461E">
        <w:rPr>
          <w:spacing w:val="-2"/>
        </w:rPr>
        <w:t xml:space="preserve"> </w:t>
      </w:r>
      <w:r w:rsidR="00F818D2" w:rsidRPr="0026461E">
        <w:t xml:space="preserve">national emergency and may be used by federal, state, or local authorities to deliver important </w:t>
      </w:r>
      <w:r w:rsidR="00FC2D1A">
        <w:t>information</w:t>
      </w:r>
      <w:r w:rsidR="00F818D2" w:rsidRPr="0026461E">
        <w:t xml:space="preserve"> such as AMBER alerts and weather inform</w:t>
      </w:r>
      <w:r w:rsidR="00F211E5">
        <w:t>ation</w:t>
      </w:r>
      <w:r w:rsidR="00F818D2" w:rsidRPr="0026461E">
        <w:t>.</w:t>
      </w:r>
      <w:r w:rsidR="0026461E">
        <w:t xml:space="preserve">  We reject Bold Gold’</w:t>
      </w:r>
      <w:r w:rsidR="00F211E5">
        <w:t>s contention</w:t>
      </w:r>
      <w:r w:rsidR="0026461E">
        <w:t xml:space="preserve"> that</w:t>
      </w:r>
      <w:r w:rsidR="00F211E5">
        <w:t xml:space="preserve"> we failed to meet </w:t>
      </w:r>
      <w:r w:rsidR="00C2377B">
        <w:t xml:space="preserve">the applicable statutory </w:t>
      </w:r>
      <w:r w:rsidR="0026461E">
        <w:t xml:space="preserve">limitations deadline </w:t>
      </w:r>
      <w:r w:rsidR="00F211E5">
        <w:t xml:space="preserve">in issuing the proposed forfeiture </w:t>
      </w:r>
      <w:r w:rsidR="0026461E">
        <w:t>and a</w:t>
      </w:r>
      <w:r w:rsidR="00FC2D1A">
        <w:t>ff</w:t>
      </w:r>
      <w:r w:rsidR="00F211E5">
        <w:t>irm our finding that Bold Gold</w:t>
      </w:r>
      <w:r w:rsidR="0026461E">
        <w:t xml:space="preserve"> violated the Commission’s rules requiring </w:t>
      </w:r>
      <w:r w:rsidR="0026461E">
        <w:lastRenderedPageBreak/>
        <w:t>broadcasters to maintain operational EAS equipment.  However, we reduce the</w:t>
      </w:r>
      <w:r w:rsidR="00F211E5">
        <w:t xml:space="preserve"> forfeiture </w:t>
      </w:r>
      <w:r w:rsidR="00F144D3">
        <w:t xml:space="preserve">in consideration of </w:t>
      </w:r>
      <w:r w:rsidR="00FC2D1A">
        <w:t>Bold Gold’s history of compliance and its good faith efforts to comply with the EAS rules pr</w:t>
      </w:r>
      <w:r w:rsidR="00F211E5">
        <w:t xml:space="preserve">ior to </w:t>
      </w:r>
      <w:r w:rsidR="00F144D3">
        <w:t xml:space="preserve">the </w:t>
      </w:r>
      <w:r w:rsidR="00F211E5">
        <w:t>inspection of Station WWRR</w:t>
      </w:r>
      <w:r w:rsidR="00FC2D1A">
        <w:t>.</w:t>
      </w:r>
      <w:r w:rsidR="0026461E">
        <w:t xml:space="preserve"> </w:t>
      </w:r>
    </w:p>
    <w:p w:rsidR="000F467B" w:rsidRPr="00F144D3" w:rsidRDefault="00FC2D1A" w:rsidP="00AA6DF3">
      <w:pPr>
        <w:widowControl w:val="0"/>
        <w:numPr>
          <w:ilvl w:val="0"/>
          <w:numId w:val="1"/>
        </w:numPr>
        <w:tabs>
          <w:tab w:val="clear" w:pos="1080"/>
          <w:tab w:val="left" w:pos="0"/>
          <w:tab w:val="num" w:pos="1440"/>
        </w:tabs>
        <w:suppressAutoHyphens/>
        <w:autoSpaceDE w:val="0"/>
        <w:autoSpaceDN w:val="0"/>
        <w:adjustRightInd w:val="0"/>
        <w:spacing w:after="120"/>
        <w:rPr>
          <w:spacing w:val="-2"/>
        </w:rPr>
      </w:pPr>
      <w:r>
        <w:t xml:space="preserve">In this Forfeiture Order (Order), we issue a monetary forfeiture against Bold Gold for willfully and repeatedly violating </w:t>
      </w:r>
      <w:r w:rsidR="004150D2" w:rsidRPr="00071503">
        <w:t>Section 11.35</w:t>
      </w:r>
      <w:r w:rsidR="004150D2">
        <w:t>(a)</w:t>
      </w:r>
      <w:r w:rsidR="004150D2" w:rsidRPr="00071503">
        <w:t xml:space="preserve"> of the Commission’s Rules (Rules)</w:t>
      </w:r>
      <w:r w:rsidR="004150D2">
        <w:t>.</w:t>
      </w:r>
      <w:r w:rsidR="004150D2" w:rsidRPr="00071503">
        <w:rPr>
          <w:vertAlign w:val="superscript"/>
        </w:rPr>
        <w:footnoteReference w:id="3"/>
      </w:r>
      <w:r>
        <w:rPr>
          <w:vertAlign w:val="superscript"/>
        </w:rPr>
        <w:t xml:space="preserve"> </w:t>
      </w:r>
      <w:r>
        <w:t xml:space="preserve"> </w:t>
      </w:r>
      <w:r w:rsidR="004150D2">
        <w:t xml:space="preserve">The noted violations involved Bold Gold’s failure </w:t>
      </w:r>
      <w:r w:rsidR="004150D2" w:rsidRPr="00071503">
        <w:t>to install</w:t>
      </w:r>
      <w:r w:rsidR="004150D2">
        <w:t xml:space="preserve"> </w:t>
      </w:r>
      <w:r w:rsidR="004150D2" w:rsidRPr="00071503">
        <w:t>the r</w:t>
      </w:r>
      <w:r w:rsidR="00F144D3">
        <w:t xml:space="preserve">equired </w:t>
      </w:r>
      <w:r w:rsidR="004150D2">
        <w:t>EAS</w:t>
      </w:r>
      <w:r w:rsidR="004150D2" w:rsidRPr="00071503">
        <w:t xml:space="preserve"> equipment</w:t>
      </w:r>
      <w:r w:rsidR="004150D2">
        <w:t xml:space="preserve"> at Station WWRR.</w:t>
      </w:r>
      <w:r w:rsidR="004150D2" w:rsidRPr="00071503">
        <w:t xml:space="preserve">  </w:t>
      </w:r>
    </w:p>
    <w:p w:rsidR="000F467B" w:rsidRDefault="000F467B" w:rsidP="00EF3A53">
      <w:pPr>
        <w:pStyle w:val="ParaNum"/>
        <w:numPr>
          <w:ilvl w:val="0"/>
          <w:numId w:val="0"/>
        </w:numPr>
        <w:spacing w:after="120"/>
        <w:rPr>
          <w:b/>
        </w:rPr>
      </w:pPr>
      <w:r>
        <w:rPr>
          <w:b/>
        </w:rPr>
        <w:t xml:space="preserve">II.  </w:t>
      </w:r>
      <w:r>
        <w:rPr>
          <w:b/>
        </w:rPr>
        <w:tab/>
        <w:t>BACKGROUND</w:t>
      </w:r>
    </w:p>
    <w:p w:rsidR="005E693F" w:rsidRDefault="005E693F" w:rsidP="00AA6DF3">
      <w:pPr>
        <w:widowControl w:val="0"/>
        <w:numPr>
          <w:ilvl w:val="0"/>
          <w:numId w:val="1"/>
        </w:numPr>
        <w:tabs>
          <w:tab w:val="clear" w:pos="1080"/>
          <w:tab w:val="left" w:pos="0"/>
          <w:tab w:val="num" w:pos="1440"/>
        </w:tabs>
        <w:suppressAutoHyphens/>
        <w:autoSpaceDE w:val="0"/>
        <w:autoSpaceDN w:val="0"/>
        <w:adjustRightInd w:val="0"/>
        <w:spacing w:after="120"/>
      </w:pPr>
      <w:r w:rsidRPr="00E810AB">
        <w:t>On November 24, 20</w:t>
      </w:r>
      <w:r>
        <w:t xml:space="preserve">09, in response to a complaint that Station WWRR did not have EAS equipment, an agent from the Enforcement Bureau’s </w:t>
      </w:r>
      <w:r w:rsidRPr="00E810AB">
        <w:t xml:space="preserve">Philadelphia Office </w:t>
      </w:r>
      <w:r>
        <w:t xml:space="preserve">(Philadelphia Office) </w:t>
      </w:r>
      <w:r w:rsidRPr="00E810AB">
        <w:t>conduct</w:t>
      </w:r>
      <w:r>
        <w:t>ed</w:t>
      </w:r>
      <w:r w:rsidRPr="00E810AB">
        <w:t xml:space="preserve"> an inspection of </w:t>
      </w:r>
      <w:r>
        <w:t xml:space="preserve">Station WWRR’s main studio in </w:t>
      </w:r>
      <w:r w:rsidRPr="00E810AB">
        <w:t>Scranton, Pennsylvania</w:t>
      </w:r>
      <w:r w:rsidR="00BC700E">
        <w:t xml:space="preserve"> (Scranton Main Studio)</w:t>
      </w:r>
      <w:r w:rsidRPr="00E810AB">
        <w:t xml:space="preserve">.  </w:t>
      </w:r>
      <w:r w:rsidRPr="00EA1E70">
        <w:t>During the inspection</w:t>
      </w:r>
      <w:r>
        <w:t xml:space="preserve"> at the </w:t>
      </w:r>
      <w:r w:rsidR="002011F5">
        <w:t>Scranton M</w:t>
      </w:r>
      <w:r>
        <w:t xml:space="preserve">ain </w:t>
      </w:r>
      <w:r w:rsidR="002011F5">
        <w:t>Studio</w:t>
      </w:r>
      <w:r>
        <w:t>,</w:t>
      </w:r>
      <w:r w:rsidRPr="00EA1E70">
        <w:t xml:space="preserve"> the agent </w:t>
      </w:r>
      <w:r>
        <w:t>found that S</w:t>
      </w:r>
      <w:r w:rsidRPr="00EA1E70">
        <w:t xml:space="preserve">tation </w:t>
      </w:r>
      <w:r>
        <w:t xml:space="preserve">WWRR did not have any </w:t>
      </w:r>
      <w:r w:rsidRPr="00EA1E70">
        <w:t xml:space="preserve">EAS equipment installed.  </w:t>
      </w:r>
      <w:r w:rsidRPr="00AC2ED2">
        <w:t>The station engineer</w:t>
      </w:r>
      <w:r>
        <w:t xml:space="preserve"> acknowledged the failure to install EAS equipment for Station WWRR at the </w:t>
      </w:r>
      <w:r w:rsidR="00F144D3">
        <w:t>Scranton Main Studio</w:t>
      </w:r>
      <w:r>
        <w:t>.</w:t>
      </w:r>
    </w:p>
    <w:p w:rsidR="00D00EEC" w:rsidRDefault="005E693F" w:rsidP="00AA6DF3">
      <w:pPr>
        <w:widowControl w:val="0"/>
        <w:numPr>
          <w:ilvl w:val="0"/>
          <w:numId w:val="1"/>
        </w:numPr>
        <w:tabs>
          <w:tab w:val="clear" w:pos="1080"/>
          <w:tab w:val="left" w:pos="0"/>
          <w:tab w:val="num" w:pos="1440"/>
        </w:tabs>
        <w:suppressAutoHyphens/>
        <w:autoSpaceDE w:val="0"/>
        <w:autoSpaceDN w:val="0"/>
        <w:adjustRightInd w:val="0"/>
        <w:spacing w:after="120"/>
      </w:pPr>
      <w:r>
        <w:t xml:space="preserve">The agent also observed that the two co-located and co-owned stations – WICK and WYCK – had operational EAS equipment at the </w:t>
      </w:r>
      <w:r w:rsidR="00F144D3">
        <w:t>Scranton Main Studio</w:t>
      </w:r>
      <w:r>
        <w:t>.</w:t>
      </w:r>
      <w:r>
        <w:rPr>
          <w:rStyle w:val="FootnoteReference"/>
        </w:rPr>
        <w:footnoteReference w:id="4"/>
      </w:r>
      <w:r>
        <w:t xml:space="preserve">  The station engineer claimed t</w:t>
      </w:r>
      <w:r w:rsidRPr="004374D6">
        <w:t xml:space="preserve">hat an EAS test for </w:t>
      </w:r>
      <w:r>
        <w:t xml:space="preserve">Station </w:t>
      </w:r>
      <w:r w:rsidRPr="004374D6">
        <w:t>WWRR could possibly be transmitted by switching the a</w:t>
      </w:r>
      <w:r>
        <w:t>udio source from its</w:t>
      </w:r>
      <w:r w:rsidRPr="004374D6">
        <w:t xml:space="preserve"> studio location in Plains, Pennsylvania </w:t>
      </w:r>
      <w:r w:rsidR="00BC700E">
        <w:t xml:space="preserve">(Plains Studio) </w:t>
      </w:r>
      <w:r w:rsidRPr="004374D6">
        <w:t>to the</w:t>
      </w:r>
      <w:r w:rsidR="00F144D3">
        <w:t xml:space="preserve"> Scranton Main Studio</w:t>
      </w:r>
      <w:r w:rsidRPr="004374D6">
        <w:t>, and then conducting the test usi</w:t>
      </w:r>
      <w:r w:rsidR="00F144D3">
        <w:t>ng the EAS equipment shared by S</w:t>
      </w:r>
      <w:r w:rsidRPr="004374D6">
        <w:t>tations WICK and WYCK.</w:t>
      </w:r>
      <w:r>
        <w:rPr>
          <w:rStyle w:val="FootnoteReference"/>
        </w:rPr>
        <w:footnoteReference w:id="5"/>
      </w:r>
      <w:r>
        <w:t xml:space="preserve">  </w:t>
      </w:r>
      <w:r w:rsidRPr="004374D6">
        <w:t>At the agent</w:t>
      </w:r>
      <w:r>
        <w:t>’</w:t>
      </w:r>
      <w:r w:rsidRPr="004374D6">
        <w:t xml:space="preserve">s request, the engineer attempted to conduct a test in that manner and the </w:t>
      </w:r>
      <w:r w:rsidR="005D037E">
        <w:t xml:space="preserve">test appeared to be successful.  </w:t>
      </w:r>
      <w:r w:rsidRPr="004374D6">
        <w:t xml:space="preserve">The station engineer admitted, however, that the station had never conducted any EAS tests for </w:t>
      </w:r>
      <w:r>
        <w:t xml:space="preserve">Station </w:t>
      </w:r>
      <w:r w:rsidR="005D037E">
        <w:t xml:space="preserve">WWRR following such procedure.  </w:t>
      </w:r>
      <w:r w:rsidRPr="004374D6">
        <w:rPr>
          <w:color w:val="000000"/>
        </w:rPr>
        <w:t>The</w:t>
      </w:r>
      <w:r w:rsidRPr="004374D6">
        <w:t xml:space="preserve"> station engineer also acknowledged that the </w:t>
      </w:r>
      <w:r w:rsidR="00BC700E">
        <w:t>Plains S</w:t>
      </w:r>
      <w:r w:rsidRPr="004374D6">
        <w:t xml:space="preserve">tudio did not have any EAS equipment </w:t>
      </w:r>
      <w:r>
        <w:t xml:space="preserve">installed </w:t>
      </w:r>
      <w:r w:rsidRPr="004374D6">
        <w:t>at the time.</w:t>
      </w:r>
      <w:r>
        <w:rPr>
          <w:rStyle w:val="FootnoteReference"/>
        </w:rPr>
        <w:footnoteReference w:id="6"/>
      </w:r>
      <w:r>
        <w:t xml:space="preserve">  </w:t>
      </w:r>
    </w:p>
    <w:p w:rsidR="000F467B" w:rsidRDefault="00D00EEC" w:rsidP="00AA6DF3">
      <w:pPr>
        <w:widowControl w:val="0"/>
        <w:numPr>
          <w:ilvl w:val="0"/>
          <w:numId w:val="1"/>
        </w:numPr>
        <w:tabs>
          <w:tab w:val="clear" w:pos="1080"/>
          <w:tab w:val="left" w:pos="0"/>
          <w:tab w:val="num" w:pos="1440"/>
        </w:tabs>
        <w:suppressAutoHyphens/>
        <w:autoSpaceDE w:val="0"/>
        <w:autoSpaceDN w:val="0"/>
        <w:adjustRightInd w:val="0"/>
        <w:spacing w:after="120"/>
      </w:pPr>
      <w:r>
        <w:t xml:space="preserve">On January 31, 2011, the Philadelphia Office issued </w:t>
      </w:r>
      <w:r w:rsidR="00BC700E">
        <w:t>a</w:t>
      </w:r>
      <w:r>
        <w:t xml:space="preserve"> </w:t>
      </w:r>
      <w:r>
        <w:rPr>
          <w:i/>
          <w:iCs/>
        </w:rPr>
        <w:t xml:space="preserve">NAL </w:t>
      </w:r>
      <w:r>
        <w:t>to Bold Gol</w:t>
      </w:r>
      <w:r w:rsidR="005D037E">
        <w:t>d</w:t>
      </w:r>
      <w:r w:rsidR="00E61B71">
        <w:t xml:space="preserve"> proposing a $10,000 forfeiture</w:t>
      </w:r>
      <w:r w:rsidR="005D037E">
        <w:t>, finding that it</w:t>
      </w:r>
      <w:r>
        <w:t xml:space="preserve"> </w:t>
      </w:r>
      <w:r w:rsidR="00925162">
        <w:t xml:space="preserve">willfully and repeatedly violated Section 11.35 of the Rules by failing </w:t>
      </w:r>
      <w:r>
        <w:t xml:space="preserve">to </w:t>
      </w:r>
      <w:r>
        <w:rPr>
          <w:spacing w:val="-2"/>
        </w:rPr>
        <w:t xml:space="preserve">install EAS equipment for Station WWRR at either the </w:t>
      </w:r>
      <w:r w:rsidR="00BC700E">
        <w:rPr>
          <w:spacing w:val="-2"/>
        </w:rPr>
        <w:t>Scranton M</w:t>
      </w:r>
      <w:r>
        <w:rPr>
          <w:spacing w:val="-2"/>
        </w:rPr>
        <w:t xml:space="preserve">ain </w:t>
      </w:r>
      <w:r w:rsidR="00BC700E">
        <w:rPr>
          <w:spacing w:val="-2"/>
        </w:rPr>
        <w:t>S</w:t>
      </w:r>
      <w:r>
        <w:rPr>
          <w:spacing w:val="-2"/>
        </w:rPr>
        <w:t xml:space="preserve">tudio </w:t>
      </w:r>
      <w:r w:rsidR="00BC700E">
        <w:rPr>
          <w:spacing w:val="-2"/>
        </w:rPr>
        <w:t>o</w:t>
      </w:r>
      <w:r>
        <w:rPr>
          <w:spacing w:val="-2"/>
        </w:rPr>
        <w:t xml:space="preserve">r the </w:t>
      </w:r>
      <w:r w:rsidR="00484202">
        <w:rPr>
          <w:spacing w:val="-2"/>
        </w:rPr>
        <w:t>Plains S</w:t>
      </w:r>
      <w:r>
        <w:rPr>
          <w:spacing w:val="-2"/>
        </w:rPr>
        <w:t xml:space="preserve">tudio </w:t>
      </w:r>
      <w:r w:rsidR="004D6CDA">
        <w:rPr>
          <w:spacing w:val="-2"/>
        </w:rPr>
        <w:t>from the time it purchased Station WWRR in 2006 until February 2010</w:t>
      </w:r>
      <w:r>
        <w:rPr>
          <w:spacing w:val="-2"/>
        </w:rPr>
        <w:t>.</w:t>
      </w:r>
      <w:r>
        <w:rPr>
          <w:rStyle w:val="FootnoteReference"/>
          <w:spacing w:val="-2"/>
        </w:rPr>
        <w:footnoteReference w:id="7"/>
      </w:r>
      <w:r>
        <w:rPr>
          <w:spacing w:val="-2"/>
        </w:rPr>
        <w:t xml:space="preserve">  </w:t>
      </w:r>
      <w:r w:rsidR="00925162">
        <w:rPr>
          <w:spacing w:val="-2"/>
        </w:rPr>
        <w:t xml:space="preserve">Bold Gold filed a response to the </w:t>
      </w:r>
      <w:r w:rsidR="00925162" w:rsidRPr="00925162">
        <w:rPr>
          <w:i/>
          <w:iCs/>
          <w:spacing w:val="-2"/>
        </w:rPr>
        <w:t>NAL</w:t>
      </w:r>
      <w:r w:rsidR="00925162">
        <w:rPr>
          <w:spacing w:val="-2"/>
        </w:rPr>
        <w:t xml:space="preserve"> on March 1, 2011, claiming</w:t>
      </w:r>
      <w:r w:rsidR="00B90989">
        <w:rPr>
          <w:spacing w:val="-2"/>
        </w:rPr>
        <w:t xml:space="preserve"> the </w:t>
      </w:r>
      <w:r w:rsidR="00B90989">
        <w:rPr>
          <w:i/>
          <w:iCs/>
          <w:spacing w:val="-2"/>
        </w:rPr>
        <w:t xml:space="preserve">NAL </w:t>
      </w:r>
      <w:r w:rsidR="00B90989">
        <w:rPr>
          <w:spacing w:val="-2"/>
        </w:rPr>
        <w:t>should be cancelled on the grounds that</w:t>
      </w:r>
      <w:r w:rsidR="00E61B71">
        <w:rPr>
          <w:spacing w:val="-2"/>
        </w:rPr>
        <w:t xml:space="preserve"> </w:t>
      </w:r>
      <w:r w:rsidR="00925162">
        <w:rPr>
          <w:spacing w:val="-2"/>
        </w:rPr>
        <w:t xml:space="preserve">(1) the </w:t>
      </w:r>
      <w:r w:rsidR="00925162">
        <w:rPr>
          <w:i/>
          <w:iCs/>
          <w:spacing w:val="-2"/>
        </w:rPr>
        <w:t xml:space="preserve">NAL </w:t>
      </w:r>
      <w:r w:rsidR="00E61B71">
        <w:rPr>
          <w:spacing w:val="-2"/>
        </w:rPr>
        <w:t>was issued beyond the statute of limitations deadline;</w:t>
      </w:r>
      <w:r w:rsidR="00925162">
        <w:rPr>
          <w:spacing w:val="-2"/>
        </w:rPr>
        <w:t xml:space="preserve"> (2) the </w:t>
      </w:r>
      <w:r w:rsidR="00E61B71">
        <w:rPr>
          <w:spacing w:val="-2"/>
        </w:rPr>
        <w:t xml:space="preserve">facts </w:t>
      </w:r>
      <w:r w:rsidR="00B90989">
        <w:rPr>
          <w:spacing w:val="-2"/>
        </w:rPr>
        <w:t xml:space="preserve">set forth in the </w:t>
      </w:r>
      <w:r w:rsidR="00B90989">
        <w:rPr>
          <w:i/>
          <w:iCs/>
          <w:spacing w:val="-2"/>
        </w:rPr>
        <w:t>NAL</w:t>
      </w:r>
      <w:r w:rsidR="00E61B71">
        <w:rPr>
          <w:spacing w:val="-2"/>
        </w:rPr>
        <w:t xml:space="preserve"> did</w:t>
      </w:r>
      <w:r w:rsidR="00B90989">
        <w:rPr>
          <w:spacing w:val="-2"/>
        </w:rPr>
        <w:t xml:space="preserve"> not support a finding that Bold Gold failed to maintain operational EAS equipment for Station WWRR</w:t>
      </w:r>
      <w:r w:rsidR="00E61B71">
        <w:rPr>
          <w:spacing w:val="-2"/>
        </w:rPr>
        <w:t>;</w:t>
      </w:r>
      <w:r w:rsidR="00925162">
        <w:rPr>
          <w:spacing w:val="-2"/>
        </w:rPr>
        <w:t xml:space="preserve"> and (3) the </w:t>
      </w:r>
      <w:r w:rsidR="00B90989">
        <w:rPr>
          <w:spacing w:val="-2"/>
        </w:rPr>
        <w:t>Philadelphia Office failed to take into account Bold Gold’s history of compliance with the Rules and its remedial efforts prior to the November 24, 2009 inspection</w:t>
      </w:r>
      <w:r w:rsidR="00E61B71">
        <w:rPr>
          <w:spacing w:val="-2"/>
        </w:rPr>
        <w:t xml:space="preserve"> in proposing the forfeiture</w:t>
      </w:r>
      <w:r w:rsidR="00B90989">
        <w:rPr>
          <w:spacing w:val="-2"/>
        </w:rPr>
        <w:t>.</w:t>
      </w:r>
      <w:r w:rsidR="00B90989">
        <w:rPr>
          <w:rStyle w:val="FootnoteReference"/>
          <w:spacing w:val="-2"/>
        </w:rPr>
        <w:footnoteReference w:id="8"/>
      </w:r>
    </w:p>
    <w:p w:rsidR="000F467B" w:rsidRDefault="000F467B" w:rsidP="00AA6DF3">
      <w:pPr>
        <w:numPr>
          <w:ilvl w:val="0"/>
          <w:numId w:val="3"/>
        </w:numPr>
        <w:tabs>
          <w:tab w:val="clear" w:pos="1080"/>
          <w:tab w:val="num" w:pos="450"/>
        </w:tabs>
        <w:suppressAutoHyphens/>
        <w:autoSpaceDE w:val="0"/>
        <w:autoSpaceDN w:val="0"/>
        <w:adjustRightInd w:val="0"/>
        <w:spacing w:after="120"/>
        <w:ind w:left="0" w:firstLine="0"/>
        <w:rPr>
          <w:b/>
        </w:rPr>
      </w:pPr>
      <w:r>
        <w:rPr>
          <w:b/>
        </w:rPr>
        <w:tab/>
        <w:t>DISCUSSION</w:t>
      </w:r>
    </w:p>
    <w:p w:rsidR="00DE7000" w:rsidRDefault="00395DDD" w:rsidP="00AA6DF3">
      <w:pPr>
        <w:widowControl w:val="0"/>
        <w:numPr>
          <w:ilvl w:val="0"/>
          <w:numId w:val="1"/>
        </w:numPr>
        <w:tabs>
          <w:tab w:val="clear" w:pos="1080"/>
          <w:tab w:val="left" w:pos="0"/>
          <w:tab w:val="num" w:pos="1440"/>
        </w:tabs>
        <w:suppressAutoHyphens/>
        <w:autoSpaceDE w:val="0"/>
        <w:autoSpaceDN w:val="0"/>
        <w:adjustRightInd w:val="0"/>
        <w:spacing w:after="120"/>
      </w:pPr>
      <w:r>
        <w:t>The proposed forfeiture amount in this case was assessed in accordance with Section 503(b) of the Communications Act of 1934, as amended (Act),</w:t>
      </w:r>
      <w:r>
        <w:rPr>
          <w:rStyle w:val="FootnoteReference"/>
          <w:spacing w:val="-2"/>
        </w:rPr>
        <w:footnoteReference w:id="9"/>
      </w:r>
      <w:r>
        <w:t xml:space="preserve"> Section 1.80 of the Rules,</w:t>
      </w:r>
      <w:r>
        <w:rPr>
          <w:rStyle w:val="FootnoteReference"/>
          <w:spacing w:val="-2"/>
        </w:rPr>
        <w:footnoteReference w:id="10"/>
      </w:r>
      <w:r>
        <w:t xml:space="preserve"> and the Commission’s </w:t>
      </w:r>
      <w:r>
        <w:rPr>
          <w:i/>
        </w:rPr>
        <w:t>Forfeiture Policy Statement</w:t>
      </w:r>
      <w:r>
        <w:t>.</w:t>
      </w:r>
      <w:r>
        <w:rPr>
          <w:rStyle w:val="FootnoteReference"/>
        </w:rPr>
        <w:footnoteReference w:id="11"/>
      </w:r>
      <w:r>
        <w:t xml:space="preserve">  In examining Bold Gold’s </w:t>
      </w:r>
      <w:r w:rsidR="00E61B71">
        <w:rPr>
          <w:i/>
        </w:rPr>
        <w:t xml:space="preserve">NAL </w:t>
      </w:r>
      <w:r>
        <w:rPr>
          <w:i/>
        </w:rPr>
        <w:t>Response</w:t>
      </w:r>
      <w:r>
        <w:t>, Section 503(b)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Pr>
          <w:rStyle w:val="FootnoteReference"/>
          <w:spacing w:val="-2"/>
        </w:rPr>
        <w:footnoteReference w:id="12"/>
      </w:r>
      <w:r>
        <w:t xml:space="preserve">  </w:t>
      </w:r>
      <w:r w:rsidR="00CC1062">
        <w:t>As discussed below, w</w:t>
      </w:r>
      <w:r>
        <w:t xml:space="preserve">e </w:t>
      </w:r>
      <w:r w:rsidR="00CC1062">
        <w:t xml:space="preserve">have </w:t>
      </w:r>
      <w:r>
        <w:t xml:space="preserve">considered Bold Gold’s </w:t>
      </w:r>
      <w:r w:rsidR="00FA4AB8">
        <w:rPr>
          <w:i/>
        </w:rPr>
        <w:t xml:space="preserve">NAL </w:t>
      </w:r>
      <w:r>
        <w:rPr>
          <w:i/>
        </w:rPr>
        <w:t xml:space="preserve">Response </w:t>
      </w:r>
      <w:r>
        <w:t xml:space="preserve">in light of these statutory factors and find that </w:t>
      </w:r>
      <w:r w:rsidR="00CC1062">
        <w:t xml:space="preserve">a </w:t>
      </w:r>
      <w:r>
        <w:rPr>
          <w:spacing w:val="-2"/>
        </w:rPr>
        <w:t xml:space="preserve">reduction </w:t>
      </w:r>
      <w:r w:rsidR="00CC1062">
        <w:rPr>
          <w:spacing w:val="-2"/>
        </w:rPr>
        <w:t xml:space="preserve">in </w:t>
      </w:r>
      <w:r>
        <w:rPr>
          <w:spacing w:val="-2"/>
        </w:rPr>
        <w:t xml:space="preserve">the forfeiture </w:t>
      </w:r>
      <w:r w:rsidR="00DE7000">
        <w:rPr>
          <w:spacing w:val="-2"/>
        </w:rPr>
        <w:t xml:space="preserve">is warranted </w:t>
      </w:r>
      <w:r w:rsidR="00CC1062">
        <w:rPr>
          <w:spacing w:val="-2"/>
        </w:rPr>
        <w:t xml:space="preserve">based on </w:t>
      </w:r>
      <w:r w:rsidR="00DE7000">
        <w:rPr>
          <w:spacing w:val="-2"/>
        </w:rPr>
        <w:t xml:space="preserve">Bold Gold’s </w:t>
      </w:r>
      <w:r w:rsidR="00BC700E">
        <w:rPr>
          <w:spacing w:val="-2"/>
        </w:rPr>
        <w:t xml:space="preserve">history of compliance with the Rules and its </w:t>
      </w:r>
      <w:r w:rsidR="00DE7000">
        <w:rPr>
          <w:spacing w:val="-2"/>
        </w:rPr>
        <w:t>remedial efforts prior to the N</w:t>
      </w:r>
      <w:r w:rsidR="00BC700E">
        <w:rPr>
          <w:spacing w:val="-2"/>
        </w:rPr>
        <w:t>ovember 24, 2009, inspection</w:t>
      </w:r>
      <w:r w:rsidR="00FA4AB8">
        <w:rPr>
          <w:spacing w:val="-2"/>
        </w:rPr>
        <w:t xml:space="preserve"> of Station WWRR</w:t>
      </w:r>
      <w:r>
        <w:rPr>
          <w:spacing w:val="-2"/>
        </w:rPr>
        <w:t xml:space="preserve">. </w:t>
      </w:r>
    </w:p>
    <w:p w:rsidR="004D6CDA" w:rsidRDefault="00BC700E" w:rsidP="00AA6DF3">
      <w:pPr>
        <w:widowControl w:val="0"/>
        <w:numPr>
          <w:ilvl w:val="0"/>
          <w:numId w:val="1"/>
        </w:numPr>
        <w:tabs>
          <w:tab w:val="clear" w:pos="1080"/>
          <w:tab w:val="left" w:pos="0"/>
          <w:tab w:val="num" w:pos="1440"/>
        </w:tabs>
        <w:suppressAutoHyphens/>
        <w:autoSpaceDE w:val="0"/>
        <w:autoSpaceDN w:val="0"/>
        <w:adjustRightInd w:val="0"/>
        <w:spacing w:after="120"/>
      </w:pPr>
      <w:r>
        <w:t>As a threshold matter, w</w:t>
      </w:r>
      <w:r w:rsidR="00395DDD">
        <w:t xml:space="preserve">e reject </w:t>
      </w:r>
      <w:r w:rsidR="00DE7000">
        <w:t>Bold Gold</w:t>
      </w:r>
      <w:r w:rsidR="00395DDD">
        <w:t xml:space="preserve">’s argument </w:t>
      </w:r>
      <w:r w:rsidR="00395DDD" w:rsidRPr="004F0989">
        <w:t xml:space="preserve">that </w:t>
      </w:r>
      <w:r w:rsidR="00395DDD">
        <w:t xml:space="preserve">the Commission was required to issue the </w:t>
      </w:r>
      <w:r w:rsidR="00395DDD" w:rsidRPr="00DE7000">
        <w:rPr>
          <w:i/>
        </w:rPr>
        <w:t xml:space="preserve">NAL </w:t>
      </w:r>
      <w:r w:rsidR="00395DDD">
        <w:t>within one year of the date of the violation.</w:t>
      </w:r>
      <w:r w:rsidR="00FA4AB8">
        <w:rPr>
          <w:rStyle w:val="FootnoteReference"/>
        </w:rPr>
        <w:footnoteReference w:id="13"/>
      </w:r>
      <w:r w:rsidR="00395DDD">
        <w:t xml:space="preserve">  In the case of broadcast station licensees, </w:t>
      </w:r>
      <w:r w:rsidR="00395DDD" w:rsidRPr="004F0989">
        <w:t>the s</w:t>
      </w:r>
      <w:r w:rsidR="00395DDD">
        <w:t xml:space="preserve">tatute of limitations </w:t>
      </w:r>
      <w:r w:rsidR="00395DDD" w:rsidRPr="004F0989">
        <w:t xml:space="preserve">in </w:t>
      </w:r>
      <w:r w:rsidR="00DE7000">
        <w:t>S</w:t>
      </w:r>
      <w:r w:rsidR="00395DDD" w:rsidRPr="004F0989">
        <w:t xml:space="preserve">ection 503(b)(6) </w:t>
      </w:r>
      <w:r w:rsidR="00395DDD">
        <w:t>of the Act per</w:t>
      </w:r>
      <w:r w:rsidR="00FA4AB8">
        <w:t>mits the Commission to issue a Notice of Apparent Liability for F</w:t>
      </w:r>
      <w:r w:rsidR="00395DDD">
        <w:t xml:space="preserve">orfeiture if (1) the violation charged did not occur more than one year prior to the date of issuance of the </w:t>
      </w:r>
      <w:r w:rsidR="00FA4AB8">
        <w:t>Notice of Apparent Liability for Forfeiture</w:t>
      </w:r>
      <w:r w:rsidR="00FA4AB8" w:rsidRPr="00AA6DF3">
        <w:rPr>
          <w:i/>
        </w:rPr>
        <w:t xml:space="preserve"> </w:t>
      </w:r>
      <w:r w:rsidR="00395DDD" w:rsidRPr="00DE7000">
        <w:rPr>
          <w:i/>
        </w:rPr>
        <w:t xml:space="preserve">or </w:t>
      </w:r>
      <w:r w:rsidR="00395DDD">
        <w:t xml:space="preserve">(2) the violation charged did not occur </w:t>
      </w:r>
      <w:r w:rsidR="00FA4AB8">
        <w:t>“</w:t>
      </w:r>
      <w:r w:rsidR="00395DDD">
        <w:t>prior to the date of commencement of the current license term.</w:t>
      </w:r>
      <w:r w:rsidR="00FA4AB8">
        <w:t>”</w:t>
      </w:r>
      <w:r w:rsidR="00395DDD">
        <w:rPr>
          <w:rStyle w:val="FootnoteReference"/>
        </w:rPr>
        <w:footnoteReference w:id="14"/>
      </w:r>
      <w:r w:rsidR="00395DDD">
        <w:t xml:space="preserve">  Here, the violations charged occurred in November 200</w:t>
      </w:r>
      <w:r w:rsidR="00DE7000">
        <w:t>9</w:t>
      </w:r>
      <w:r w:rsidR="00395DDD">
        <w:t xml:space="preserve">, and the </w:t>
      </w:r>
      <w:r w:rsidR="00395DDD" w:rsidRPr="00DE7000">
        <w:rPr>
          <w:i/>
        </w:rPr>
        <w:t xml:space="preserve">NAL </w:t>
      </w:r>
      <w:r w:rsidR="00DE7000">
        <w:t>was issued on January 31, 2011.  Bold Gold</w:t>
      </w:r>
      <w:r w:rsidR="00395DDD">
        <w:t xml:space="preserve">’s current license term began in </w:t>
      </w:r>
      <w:r w:rsidR="00DE7000">
        <w:t xml:space="preserve">August </w:t>
      </w:r>
      <w:r w:rsidR="00395DDD">
        <w:t xml:space="preserve">2006 </w:t>
      </w:r>
      <w:r w:rsidR="00DE7000">
        <w:t xml:space="preserve">when it acquired Station WWRR </w:t>
      </w:r>
      <w:r w:rsidR="00395DDD">
        <w:t xml:space="preserve">and does not expire until August 1, 2014.  While the </w:t>
      </w:r>
      <w:r w:rsidR="00395DDD" w:rsidRPr="00DE7000">
        <w:rPr>
          <w:i/>
        </w:rPr>
        <w:t>NAL</w:t>
      </w:r>
      <w:r w:rsidR="00395DDD">
        <w:t xml:space="preserve"> was not issued within on</w:t>
      </w:r>
      <w:r w:rsidR="009C56E9">
        <w:t>e year of the violation</w:t>
      </w:r>
      <w:r w:rsidR="00DE7000">
        <w:t>, S</w:t>
      </w:r>
      <w:r w:rsidR="00395DDD">
        <w:t xml:space="preserve">ection 503(b)(6)(A)(ii) permits the Commission to determine or impose a forfeiture in this case because the violations charged did not occur prior to </w:t>
      </w:r>
      <w:r w:rsidR="009C56E9">
        <w:t>August 2006</w:t>
      </w:r>
      <w:r w:rsidR="00395DDD">
        <w:t>.</w:t>
      </w:r>
      <w:r w:rsidR="00395DDD">
        <w:rPr>
          <w:rStyle w:val="FootnoteReference"/>
        </w:rPr>
        <w:footnoteReference w:id="15"/>
      </w:r>
      <w:r w:rsidR="00395DDD">
        <w:t xml:space="preserve">  Accordingly, we find that the </w:t>
      </w:r>
      <w:r w:rsidR="00395DDD" w:rsidRPr="00DE7000">
        <w:rPr>
          <w:i/>
        </w:rPr>
        <w:t xml:space="preserve">NAL </w:t>
      </w:r>
      <w:r w:rsidR="00DE7000">
        <w:t>was timely issued under S</w:t>
      </w:r>
      <w:r w:rsidR="00395DDD">
        <w:t xml:space="preserve">ection 503(b)(6)(A)(ii) of the Act, and we deny </w:t>
      </w:r>
      <w:r w:rsidR="00DE7000">
        <w:t>Bold Gold’s</w:t>
      </w:r>
      <w:r w:rsidR="00395DDD">
        <w:t xml:space="preserve"> request that we cancel the </w:t>
      </w:r>
      <w:r w:rsidR="00395DDD" w:rsidRPr="00DE7000">
        <w:rPr>
          <w:i/>
        </w:rPr>
        <w:t>NAL</w:t>
      </w:r>
      <w:r w:rsidR="00DE7000">
        <w:rPr>
          <w:iCs/>
        </w:rPr>
        <w:t xml:space="preserve"> on this basis</w:t>
      </w:r>
      <w:r w:rsidR="00395DDD">
        <w:t>.</w:t>
      </w:r>
    </w:p>
    <w:p w:rsidR="009F1CB7" w:rsidRPr="009F1CB7" w:rsidRDefault="000F467B" w:rsidP="00AA6DF3">
      <w:pPr>
        <w:widowControl w:val="0"/>
        <w:numPr>
          <w:ilvl w:val="0"/>
          <w:numId w:val="1"/>
        </w:numPr>
        <w:tabs>
          <w:tab w:val="clear" w:pos="1080"/>
          <w:tab w:val="left" w:pos="0"/>
          <w:tab w:val="num" w:pos="1440"/>
        </w:tabs>
        <w:suppressAutoHyphens/>
        <w:autoSpaceDE w:val="0"/>
        <w:autoSpaceDN w:val="0"/>
        <w:adjustRightInd w:val="0"/>
        <w:spacing w:after="120"/>
      </w:pPr>
      <w:r w:rsidRPr="00DE7000">
        <w:rPr>
          <w:spacing w:val="-3"/>
        </w:rPr>
        <w:t xml:space="preserve">We affirm the </w:t>
      </w:r>
      <w:r w:rsidRPr="00DE7000">
        <w:rPr>
          <w:i/>
          <w:spacing w:val="-3"/>
        </w:rPr>
        <w:t>NAL</w:t>
      </w:r>
      <w:r w:rsidRPr="00DE7000">
        <w:rPr>
          <w:spacing w:val="-3"/>
        </w:rPr>
        <w:t xml:space="preserve">’s finding that </w:t>
      </w:r>
      <w:r w:rsidR="00DE7000">
        <w:rPr>
          <w:spacing w:val="-3"/>
        </w:rPr>
        <w:t>Bold Gold violated Section 11.35 of the Rules</w:t>
      </w:r>
      <w:r w:rsidR="000D6CDB">
        <w:rPr>
          <w:spacing w:val="-3"/>
        </w:rPr>
        <w:t xml:space="preserve"> by failing to install and maintain operational EAS equipment from </w:t>
      </w:r>
      <w:r w:rsidR="009C56E9">
        <w:rPr>
          <w:spacing w:val="-3"/>
        </w:rPr>
        <w:t xml:space="preserve">the </w:t>
      </w:r>
      <w:r w:rsidR="009C56E9">
        <w:rPr>
          <w:spacing w:val="-2"/>
        </w:rPr>
        <w:t>time it purchased Station WWRR in 2006</w:t>
      </w:r>
      <w:r w:rsidR="000D6CDB">
        <w:rPr>
          <w:spacing w:val="-2"/>
        </w:rPr>
        <w:t xml:space="preserve"> until February 2010</w:t>
      </w:r>
      <w:r w:rsidRPr="00DE7000">
        <w:rPr>
          <w:spacing w:val="-3"/>
        </w:rPr>
        <w:t>.</w:t>
      </w:r>
      <w:r w:rsidRPr="00DE7000">
        <w:rPr>
          <w:spacing w:val="-2"/>
        </w:rPr>
        <w:t xml:space="preserve"> </w:t>
      </w:r>
      <w:r w:rsidRPr="00DE7000">
        <w:rPr>
          <w:spacing w:val="-3"/>
        </w:rPr>
        <w:t xml:space="preserve"> </w:t>
      </w:r>
      <w:r w:rsidR="00F17E5E" w:rsidRPr="00490D72">
        <w:rPr>
          <w:spacing w:val="-2"/>
        </w:rPr>
        <w:t>Section 11.35(a) of the Rules requires all broadcast stations to ensure that E</w:t>
      </w:r>
      <w:r w:rsidR="00536FD8">
        <w:rPr>
          <w:spacing w:val="-2"/>
        </w:rPr>
        <w:t>AS encoders, EAS decoders, and Attention S</w:t>
      </w:r>
      <w:r w:rsidR="00F17E5E" w:rsidRPr="00490D72">
        <w:rPr>
          <w:spacing w:val="-2"/>
        </w:rPr>
        <w:t>ignal generating and receiving equipme</w:t>
      </w:r>
      <w:r w:rsidR="00536FD8">
        <w:rPr>
          <w:spacing w:val="-2"/>
        </w:rPr>
        <w:t>nt are installed</w:t>
      </w:r>
      <w:r w:rsidR="00F17E5E" w:rsidRPr="00490D72">
        <w:rPr>
          <w:spacing w:val="-2"/>
        </w:rPr>
        <w:t xml:space="preserve"> so that the EAS monitoring and transmitting functions are available during the times a station is in operation.</w:t>
      </w:r>
      <w:r w:rsidR="00F17E5E">
        <w:rPr>
          <w:rStyle w:val="FootnoteReference"/>
          <w:spacing w:val="-2"/>
        </w:rPr>
        <w:footnoteReference w:id="16"/>
      </w:r>
      <w:r w:rsidR="00F17E5E" w:rsidRPr="00490D72">
        <w:rPr>
          <w:spacing w:val="-2"/>
        </w:rPr>
        <w:t xml:space="preserve"> </w:t>
      </w:r>
      <w:r w:rsidR="008D0079">
        <w:rPr>
          <w:spacing w:val="-2"/>
        </w:rPr>
        <w:t xml:space="preserve"> </w:t>
      </w:r>
      <w:r w:rsidR="004B3142">
        <w:rPr>
          <w:spacing w:val="-2"/>
        </w:rPr>
        <w:t xml:space="preserve">It is true, as Bold Gold points out in its </w:t>
      </w:r>
      <w:r w:rsidR="00536FD8">
        <w:rPr>
          <w:i/>
          <w:spacing w:val="-2"/>
        </w:rPr>
        <w:t xml:space="preserve">NAL </w:t>
      </w:r>
      <w:r w:rsidR="004B3142">
        <w:rPr>
          <w:i/>
          <w:iCs/>
          <w:spacing w:val="-2"/>
        </w:rPr>
        <w:t>Response</w:t>
      </w:r>
      <w:r w:rsidR="004B3142">
        <w:rPr>
          <w:spacing w:val="-2"/>
        </w:rPr>
        <w:t>,</w:t>
      </w:r>
      <w:r w:rsidR="00EF1E4C">
        <w:rPr>
          <w:spacing w:val="-2"/>
        </w:rPr>
        <w:t xml:space="preserve"> that co-owned and co-located Stations WICK and WYC</w:t>
      </w:r>
      <w:r w:rsidR="004B3142">
        <w:rPr>
          <w:spacing w:val="-2"/>
        </w:rPr>
        <w:t>K had operational EAS equipment</w:t>
      </w:r>
      <w:r w:rsidR="00645413">
        <w:rPr>
          <w:spacing w:val="-2"/>
        </w:rPr>
        <w:t xml:space="preserve"> at the time of the</w:t>
      </w:r>
      <w:r w:rsidR="00536FD8">
        <w:rPr>
          <w:spacing w:val="-2"/>
        </w:rPr>
        <w:t xml:space="preserve"> inspection</w:t>
      </w:r>
      <w:r w:rsidR="00463FD7">
        <w:rPr>
          <w:spacing w:val="-2"/>
        </w:rPr>
        <w:t>.</w:t>
      </w:r>
      <w:r w:rsidR="00536FD8">
        <w:rPr>
          <w:rStyle w:val="FootnoteReference"/>
          <w:spacing w:val="-2"/>
        </w:rPr>
        <w:footnoteReference w:id="17"/>
      </w:r>
      <w:r w:rsidR="00463FD7">
        <w:rPr>
          <w:spacing w:val="-2"/>
        </w:rPr>
        <w:t xml:space="preserve"> </w:t>
      </w:r>
      <w:r w:rsidR="00BC700E">
        <w:rPr>
          <w:spacing w:val="-2"/>
        </w:rPr>
        <w:t xml:space="preserve"> It is also true, however, that </w:t>
      </w:r>
      <w:r w:rsidR="00645413">
        <w:rPr>
          <w:spacing w:val="-2"/>
        </w:rPr>
        <w:t>S</w:t>
      </w:r>
      <w:r w:rsidR="00B308BC">
        <w:rPr>
          <w:spacing w:val="-2"/>
        </w:rPr>
        <w:t>tation WWRR</w:t>
      </w:r>
      <w:r w:rsidR="008D0079">
        <w:rPr>
          <w:spacing w:val="-2"/>
        </w:rPr>
        <w:t xml:space="preserve"> </w:t>
      </w:r>
      <w:r w:rsidR="001A3229">
        <w:rPr>
          <w:spacing w:val="-2"/>
        </w:rPr>
        <w:t xml:space="preserve">was not connected to the EAS equipment for Stations WICK and WYCK and </w:t>
      </w:r>
      <w:r w:rsidR="00BC700E">
        <w:rPr>
          <w:spacing w:val="-2"/>
        </w:rPr>
        <w:t xml:space="preserve">Bold Gold </w:t>
      </w:r>
      <w:r w:rsidR="001A3229">
        <w:rPr>
          <w:spacing w:val="-2"/>
        </w:rPr>
        <w:t xml:space="preserve">did not have </w:t>
      </w:r>
      <w:r w:rsidR="008D0079">
        <w:rPr>
          <w:spacing w:val="-2"/>
        </w:rPr>
        <w:t xml:space="preserve">EAS equipment </w:t>
      </w:r>
      <w:r w:rsidR="001A3229">
        <w:rPr>
          <w:spacing w:val="-2"/>
        </w:rPr>
        <w:t xml:space="preserve">dedicated to Station WWRR </w:t>
      </w:r>
      <w:r w:rsidR="00B308BC">
        <w:rPr>
          <w:spacing w:val="-2"/>
        </w:rPr>
        <w:t xml:space="preserve">at </w:t>
      </w:r>
      <w:r w:rsidR="00710499">
        <w:rPr>
          <w:spacing w:val="-2"/>
        </w:rPr>
        <w:t>the Plains</w:t>
      </w:r>
      <w:r w:rsidR="00484202">
        <w:rPr>
          <w:spacing w:val="-2"/>
        </w:rPr>
        <w:t xml:space="preserve"> Studio </w:t>
      </w:r>
      <w:r w:rsidR="00710499">
        <w:rPr>
          <w:spacing w:val="-2"/>
        </w:rPr>
        <w:t>or the Scranton</w:t>
      </w:r>
      <w:r w:rsidR="00484202">
        <w:rPr>
          <w:spacing w:val="-2"/>
        </w:rPr>
        <w:t xml:space="preserve"> Main Studio </w:t>
      </w:r>
      <w:r w:rsidR="00BC700E">
        <w:rPr>
          <w:spacing w:val="-2"/>
        </w:rPr>
        <w:t>on the day of the inspection</w:t>
      </w:r>
      <w:r w:rsidR="008D0079">
        <w:rPr>
          <w:spacing w:val="-2"/>
        </w:rPr>
        <w:t xml:space="preserve">.  </w:t>
      </w:r>
      <w:r w:rsidR="004B3142">
        <w:rPr>
          <w:spacing w:val="-2"/>
        </w:rPr>
        <w:t xml:space="preserve">Although the station engineer conducted an EAS test </w:t>
      </w:r>
      <w:r w:rsidR="007B44F5">
        <w:rPr>
          <w:spacing w:val="-2"/>
        </w:rPr>
        <w:t xml:space="preserve">during the inspection </w:t>
      </w:r>
      <w:r w:rsidR="004B3142">
        <w:rPr>
          <w:spacing w:val="-2"/>
        </w:rPr>
        <w:t xml:space="preserve">by </w:t>
      </w:r>
      <w:r w:rsidR="002073A7">
        <w:t>switch</w:t>
      </w:r>
      <w:r w:rsidR="004B3142">
        <w:t>ing</w:t>
      </w:r>
      <w:r w:rsidR="002073A7">
        <w:t xml:space="preserve"> </w:t>
      </w:r>
      <w:r w:rsidR="00645413">
        <w:t xml:space="preserve">Station </w:t>
      </w:r>
      <w:r w:rsidR="001B1B27">
        <w:t>WWRR’s</w:t>
      </w:r>
      <w:r w:rsidR="002073A7" w:rsidRPr="004374D6">
        <w:t xml:space="preserve"> a</w:t>
      </w:r>
      <w:r w:rsidR="002073A7">
        <w:t>udio source</w:t>
      </w:r>
      <w:r w:rsidR="00B308BC">
        <w:t xml:space="preserve"> from the Plains </w:t>
      </w:r>
      <w:r w:rsidR="00484202">
        <w:t>S</w:t>
      </w:r>
      <w:r w:rsidR="002073A7" w:rsidRPr="004374D6">
        <w:t xml:space="preserve">tudio </w:t>
      </w:r>
      <w:r w:rsidR="00B308BC">
        <w:t xml:space="preserve">to the Scranton </w:t>
      </w:r>
      <w:r w:rsidR="00484202">
        <w:t>Main S</w:t>
      </w:r>
      <w:r w:rsidR="002073A7" w:rsidRPr="004374D6">
        <w:t>tudio</w:t>
      </w:r>
      <w:r w:rsidR="004B3142">
        <w:t xml:space="preserve">, the station </w:t>
      </w:r>
      <w:r w:rsidR="00710499">
        <w:t xml:space="preserve">engineer admitted to the agent that such procedure </w:t>
      </w:r>
      <w:r w:rsidR="001B1B27">
        <w:t xml:space="preserve">had not previously been </w:t>
      </w:r>
      <w:r w:rsidR="00710499">
        <w:t>used to conduct an EAS test.</w:t>
      </w:r>
      <w:r w:rsidR="00120674">
        <w:rPr>
          <w:rStyle w:val="FootnoteReference"/>
          <w:spacing w:val="-2"/>
        </w:rPr>
        <w:footnoteReference w:id="18"/>
      </w:r>
      <w:r w:rsidR="002073A7">
        <w:rPr>
          <w:spacing w:val="-2"/>
        </w:rPr>
        <w:t xml:space="preserve"> </w:t>
      </w:r>
      <w:r w:rsidR="004B3142">
        <w:rPr>
          <w:spacing w:val="-2"/>
        </w:rPr>
        <w:t xml:space="preserve"> </w:t>
      </w:r>
      <w:r w:rsidR="00B308BC">
        <w:rPr>
          <w:spacing w:val="-2"/>
        </w:rPr>
        <w:t xml:space="preserve">Accordingly, we find that Bold </w:t>
      </w:r>
      <w:r w:rsidR="009F1CB7">
        <w:rPr>
          <w:spacing w:val="-2"/>
        </w:rPr>
        <w:t xml:space="preserve">Gold </w:t>
      </w:r>
      <w:r w:rsidR="000A7BE5">
        <w:rPr>
          <w:spacing w:val="-2"/>
        </w:rPr>
        <w:t xml:space="preserve">willfully and repeatedly </w:t>
      </w:r>
      <w:r w:rsidR="00B308BC">
        <w:rPr>
          <w:spacing w:val="-2"/>
        </w:rPr>
        <w:t>failed to install and maintain operational EAS equipment for Station WWRR</w:t>
      </w:r>
      <w:r w:rsidR="00463FD7">
        <w:rPr>
          <w:spacing w:val="-2"/>
        </w:rPr>
        <w:t xml:space="preserve"> in violation of Section 11.35 of the Rules</w:t>
      </w:r>
      <w:r w:rsidR="00B308BC">
        <w:rPr>
          <w:spacing w:val="-2"/>
        </w:rPr>
        <w:t>.</w:t>
      </w:r>
      <w:r w:rsidR="00305322">
        <w:rPr>
          <w:rStyle w:val="FootnoteReference"/>
          <w:spacing w:val="-2"/>
        </w:rPr>
        <w:footnoteReference w:id="19"/>
      </w:r>
    </w:p>
    <w:p w:rsidR="00B31013" w:rsidRDefault="009F1CB7" w:rsidP="00AA6DF3">
      <w:pPr>
        <w:widowControl w:val="0"/>
        <w:numPr>
          <w:ilvl w:val="0"/>
          <w:numId w:val="1"/>
        </w:numPr>
        <w:tabs>
          <w:tab w:val="clear" w:pos="1080"/>
          <w:tab w:val="left" w:pos="0"/>
          <w:tab w:val="num" w:pos="1440"/>
        </w:tabs>
        <w:suppressAutoHyphens/>
        <w:autoSpaceDE w:val="0"/>
        <w:autoSpaceDN w:val="0"/>
        <w:adjustRightInd w:val="0"/>
        <w:spacing w:after="120"/>
      </w:pPr>
      <w:r w:rsidRPr="00B31013">
        <w:rPr>
          <w:spacing w:val="-2"/>
        </w:rPr>
        <w:t>We nevertheless find that a reduction in the forfeiture is warranted</w:t>
      </w:r>
      <w:r w:rsidR="005A5483" w:rsidRPr="00B31013">
        <w:rPr>
          <w:spacing w:val="-2"/>
        </w:rPr>
        <w:t xml:space="preserve">.  Bold Gold claims that the </w:t>
      </w:r>
      <w:r w:rsidR="005A5483" w:rsidRPr="00B31013">
        <w:rPr>
          <w:i/>
          <w:spacing w:val="-2"/>
        </w:rPr>
        <w:t xml:space="preserve">NAL </w:t>
      </w:r>
      <w:r w:rsidR="005A5483" w:rsidRPr="00B31013">
        <w:rPr>
          <w:spacing w:val="-2"/>
        </w:rPr>
        <w:t>did not take into account its history of compliance with the Rules or its efforts to secur</w:t>
      </w:r>
      <w:r w:rsidR="00B31013">
        <w:rPr>
          <w:spacing w:val="-2"/>
        </w:rPr>
        <w:t>e EAS equipment for the Plains S</w:t>
      </w:r>
      <w:r w:rsidR="005A5483" w:rsidRPr="00B31013">
        <w:rPr>
          <w:spacing w:val="-2"/>
        </w:rPr>
        <w:t>tudio prior to the agent’s inspection</w:t>
      </w:r>
      <w:r w:rsidR="00B31013" w:rsidRPr="00B31013">
        <w:rPr>
          <w:spacing w:val="-2"/>
        </w:rPr>
        <w:t>.</w:t>
      </w:r>
      <w:r w:rsidR="0063036F">
        <w:rPr>
          <w:rStyle w:val="FootnoteReference"/>
          <w:spacing w:val="-2"/>
        </w:rPr>
        <w:footnoteReference w:id="20"/>
      </w:r>
      <w:r w:rsidR="00B31013" w:rsidRPr="00B31013">
        <w:rPr>
          <w:spacing w:val="-2"/>
        </w:rPr>
        <w:t xml:space="preserve">  After reviewing the Commission’s records, we agree that a reduction based on Bold Gold’s history of compliance is warranted.  We also agree that a reduction is warranted in light of evidence that Bold Gold contracted to acquire EAS equipment for the Plains Studio prior to the</w:t>
      </w:r>
      <w:r w:rsidR="001329D8">
        <w:rPr>
          <w:spacing w:val="-2"/>
        </w:rPr>
        <w:t xml:space="preserve"> inspection</w:t>
      </w:r>
      <w:r w:rsidR="00B31013" w:rsidRPr="00B31013">
        <w:rPr>
          <w:spacing w:val="-2"/>
        </w:rPr>
        <w:t>.</w:t>
      </w:r>
      <w:r w:rsidR="003B67A0">
        <w:rPr>
          <w:rStyle w:val="FootnoteReference"/>
          <w:spacing w:val="-2"/>
        </w:rPr>
        <w:footnoteReference w:id="21"/>
      </w:r>
      <w:r w:rsidR="00B31013" w:rsidRPr="00B31013">
        <w:rPr>
          <w:spacing w:val="-2"/>
        </w:rPr>
        <w:t xml:space="preserve"> </w:t>
      </w:r>
      <w:r w:rsidR="001329D8">
        <w:rPr>
          <w:spacing w:val="-2"/>
        </w:rPr>
        <w:t xml:space="preserve"> </w:t>
      </w:r>
      <w:r w:rsidR="005A5483" w:rsidRPr="00B31013">
        <w:rPr>
          <w:spacing w:val="-2"/>
        </w:rPr>
        <w:t>Accordingly, w</w:t>
      </w:r>
      <w:r w:rsidRPr="00B31013">
        <w:rPr>
          <w:spacing w:val="-2"/>
        </w:rPr>
        <w:t xml:space="preserve">e conclude that </w:t>
      </w:r>
      <w:r w:rsidR="00B50576" w:rsidRPr="00B31013">
        <w:rPr>
          <w:spacing w:val="-2"/>
        </w:rPr>
        <w:t xml:space="preserve">a reduction in the </w:t>
      </w:r>
      <w:r w:rsidR="001329D8">
        <w:rPr>
          <w:spacing w:val="-2"/>
        </w:rPr>
        <w:t xml:space="preserve">forfeiture </w:t>
      </w:r>
      <w:r w:rsidR="00B50576" w:rsidRPr="00B31013">
        <w:rPr>
          <w:spacing w:val="-2"/>
        </w:rPr>
        <w:t xml:space="preserve">amount </w:t>
      </w:r>
      <w:r w:rsidR="00B31013" w:rsidRPr="00B31013">
        <w:rPr>
          <w:spacing w:val="-2"/>
        </w:rPr>
        <w:t xml:space="preserve">from $10,000 to </w:t>
      </w:r>
      <w:r w:rsidR="00B50576" w:rsidRPr="00B31013">
        <w:rPr>
          <w:spacing w:val="-2"/>
        </w:rPr>
        <w:t>$</w:t>
      </w:r>
      <w:r w:rsidR="00B31013" w:rsidRPr="00B31013">
        <w:rPr>
          <w:spacing w:val="-2"/>
        </w:rPr>
        <w:t>6</w:t>
      </w:r>
      <w:r w:rsidR="00B50576" w:rsidRPr="00B31013">
        <w:rPr>
          <w:spacing w:val="-2"/>
        </w:rPr>
        <w:t>,000 is warranted.</w:t>
      </w:r>
      <w:r w:rsidR="002316FF" w:rsidRPr="00B31013">
        <w:rPr>
          <w:spacing w:val="-2"/>
        </w:rPr>
        <w:t xml:space="preserve">  </w:t>
      </w:r>
    </w:p>
    <w:p w:rsidR="00463FD7" w:rsidRDefault="000F467B" w:rsidP="00AA6DF3">
      <w:pPr>
        <w:widowControl w:val="0"/>
        <w:numPr>
          <w:ilvl w:val="0"/>
          <w:numId w:val="3"/>
        </w:numPr>
        <w:tabs>
          <w:tab w:val="clear" w:pos="1080"/>
        </w:tabs>
        <w:suppressAutoHyphens/>
        <w:autoSpaceDE w:val="0"/>
        <w:autoSpaceDN w:val="0"/>
        <w:adjustRightInd w:val="0"/>
        <w:spacing w:after="120"/>
        <w:ind w:left="0" w:firstLine="0"/>
        <w:rPr>
          <w:b/>
        </w:rPr>
      </w:pPr>
      <w:bookmarkStart w:id="3" w:name="_Toc70235218"/>
      <w:r>
        <w:rPr>
          <w:b/>
        </w:rPr>
        <w:t>ORDERING CLAUSES</w:t>
      </w:r>
      <w:bookmarkEnd w:id="3"/>
    </w:p>
    <w:p w:rsidR="00463FD7" w:rsidRPr="00EF3A53" w:rsidRDefault="000F467B" w:rsidP="00AA6DF3">
      <w:pPr>
        <w:widowControl w:val="0"/>
        <w:numPr>
          <w:ilvl w:val="0"/>
          <w:numId w:val="1"/>
        </w:numPr>
        <w:tabs>
          <w:tab w:val="clear" w:pos="1080"/>
          <w:tab w:val="left" w:pos="0"/>
          <w:tab w:val="num" w:pos="1440"/>
          <w:tab w:val="num" w:pos="1800"/>
        </w:tabs>
        <w:suppressAutoHyphens/>
        <w:autoSpaceDE w:val="0"/>
        <w:autoSpaceDN w:val="0"/>
        <w:adjustRightInd w:val="0"/>
        <w:spacing w:after="120"/>
        <w:rPr>
          <w:b/>
        </w:rPr>
      </w:pPr>
      <w:r>
        <w:t xml:space="preserve">Accordingly, </w:t>
      </w:r>
      <w:r>
        <w:rPr>
          <w:b/>
        </w:rPr>
        <w:t>IT IS ORDERED</w:t>
      </w:r>
      <w:r>
        <w:t xml:space="preserve"> that, pursuant to Section 503(b) of the</w:t>
      </w:r>
      <w:r w:rsidR="000D1951">
        <w:t xml:space="preserve"> Act</w:t>
      </w:r>
      <w:r>
        <w:t>, and Sections 0.111, 0.204, 0.311, 0.314, and 1.80(f)(</w:t>
      </w:r>
      <w:r w:rsidR="000D1951">
        <w:t>4) of the Rules</w:t>
      </w:r>
      <w:r>
        <w:t xml:space="preserve">, </w:t>
      </w:r>
      <w:r w:rsidR="00463FD7">
        <w:rPr>
          <w:color w:val="000000"/>
        </w:rPr>
        <w:t xml:space="preserve">Bold Gold Media WBS, L.P. </w:t>
      </w:r>
      <w:r>
        <w:rPr>
          <w:b/>
        </w:rPr>
        <w:t>IS LIABLE FOR A MONETARY FORFEITURE</w:t>
      </w:r>
      <w:r>
        <w:t xml:space="preserve"> in the amount of </w:t>
      </w:r>
      <w:r w:rsidR="008278EF">
        <w:t xml:space="preserve">six thousand dollars ($6,000) </w:t>
      </w:r>
      <w:r>
        <w:t>for viol</w:t>
      </w:r>
      <w:r w:rsidR="00463FD7">
        <w:t>ation of Section</w:t>
      </w:r>
      <w:r w:rsidR="000D1951">
        <w:t xml:space="preserve"> 11.35 of the Rules</w:t>
      </w:r>
      <w:r>
        <w:t>.</w:t>
      </w:r>
      <w:r>
        <w:rPr>
          <w:rStyle w:val="FootnoteReference"/>
        </w:rPr>
        <w:footnoteReference w:id="22"/>
      </w:r>
      <w:r>
        <w:t xml:space="preserve"> </w:t>
      </w:r>
    </w:p>
    <w:p w:rsidR="000D1951" w:rsidRPr="000D1951" w:rsidRDefault="000F467B" w:rsidP="001329D8">
      <w:pPr>
        <w:numPr>
          <w:ilvl w:val="0"/>
          <w:numId w:val="1"/>
        </w:numPr>
        <w:tabs>
          <w:tab w:val="clear" w:pos="1080"/>
          <w:tab w:val="left" w:pos="0"/>
          <w:tab w:val="num" w:pos="1440"/>
          <w:tab w:val="num" w:pos="1800"/>
        </w:tabs>
        <w:suppressAutoHyphens/>
        <w:autoSpaceDE w:val="0"/>
        <w:autoSpaceDN w:val="0"/>
        <w:adjustRightInd w:val="0"/>
        <w:spacing w:after="120"/>
        <w:rPr>
          <w:b/>
        </w:rPr>
      </w:pPr>
      <w:r>
        <w:t>Payment</w:t>
      </w:r>
      <w:r>
        <w:rPr>
          <w:rFonts w:eastAsia="MS Mincho"/>
        </w:rPr>
        <w:t xml:space="preserve"> of the forfeiture shall be made in the manner provided for in Section 1.80 of the Rules within thirty (30) calendar days after the </w:t>
      </w:r>
      <w:r w:rsidR="000D1951">
        <w:rPr>
          <w:rFonts w:eastAsia="MS Mincho"/>
        </w:rPr>
        <w:t xml:space="preserve">release date of this </w:t>
      </w:r>
      <w:r>
        <w:rPr>
          <w:rFonts w:eastAsia="MS Mincho"/>
        </w:rPr>
        <w:t>Order.</w:t>
      </w:r>
      <w:r>
        <w:rPr>
          <w:rStyle w:val="FootnoteReference"/>
          <w:rFonts w:eastAsia="MS Mincho"/>
          <w:sz w:val="22"/>
          <w:szCs w:val="22"/>
        </w:rPr>
        <w:footnoteReference w:id="23"/>
      </w:r>
      <w:r>
        <w:rPr>
          <w:rFonts w:eastAsia="MS Mincho"/>
        </w:rPr>
        <w:t xml:space="preserve">  If the forfeiture is not paid within the period specified, the case may be referred to the U.S. Department of Justice for enforcement of the forfeiture pursuant to Section 504(a) of the Act.</w:t>
      </w:r>
      <w:r>
        <w:rPr>
          <w:rStyle w:val="FootnoteReference"/>
          <w:rFonts w:eastAsia="MS Mincho"/>
          <w:sz w:val="22"/>
          <w:szCs w:val="22"/>
        </w:rPr>
        <w:footnoteReference w:id="24"/>
      </w:r>
      <w:r>
        <w:rPr>
          <w:rFonts w:eastAsia="MS Mincho"/>
        </w:rPr>
        <w:t xml:space="preserve">  </w:t>
      </w:r>
      <w:r w:rsidR="00463FD7">
        <w:rPr>
          <w:color w:val="000000"/>
        </w:rPr>
        <w:t xml:space="preserve">Bold Gold Media WBS, L.P. </w:t>
      </w:r>
      <w:r>
        <w:rPr>
          <w:rFonts w:eastAsia="MS Mincho"/>
        </w:rPr>
        <w:t xml:space="preserve">shall send electronic notification of payment to </w:t>
      </w:r>
      <w:r w:rsidR="000D1951">
        <w:t>NER</w:t>
      </w:r>
      <w:r>
        <w:t>-Response@fcc.gov</w:t>
      </w:r>
      <w:r>
        <w:rPr>
          <w:rFonts w:eastAsia="MS Mincho"/>
        </w:rPr>
        <w:t xml:space="preserve"> on the date said payment is made.</w:t>
      </w:r>
      <w:r>
        <w:t xml:space="preserve">  </w:t>
      </w:r>
    </w:p>
    <w:p w:rsidR="000F467B" w:rsidRPr="00463FD7" w:rsidRDefault="000F467B" w:rsidP="00AA6DF3">
      <w:pPr>
        <w:numPr>
          <w:ilvl w:val="0"/>
          <w:numId w:val="1"/>
        </w:numPr>
        <w:tabs>
          <w:tab w:val="clear" w:pos="1080"/>
          <w:tab w:val="left" w:pos="0"/>
          <w:tab w:val="num" w:pos="1440"/>
          <w:tab w:val="num" w:pos="1800"/>
        </w:tabs>
        <w:suppressAutoHyphens/>
        <w:autoSpaceDE w:val="0"/>
        <w:autoSpaceDN w:val="0"/>
        <w:adjustRightInd w:val="0"/>
        <w:spacing w:after="120"/>
        <w:rPr>
          <w:b/>
        </w:rPr>
      </w:pPr>
      <w:r>
        <w:rPr>
          <w:rFonts w:eastAsia="MS Mincho"/>
        </w:rPr>
        <w:t>The </w:t>
      </w:r>
      <w:r>
        <w:t>payment</w:t>
      </w:r>
      <w:r>
        <w:rPr>
          <w:rFonts w:eastAsia="MS Mincho"/>
        </w:rPr>
        <w:t xml:space="preserve"> must be made by check or similar instrument, wire transfer, or credit card, an</w:t>
      </w:r>
      <w:r w:rsidR="000D1951">
        <w:rPr>
          <w:rFonts w:eastAsia="MS Mincho"/>
        </w:rPr>
        <w:t>d must include the NAL/Account N</w:t>
      </w:r>
      <w:r>
        <w:rPr>
          <w:rFonts w:eastAsia="MS Mincho"/>
        </w:rPr>
        <w:t>umber and FRN referenced above.  Regardless of the form of payment, a completed FCC Form 159 (Remittance Advice) must be submitted.</w:t>
      </w:r>
      <w:r>
        <w:rPr>
          <w:rStyle w:val="FootnoteReference"/>
          <w:rFonts w:eastAsia="MS Mincho"/>
          <w:sz w:val="22"/>
          <w:szCs w:val="22"/>
        </w:rPr>
        <w:footnoteReference w:id="25"/>
      </w:r>
      <w:r>
        <w:rPr>
          <w:rFonts w:eastAsia="MS Mincho"/>
        </w:rPr>
        <w:t xml:space="preserve">  When completing the FCC Form 159, enter the Account Number in block number 23A (call sign/other ID) and enter the letters “FORF” in block nu</w:t>
      </w:r>
      <w:r w:rsidR="000D1951">
        <w:rPr>
          <w:rFonts w:eastAsia="MS Mincho"/>
        </w:rPr>
        <w:t>mber 24A (payment type code).  </w:t>
      </w:r>
      <w:r>
        <w:rPr>
          <w:color w:val="000000"/>
        </w:rPr>
        <w:t xml:space="preserve">Below are additional instructions you should follow based on the form of payment </w:t>
      </w:r>
      <w:r w:rsidRPr="00463FD7">
        <w:t>you</w:t>
      </w:r>
      <w:r>
        <w:rPr>
          <w:color w:val="000000"/>
        </w:rPr>
        <w:t xml:space="preserve"> select:</w:t>
      </w:r>
    </w:p>
    <w:p w:rsidR="000F467B" w:rsidRDefault="000F467B">
      <w:pPr>
        <w:pStyle w:val="ParaNum"/>
        <w:widowControl w:val="0"/>
        <w:numPr>
          <w:ilvl w:val="0"/>
          <w:numId w:val="11"/>
        </w:numPr>
        <w:snapToGrid w:val="0"/>
        <w:spacing w:after="120"/>
        <w:rPr>
          <w:rFonts w:eastAsia="MS Mincho"/>
        </w:rPr>
      </w:pPr>
      <w:r>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0F467B" w:rsidRDefault="000F467B">
      <w:pPr>
        <w:pStyle w:val="ParaNum"/>
        <w:widowControl w:val="0"/>
        <w:numPr>
          <w:ilvl w:val="0"/>
          <w:numId w:val="11"/>
        </w:numPr>
        <w:snapToGrid w:val="0"/>
        <w:spacing w:after="120"/>
        <w:rPr>
          <w:rFonts w:eastAsia="MS Mincho"/>
        </w:rPr>
      </w:pPr>
      <w:r>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0F467B" w:rsidRDefault="000F467B">
      <w:pPr>
        <w:pStyle w:val="ParaNum"/>
        <w:widowControl w:val="0"/>
        <w:numPr>
          <w:ilvl w:val="0"/>
          <w:numId w:val="11"/>
        </w:numPr>
        <w:snapToGrid w:val="0"/>
        <w:spacing w:after="120"/>
        <w:rPr>
          <w:rFonts w:eastAsia="MS Mincho"/>
        </w:rPr>
      </w:pPr>
      <w:r>
        <w:rPr>
          <w:rFonts w:eastAsia="MS Mincho"/>
        </w:rPr>
        <w:t>Payment by credit card must be made by providing the required credit card information on FCC Form 159 and signing and dating the Form 159 to autho</w:t>
      </w:r>
      <w:r w:rsidR="000D1951">
        <w:rPr>
          <w:rFonts w:eastAsia="MS Mincho"/>
        </w:rPr>
        <w:t xml:space="preserve">rize the credit card payment.  </w:t>
      </w:r>
      <w:r>
        <w:rPr>
          <w:rFonts w:eastAsia="MS Mincho"/>
        </w:rPr>
        <w:t xml:space="preserve">The completed Form 159 must then be mailed to Federal Communications Commission, P.O. Box 979088, St. Louis, MO 63197-9000, or sent via overnight mail to U.S. Bank – Government Lockbox #979088, SL-MO-C2-GL, 1005 Convention Plaza, St. Louis, MO 63101.  </w:t>
      </w:r>
    </w:p>
    <w:p w:rsidR="00463FD7" w:rsidRPr="00EF3A53" w:rsidRDefault="00463FD7" w:rsidP="00AA6DF3">
      <w:pPr>
        <w:widowControl w:val="0"/>
        <w:numPr>
          <w:ilvl w:val="0"/>
          <w:numId w:val="1"/>
        </w:numPr>
        <w:tabs>
          <w:tab w:val="clear" w:pos="1080"/>
          <w:tab w:val="left" w:pos="0"/>
          <w:tab w:val="num" w:pos="1440"/>
          <w:tab w:val="num" w:pos="1800"/>
        </w:tabs>
        <w:suppressAutoHyphens/>
        <w:autoSpaceDE w:val="0"/>
        <w:autoSpaceDN w:val="0"/>
        <w:adjustRightInd w:val="0"/>
        <w:spacing w:after="120"/>
        <w:rPr>
          <w:color w:val="000000"/>
        </w:rPr>
      </w:pPr>
      <w:r>
        <w:rPr>
          <w:rFonts w:eastAsia="MS Mincho"/>
        </w:rPr>
        <w:t xml:space="preserve">Any request for making full payment over time under an installment plan </w:t>
      </w:r>
      <w:r w:rsidR="000F467B">
        <w:rPr>
          <w:rFonts w:eastAsia="MS Mincho"/>
        </w:rPr>
        <w:t>should be sent to:  Chief Financial Officer—</w:t>
      </w:r>
      <w:r w:rsidR="000F467B">
        <w:t>Financial</w:t>
      </w:r>
      <w:r w:rsidR="000F467B">
        <w:rPr>
          <w:rFonts w:eastAsia="MS Mincho"/>
        </w:rPr>
        <w:t xml:space="preserve"> Operations, Federal Communications Commission, 445 12th Street, S.W., Room 1-A625, Washington, D.C.  20554.</w:t>
      </w:r>
      <w:r w:rsidR="000F467B">
        <w:rPr>
          <w:rStyle w:val="FootnoteReference"/>
          <w:rFonts w:eastAsia="MS Mincho"/>
          <w:sz w:val="22"/>
          <w:szCs w:val="22"/>
        </w:rPr>
        <w:footnoteReference w:id="26"/>
      </w:r>
      <w:r w:rsidR="000F467B">
        <w:rPr>
          <w:rFonts w:eastAsia="MS Mincho"/>
        </w:rPr>
        <w:t>  If you have questions regarding payment procedures, please contact the Financial Operations Group Help Desk by phone, 1-877-480-3201, or by e</w:t>
      </w:r>
      <w:r w:rsidR="000F467B">
        <w:rPr>
          <w:rFonts w:eastAsia="MS Mincho"/>
        </w:rPr>
        <w:noBreakHyphen/>
        <w:t xml:space="preserve">mail, </w:t>
      </w:r>
      <w:hyperlink r:id="rId8" w:history="1">
        <w:r w:rsidR="000F467B" w:rsidRPr="00305322">
          <w:rPr>
            <w:rStyle w:val="Hyperlink"/>
            <w:rFonts w:eastAsia="MS Mincho"/>
            <w:color w:val="auto"/>
            <w:u w:val="none"/>
          </w:rPr>
          <w:t>ARINQUIRIES@fcc.gov</w:t>
        </w:r>
      </w:hyperlink>
      <w:r w:rsidR="000F467B">
        <w:rPr>
          <w:rFonts w:eastAsia="MS Mincho"/>
        </w:rPr>
        <w:t>.</w:t>
      </w:r>
    </w:p>
    <w:p w:rsidR="000F467B" w:rsidRDefault="000D1951" w:rsidP="00AA6DF3">
      <w:pPr>
        <w:widowControl w:val="0"/>
        <w:numPr>
          <w:ilvl w:val="0"/>
          <w:numId w:val="1"/>
        </w:numPr>
        <w:tabs>
          <w:tab w:val="clear" w:pos="1080"/>
          <w:tab w:val="left" w:pos="0"/>
          <w:tab w:val="num" w:pos="1440"/>
          <w:tab w:val="num" w:pos="1800"/>
        </w:tabs>
        <w:suppressAutoHyphens/>
        <w:autoSpaceDE w:val="0"/>
        <w:autoSpaceDN w:val="0"/>
        <w:adjustRightInd w:val="0"/>
        <w:spacing w:after="120"/>
        <w:rPr>
          <w:color w:val="000000"/>
        </w:rPr>
      </w:pPr>
      <w:r>
        <w:rPr>
          <w:b/>
        </w:rPr>
        <w:br w:type="page"/>
      </w:r>
      <w:r w:rsidR="000F467B">
        <w:rPr>
          <w:b/>
        </w:rPr>
        <w:t>IT IS FURTHER ORDERED</w:t>
      </w:r>
      <w:r w:rsidR="000F467B">
        <w:t xml:space="preserve"> that a copy of this Order shall be sent by both First Class and Certified Mail, Return Receipt Requested, to </w:t>
      </w:r>
      <w:r w:rsidR="008278EF">
        <w:rPr>
          <w:color w:val="000000"/>
        </w:rPr>
        <w:t xml:space="preserve">Bold Gold Media WBS, L.P. at </w:t>
      </w:r>
      <w:r w:rsidR="008278EF" w:rsidRPr="008278EF">
        <w:t>1049 North Sekol Road</w:t>
      </w:r>
      <w:r w:rsidR="008278EF">
        <w:t>, Scranton, P</w:t>
      </w:r>
      <w:r w:rsidR="00AD0E55">
        <w:t xml:space="preserve">ennsylvania, </w:t>
      </w:r>
      <w:r w:rsidR="008278EF" w:rsidRPr="008278EF">
        <w:t>18504</w:t>
      </w:r>
      <w:r w:rsidR="008278EF">
        <w:t xml:space="preserve"> and to Robert Lewis Thompson, Counsel for </w:t>
      </w:r>
      <w:r w:rsidR="008278EF">
        <w:rPr>
          <w:color w:val="000000"/>
        </w:rPr>
        <w:t>Bold Gold Media WBS, L.P., at Smithwick &amp; Belendiuk, PC at 5028 Wisconsin Avenue, N.W., #310, Washington, DC 20016</w:t>
      </w:r>
      <w:r w:rsidR="000F467B">
        <w:rPr>
          <w:spacing w:val="-2"/>
        </w:rPr>
        <w:t>.</w:t>
      </w:r>
    </w:p>
    <w:p w:rsidR="000F467B" w:rsidRDefault="000F467B">
      <w:pPr>
        <w:widowControl w:val="0"/>
        <w:tabs>
          <w:tab w:val="left" w:pos="0"/>
        </w:tabs>
        <w:suppressAutoHyphens/>
        <w:autoSpaceDE w:val="0"/>
        <w:autoSpaceDN w:val="0"/>
        <w:adjustRightInd w:val="0"/>
        <w:spacing w:line="240" w:lineRule="atLeast"/>
        <w:ind w:left="720"/>
        <w:rPr>
          <w:color w:val="000000"/>
        </w:rPr>
      </w:pPr>
    </w:p>
    <w:p w:rsidR="000F467B" w:rsidRDefault="000F467B">
      <w:pPr>
        <w:pStyle w:val="ParaNum"/>
        <w:numPr>
          <w:ilvl w:val="0"/>
          <w:numId w:val="0"/>
        </w:numPr>
        <w:spacing w:after="0"/>
        <w:ind w:left="4320"/>
      </w:pPr>
      <w:r>
        <w:t>FEDERAL COMMUNICATIONS COMMISSION</w:t>
      </w:r>
    </w:p>
    <w:p w:rsidR="000F467B" w:rsidRDefault="000F467B">
      <w:pPr>
        <w:pStyle w:val="ParaNum"/>
        <w:numPr>
          <w:ilvl w:val="0"/>
          <w:numId w:val="0"/>
        </w:numPr>
        <w:spacing w:after="0"/>
        <w:ind w:left="4320"/>
      </w:pPr>
    </w:p>
    <w:p w:rsidR="000F467B" w:rsidRDefault="000F467B">
      <w:pPr>
        <w:pStyle w:val="ParaNum"/>
        <w:numPr>
          <w:ilvl w:val="0"/>
          <w:numId w:val="0"/>
        </w:numPr>
        <w:spacing w:after="0"/>
        <w:ind w:left="4320"/>
      </w:pPr>
    </w:p>
    <w:p w:rsidR="000F467B" w:rsidRPr="00AA6DF3" w:rsidRDefault="000F467B">
      <w:pPr>
        <w:pStyle w:val="ParaNum"/>
        <w:numPr>
          <w:ilvl w:val="0"/>
          <w:numId w:val="0"/>
        </w:numPr>
        <w:spacing w:after="0"/>
        <w:ind w:left="4320"/>
      </w:pPr>
    </w:p>
    <w:p w:rsidR="00EF3A53" w:rsidRDefault="00EF3A53">
      <w:pPr>
        <w:pStyle w:val="ParaNum"/>
        <w:numPr>
          <w:ilvl w:val="0"/>
          <w:numId w:val="0"/>
        </w:numPr>
        <w:spacing w:after="0"/>
        <w:ind w:left="4320"/>
      </w:pPr>
    </w:p>
    <w:p w:rsidR="00305322" w:rsidRDefault="00305322" w:rsidP="00EF3A53">
      <w:pPr>
        <w:pStyle w:val="ParaNum"/>
        <w:numPr>
          <w:ilvl w:val="0"/>
          <w:numId w:val="0"/>
        </w:numPr>
        <w:spacing w:after="0"/>
        <w:ind w:left="3600" w:firstLine="720"/>
      </w:pPr>
      <w:r>
        <w:t>G. Michael Moffitt</w:t>
      </w:r>
    </w:p>
    <w:p w:rsidR="00305322" w:rsidRDefault="00305322">
      <w:pPr>
        <w:pStyle w:val="ParaNum"/>
        <w:numPr>
          <w:ilvl w:val="0"/>
          <w:numId w:val="0"/>
        </w:numPr>
        <w:spacing w:after="0"/>
        <w:ind w:left="3600" w:firstLine="720"/>
      </w:pPr>
      <w:r>
        <w:t>Regional Director</w:t>
      </w:r>
    </w:p>
    <w:p w:rsidR="000F467B" w:rsidRDefault="00305322">
      <w:pPr>
        <w:pStyle w:val="ParaNum"/>
        <w:numPr>
          <w:ilvl w:val="0"/>
          <w:numId w:val="0"/>
        </w:numPr>
        <w:spacing w:after="0"/>
        <w:ind w:left="3600" w:firstLine="720"/>
      </w:pPr>
      <w:r>
        <w:t>Northeast</w:t>
      </w:r>
      <w:r w:rsidR="000F467B">
        <w:t xml:space="preserve"> Region</w:t>
      </w:r>
    </w:p>
    <w:p w:rsidR="000F467B" w:rsidRDefault="000F467B">
      <w:pPr>
        <w:pStyle w:val="ParaNum"/>
        <w:numPr>
          <w:ilvl w:val="0"/>
          <w:numId w:val="0"/>
        </w:numPr>
        <w:spacing w:after="0"/>
        <w:ind w:left="3600" w:firstLine="720"/>
      </w:pPr>
      <w:r>
        <w:t>Enforcement Bureau</w:t>
      </w:r>
    </w:p>
    <w:sectPr w:rsidR="000F467B" w:rsidSect="000F467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DD" w:rsidRDefault="008712DD">
      <w:r>
        <w:separator/>
      </w:r>
    </w:p>
  </w:endnote>
  <w:endnote w:type="continuationSeparator" w:id="0">
    <w:p w:rsidR="008712DD" w:rsidRDefault="008712DD">
      <w:r>
        <w:continuationSeparator/>
      </w:r>
    </w:p>
  </w:endnote>
  <w:endnote w:type="continuationNotice" w:id="1">
    <w:p w:rsidR="008712DD" w:rsidRDefault="00871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19" w:rsidRDefault="00D15211">
    <w:pPr>
      <w:pStyle w:val="Footer"/>
      <w:framePr w:wrap="around" w:vAnchor="text" w:hAnchor="margin" w:xAlign="center" w:y="1"/>
      <w:rPr>
        <w:rStyle w:val="PageNumber"/>
      </w:rPr>
    </w:pPr>
    <w:r>
      <w:rPr>
        <w:rStyle w:val="PageNumber"/>
      </w:rPr>
      <w:fldChar w:fldCharType="begin"/>
    </w:r>
    <w:r w:rsidR="005E0619">
      <w:rPr>
        <w:rStyle w:val="PageNumber"/>
      </w:rPr>
      <w:instrText xml:space="preserve">PAGE  </w:instrText>
    </w:r>
    <w:r>
      <w:rPr>
        <w:rStyle w:val="PageNumber"/>
      </w:rPr>
      <w:fldChar w:fldCharType="end"/>
    </w:r>
  </w:p>
  <w:p w:rsidR="005E0619" w:rsidRDefault="005E0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19" w:rsidRDefault="00D15211">
    <w:pPr>
      <w:pStyle w:val="Footer"/>
      <w:framePr w:wrap="around" w:vAnchor="text" w:hAnchor="margin" w:xAlign="center" w:y="1"/>
      <w:rPr>
        <w:rStyle w:val="PageNumber"/>
        <w:sz w:val="20"/>
        <w:szCs w:val="20"/>
      </w:rPr>
    </w:pPr>
    <w:r>
      <w:rPr>
        <w:rStyle w:val="PageNumber"/>
        <w:sz w:val="20"/>
        <w:szCs w:val="20"/>
      </w:rPr>
      <w:fldChar w:fldCharType="begin"/>
    </w:r>
    <w:r w:rsidR="005E0619">
      <w:rPr>
        <w:rStyle w:val="PageNumber"/>
        <w:sz w:val="20"/>
        <w:szCs w:val="20"/>
      </w:rPr>
      <w:instrText xml:space="preserve">PAGE  </w:instrText>
    </w:r>
    <w:r>
      <w:rPr>
        <w:rStyle w:val="PageNumber"/>
        <w:sz w:val="20"/>
        <w:szCs w:val="20"/>
      </w:rPr>
      <w:fldChar w:fldCharType="separate"/>
    </w:r>
    <w:r w:rsidR="009574EE">
      <w:rPr>
        <w:rStyle w:val="PageNumber"/>
        <w:noProof/>
        <w:sz w:val="20"/>
        <w:szCs w:val="20"/>
      </w:rPr>
      <w:t>3</w:t>
    </w:r>
    <w:r>
      <w:rPr>
        <w:rStyle w:val="PageNumber"/>
        <w:sz w:val="20"/>
        <w:szCs w:val="20"/>
      </w:rPr>
      <w:fldChar w:fldCharType="end"/>
    </w:r>
  </w:p>
  <w:p w:rsidR="005E0619" w:rsidRDefault="005E0619">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C1" w:rsidRDefault="00625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DD" w:rsidRDefault="008712DD">
      <w:r>
        <w:separator/>
      </w:r>
    </w:p>
  </w:footnote>
  <w:footnote w:type="continuationSeparator" w:id="0">
    <w:p w:rsidR="008712DD" w:rsidRDefault="008712DD">
      <w:r>
        <w:continuationSeparator/>
      </w:r>
    </w:p>
  </w:footnote>
  <w:footnote w:type="continuationNotice" w:id="1">
    <w:p w:rsidR="008712DD" w:rsidRDefault="008712DD"/>
  </w:footnote>
  <w:footnote w:id="2">
    <w:p w:rsidR="00A72211" w:rsidRPr="000C7682" w:rsidRDefault="00A72211" w:rsidP="00A72211">
      <w:pPr>
        <w:pStyle w:val="FootnoteText"/>
        <w:ind w:firstLine="0"/>
        <w:jc w:val="left"/>
      </w:pPr>
      <w:r>
        <w:rPr>
          <w:rStyle w:val="FootnoteReference"/>
        </w:rPr>
        <w:footnoteRef/>
      </w:r>
      <w:r>
        <w:t xml:space="preserve"> The Notice of Apparent Liability for Forfeiture in this case was mistakenly issued to Bold Gold Media Group, Inc. and not to Bold Gold Media WBS, L.P., the licensee of Station WWRR.  </w:t>
      </w:r>
      <w:r>
        <w:rPr>
          <w:i/>
          <w:iCs/>
        </w:rPr>
        <w:t>See Bold Media Group, Inc.</w:t>
      </w:r>
      <w:r>
        <w:t xml:space="preserve">, </w:t>
      </w:r>
      <w:r w:rsidR="00F211E5">
        <w:t xml:space="preserve">Notice of Apparent Liability for Forfeiture, </w:t>
      </w:r>
      <w:r>
        <w:t>26 FCC Rcd 967 (Enf. Bur. 2011) (</w:t>
      </w:r>
      <w:r>
        <w:rPr>
          <w:i/>
          <w:iCs/>
        </w:rPr>
        <w:t>NAL</w:t>
      </w:r>
      <w:r>
        <w:t xml:space="preserve">).  </w:t>
      </w:r>
      <w:r w:rsidR="00F211E5">
        <w:t xml:space="preserve">However, </w:t>
      </w:r>
      <w:r w:rsidR="00F211E5">
        <w:rPr>
          <w:color w:val="000000"/>
        </w:rPr>
        <w:t>a</w:t>
      </w:r>
      <w:r>
        <w:rPr>
          <w:color w:val="000000"/>
        </w:rPr>
        <w:t xml:space="preserve">t the time the </w:t>
      </w:r>
      <w:r>
        <w:rPr>
          <w:i/>
          <w:iCs/>
          <w:color w:val="000000"/>
        </w:rPr>
        <w:t xml:space="preserve">NAL </w:t>
      </w:r>
      <w:r>
        <w:rPr>
          <w:color w:val="000000"/>
        </w:rPr>
        <w:t>was issued, the license for</w:t>
      </w:r>
      <w:r w:rsidR="00917371">
        <w:rPr>
          <w:color w:val="000000"/>
        </w:rPr>
        <w:t xml:space="preserve"> Station WWRR </w:t>
      </w:r>
      <w:r>
        <w:rPr>
          <w:color w:val="000000"/>
        </w:rPr>
        <w:t>listed Bold Gold Media Group, Inc. as the licensee.  Indeed</w:t>
      </w:r>
      <w:r w:rsidRPr="00A005B3">
        <w:rPr>
          <w:color w:val="000000"/>
        </w:rPr>
        <w:t xml:space="preserve">, the copy of the license </w:t>
      </w:r>
      <w:r>
        <w:rPr>
          <w:color w:val="000000"/>
        </w:rPr>
        <w:t xml:space="preserve">observed by </w:t>
      </w:r>
      <w:r w:rsidRPr="00A005B3">
        <w:rPr>
          <w:color w:val="000000"/>
        </w:rPr>
        <w:t>agents at the time of the inspection listed Bold Gold Media Group, Inc. as the licensee of Station WWRR.</w:t>
      </w:r>
      <w:r>
        <w:rPr>
          <w:color w:val="000000"/>
        </w:rPr>
        <w:t xml:space="preserve"> </w:t>
      </w:r>
      <w:r w:rsidR="00917371">
        <w:rPr>
          <w:color w:val="000000"/>
        </w:rPr>
        <w:t xml:space="preserve"> </w:t>
      </w:r>
      <w:r w:rsidR="00F211E5">
        <w:rPr>
          <w:color w:val="000000"/>
        </w:rPr>
        <w:t xml:space="preserve">The error </w:t>
      </w:r>
      <w:r>
        <w:rPr>
          <w:color w:val="000000"/>
        </w:rPr>
        <w:t>appears to have occurr</w:t>
      </w:r>
      <w:r w:rsidR="002F10E9">
        <w:rPr>
          <w:color w:val="000000"/>
        </w:rPr>
        <w:t>ed as a result of</w:t>
      </w:r>
      <w:r w:rsidR="002F10E9" w:rsidRPr="002F10E9">
        <w:t xml:space="preserve"> </w:t>
      </w:r>
      <w:r w:rsidR="002F10E9">
        <w:t>the decision by Bold Gold’s President, Vince Benedetto,</w:t>
      </w:r>
      <w:r w:rsidR="002F10E9">
        <w:rPr>
          <w:color w:val="000000"/>
        </w:rPr>
        <w:t xml:space="preserve"> </w:t>
      </w:r>
      <w:r>
        <w:rPr>
          <w:color w:val="000000"/>
        </w:rPr>
        <w:t>to change the corporate entity th</w:t>
      </w:r>
      <w:r w:rsidR="00917371">
        <w:rPr>
          <w:color w:val="000000"/>
        </w:rPr>
        <w:t>rough which he acquired Station WW</w:t>
      </w:r>
      <w:r w:rsidR="00F211E5">
        <w:rPr>
          <w:color w:val="000000"/>
        </w:rPr>
        <w:t>RR</w:t>
      </w:r>
      <w:r w:rsidR="00917371">
        <w:rPr>
          <w:color w:val="000000"/>
        </w:rPr>
        <w:t>.  When the</w:t>
      </w:r>
      <w:r>
        <w:rPr>
          <w:color w:val="000000"/>
        </w:rPr>
        <w:t xml:space="preserve"> assignment application </w:t>
      </w:r>
      <w:r w:rsidR="00917371">
        <w:rPr>
          <w:color w:val="000000"/>
        </w:rPr>
        <w:t xml:space="preserve">for Station WWRR was first submitted to the Commission, the parties sought approval to assign the license </w:t>
      </w:r>
      <w:r>
        <w:rPr>
          <w:color w:val="000000"/>
        </w:rPr>
        <w:t>to Bold Gold Media Group, Inc., a corporation controll</w:t>
      </w:r>
      <w:r w:rsidR="00917371">
        <w:rPr>
          <w:color w:val="000000"/>
        </w:rPr>
        <w:t xml:space="preserve">ed by Mr. Benedetto.  </w:t>
      </w:r>
      <w:r w:rsidR="00F211E5">
        <w:rPr>
          <w:i/>
          <w:color w:val="000000"/>
        </w:rPr>
        <w:t>S</w:t>
      </w:r>
      <w:r>
        <w:rPr>
          <w:i/>
          <w:iCs/>
          <w:color w:val="000000"/>
        </w:rPr>
        <w:t xml:space="preserve">ee </w:t>
      </w:r>
      <w:r w:rsidR="00917371">
        <w:rPr>
          <w:color w:val="000000"/>
        </w:rPr>
        <w:t>BALH-20050707AAT (Original Assignment Application)</w:t>
      </w:r>
      <w:r>
        <w:rPr>
          <w:color w:val="000000"/>
        </w:rPr>
        <w:t xml:space="preserve">.  The Commission granted the </w:t>
      </w:r>
      <w:r w:rsidR="00917371">
        <w:rPr>
          <w:color w:val="000000"/>
        </w:rPr>
        <w:t xml:space="preserve">Original Assignment Application </w:t>
      </w:r>
      <w:r>
        <w:rPr>
          <w:color w:val="000000"/>
        </w:rPr>
        <w:t xml:space="preserve">on December 9, 2005, but before the parties consummated the assignment, Bold Gold </w:t>
      </w:r>
      <w:r w:rsidR="00917371">
        <w:rPr>
          <w:color w:val="000000"/>
        </w:rPr>
        <w:t>Media Group, Inc. sought</w:t>
      </w:r>
      <w:r>
        <w:rPr>
          <w:color w:val="000000"/>
        </w:rPr>
        <w:t xml:space="preserve"> Commission</w:t>
      </w:r>
      <w:r w:rsidR="00917371">
        <w:rPr>
          <w:color w:val="000000"/>
        </w:rPr>
        <w:t xml:space="preserve"> approval to assign Station WWRR to </w:t>
      </w:r>
      <w:r w:rsidR="00917371">
        <w:t>Bold Gold Media WBS, L.P., a</w:t>
      </w:r>
      <w:r>
        <w:rPr>
          <w:color w:val="000000"/>
        </w:rPr>
        <w:t xml:space="preserve"> limited partnership controlled by Mr. Benedetto</w:t>
      </w:r>
      <w:r w:rsidR="00917371">
        <w:rPr>
          <w:color w:val="000000"/>
        </w:rPr>
        <w:t xml:space="preserve">.  </w:t>
      </w:r>
      <w:r>
        <w:rPr>
          <w:i/>
          <w:iCs/>
          <w:color w:val="000000"/>
        </w:rPr>
        <w:t xml:space="preserve">See </w:t>
      </w:r>
      <w:r w:rsidR="00917371">
        <w:rPr>
          <w:color w:val="000000"/>
        </w:rPr>
        <w:t>BALH-20060125AEV (Modified Assignment Application).  Because the Original Assignment Application</w:t>
      </w:r>
      <w:r>
        <w:rPr>
          <w:color w:val="000000"/>
        </w:rPr>
        <w:t xml:space="preserve">, which reflected Bold Gold Media Group, Inc. as the assignee, was consummated after the </w:t>
      </w:r>
      <w:r w:rsidR="00B23B84">
        <w:rPr>
          <w:color w:val="000000"/>
        </w:rPr>
        <w:t>Modified Assignment Application</w:t>
      </w:r>
      <w:r>
        <w:rPr>
          <w:color w:val="000000"/>
        </w:rPr>
        <w:t>,</w:t>
      </w:r>
      <w:r w:rsidR="00B23B84">
        <w:rPr>
          <w:color w:val="000000"/>
        </w:rPr>
        <w:t xml:space="preserve"> the Commission’s database</w:t>
      </w:r>
      <w:r w:rsidR="00F211E5">
        <w:rPr>
          <w:color w:val="000000"/>
        </w:rPr>
        <w:t xml:space="preserve"> </w:t>
      </w:r>
      <w:r>
        <w:rPr>
          <w:color w:val="000000"/>
        </w:rPr>
        <w:t>and the license for Station WWRR identified Bold Gold Media Group, Inc. as the licensee.</w:t>
      </w:r>
      <w:r w:rsidR="00F211E5">
        <w:rPr>
          <w:color w:val="000000"/>
        </w:rPr>
        <w:t xml:space="preserve">  </w:t>
      </w:r>
      <w:r w:rsidR="00B23B84">
        <w:rPr>
          <w:color w:val="000000"/>
        </w:rPr>
        <w:t xml:space="preserve">As </w:t>
      </w:r>
      <w:r w:rsidR="00F211E5">
        <w:rPr>
          <w:color w:val="000000"/>
        </w:rPr>
        <w:t xml:space="preserve">Mr. Benedetto controls </w:t>
      </w:r>
      <w:r w:rsidR="00B23B84">
        <w:t xml:space="preserve">both Bold Gold Media Group, Inc. and Bold Gold Media WBS, L.P. and because Bold Gold Media WBS, L.P. had an opportunity to respond to the </w:t>
      </w:r>
      <w:r w:rsidR="00B23B84">
        <w:rPr>
          <w:i/>
          <w:iCs/>
        </w:rPr>
        <w:t>NAL</w:t>
      </w:r>
      <w:r w:rsidR="00B23B84">
        <w:t xml:space="preserve">, we re-caption this proceeding to reflect Bold Gold Media </w:t>
      </w:r>
      <w:r w:rsidR="00B23B84" w:rsidRPr="004150D2">
        <w:rPr>
          <w:color w:val="000000"/>
        </w:rPr>
        <w:t>WBS, L.P.</w:t>
      </w:r>
      <w:r w:rsidR="00B23B84">
        <w:rPr>
          <w:color w:val="000000"/>
        </w:rPr>
        <w:t xml:space="preserve"> as the licensee of Station WWRR rather than re-issue the </w:t>
      </w:r>
      <w:r w:rsidR="00B23B84">
        <w:rPr>
          <w:i/>
          <w:iCs/>
          <w:color w:val="000000"/>
        </w:rPr>
        <w:t>NAL</w:t>
      </w:r>
      <w:r w:rsidR="00B23B84">
        <w:rPr>
          <w:color w:val="000000"/>
        </w:rPr>
        <w:t xml:space="preserve">.  </w:t>
      </w:r>
      <w:r w:rsidR="00B23B84">
        <w:rPr>
          <w:i/>
          <w:color w:val="000000"/>
        </w:rPr>
        <w:t xml:space="preserve">See </w:t>
      </w:r>
      <w:r w:rsidR="00B23B84">
        <w:rPr>
          <w:color w:val="000000"/>
        </w:rPr>
        <w:t>47 C.F.R. § 1.80(f)(2)–(3</w:t>
      </w:r>
      <w:r w:rsidR="00B23B84">
        <w:rPr>
          <w:color w:val="000000"/>
          <w:szCs w:val="20"/>
        </w:rPr>
        <w:t>) (“The notice of apparent liability will be sent to the respondent, by certified mail, at his last known address . . . [and the] respondent will be afforded a reasonable period of time . . . to show, in writing, why a forfeiture penalty should not be imposed or should be reduced, or to pay the forfeiture.”)</w:t>
      </w:r>
      <w:r w:rsidR="00F211E5">
        <w:rPr>
          <w:color w:val="000000"/>
          <w:szCs w:val="20"/>
        </w:rPr>
        <w:t xml:space="preserve">; </w:t>
      </w:r>
      <w:r w:rsidR="00F211E5">
        <w:rPr>
          <w:i/>
          <w:szCs w:val="20"/>
        </w:rPr>
        <w:t>s</w:t>
      </w:r>
      <w:r w:rsidR="00B23B84">
        <w:rPr>
          <w:i/>
          <w:szCs w:val="20"/>
        </w:rPr>
        <w:t>ee also</w:t>
      </w:r>
      <w:r w:rsidR="00B23B84">
        <w:rPr>
          <w:szCs w:val="20"/>
        </w:rPr>
        <w:t xml:space="preserve"> </w:t>
      </w:r>
      <w:r w:rsidR="00B23B84">
        <w:rPr>
          <w:i/>
          <w:szCs w:val="20"/>
        </w:rPr>
        <w:t>Catholic Radio Network of Loveland, Inc.</w:t>
      </w:r>
      <w:r w:rsidR="00B23B84">
        <w:rPr>
          <w:szCs w:val="20"/>
        </w:rPr>
        <w:t xml:space="preserve">, Forfeiture Order, 29 FCC Rcd 121 (Enf. Bur. 2014) </w:t>
      </w:r>
      <w:r w:rsidR="00F211E5">
        <w:rPr>
          <w:szCs w:val="20"/>
        </w:rPr>
        <w:t xml:space="preserve">(correcting the name of a respondent in a Forfeiture Order, but not rescinding the underlying Notice of Apparent Liability for Forfeiture); </w:t>
      </w:r>
      <w:r w:rsidR="00B23B84">
        <w:rPr>
          <w:i/>
          <w:szCs w:val="20"/>
        </w:rPr>
        <w:t>Marshall D. Martin</w:t>
      </w:r>
      <w:r w:rsidR="00B23B84">
        <w:rPr>
          <w:szCs w:val="20"/>
        </w:rPr>
        <w:t>, Forfeiture Order, 19 FCC Rcd 20</w:t>
      </w:r>
      <w:r w:rsidR="009574EE">
        <w:rPr>
          <w:szCs w:val="20"/>
        </w:rPr>
        <w:t>977 (Enf. Bur. 2004)</w:t>
      </w:r>
      <w:r w:rsidR="00B23B84">
        <w:rPr>
          <w:szCs w:val="20"/>
        </w:rPr>
        <w:t>.</w:t>
      </w:r>
      <w:r w:rsidR="00B23B84">
        <w:rPr>
          <w:color w:val="000000"/>
        </w:rPr>
        <w:t xml:space="preserve">  </w:t>
      </w:r>
    </w:p>
  </w:footnote>
  <w:footnote w:id="3">
    <w:p w:rsidR="005E0619" w:rsidRDefault="005E0619" w:rsidP="00AA6DF3">
      <w:pPr>
        <w:pStyle w:val="FootnoteText"/>
        <w:ind w:firstLine="0"/>
        <w:jc w:val="left"/>
      </w:pPr>
      <w:r w:rsidRPr="002F0EBB">
        <w:rPr>
          <w:rStyle w:val="FootnoteReference"/>
        </w:rPr>
        <w:footnoteRef/>
      </w:r>
      <w:r>
        <w:t xml:space="preserve"> </w:t>
      </w:r>
      <w:r w:rsidRPr="002F0EBB">
        <w:t xml:space="preserve">47 C.F.R. § </w:t>
      </w:r>
      <w:r>
        <w:t>11.35(a).</w:t>
      </w:r>
    </w:p>
  </w:footnote>
  <w:footnote w:id="4">
    <w:p w:rsidR="005E0619" w:rsidRDefault="005E0619" w:rsidP="00AA6DF3">
      <w:pPr>
        <w:pStyle w:val="FootnoteText"/>
        <w:ind w:firstLine="0"/>
        <w:jc w:val="left"/>
      </w:pPr>
      <w:r>
        <w:rPr>
          <w:rStyle w:val="FootnoteReference"/>
        </w:rPr>
        <w:footnoteRef/>
      </w:r>
      <w:r>
        <w:t xml:space="preserve"> </w:t>
      </w:r>
      <w:r w:rsidRPr="004D08CF">
        <w:rPr>
          <w:color w:val="000000"/>
        </w:rPr>
        <w:t xml:space="preserve">Section 11.51(l) of the Rules states that “EAS Participants that are co-owned and </w:t>
      </w:r>
      <w:bookmarkStart w:id="1" w:name="SR;549"/>
      <w:bookmarkStart w:id="2" w:name="SR;550"/>
      <w:bookmarkEnd w:id="1"/>
      <w:bookmarkEnd w:id="2"/>
      <w:r>
        <w:rPr>
          <w:color w:val="000000"/>
        </w:rPr>
        <w:t xml:space="preserve">co-located </w:t>
      </w:r>
      <w:r w:rsidRPr="004D08CF">
        <w:rPr>
          <w:color w:val="000000"/>
        </w:rPr>
        <w:t>with a combined studio or control facility, (such as an AM and FM licensed to the same entity and at the same location or a cable headend serving more than one system) may provide the EAS transmitting requirements contained in this section for the combined stations or systems with one EAS Encoder.”</w:t>
      </w:r>
      <w:r>
        <w:rPr>
          <w:color w:val="000000"/>
        </w:rPr>
        <w:t xml:space="preserve">  47 C.F.R. § 11.51(l).</w:t>
      </w:r>
    </w:p>
  </w:footnote>
  <w:footnote w:id="5">
    <w:p w:rsidR="005E0619" w:rsidRDefault="005E0619" w:rsidP="00AA6DF3">
      <w:pPr>
        <w:pStyle w:val="FootnoteText"/>
        <w:ind w:firstLine="0"/>
        <w:jc w:val="left"/>
      </w:pPr>
      <w:r>
        <w:rPr>
          <w:rStyle w:val="FootnoteReference"/>
        </w:rPr>
        <w:footnoteRef/>
      </w:r>
      <w:r>
        <w:t xml:space="preserve"> </w:t>
      </w:r>
      <w:r w:rsidRPr="0082292D">
        <w:t xml:space="preserve">Bold Gold has the capability of originating programming from the </w:t>
      </w:r>
      <w:r w:rsidR="00F144D3">
        <w:t>Scranton Main Studio</w:t>
      </w:r>
      <w:r w:rsidRPr="0082292D">
        <w:t xml:space="preserve">, but originates all of its programming from </w:t>
      </w:r>
      <w:r w:rsidR="00C11770">
        <w:t>Plains Studio</w:t>
      </w:r>
      <w:r>
        <w:t xml:space="preserve">.  </w:t>
      </w:r>
      <w:r w:rsidRPr="002056FF">
        <w:t>Bold Gold uses a Studio Transmitter Link (</w:t>
      </w:r>
      <w:smartTag w:uri="urn:schemas-microsoft-com:office:smarttags" w:element="stockticker">
        <w:r w:rsidRPr="002056FF">
          <w:t>STL</w:t>
        </w:r>
      </w:smartTag>
      <w:r w:rsidRPr="002056FF">
        <w:t xml:space="preserve">) to transmit the </w:t>
      </w:r>
      <w:r w:rsidRPr="002056FF">
        <w:rPr>
          <w:color w:val="000000"/>
        </w:rPr>
        <w:t xml:space="preserve">broadcasts for </w:t>
      </w:r>
      <w:r>
        <w:rPr>
          <w:color w:val="000000"/>
        </w:rPr>
        <w:t>S</w:t>
      </w:r>
      <w:r w:rsidR="00C11770">
        <w:rPr>
          <w:color w:val="000000"/>
        </w:rPr>
        <w:t xml:space="preserve">tation WWRR from the </w:t>
      </w:r>
      <w:r w:rsidR="00C11770">
        <w:t>Plains Studio</w:t>
      </w:r>
      <w:r w:rsidR="00C11770" w:rsidRPr="002056FF">
        <w:rPr>
          <w:color w:val="000000"/>
        </w:rPr>
        <w:t xml:space="preserve"> </w:t>
      </w:r>
      <w:r w:rsidRPr="002056FF">
        <w:rPr>
          <w:color w:val="000000"/>
        </w:rPr>
        <w:t xml:space="preserve">back to the station’s transmitter site in </w:t>
      </w:r>
      <w:smartTag w:uri="urn:schemas-microsoft-com:office:smarttags" w:element="stockticker">
        <w:r w:rsidRPr="002056FF">
          <w:rPr>
            <w:color w:val="000000"/>
          </w:rPr>
          <w:t>Scranton</w:t>
        </w:r>
      </w:smartTag>
      <w:r w:rsidRPr="002056FF">
        <w:rPr>
          <w:color w:val="000000"/>
        </w:rPr>
        <w:t xml:space="preserve">, </w:t>
      </w:r>
      <w:smartTag w:uri="urn:schemas-microsoft-com:office:smarttags" w:element="stockticker">
        <w:r w:rsidRPr="002056FF">
          <w:rPr>
            <w:color w:val="000000"/>
          </w:rPr>
          <w:t>Pennsylvania</w:t>
        </w:r>
      </w:smartTag>
      <w:r>
        <w:rPr>
          <w:color w:val="000000"/>
        </w:rPr>
        <w:t xml:space="preserve">.  Bold Gold </w:t>
      </w:r>
      <w:r w:rsidRPr="002056FF">
        <w:rPr>
          <w:color w:val="000000"/>
        </w:rPr>
        <w:t xml:space="preserve">also </w:t>
      </w:r>
      <w:r>
        <w:rPr>
          <w:color w:val="000000"/>
        </w:rPr>
        <w:t xml:space="preserve">is </w:t>
      </w:r>
      <w:r w:rsidRPr="002056FF">
        <w:rPr>
          <w:color w:val="000000"/>
        </w:rPr>
        <w:t xml:space="preserve">configured with an STL to transmit the broadcasts from </w:t>
      </w:r>
      <w:r>
        <w:rPr>
          <w:color w:val="000000"/>
        </w:rPr>
        <w:t>S</w:t>
      </w:r>
      <w:r w:rsidRPr="002056FF">
        <w:rPr>
          <w:color w:val="000000"/>
        </w:rPr>
        <w:t xml:space="preserve">tation WWRR’s main studio to the station’s transmitter site in </w:t>
      </w:r>
      <w:smartTag w:uri="urn:schemas-microsoft-com:office:smarttags" w:element="stockticker">
        <w:r w:rsidRPr="002056FF">
          <w:rPr>
            <w:color w:val="000000"/>
          </w:rPr>
          <w:t>Scranton</w:t>
        </w:r>
      </w:smartTag>
      <w:r w:rsidRPr="002056FF">
        <w:rPr>
          <w:color w:val="000000"/>
        </w:rPr>
        <w:t xml:space="preserve">, </w:t>
      </w:r>
      <w:smartTag w:uri="urn:schemas-microsoft-com:office:smarttags" w:element="stockticker">
        <w:r w:rsidRPr="002056FF">
          <w:rPr>
            <w:color w:val="000000"/>
          </w:rPr>
          <w:t>Pennsylvania</w:t>
        </w:r>
      </w:smartTag>
      <w:r w:rsidRPr="002056FF">
        <w:rPr>
          <w:color w:val="000000"/>
        </w:rPr>
        <w:t>.</w:t>
      </w:r>
      <w:r>
        <w:rPr>
          <w:color w:val="000000"/>
        </w:rPr>
        <w:t xml:space="preserve">  </w:t>
      </w:r>
    </w:p>
  </w:footnote>
  <w:footnote w:id="6">
    <w:p w:rsidR="005E0619" w:rsidRDefault="005E0619" w:rsidP="00EF3A53">
      <w:pPr>
        <w:tabs>
          <w:tab w:val="left" w:pos="720"/>
          <w:tab w:val="left" w:pos="810"/>
        </w:tabs>
        <w:spacing w:after="120"/>
      </w:pPr>
      <w:r>
        <w:rPr>
          <w:rStyle w:val="FootnoteReference"/>
        </w:rPr>
        <w:footnoteRef/>
      </w:r>
      <w:r>
        <w:t xml:space="preserve"> </w:t>
      </w:r>
      <w:r w:rsidRPr="005E693F">
        <w:rPr>
          <w:sz w:val="20"/>
          <w:szCs w:val="20"/>
        </w:rPr>
        <w:t>During the November 24, 2009</w:t>
      </w:r>
      <w:r w:rsidR="002011F5">
        <w:rPr>
          <w:sz w:val="20"/>
          <w:szCs w:val="20"/>
        </w:rPr>
        <w:t>,</w:t>
      </w:r>
      <w:r w:rsidRPr="005E693F">
        <w:rPr>
          <w:sz w:val="20"/>
          <w:szCs w:val="20"/>
        </w:rPr>
        <w:t xml:space="preserve"> inspection at the </w:t>
      </w:r>
      <w:r w:rsidR="00484202">
        <w:rPr>
          <w:sz w:val="20"/>
          <w:szCs w:val="20"/>
        </w:rPr>
        <w:t>Scranton M</w:t>
      </w:r>
      <w:r w:rsidRPr="005E693F">
        <w:rPr>
          <w:sz w:val="20"/>
          <w:szCs w:val="20"/>
        </w:rPr>
        <w:t xml:space="preserve">ain </w:t>
      </w:r>
      <w:r w:rsidR="00484202">
        <w:rPr>
          <w:sz w:val="20"/>
          <w:szCs w:val="20"/>
        </w:rPr>
        <w:t>Studio</w:t>
      </w:r>
      <w:r w:rsidRPr="005E693F">
        <w:rPr>
          <w:sz w:val="20"/>
          <w:szCs w:val="20"/>
        </w:rPr>
        <w:t>, the agent found a copy of the maintenance log for Station WWRR, dated September 1, 2008, and signed by the station engineer, which stated that “[a]t this time, when broadcasting from Plains</w:t>
      </w:r>
      <w:r>
        <w:rPr>
          <w:sz w:val="20"/>
          <w:szCs w:val="20"/>
        </w:rPr>
        <w:t>,</w:t>
      </w:r>
      <w:r w:rsidRPr="005E693F">
        <w:rPr>
          <w:sz w:val="20"/>
          <w:szCs w:val="20"/>
        </w:rPr>
        <w:t xml:space="preserve"> PA, WWRR (FM) does not meet the requirements of Part 11 of the FCC rules regarding </w:t>
      </w:r>
      <w:smartTag w:uri="urn:schemas-microsoft-com:office:smarttags" w:element="stockticker">
        <w:r w:rsidRPr="005E693F">
          <w:rPr>
            <w:sz w:val="20"/>
            <w:szCs w:val="20"/>
          </w:rPr>
          <w:t>EAS</w:t>
        </w:r>
      </w:smartTag>
      <w:r w:rsidRPr="005E693F">
        <w:rPr>
          <w:sz w:val="20"/>
          <w:szCs w:val="20"/>
        </w:rPr>
        <w:t xml:space="preserve"> Encoding, </w:t>
      </w:r>
      <w:smartTag w:uri="urn:schemas-microsoft-com:office:smarttags" w:element="stockticker">
        <w:r w:rsidRPr="005E693F">
          <w:rPr>
            <w:sz w:val="20"/>
            <w:szCs w:val="20"/>
          </w:rPr>
          <w:t>EAS</w:t>
        </w:r>
      </w:smartTag>
      <w:r w:rsidRPr="005E693F">
        <w:rPr>
          <w:sz w:val="20"/>
          <w:szCs w:val="20"/>
        </w:rPr>
        <w:t xml:space="preserve"> Decoding or </w:t>
      </w:r>
      <w:smartTag w:uri="urn:schemas-microsoft-com:office:smarttags" w:element="stockticker">
        <w:r w:rsidRPr="005E693F">
          <w:rPr>
            <w:sz w:val="20"/>
            <w:szCs w:val="20"/>
          </w:rPr>
          <w:t>EAS</w:t>
        </w:r>
      </w:smartTag>
      <w:r w:rsidRPr="005E693F">
        <w:rPr>
          <w:sz w:val="20"/>
          <w:szCs w:val="20"/>
        </w:rPr>
        <w:t xml:space="preserve"> Retransmission.”</w:t>
      </w:r>
      <w:r>
        <w:t xml:space="preserve">  </w:t>
      </w:r>
    </w:p>
  </w:footnote>
  <w:footnote w:id="7">
    <w:p w:rsidR="005E0619" w:rsidRPr="00D00EEC" w:rsidRDefault="005E0619" w:rsidP="00AA6DF3">
      <w:pPr>
        <w:pStyle w:val="FootnoteText"/>
        <w:ind w:firstLine="0"/>
        <w:jc w:val="left"/>
      </w:pPr>
      <w:r>
        <w:rPr>
          <w:rStyle w:val="FootnoteReference"/>
        </w:rPr>
        <w:footnoteRef/>
      </w:r>
      <w:r>
        <w:t xml:space="preserve"> </w:t>
      </w:r>
      <w:r>
        <w:rPr>
          <w:i/>
          <w:iCs/>
        </w:rPr>
        <w:t>NAL</w:t>
      </w:r>
      <w:r>
        <w:t>, 26 FCC Rcd at 969</w:t>
      </w:r>
      <w:r w:rsidR="00E61B71">
        <w:t>, paras. 6–7</w:t>
      </w:r>
      <w:r>
        <w:t>.</w:t>
      </w:r>
    </w:p>
  </w:footnote>
  <w:footnote w:id="8">
    <w:p w:rsidR="005E0619" w:rsidRPr="00B90989" w:rsidRDefault="005E0619" w:rsidP="00AA6DF3">
      <w:pPr>
        <w:pStyle w:val="FootnoteText"/>
        <w:ind w:firstLine="0"/>
        <w:jc w:val="left"/>
        <w:rPr>
          <w:b/>
          <w:bCs/>
        </w:rPr>
      </w:pPr>
      <w:r>
        <w:rPr>
          <w:rStyle w:val="FootnoteReference"/>
        </w:rPr>
        <w:footnoteRef/>
      </w:r>
      <w:r>
        <w:t xml:space="preserve"> </w:t>
      </w:r>
      <w:r>
        <w:rPr>
          <w:i/>
          <w:iCs/>
        </w:rPr>
        <w:t>Bold Gold Media WBS, L.P.</w:t>
      </w:r>
      <w:r>
        <w:t>, Response to Notice of Apparent Liability for Forfeiture (March 1, 2011) (on</w:t>
      </w:r>
      <w:r w:rsidR="00E61B71">
        <w:t xml:space="preserve"> file in EB-09-PA-0286)</w:t>
      </w:r>
      <w:r w:rsidR="00FA4AB8">
        <w:t xml:space="preserve"> (</w:t>
      </w:r>
      <w:r w:rsidR="00FA4AB8">
        <w:rPr>
          <w:i/>
        </w:rPr>
        <w:t>NAL Response</w:t>
      </w:r>
      <w:r w:rsidR="00FA4AB8">
        <w:t>)</w:t>
      </w:r>
      <w:r>
        <w:t xml:space="preserve">.  </w:t>
      </w:r>
    </w:p>
  </w:footnote>
  <w:footnote w:id="9">
    <w:p w:rsidR="005E0619" w:rsidRDefault="005E0619" w:rsidP="00AA6DF3">
      <w:pPr>
        <w:pStyle w:val="FootnoteText"/>
        <w:ind w:firstLine="0"/>
        <w:jc w:val="left"/>
      </w:pPr>
      <w:r>
        <w:rPr>
          <w:rStyle w:val="FootnoteReference"/>
        </w:rPr>
        <w:footnoteRef/>
      </w:r>
      <w:r>
        <w:t xml:space="preserve"> 47 U.S.C. § 503(b).</w:t>
      </w:r>
    </w:p>
  </w:footnote>
  <w:footnote w:id="10">
    <w:p w:rsidR="005E0619" w:rsidRDefault="005E0619" w:rsidP="00AA6DF3">
      <w:pPr>
        <w:pStyle w:val="FootnoteText"/>
        <w:ind w:firstLine="0"/>
        <w:jc w:val="left"/>
      </w:pPr>
      <w:r>
        <w:rPr>
          <w:rStyle w:val="FootnoteReference"/>
        </w:rPr>
        <w:footnoteRef/>
      </w:r>
      <w:r>
        <w:t xml:space="preserve"> 47 C.F.R. § 1.80.</w:t>
      </w:r>
    </w:p>
  </w:footnote>
  <w:footnote w:id="11">
    <w:p w:rsidR="005E0619" w:rsidRDefault="005E0619" w:rsidP="00AA6DF3">
      <w:pPr>
        <w:pStyle w:val="FootnoteText"/>
        <w:ind w:firstLine="0"/>
        <w:jc w:val="left"/>
      </w:pPr>
      <w:r>
        <w:rPr>
          <w:rStyle w:val="FootnoteReference"/>
        </w:rPr>
        <w:footnoteRef/>
      </w:r>
      <w:r>
        <w:t xml:space="preserve"> </w:t>
      </w:r>
      <w:r w:rsidRPr="00FA3FFB">
        <w:rPr>
          <w:i/>
          <w:iCs/>
        </w:rPr>
        <w:t>The Commission’s Forfeiture Policy Statement and Amendment of Section 1.80 of the Rules to Incorporate the Forfeiture Guidelines</w:t>
      </w:r>
      <w:r>
        <w:t xml:space="preserve">, Report and Order, 12 FCC Rcd 17087 (1997), </w:t>
      </w:r>
      <w:r w:rsidRPr="00D916AB">
        <w:rPr>
          <w:i/>
        </w:rPr>
        <w:t>recons. denied</w:t>
      </w:r>
      <w:r>
        <w:t>, 15 FCC Rcd 303 (1999) (</w:t>
      </w:r>
      <w:r w:rsidRPr="00AA6DF3">
        <w:rPr>
          <w:i/>
        </w:rPr>
        <w:t>Forfeiture Policy Statement</w:t>
      </w:r>
      <w:r>
        <w:t>).</w:t>
      </w:r>
    </w:p>
  </w:footnote>
  <w:footnote w:id="12">
    <w:p w:rsidR="005E0619" w:rsidRDefault="005E0619" w:rsidP="00AA6DF3">
      <w:pPr>
        <w:pStyle w:val="FootnoteText"/>
        <w:ind w:firstLine="0"/>
        <w:jc w:val="left"/>
      </w:pPr>
      <w:r>
        <w:rPr>
          <w:rStyle w:val="FootnoteReference"/>
        </w:rPr>
        <w:footnoteRef/>
      </w:r>
      <w:r>
        <w:t xml:space="preserve"> 47 U.S.C. § 503(b)(2)(E).</w:t>
      </w:r>
    </w:p>
  </w:footnote>
  <w:footnote w:id="13">
    <w:p w:rsidR="00FA4AB8" w:rsidRPr="00AA6DF3" w:rsidRDefault="00FA4AB8" w:rsidP="00FA4AB8">
      <w:pPr>
        <w:pStyle w:val="FootnoteText"/>
        <w:tabs>
          <w:tab w:val="clear" w:pos="720"/>
        </w:tabs>
        <w:ind w:firstLine="0"/>
        <w:rPr>
          <w:b/>
        </w:rPr>
      </w:pPr>
      <w:r>
        <w:rPr>
          <w:rStyle w:val="FootnoteReference"/>
        </w:rPr>
        <w:footnoteRef/>
      </w:r>
      <w:r>
        <w:t xml:space="preserve"> </w:t>
      </w:r>
      <w:r w:rsidRPr="00AA6DF3">
        <w:rPr>
          <w:i/>
        </w:rPr>
        <w:t>NAL Response</w:t>
      </w:r>
      <w:r w:rsidR="00AA6DF3">
        <w:t xml:space="preserve"> at 2-3.</w:t>
      </w:r>
    </w:p>
  </w:footnote>
  <w:footnote w:id="14">
    <w:p w:rsidR="005E0619" w:rsidRPr="008D2BD2" w:rsidRDefault="005E0619" w:rsidP="00AA6DF3">
      <w:pPr>
        <w:pStyle w:val="FootnoteText"/>
        <w:ind w:firstLine="0"/>
        <w:jc w:val="left"/>
        <w:rPr>
          <w:szCs w:val="20"/>
        </w:rPr>
      </w:pPr>
      <w:r w:rsidRPr="008D2BD2">
        <w:rPr>
          <w:rStyle w:val="FootnoteReference"/>
        </w:rPr>
        <w:footnoteRef/>
      </w:r>
      <w:r w:rsidRPr="008D2BD2">
        <w:rPr>
          <w:szCs w:val="20"/>
        </w:rPr>
        <w:t xml:space="preserve"> 47 U.S.C. § 503(b)(</w:t>
      </w:r>
      <w:r>
        <w:rPr>
          <w:szCs w:val="20"/>
        </w:rPr>
        <w:t>6</w:t>
      </w:r>
      <w:r w:rsidRPr="008D2BD2">
        <w:rPr>
          <w:szCs w:val="20"/>
        </w:rPr>
        <w:t>).</w:t>
      </w:r>
      <w:r>
        <w:rPr>
          <w:szCs w:val="20"/>
        </w:rPr>
        <w:t xml:space="preserve">  </w:t>
      </w:r>
      <w:r w:rsidRPr="008D2BD2">
        <w:rPr>
          <w:i/>
          <w:szCs w:val="20"/>
        </w:rPr>
        <w:t>See</w:t>
      </w:r>
      <w:r>
        <w:rPr>
          <w:i/>
          <w:szCs w:val="20"/>
        </w:rPr>
        <w:t>,</w:t>
      </w:r>
      <w:r w:rsidR="00FA4AB8">
        <w:rPr>
          <w:i/>
          <w:szCs w:val="20"/>
        </w:rPr>
        <w:t xml:space="preserve"> e.g.</w:t>
      </w:r>
      <w:r w:rsidR="00FA4AB8" w:rsidRPr="00AA6DF3">
        <w:t>,</w:t>
      </w:r>
      <w:r w:rsidRPr="008D2BD2">
        <w:rPr>
          <w:i/>
          <w:szCs w:val="20"/>
        </w:rPr>
        <w:t xml:space="preserve"> </w:t>
      </w:r>
      <w:r>
        <w:rPr>
          <w:i/>
          <w:szCs w:val="20"/>
        </w:rPr>
        <w:t>KGNT, Inc.</w:t>
      </w:r>
      <w:r>
        <w:rPr>
          <w:szCs w:val="20"/>
        </w:rPr>
        <w:t>, Notice of Apparent Liability for Forfeiture, 15 FCC Rcd 5806, 5809</w:t>
      </w:r>
      <w:r w:rsidR="00FA4AB8">
        <w:rPr>
          <w:szCs w:val="20"/>
        </w:rPr>
        <w:t>, para. 8</w:t>
      </w:r>
      <w:r>
        <w:rPr>
          <w:szCs w:val="20"/>
        </w:rPr>
        <w:t xml:space="preserve"> (Enf. Bur. 2000), </w:t>
      </w:r>
      <w:r>
        <w:rPr>
          <w:i/>
          <w:szCs w:val="20"/>
        </w:rPr>
        <w:t>aff’d</w:t>
      </w:r>
      <w:r>
        <w:rPr>
          <w:szCs w:val="20"/>
        </w:rPr>
        <w:t xml:space="preserve">, Forfeiture Order, 16 FCC Rcd 4656 (Enf. Bur. 2001); </w:t>
      </w:r>
      <w:r>
        <w:rPr>
          <w:i/>
          <w:szCs w:val="20"/>
        </w:rPr>
        <w:t xml:space="preserve">see also </w:t>
      </w:r>
      <w:r w:rsidR="00FA4AB8">
        <w:rPr>
          <w:i/>
          <w:szCs w:val="20"/>
        </w:rPr>
        <w:t>Emmis FM Broad.</w:t>
      </w:r>
      <w:r w:rsidRPr="008D2BD2">
        <w:rPr>
          <w:i/>
          <w:szCs w:val="20"/>
        </w:rPr>
        <w:t xml:space="preserve"> Corp. of Boston</w:t>
      </w:r>
      <w:r w:rsidRPr="008D2BD2">
        <w:rPr>
          <w:szCs w:val="20"/>
        </w:rPr>
        <w:t xml:space="preserve">, </w:t>
      </w:r>
      <w:r>
        <w:rPr>
          <w:szCs w:val="20"/>
        </w:rPr>
        <w:t>Memorandum Opinion and Order</w:t>
      </w:r>
      <w:r w:rsidR="00FA4AB8">
        <w:rPr>
          <w:szCs w:val="20"/>
        </w:rPr>
        <w:t xml:space="preserve"> and Forfeiture Order</w:t>
      </w:r>
      <w:r>
        <w:rPr>
          <w:szCs w:val="20"/>
        </w:rPr>
        <w:t xml:space="preserve">, </w:t>
      </w:r>
      <w:r w:rsidRPr="008D2BD2">
        <w:rPr>
          <w:szCs w:val="20"/>
        </w:rPr>
        <w:t>11 FCC Rcd 8541</w:t>
      </w:r>
      <w:r>
        <w:rPr>
          <w:szCs w:val="20"/>
        </w:rPr>
        <w:t>, 8543</w:t>
      </w:r>
      <w:r w:rsidR="00FA4AB8">
        <w:rPr>
          <w:szCs w:val="20"/>
        </w:rPr>
        <w:t>, para. 5</w:t>
      </w:r>
      <w:r w:rsidRPr="008D2BD2">
        <w:rPr>
          <w:szCs w:val="20"/>
        </w:rPr>
        <w:t xml:space="preserve"> (1996); </w:t>
      </w:r>
      <w:r w:rsidRPr="002A7595">
        <w:rPr>
          <w:i/>
          <w:szCs w:val="20"/>
        </w:rPr>
        <w:t>Lester T. Pritchard</w:t>
      </w:r>
      <w:r w:rsidRPr="008D2BD2">
        <w:rPr>
          <w:szCs w:val="20"/>
        </w:rPr>
        <w:t xml:space="preserve">, </w:t>
      </w:r>
      <w:r>
        <w:rPr>
          <w:szCs w:val="20"/>
        </w:rPr>
        <w:t xml:space="preserve">Letter, </w:t>
      </w:r>
      <w:r w:rsidRPr="008D2BD2">
        <w:rPr>
          <w:szCs w:val="20"/>
        </w:rPr>
        <w:t>6 FCC Rcd 2210</w:t>
      </w:r>
      <w:r w:rsidR="007F4227">
        <w:rPr>
          <w:szCs w:val="20"/>
        </w:rPr>
        <w:t>, 2211,</w:t>
      </w:r>
      <w:r w:rsidR="00FA4AB8">
        <w:rPr>
          <w:szCs w:val="20"/>
        </w:rPr>
        <w:t xml:space="preserve"> n.4 (1991)</w:t>
      </w:r>
      <w:r w:rsidRPr="008D2BD2">
        <w:rPr>
          <w:szCs w:val="20"/>
        </w:rPr>
        <w:t>.</w:t>
      </w:r>
    </w:p>
  </w:footnote>
  <w:footnote w:id="15">
    <w:p w:rsidR="005E0619" w:rsidRDefault="005E0619" w:rsidP="00AA6DF3">
      <w:pPr>
        <w:pStyle w:val="FootnoteText"/>
        <w:ind w:firstLine="0"/>
        <w:jc w:val="left"/>
      </w:pPr>
      <w:r>
        <w:rPr>
          <w:rStyle w:val="FootnoteReference"/>
        </w:rPr>
        <w:footnoteRef/>
      </w:r>
      <w:r>
        <w:t xml:space="preserve"> </w:t>
      </w:r>
      <w:r w:rsidRPr="0013631B">
        <w:rPr>
          <w:i/>
          <w:szCs w:val="20"/>
        </w:rPr>
        <w:t xml:space="preserve">See </w:t>
      </w:r>
      <w:r w:rsidRPr="0013631B">
        <w:rPr>
          <w:szCs w:val="20"/>
        </w:rPr>
        <w:t xml:space="preserve">47 U.S.C. § 503(b)(6)(A)(ii).  </w:t>
      </w:r>
    </w:p>
  </w:footnote>
  <w:footnote w:id="16">
    <w:p w:rsidR="005E0619" w:rsidRDefault="005E0619" w:rsidP="00AA6DF3">
      <w:pPr>
        <w:pStyle w:val="FootnoteText"/>
        <w:ind w:firstLine="0"/>
        <w:jc w:val="left"/>
      </w:pPr>
      <w:r>
        <w:rPr>
          <w:rStyle w:val="FootnoteReference"/>
        </w:rPr>
        <w:footnoteRef/>
      </w:r>
      <w:r>
        <w:t xml:space="preserve"> 47 C.F.R. § 11.35(a).</w:t>
      </w:r>
    </w:p>
  </w:footnote>
  <w:footnote w:id="17">
    <w:p w:rsidR="00536FD8" w:rsidRPr="00600307" w:rsidRDefault="00536FD8" w:rsidP="00536FD8">
      <w:pPr>
        <w:pStyle w:val="FootnoteText"/>
        <w:tabs>
          <w:tab w:val="clear" w:pos="720"/>
        </w:tabs>
        <w:ind w:firstLine="0"/>
      </w:pPr>
      <w:r>
        <w:rPr>
          <w:rStyle w:val="FootnoteReference"/>
        </w:rPr>
        <w:footnoteRef/>
      </w:r>
      <w:r>
        <w:t xml:space="preserve"> </w:t>
      </w:r>
      <w:r w:rsidR="00600307">
        <w:rPr>
          <w:i/>
        </w:rPr>
        <w:t xml:space="preserve">NAL Response </w:t>
      </w:r>
      <w:r w:rsidR="00600307">
        <w:t>at 4-6.</w:t>
      </w:r>
    </w:p>
  </w:footnote>
  <w:footnote w:id="18">
    <w:p w:rsidR="005E0619" w:rsidRPr="007B44F5" w:rsidRDefault="005E0619" w:rsidP="00EF3A53">
      <w:pPr>
        <w:tabs>
          <w:tab w:val="left" w:pos="720"/>
          <w:tab w:val="left" w:pos="810"/>
        </w:tabs>
        <w:spacing w:after="120"/>
        <w:rPr>
          <w:sz w:val="20"/>
          <w:szCs w:val="20"/>
        </w:rPr>
      </w:pPr>
      <w:r>
        <w:rPr>
          <w:rStyle w:val="FootnoteReference"/>
        </w:rPr>
        <w:footnoteRef/>
      </w:r>
      <w:r>
        <w:t xml:space="preserve"> </w:t>
      </w:r>
      <w:r w:rsidR="007B44F5">
        <w:rPr>
          <w:sz w:val="20"/>
          <w:szCs w:val="20"/>
        </w:rPr>
        <w:t xml:space="preserve">As specifically noted in the </w:t>
      </w:r>
      <w:r w:rsidR="007B44F5" w:rsidRPr="007B44F5">
        <w:rPr>
          <w:i/>
          <w:iCs/>
          <w:sz w:val="20"/>
          <w:szCs w:val="20"/>
        </w:rPr>
        <w:t>NAL</w:t>
      </w:r>
      <w:r w:rsidR="007B44F5">
        <w:rPr>
          <w:sz w:val="20"/>
          <w:szCs w:val="20"/>
        </w:rPr>
        <w:t xml:space="preserve">, </w:t>
      </w:r>
      <w:r w:rsidR="007B44F5" w:rsidRPr="007B44F5">
        <w:rPr>
          <w:sz w:val="20"/>
          <w:szCs w:val="20"/>
        </w:rPr>
        <w:t>using such a procedure would not bring Bo</w:t>
      </w:r>
      <w:r w:rsidR="007B44F5">
        <w:rPr>
          <w:sz w:val="20"/>
          <w:szCs w:val="20"/>
        </w:rPr>
        <w:t>ld Gold into compliance with the</w:t>
      </w:r>
      <w:r w:rsidR="007B44F5" w:rsidRPr="007B44F5">
        <w:rPr>
          <w:sz w:val="20"/>
          <w:szCs w:val="20"/>
        </w:rPr>
        <w:t xml:space="preserve"> EAS Rules.  </w:t>
      </w:r>
      <w:r w:rsidR="007B44F5">
        <w:rPr>
          <w:i/>
          <w:iCs/>
          <w:sz w:val="20"/>
          <w:szCs w:val="20"/>
        </w:rPr>
        <w:t>NAL</w:t>
      </w:r>
      <w:r w:rsidR="007F4227">
        <w:rPr>
          <w:sz w:val="20"/>
          <w:szCs w:val="20"/>
        </w:rPr>
        <w:t xml:space="preserve">, 26 FCC Rcd </w:t>
      </w:r>
      <w:r w:rsidR="007B44F5">
        <w:rPr>
          <w:sz w:val="20"/>
          <w:szCs w:val="20"/>
        </w:rPr>
        <w:t xml:space="preserve">at </w:t>
      </w:r>
      <w:r w:rsidR="007F4227">
        <w:rPr>
          <w:sz w:val="20"/>
          <w:szCs w:val="20"/>
        </w:rPr>
        <w:t xml:space="preserve">969, </w:t>
      </w:r>
      <w:r w:rsidR="007B44F5">
        <w:rPr>
          <w:sz w:val="20"/>
          <w:szCs w:val="20"/>
        </w:rPr>
        <w:t>n. 12.</w:t>
      </w:r>
      <w:r w:rsidR="007B44F5">
        <w:rPr>
          <w:i/>
          <w:iCs/>
          <w:sz w:val="20"/>
          <w:szCs w:val="20"/>
        </w:rPr>
        <w:t xml:space="preserve"> </w:t>
      </w:r>
      <w:r w:rsidR="007F4227">
        <w:rPr>
          <w:i/>
          <w:iCs/>
          <w:sz w:val="20"/>
          <w:szCs w:val="20"/>
        </w:rPr>
        <w:t xml:space="preserve"> </w:t>
      </w:r>
      <w:r w:rsidR="007B44F5" w:rsidRPr="007B44F5">
        <w:rPr>
          <w:sz w:val="20"/>
          <w:szCs w:val="20"/>
        </w:rPr>
        <w:t>Stations must have the capability to monitor their local primary sources for unscheduled emergency messages and to retransmit such messages on an emergency basis when necessary.  I</w:t>
      </w:r>
      <w:r w:rsidR="007B44F5" w:rsidRPr="007B44F5">
        <w:rPr>
          <w:iCs/>
          <w:color w:val="000000"/>
          <w:sz w:val="20"/>
          <w:szCs w:val="20"/>
        </w:rPr>
        <w:t>f an actual and unscheduled EAS message was received, someone would need to be present at the Station WWRR studio (1) to hear that an EAS message was being received by Stations</w:t>
      </w:r>
      <w:r w:rsidR="007F4227">
        <w:rPr>
          <w:iCs/>
          <w:color w:val="000000"/>
          <w:sz w:val="20"/>
          <w:szCs w:val="20"/>
        </w:rPr>
        <w:t xml:space="preserve"> WICK and WYCK,</w:t>
      </w:r>
      <w:r w:rsidR="007B44F5" w:rsidRPr="007B44F5">
        <w:rPr>
          <w:iCs/>
          <w:color w:val="000000"/>
          <w:sz w:val="20"/>
          <w:szCs w:val="20"/>
        </w:rPr>
        <w:t xml:space="preserve"> (2) to </w:t>
      </w:r>
      <w:r w:rsidR="007B44F5" w:rsidRPr="007B44F5">
        <w:rPr>
          <w:sz w:val="20"/>
          <w:szCs w:val="20"/>
        </w:rPr>
        <w:t>switch t</w:t>
      </w:r>
      <w:r w:rsidR="007F4227">
        <w:rPr>
          <w:sz w:val="20"/>
          <w:szCs w:val="20"/>
        </w:rPr>
        <w:t>he audio source from the Plains Studio to the Scranton Main Studio</w:t>
      </w:r>
      <w:r w:rsidR="007B44F5" w:rsidRPr="007B44F5">
        <w:rPr>
          <w:sz w:val="20"/>
          <w:szCs w:val="20"/>
        </w:rPr>
        <w:t xml:space="preserve">, (3) to interrupt normal programming, and (4) to conduct the test using the EAS equipment shared by Stations WICK and WYCK.  </w:t>
      </w:r>
      <w:r w:rsidR="007B44F5">
        <w:rPr>
          <w:sz w:val="20"/>
          <w:szCs w:val="20"/>
        </w:rPr>
        <w:t>Not only does such a procedure seem impractical, it</w:t>
      </w:r>
      <w:r w:rsidR="007B44F5" w:rsidRPr="007B44F5">
        <w:rPr>
          <w:sz w:val="20"/>
          <w:szCs w:val="20"/>
        </w:rPr>
        <w:t xml:space="preserve"> could not be followed without undermining the ability of co-owned Stations WICK and WYCK to comply with their EAS requirements.</w:t>
      </w:r>
      <w:r w:rsidR="007B44F5">
        <w:t xml:space="preserve"> </w:t>
      </w:r>
      <w:r w:rsidR="007F4227">
        <w:t xml:space="preserve"> </w:t>
      </w:r>
      <w:r w:rsidR="007B44F5">
        <w:rPr>
          <w:sz w:val="20"/>
          <w:szCs w:val="20"/>
        </w:rPr>
        <w:t>In any event, w</w:t>
      </w:r>
      <w:r w:rsidRPr="007B44F5">
        <w:rPr>
          <w:sz w:val="20"/>
          <w:szCs w:val="20"/>
        </w:rPr>
        <w:t>e need not make that determination</w:t>
      </w:r>
      <w:r w:rsidR="007B44F5">
        <w:rPr>
          <w:sz w:val="20"/>
          <w:szCs w:val="20"/>
        </w:rPr>
        <w:t xml:space="preserve"> </w:t>
      </w:r>
      <w:r w:rsidRPr="007B44F5">
        <w:rPr>
          <w:sz w:val="20"/>
          <w:szCs w:val="20"/>
        </w:rPr>
        <w:t>given that Bold Gold admitted it did not have dedicated EAS equipment for Station WWRR and had not previously transmitted a test by switching Statio</w:t>
      </w:r>
      <w:r w:rsidR="007F4227">
        <w:rPr>
          <w:sz w:val="20"/>
          <w:szCs w:val="20"/>
        </w:rPr>
        <w:t>n WWRR’s audio from the Plains S</w:t>
      </w:r>
      <w:r w:rsidRPr="007B44F5">
        <w:rPr>
          <w:sz w:val="20"/>
          <w:szCs w:val="20"/>
        </w:rPr>
        <w:t xml:space="preserve">tudio to the Scranton </w:t>
      </w:r>
      <w:r w:rsidR="007F4227">
        <w:rPr>
          <w:sz w:val="20"/>
          <w:szCs w:val="20"/>
        </w:rPr>
        <w:t>Main S</w:t>
      </w:r>
      <w:r w:rsidRPr="007B44F5">
        <w:rPr>
          <w:sz w:val="20"/>
          <w:szCs w:val="20"/>
        </w:rPr>
        <w:t>tudio.</w:t>
      </w:r>
    </w:p>
  </w:footnote>
  <w:footnote w:id="19">
    <w:p w:rsidR="005E0619" w:rsidRPr="009F1CB7" w:rsidRDefault="005E0619" w:rsidP="00AA6DF3">
      <w:pPr>
        <w:pStyle w:val="FootnoteText"/>
        <w:ind w:firstLine="0"/>
        <w:jc w:val="left"/>
      </w:pPr>
      <w:r>
        <w:rPr>
          <w:rStyle w:val="FootnoteReference"/>
        </w:rPr>
        <w:footnoteRef/>
      </w:r>
      <w:r>
        <w:t xml:space="preserve"> </w:t>
      </w:r>
      <w:r w:rsidRPr="00F723EF">
        <w:rPr>
          <w:szCs w:val="20"/>
        </w:rPr>
        <w:t>In concluding that the violation was willful, we believe that, notwithstanding Bold Gold’s claim to the contrary</w:t>
      </w:r>
      <w:r w:rsidR="007F4227">
        <w:rPr>
          <w:szCs w:val="20"/>
        </w:rPr>
        <w:t xml:space="preserve">, </w:t>
      </w:r>
      <w:r w:rsidR="007F4227">
        <w:rPr>
          <w:i/>
          <w:szCs w:val="20"/>
        </w:rPr>
        <w:t xml:space="preserve">see NAL Response </w:t>
      </w:r>
      <w:r w:rsidR="007F4227">
        <w:rPr>
          <w:szCs w:val="20"/>
        </w:rPr>
        <w:t>at n. 12</w:t>
      </w:r>
      <w:r w:rsidRPr="00F723EF">
        <w:rPr>
          <w:szCs w:val="20"/>
        </w:rPr>
        <w:t>, it was entirely appropriate to rely on the notation in</w:t>
      </w:r>
      <w:r w:rsidR="007F4227">
        <w:rPr>
          <w:szCs w:val="20"/>
        </w:rPr>
        <w:t xml:space="preserve"> Station WWRR’s maintenance log</w:t>
      </w:r>
      <w:r w:rsidRPr="00F723EF">
        <w:rPr>
          <w:szCs w:val="20"/>
        </w:rPr>
        <w:t xml:space="preserve"> dated September 1, 2008, and signed by the station engineer, which stated that “[a]t this time, when broadcasting from Plains, PA, WWRR (FM) does not meet the requirements of Part 11 of the FCC rules regarding </w:t>
      </w:r>
      <w:smartTag w:uri="urn:schemas-microsoft-com:office:smarttags" w:element="stockticker">
        <w:r w:rsidRPr="00F723EF">
          <w:rPr>
            <w:szCs w:val="20"/>
          </w:rPr>
          <w:t>EAS</w:t>
        </w:r>
      </w:smartTag>
      <w:r w:rsidRPr="00F723EF">
        <w:rPr>
          <w:szCs w:val="20"/>
        </w:rPr>
        <w:t xml:space="preserve"> Encoding, </w:t>
      </w:r>
      <w:smartTag w:uri="urn:schemas-microsoft-com:office:smarttags" w:element="stockticker">
        <w:r w:rsidRPr="00F723EF">
          <w:rPr>
            <w:szCs w:val="20"/>
          </w:rPr>
          <w:t>EAS</w:t>
        </w:r>
      </w:smartTag>
      <w:r w:rsidRPr="00F723EF">
        <w:rPr>
          <w:szCs w:val="20"/>
        </w:rPr>
        <w:t xml:space="preserve"> Decoding or </w:t>
      </w:r>
      <w:smartTag w:uri="urn:schemas-microsoft-com:office:smarttags" w:element="stockticker">
        <w:r w:rsidRPr="00F723EF">
          <w:rPr>
            <w:szCs w:val="20"/>
          </w:rPr>
          <w:t>EAS</w:t>
        </w:r>
      </w:smartTag>
      <w:r w:rsidRPr="00F723EF">
        <w:rPr>
          <w:szCs w:val="20"/>
        </w:rPr>
        <w:t xml:space="preserve"> Retransmission.”  In any event, </w:t>
      </w:r>
      <w:r>
        <w:rPr>
          <w:szCs w:val="20"/>
        </w:rPr>
        <w:t>t</w:t>
      </w:r>
      <w:r w:rsidRPr="00F723EF">
        <w:rPr>
          <w:szCs w:val="20"/>
        </w:rPr>
        <w:t xml:space="preserve">he Commission may assess a forfeiture for violations that are merely repeated, and not willful. </w:t>
      </w:r>
      <w:r w:rsidR="00715877">
        <w:rPr>
          <w:szCs w:val="20"/>
        </w:rPr>
        <w:t xml:space="preserve"> </w:t>
      </w:r>
      <w:r w:rsidR="007F4227">
        <w:rPr>
          <w:i/>
          <w:iCs/>
          <w:szCs w:val="20"/>
        </w:rPr>
        <w:t>See, e.g.</w:t>
      </w:r>
      <w:r w:rsidR="007F4227" w:rsidRPr="00AA6DF3">
        <w:t>,</w:t>
      </w:r>
      <w:r w:rsidRPr="00F723EF">
        <w:rPr>
          <w:i/>
          <w:iCs/>
          <w:szCs w:val="20"/>
        </w:rPr>
        <w:t xml:space="preserve"> </w:t>
      </w:r>
      <w:hyperlink r:id="rId1" w:history="1">
        <w:r w:rsidRPr="00F723EF">
          <w:rPr>
            <w:rStyle w:val="Hyperlink"/>
            <w:i/>
            <w:iCs/>
            <w:color w:val="auto"/>
            <w:szCs w:val="20"/>
            <w:u w:val="none"/>
          </w:rPr>
          <w:t>Callais Cablevision, Inc.</w:t>
        </w:r>
        <w:r w:rsidRPr="00F723EF">
          <w:rPr>
            <w:rStyle w:val="Hyperlink"/>
            <w:color w:val="auto"/>
            <w:szCs w:val="20"/>
            <w:u w:val="none"/>
          </w:rPr>
          <w:t xml:space="preserve">, Notice of Apparent Liability for </w:t>
        </w:r>
        <w:r w:rsidR="0063036F">
          <w:rPr>
            <w:rStyle w:val="Hyperlink"/>
            <w:color w:val="auto"/>
            <w:szCs w:val="20"/>
            <w:u w:val="none"/>
          </w:rPr>
          <w:t xml:space="preserve">Monetary </w:t>
        </w:r>
        <w:r w:rsidRPr="00F723EF">
          <w:rPr>
            <w:rStyle w:val="Hyperlink"/>
            <w:color w:val="auto"/>
            <w:szCs w:val="20"/>
            <w:u w:val="none"/>
          </w:rPr>
          <w:t>Forfeiture, 16 FCC Rcd 1359, 1362</w:t>
        </w:r>
      </w:hyperlink>
      <w:r w:rsidR="0063036F">
        <w:rPr>
          <w:szCs w:val="20"/>
        </w:rPr>
        <w:t xml:space="preserve">, para. 10 (2001) </w:t>
      </w:r>
      <w:r w:rsidRPr="00F723EF">
        <w:rPr>
          <w:szCs w:val="20"/>
        </w:rPr>
        <w:t xml:space="preserve">(proposing a forfeiture for, </w:t>
      </w:r>
      <w:r w:rsidRPr="00F723EF">
        <w:rPr>
          <w:i/>
          <w:iCs/>
          <w:szCs w:val="20"/>
        </w:rPr>
        <w:t>inter alia</w:t>
      </w:r>
      <w:r w:rsidRPr="00F723EF">
        <w:rPr>
          <w:szCs w:val="20"/>
        </w:rPr>
        <w:t>, a cable television opera</w:t>
      </w:r>
      <w:r>
        <w:rPr>
          <w:szCs w:val="20"/>
        </w:rPr>
        <w:t>tor</w:t>
      </w:r>
      <w:r w:rsidR="0063036F">
        <w:rPr>
          <w:szCs w:val="20"/>
        </w:rPr>
        <w:t>’</w:t>
      </w:r>
      <w:r>
        <w:rPr>
          <w:szCs w:val="20"/>
        </w:rPr>
        <w:t>s repeated signal leakage).</w:t>
      </w:r>
      <w:r w:rsidR="00484202">
        <w:rPr>
          <w:szCs w:val="20"/>
        </w:rPr>
        <w:t xml:space="preserve">  </w:t>
      </w:r>
      <w:r w:rsidR="00484202">
        <w:t xml:space="preserve">We disagree with Bold Gold that our finding that the violation commenced in 2006 “is wholly unsupported by reference to any facts whatsoever.” </w:t>
      </w:r>
      <w:r w:rsidR="00715877">
        <w:t xml:space="preserve"> </w:t>
      </w:r>
      <w:r w:rsidR="0063036F">
        <w:rPr>
          <w:i/>
        </w:rPr>
        <w:t xml:space="preserve">NAL </w:t>
      </w:r>
      <w:r w:rsidR="00484202">
        <w:rPr>
          <w:i/>
        </w:rPr>
        <w:t xml:space="preserve">Response </w:t>
      </w:r>
      <w:r w:rsidR="00484202">
        <w:t>at n. 13.  The station engineer reported to the agent that Station WWRR did not have dedicated EAS equipment at the time of the inspection and he did not claim, nor is there any evidence, that Station WWRR ever had dedicated EAS equip</w:t>
      </w:r>
      <w:r w:rsidR="0063036F">
        <w:t xml:space="preserve">ment. Accordingly, we reasonably </w:t>
      </w:r>
      <w:r w:rsidR="00484202">
        <w:t>concluded that the violation commenced at the time Bold Gold acquired Station WWRR in 2006.</w:t>
      </w:r>
    </w:p>
  </w:footnote>
  <w:footnote w:id="20">
    <w:p w:rsidR="0063036F" w:rsidRPr="00600307" w:rsidRDefault="0063036F" w:rsidP="0063036F">
      <w:pPr>
        <w:pStyle w:val="FootnoteText"/>
        <w:tabs>
          <w:tab w:val="clear" w:pos="720"/>
        </w:tabs>
        <w:ind w:firstLine="0"/>
      </w:pPr>
      <w:r>
        <w:rPr>
          <w:rStyle w:val="FootnoteReference"/>
        </w:rPr>
        <w:footnoteRef/>
      </w:r>
      <w:r>
        <w:t xml:space="preserve"> </w:t>
      </w:r>
      <w:r w:rsidR="00600307">
        <w:rPr>
          <w:i/>
        </w:rPr>
        <w:t xml:space="preserve">NAL Response </w:t>
      </w:r>
      <w:r w:rsidR="00600307">
        <w:t>at 7.</w:t>
      </w:r>
    </w:p>
  </w:footnote>
  <w:footnote w:id="21">
    <w:p w:rsidR="003B67A0" w:rsidRPr="003B67A0" w:rsidRDefault="003B67A0" w:rsidP="00EF3A53">
      <w:pPr>
        <w:pStyle w:val="FootnoteText"/>
        <w:ind w:firstLine="0"/>
        <w:jc w:val="left"/>
      </w:pPr>
      <w:r>
        <w:rPr>
          <w:rStyle w:val="FootnoteReference"/>
        </w:rPr>
        <w:footnoteRef/>
      </w:r>
      <w:r>
        <w:t xml:space="preserve"> </w:t>
      </w:r>
      <w:r w:rsidR="00055231">
        <w:rPr>
          <w:i/>
          <w:iCs/>
        </w:rPr>
        <w:t xml:space="preserve">See </w:t>
      </w:r>
      <w:r>
        <w:rPr>
          <w:i/>
          <w:iCs/>
        </w:rPr>
        <w:t xml:space="preserve">Response </w:t>
      </w:r>
      <w:r>
        <w:t>at 5.</w:t>
      </w:r>
      <w:r w:rsidR="00055231">
        <w:t xml:space="preserve"> </w:t>
      </w:r>
      <w:r w:rsidR="00715877">
        <w:t xml:space="preserve"> </w:t>
      </w:r>
      <w:r w:rsidR="002011F5">
        <w:t>The e</w:t>
      </w:r>
      <w:r w:rsidR="0044776C">
        <w:t xml:space="preserve">vidence </w:t>
      </w:r>
      <w:r w:rsidR="002011F5">
        <w:t xml:space="preserve">regarding Bold Gold’s commitment </w:t>
      </w:r>
      <w:r w:rsidR="0044776C">
        <w:t xml:space="preserve">to purchase EAS equipment for Station WWRR </w:t>
      </w:r>
      <w:r w:rsidR="002011F5">
        <w:t>consists of</w:t>
      </w:r>
      <w:r w:rsidR="0044776C">
        <w:t xml:space="preserve"> a memorandum, dated August 7, 2009, from Station WWRR’s General Manager that “Bold Gold Media has an agreement to purchase additional broadcast equipment from a local broadcast company, which includes an EAS system for use [with] WWRR. This equipment is expected to be available for installation for WWRR in approximately 90 days from the date of this memorandum.”</w:t>
      </w:r>
    </w:p>
  </w:footnote>
  <w:footnote w:id="22">
    <w:p w:rsidR="005E0619" w:rsidRDefault="005E0619" w:rsidP="00EF3A53">
      <w:pPr>
        <w:pStyle w:val="FootnoteText"/>
        <w:widowControl/>
        <w:ind w:firstLine="0"/>
        <w:jc w:val="left"/>
      </w:pPr>
      <w:r>
        <w:rPr>
          <w:rStyle w:val="FootnoteReference"/>
        </w:rPr>
        <w:footnoteRef/>
      </w:r>
      <w:r>
        <w:rPr>
          <w:szCs w:val="20"/>
        </w:rPr>
        <w:t xml:space="preserve"> 47 U.S.C. § 503(b); 47 C.F.R. §§ 0.111, 0.204, 0.311, 0.314, 1.80(f)(4); 11.35.</w:t>
      </w:r>
    </w:p>
  </w:footnote>
  <w:footnote w:id="23">
    <w:p w:rsidR="005E0619" w:rsidRDefault="005E0619" w:rsidP="00EF3A53">
      <w:pPr>
        <w:pStyle w:val="FootnoteText"/>
        <w:widowControl/>
        <w:ind w:firstLine="0"/>
        <w:jc w:val="left"/>
      </w:pPr>
      <w:r>
        <w:rPr>
          <w:rStyle w:val="FootnoteReference"/>
        </w:rPr>
        <w:footnoteRef/>
      </w:r>
      <w:r>
        <w:t xml:space="preserve"> 47 C.F.R. § 1.80.</w:t>
      </w:r>
    </w:p>
  </w:footnote>
  <w:footnote w:id="24">
    <w:p w:rsidR="005E0619" w:rsidRDefault="005E0619" w:rsidP="00EF3A53">
      <w:pPr>
        <w:pStyle w:val="FootnoteText"/>
        <w:widowControl/>
        <w:ind w:firstLine="0"/>
        <w:jc w:val="left"/>
      </w:pPr>
      <w:r>
        <w:rPr>
          <w:rStyle w:val="FootnoteReference"/>
        </w:rPr>
        <w:footnoteRef/>
      </w:r>
      <w:r>
        <w:t xml:space="preserve"> 47 U.S.C. § 504(a).</w:t>
      </w:r>
    </w:p>
  </w:footnote>
  <w:footnote w:id="25">
    <w:p w:rsidR="005E0619" w:rsidRDefault="005E0619" w:rsidP="00EF3A53">
      <w:pPr>
        <w:pStyle w:val="FootnoteText"/>
        <w:widowControl/>
        <w:ind w:firstLine="0"/>
        <w:jc w:val="lef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26">
    <w:p w:rsidR="005E0619" w:rsidRDefault="005E0619" w:rsidP="00EF3A53">
      <w:pPr>
        <w:pStyle w:val="FootnoteText"/>
        <w:widowControl/>
        <w:ind w:firstLine="0"/>
        <w:jc w:val="lef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C1" w:rsidRDefault="00625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19" w:rsidRPr="00B14745" w:rsidRDefault="005E0619" w:rsidP="000F467B">
    <w:pPr>
      <w:tabs>
        <w:tab w:val="center" w:pos="4680"/>
        <w:tab w:val="right" w:pos="9360"/>
      </w:tabs>
      <w:suppressAutoHyphens/>
      <w:spacing w:line="227" w:lineRule="auto"/>
      <w:jc w:val="both"/>
      <w:rPr>
        <w:b/>
      </w:rPr>
    </w:pPr>
    <w:r>
      <w:rPr>
        <w:b/>
      </w:rPr>
      <w:tab/>
      <w:t>Federal</w:t>
    </w:r>
    <w:r w:rsidR="00EF3A53">
      <w:rPr>
        <w:b/>
      </w:rPr>
      <w:t xml:space="preserve"> Communications Commission</w:t>
    </w:r>
    <w:r w:rsidR="00EF3A53">
      <w:rPr>
        <w:b/>
      </w:rPr>
      <w:tab/>
      <w:t>DA 14</w:t>
    </w:r>
    <w:r>
      <w:rPr>
        <w:b/>
      </w:rPr>
      <w:t>-</w:t>
    </w:r>
    <w:r w:rsidR="00B14745">
      <w:rPr>
        <w:b/>
      </w:rPr>
      <w:t>795</w:t>
    </w:r>
  </w:p>
  <w:p w:rsidR="005E0619" w:rsidRDefault="00AE08FC">
    <w:pPr>
      <w:pStyle w:val="Header"/>
      <w:jc w:val="both"/>
      <w:rPr>
        <w:b/>
      </w:rPr>
    </w:pPr>
    <w:r>
      <w:rPr>
        <w:b/>
        <w:noProof/>
      </w:rPr>
      <w:pict>
        <v:rect id="_x0000_s2058" style="position:absolute;left:0;text-align:left;margin-left:0;margin-top:-.7pt;width:468pt;height:.95pt;z-index:-251659264;mso-position-horizontal-relative:margin" o:allowincell="f" fillcolor="black" stroked="f" strokeweight=".05pt">
          <v:fill color2="black"/>
          <v:textbox>
            <w:txbxContent>
              <w:p w:rsidR="005E0619" w:rsidRDefault="005E0619"/>
            </w:txbxContent>
          </v:textbox>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19" w:rsidRPr="00600307" w:rsidRDefault="005E0619" w:rsidP="000F467B">
    <w:pPr>
      <w:tabs>
        <w:tab w:val="center" w:pos="4680"/>
        <w:tab w:val="right" w:pos="9360"/>
      </w:tabs>
      <w:suppressAutoHyphens/>
      <w:spacing w:line="227" w:lineRule="auto"/>
      <w:jc w:val="both"/>
      <w:rPr>
        <w:spacing w:val="-2"/>
      </w:rPr>
    </w:pPr>
    <w:r>
      <w:rPr>
        <w:b/>
        <w:spacing w:val="-2"/>
      </w:rPr>
      <w:tab/>
      <w:t>Federal</w:t>
    </w:r>
    <w:r w:rsidR="00664472">
      <w:rPr>
        <w:b/>
        <w:spacing w:val="-2"/>
      </w:rPr>
      <w:t xml:space="preserve"> Communications Commission</w:t>
    </w:r>
    <w:r w:rsidR="00664472">
      <w:rPr>
        <w:b/>
        <w:spacing w:val="-2"/>
      </w:rPr>
      <w:tab/>
      <w:t>DA 14</w:t>
    </w:r>
    <w:r>
      <w:rPr>
        <w:b/>
        <w:spacing w:val="-2"/>
      </w:rPr>
      <w:t>-</w:t>
    </w:r>
    <w:r w:rsidR="00600307">
      <w:rPr>
        <w:b/>
        <w:spacing w:val="-2"/>
      </w:rPr>
      <w:t>795</w:t>
    </w:r>
  </w:p>
  <w:p w:rsidR="005E0619" w:rsidRDefault="00AE08FC">
    <w:pPr>
      <w:tabs>
        <w:tab w:val="left" w:pos="-1440"/>
        <w:tab w:val="left" w:pos="-720"/>
      </w:tabs>
      <w:suppressAutoHyphens/>
      <w:spacing w:line="19" w:lineRule="exact"/>
      <w:jc w:val="both"/>
      <w:rPr>
        <w:spacing w:val="-2"/>
      </w:rPr>
    </w:pPr>
    <w:r>
      <w:rPr>
        <w:noProof/>
      </w:rPr>
      <w:pict>
        <v:rect id="_x0000_s2059" style="position:absolute;left:0;text-align:left;margin-left:0;margin-top:0;width:468pt;height:.95pt;z-index:-251658240;mso-position-horizontal-relative:margin" o:allowincell="f" fillcolor="black" stroked="f" strokeweight=".05pt">
          <v:fill color2="black"/>
          <v:textbox style="mso-next-textbox:#_x0000_s2059">
            <w:txbxContent>
              <w:p w:rsidR="005E0619" w:rsidRDefault="005E0619"/>
            </w:txbxContent>
          </v:textbox>
          <w10:wrap anchorx="margin"/>
        </v:rect>
      </w:pict>
    </w:r>
  </w:p>
  <w:p w:rsidR="005E0619" w:rsidRDefault="005E0619">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4">
    <w:nsid w:val="38D805F1"/>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5">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8">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1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5"/>
  </w:num>
  <w:num w:numId="3">
    <w:abstractNumId w:val="2"/>
  </w:num>
  <w:num w:numId="4">
    <w:abstractNumId w:val="10"/>
  </w:num>
  <w:num w:numId="5">
    <w:abstractNumId w:val="1"/>
  </w:num>
  <w:num w:numId="6">
    <w:abstractNumId w:val="3"/>
  </w:num>
  <w:num w:numId="7">
    <w:abstractNumId w:val="0"/>
  </w:num>
  <w:num w:numId="8">
    <w:abstractNumId w:val="11"/>
  </w:num>
  <w:num w:numId="9">
    <w:abstractNumId w:val="9"/>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21D05"/>
    <w:rsid w:val="00032F80"/>
    <w:rsid w:val="00034D8C"/>
    <w:rsid w:val="00055231"/>
    <w:rsid w:val="000A1C1E"/>
    <w:rsid w:val="000A7BE5"/>
    <w:rsid w:val="000B5FB3"/>
    <w:rsid w:val="000C7682"/>
    <w:rsid w:val="000D1951"/>
    <w:rsid w:val="000D6CDB"/>
    <w:rsid w:val="000F467B"/>
    <w:rsid w:val="00120674"/>
    <w:rsid w:val="001322CD"/>
    <w:rsid w:val="001329D8"/>
    <w:rsid w:val="00154A89"/>
    <w:rsid w:val="001A3229"/>
    <w:rsid w:val="001B1B27"/>
    <w:rsid w:val="001C6F88"/>
    <w:rsid w:val="002011F5"/>
    <w:rsid w:val="00203CB2"/>
    <w:rsid w:val="002072FE"/>
    <w:rsid w:val="002073A7"/>
    <w:rsid w:val="002316FF"/>
    <w:rsid w:val="00235FB4"/>
    <w:rsid w:val="00246D1C"/>
    <w:rsid w:val="0026461E"/>
    <w:rsid w:val="002C4E15"/>
    <w:rsid w:val="002C5C98"/>
    <w:rsid w:val="002F10E9"/>
    <w:rsid w:val="003012FC"/>
    <w:rsid w:val="00305322"/>
    <w:rsid w:val="00336591"/>
    <w:rsid w:val="00395DDD"/>
    <w:rsid w:val="003B67A0"/>
    <w:rsid w:val="003D5B68"/>
    <w:rsid w:val="00413FEF"/>
    <w:rsid w:val="004150D2"/>
    <w:rsid w:val="00421D05"/>
    <w:rsid w:val="00431D7C"/>
    <w:rsid w:val="0044776C"/>
    <w:rsid w:val="00463FD7"/>
    <w:rsid w:val="00484202"/>
    <w:rsid w:val="00492A2C"/>
    <w:rsid w:val="004A2EA0"/>
    <w:rsid w:val="004B3142"/>
    <w:rsid w:val="004D6CDA"/>
    <w:rsid w:val="005131F1"/>
    <w:rsid w:val="00536FD8"/>
    <w:rsid w:val="00550BDC"/>
    <w:rsid w:val="00566551"/>
    <w:rsid w:val="005A5483"/>
    <w:rsid w:val="005D037E"/>
    <w:rsid w:val="005E0619"/>
    <w:rsid w:val="005E693F"/>
    <w:rsid w:val="00600307"/>
    <w:rsid w:val="006254C1"/>
    <w:rsid w:val="0063036F"/>
    <w:rsid w:val="00645413"/>
    <w:rsid w:val="00664472"/>
    <w:rsid w:val="006943DE"/>
    <w:rsid w:val="00710499"/>
    <w:rsid w:val="00715877"/>
    <w:rsid w:val="0077213B"/>
    <w:rsid w:val="00773E2F"/>
    <w:rsid w:val="007B2100"/>
    <w:rsid w:val="007B44F5"/>
    <w:rsid w:val="007F4227"/>
    <w:rsid w:val="008278EF"/>
    <w:rsid w:val="00830BCB"/>
    <w:rsid w:val="00837937"/>
    <w:rsid w:val="00843B27"/>
    <w:rsid w:val="008712DD"/>
    <w:rsid w:val="008A77E3"/>
    <w:rsid w:val="008C1DD8"/>
    <w:rsid w:val="008D0079"/>
    <w:rsid w:val="008D7DFE"/>
    <w:rsid w:val="008E6CEC"/>
    <w:rsid w:val="00917371"/>
    <w:rsid w:val="00925162"/>
    <w:rsid w:val="009574EE"/>
    <w:rsid w:val="009C56E9"/>
    <w:rsid w:val="009E4662"/>
    <w:rsid w:val="009F1CB7"/>
    <w:rsid w:val="00A005B3"/>
    <w:rsid w:val="00A72211"/>
    <w:rsid w:val="00A92B3E"/>
    <w:rsid w:val="00AA6DF3"/>
    <w:rsid w:val="00AD0E55"/>
    <w:rsid w:val="00AE08FC"/>
    <w:rsid w:val="00AF09F5"/>
    <w:rsid w:val="00B14745"/>
    <w:rsid w:val="00B23B84"/>
    <w:rsid w:val="00B308BC"/>
    <w:rsid w:val="00B31013"/>
    <w:rsid w:val="00B50576"/>
    <w:rsid w:val="00B53FA5"/>
    <w:rsid w:val="00B61767"/>
    <w:rsid w:val="00B82CB8"/>
    <w:rsid w:val="00B90989"/>
    <w:rsid w:val="00BC6764"/>
    <w:rsid w:val="00BC700E"/>
    <w:rsid w:val="00C11770"/>
    <w:rsid w:val="00C2377B"/>
    <w:rsid w:val="00C24A88"/>
    <w:rsid w:val="00C44DB4"/>
    <w:rsid w:val="00C56DDE"/>
    <w:rsid w:val="00C65961"/>
    <w:rsid w:val="00CB7A88"/>
    <w:rsid w:val="00CC1062"/>
    <w:rsid w:val="00CD746D"/>
    <w:rsid w:val="00D00EEC"/>
    <w:rsid w:val="00D15211"/>
    <w:rsid w:val="00D67CBE"/>
    <w:rsid w:val="00DA0CE4"/>
    <w:rsid w:val="00DE7000"/>
    <w:rsid w:val="00DF4FC8"/>
    <w:rsid w:val="00E01C95"/>
    <w:rsid w:val="00E61B71"/>
    <w:rsid w:val="00E83F93"/>
    <w:rsid w:val="00EA6EF4"/>
    <w:rsid w:val="00EC02D9"/>
    <w:rsid w:val="00EF1E4C"/>
    <w:rsid w:val="00EF3A53"/>
    <w:rsid w:val="00F144D3"/>
    <w:rsid w:val="00F17E5E"/>
    <w:rsid w:val="00F211E5"/>
    <w:rsid w:val="00F723EF"/>
    <w:rsid w:val="00F767A6"/>
    <w:rsid w:val="00F818D2"/>
    <w:rsid w:val="00F86CE2"/>
    <w:rsid w:val="00FA4AB8"/>
    <w:rsid w:val="00FB7861"/>
    <w:rsid w:val="00FC2D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211"/>
    <w:rPr>
      <w:sz w:val="22"/>
      <w:szCs w:val="22"/>
    </w:rPr>
  </w:style>
  <w:style w:type="paragraph" w:styleId="Heading1">
    <w:name w:val="heading 1"/>
    <w:basedOn w:val="Normal"/>
    <w:next w:val="Normal"/>
    <w:qFormat/>
    <w:rsid w:val="00D152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5211"/>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uiPriority w:val="99"/>
    <w:semiHidden/>
    <w:rsid w:val="00D15211"/>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D15211"/>
    <w:pPr>
      <w:widowControl w:val="0"/>
      <w:tabs>
        <w:tab w:val="left" w:pos="720"/>
      </w:tabs>
      <w:suppressAutoHyphens/>
      <w:spacing w:after="120"/>
      <w:ind w:firstLine="360"/>
      <w:jc w:val="both"/>
    </w:pPr>
    <w:rPr>
      <w:snapToGrid w:val="0"/>
      <w:sz w:val="20"/>
    </w:rPr>
  </w:style>
  <w:style w:type="paragraph" w:styleId="BodyText2">
    <w:name w:val="Body Text 2"/>
    <w:basedOn w:val="Normal"/>
    <w:rsid w:val="00D15211"/>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rsid w:val="00D15211"/>
    <w:pPr>
      <w:numPr>
        <w:numId w:val="2"/>
      </w:numPr>
      <w:spacing w:after="220"/>
    </w:pPr>
    <w:rPr>
      <w:lang w:bidi="he-IL"/>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sid w:val="00D15211"/>
    <w:rPr>
      <w:snapToGrid w:val="0"/>
      <w:szCs w:val="22"/>
      <w:lang w:val="en-US" w:eastAsia="en-US" w:bidi="ar-SA"/>
    </w:rPr>
  </w:style>
  <w:style w:type="paragraph" w:styleId="Header">
    <w:name w:val="header"/>
    <w:basedOn w:val="Normal"/>
    <w:link w:val="HeaderChar"/>
    <w:rsid w:val="00D15211"/>
    <w:pPr>
      <w:tabs>
        <w:tab w:val="center" w:pos="4320"/>
        <w:tab w:val="right" w:pos="8640"/>
      </w:tabs>
    </w:pPr>
  </w:style>
  <w:style w:type="paragraph" w:styleId="Footer">
    <w:name w:val="footer"/>
    <w:basedOn w:val="Normal"/>
    <w:rsid w:val="00D15211"/>
    <w:pPr>
      <w:tabs>
        <w:tab w:val="center" w:pos="4320"/>
        <w:tab w:val="right" w:pos="8640"/>
      </w:tabs>
    </w:pPr>
  </w:style>
  <w:style w:type="character" w:styleId="PageNumber">
    <w:name w:val="page number"/>
    <w:basedOn w:val="DefaultParagraphFont"/>
    <w:rsid w:val="00D15211"/>
  </w:style>
  <w:style w:type="character" w:customStyle="1" w:styleId="documentbody">
    <w:name w:val="documentbody"/>
    <w:basedOn w:val="DefaultParagraphFont"/>
    <w:uiPriority w:val="99"/>
    <w:rsid w:val="00D15211"/>
  </w:style>
  <w:style w:type="character" w:styleId="Hyperlink">
    <w:name w:val="Hyperlink"/>
    <w:uiPriority w:val="99"/>
    <w:rsid w:val="00D15211"/>
    <w:rPr>
      <w:color w:val="0000FF"/>
      <w:u w:val="single"/>
    </w:rPr>
  </w:style>
  <w:style w:type="character" w:customStyle="1" w:styleId="searchterm">
    <w:name w:val="searchterm"/>
    <w:basedOn w:val="DefaultParagraphFont"/>
    <w:rsid w:val="00D15211"/>
  </w:style>
  <w:style w:type="character" w:customStyle="1" w:styleId="documentbody1">
    <w:name w:val="documentbody1"/>
    <w:rsid w:val="00D15211"/>
    <w:rPr>
      <w:rFonts w:ascii="Verdana" w:hAnsi="Verdana" w:hint="default"/>
      <w:sz w:val="19"/>
      <w:szCs w:val="19"/>
    </w:rPr>
  </w:style>
  <w:style w:type="paragraph" w:styleId="HTMLPreformatted">
    <w:name w:val="HTML Preformatted"/>
    <w:basedOn w:val="Normal"/>
    <w:rsid w:val="00D15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rsid w:val="00D15211"/>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rsid w:val="00D15211"/>
  </w:style>
  <w:style w:type="character" w:customStyle="1" w:styleId="pmterms2">
    <w:name w:val="pmterms2"/>
    <w:basedOn w:val="DefaultParagraphFont"/>
    <w:rsid w:val="00D15211"/>
  </w:style>
  <w:style w:type="character" w:customStyle="1" w:styleId="rrfootnoteCharChar">
    <w:name w:val="rrfootnote Char Char"/>
    <w:aliases w:val="rrfootnote Char Char Char1 Char,rrfootnote Char1 Char Char,rrfootnote Char Char1"/>
    <w:rsid w:val="00D15211"/>
    <w:rPr>
      <w:lang w:val="en-US" w:eastAsia="en-US" w:bidi="ar-SA"/>
    </w:rPr>
  </w:style>
  <w:style w:type="character" w:customStyle="1" w:styleId="rrfootnoteCharCharCharCharChar">
    <w:name w:val="rrfootnote Char Char Char Char Char"/>
    <w:aliases w:val="Footnote Text Char Char Char Char Char Char"/>
    <w:locked/>
    <w:rsid w:val="00D15211"/>
    <w:rPr>
      <w:rFonts w:cs="Times New Roman"/>
      <w:color w:val="000000"/>
      <w:lang w:val="en-US" w:eastAsia="en-US" w:bidi="ar-SA"/>
    </w:rPr>
  </w:style>
  <w:style w:type="paragraph" w:styleId="BodyTextIndent3">
    <w:name w:val="Body Text Indent 3"/>
    <w:basedOn w:val="Normal"/>
    <w:rsid w:val="00D15211"/>
    <w:pPr>
      <w:spacing w:after="120"/>
      <w:ind w:left="360"/>
    </w:pPr>
    <w:rPr>
      <w:sz w:val="16"/>
      <w:szCs w:val="16"/>
    </w:rPr>
  </w:style>
  <w:style w:type="character" w:customStyle="1" w:styleId="NOVBodyindented">
    <w:name w:val="NOV Body indented"/>
    <w:rsid w:val="00D15211"/>
    <w:rPr>
      <w:sz w:val="22"/>
      <w:szCs w:val="22"/>
    </w:rPr>
  </w:style>
  <w:style w:type="paragraph" w:styleId="BodyText">
    <w:name w:val="Body Text"/>
    <w:basedOn w:val="Normal"/>
    <w:rsid w:val="00D15211"/>
    <w:pPr>
      <w:spacing w:after="120"/>
    </w:pPr>
  </w:style>
  <w:style w:type="character" w:customStyle="1" w:styleId="starpage">
    <w:name w:val="starpage"/>
    <w:basedOn w:val="DefaultParagraphFont"/>
    <w:rsid w:val="00D15211"/>
  </w:style>
  <w:style w:type="character" w:styleId="CommentReference">
    <w:name w:val="annotation reference"/>
    <w:semiHidden/>
    <w:rsid w:val="00D15211"/>
    <w:rPr>
      <w:sz w:val="16"/>
      <w:szCs w:val="16"/>
    </w:rPr>
  </w:style>
  <w:style w:type="paragraph" w:customStyle="1" w:styleId="textinfo">
    <w:name w:val="textinfo"/>
    <w:basedOn w:val="Normal"/>
    <w:rsid w:val="00D15211"/>
    <w:pPr>
      <w:spacing w:before="100" w:beforeAutospacing="1" w:after="100" w:afterAutospacing="1"/>
    </w:pPr>
    <w:rPr>
      <w:sz w:val="24"/>
      <w:szCs w:val="24"/>
    </w:rPr>
  </w:style>
  <w:style w:type="paragraph" w:styleId="CommentText">
    <w:name w:val="annotation text"/>
    <w:basedOn w:val="Normal"/>
    <w:semiHidden/>
    <w:rsid w:val="00D15211"/>
    <w:rPr>
      <w:sz w:val="20"/>
      <w:szCs w:val="20"/>
    </w:rPr>
  </w:style>
  <w:style w:type="paragraph" w:styleId="CommentSubject">
    <w:name w:val="annotation subject"/>
    <w:basedOn w:val="CommentText"/>
    <w:next w:val="CommentText"/>
    <w:semiHidden/>
    <w:rsid w:val="00D15211"/>
    <w:rPr>
      <w:b/>
      <w:bCs/>
    </w:rPr>
  </w:style>
  <w:style w:type="paragraph" w:styleId="BalloonText">
    <w:name w:val="Balloon Text"/>
    <w:basedOn w:val="Normal"/>
    <w:semiHidden/>
    <w:rsid w:val="00D15211"/>
    <w:rPr>
      <w:rFonts w:ascii="Tahoma" w:hAnsi="Tahoma" w:cs="Tahoma"/>
      <w:sz w:val="16"/>
      <w:szCs w:val="16"/>
    </w:rPr>
  </w:style>
  <w:style w:type="paragraph" w:styleId="ListParagraph">
    <w:name w:val="List Paragraph"/>
    <w:basedOn w:val="Normal"/>
    <w:uiPriority w:val="34"/>
    <w:qFormat/>
    <w:rsid w:val="00D15211"/>
    <w:pPr>
      <w:ind w:left="720"/>
    </w:pPr>
  </w:style>
  <w:style w:type="paragraph" w:styleId="TOAHeading">
    <w:name w:val="toa heading"/>
    <w:basedOn w:val="Normal"/>
    <w:next w:val="Normal"/>
    <w:rsid w:val="00D15211"/>
    <w:pPr>
      <w:widowControl w:val="0"/>
      <w:tabs>
        <w:tab w:val="right" w:pos="9360"/>
      </w:tabs>
      <w:suppressAutoHyphens/>
    </w:pPr>
    <w:rPr>
      <w:snapToGrid w:val="0"/>
      <w:kern w:val="28"/>
      <w:szCs w:val="20"/>
    </w:rPr>
  </w:style>
  <w:style w:type="character" w:customStyle="1" w:styleId="FootnoteCharacters">
    <w:name w:val="Footnote Characters"/>
    <w:uiPriority w:val="99"/>
    <w:rsid w:val="00D15211"/>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D15211"/>
    <w:rPr>
      <w:sz w:val="20"/>
      <w:szCs w:val="20"/>
      <w:lang w:eastAsia="ar-SA"/>
    </w:rPr>
  </w:style>
  <w:style w:type="character" w:customStyle="1" w:styleId="apple-converted-space">
    <w:name w:val="apple-converted-space"/>
    <w:rsid w:val="00D15211"/>
  </w:style>
  <w:style w:type="character" w:customStyle="1" w:styleId="ParaNumChar">
    <w:name w:val="ParaNum Char"/>
    <w:link w:val="ParaNum"/>
    <w:locked/>
    <w:rsid w:val="00D15211"/>
    <w:rPr>
      <w:sz w:val="22"/>
      <w:szCs w:val="22"/>
    </w:rPr>
  </w:style>
  <w:style w:type="character" w:customStyle="1" w:styleId="HeaderChar">
    <w:name w:val="Header Char"/>
    <w:link w:val="Header"/>
    <w:rsid w:val="000F467B"/>
    <w:rPr>
      <w:sz w:val="22"/>
      <w:szCs w:val="22"/>
      <w:lang w:bidi="ar-SA"/>
    </w:rPr>
  </w:style>
  <w:style w:type="character" w:customStyle="1" w:styleId="FootnoteTextChar3">
    <w:name w:val="Footnote Text Char3"/>
    <w:aliases w:val="rrfootnote Char3,Footnote Text Char1 Char2,Footnote Text Char Char Char2,rrfootnote Char Char Char2,rrfootnote Char1 Char1,Footnote Text Char Char2,rrfootnote Char Char2,Footnote Text Char1 Char Char1"/>
    <w:uiPriority w:val="99"/>
    <w:locked/>
    <w:rsid w:val="004150D2"/>
    <w:rPr>
      <w:rFonts w:cs="Times New Roman"/>
      <w:lang w:val="en-US" w:eastAsia="en-US" w:bidi="ar-SA"/>
    </w:rPr>
  </w:style>
  <w:style w:type="paragraph" w:customStyle="1" w:styleId="DefinitionList">
    <w:name w:val="Definition List"/>
    <w:basedOn w:val="Normal"/>
    <w:next w:val="Normal"/>
    <w:rsid w:val="00F723EF"/>
    <w:pPr>
      <w:autoSpaceDE w:val="0"/>
      <w:autoSpaceDN w:val="0"/>
      <w:adjustRightInd w:val="0"/>
      <w:ind w:left="360"/>
    </w:pPr>
    <w:rPr>
      <w:sz w:val="24"/>
      <w:szCs w:val="24"/>
    </w:rPr>
  </w:style>
  <w:style w:type="paragraph" w:styleId="Revision">
    <w:name w:val="Revision"/>
    <w:hidden/>
    <w:uiPriority w:val="99"/>
    <w:semiHidden/>
    <w:rsid w:val="00B6176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uiPriority w:val="99"/>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spacing w:after="220"/>
    </w:pPr>
    <w:rPr>
      <w:lang w:val="x-none" w:eastAsia="x-none" w:bidi="he-IL"/>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Pr>
      <w:snapToGrid w:val="0"/>
      <w:szCs w:val="22"/>
      <w:lang w:val="en-US" w:eastAsia="en-US" w:bidi="ar-S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
    <w:rPr>
      <w:lang w:val="en-US" w:eastAsia="en-US" w:bidi="ar-SA"/>
    </w:rPr>
  </w:style>
  <w:style w:type="character" w:customStyle="1" w:styleId="rrfootnoteCharCharCharCharChar">
    <w:name w:val="rrfootnote Char Char Char Char Char"/>
    <w:aliases w:val="Footnote Text Char Char Char Char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lang w:val="x-none" w:eastAsia="x-none"/>
    </w:rPr>
  </w:style>
  <w:style w:type="character" w:customStyle="1" w:styleId="HeaderChar">
    <w:name w:val="Header Char"/>
    <w:link w:val="Header"/>
    <w:rsid w:val="000F467B"/>
    <w:rPr>
      <w:sz w:val="22"/>
      <w:szCs w:val="22"/>
      <w:lang w:bidi="ar-SA"/>
    </w:rPr>
  </w:style>
  <w:style w:type="character" w:customStyle="1" w:styleId="FootnoteTextChar3">
    <w:name w:val="Footnote Text Char3"/>
    <w:aliases w:val="rrfootnote Char3,Footnote Text Char1 Char2,Footnote Text Char Char Char2,rrfootnote Char Char Char2,rrfootnote Char1 Char1,Footnote Text Char Char2,rrfootnote Char Char2,Footnote Text Char1 Char Char1"/>
    <w:uiPriority w:val="99"/>
    <w:locked/>
    <w:rsid w:val="004150D2"/>
    <w:rPr>
      <w:rFonts w:cs="Times New Roman"/>
      <w:lang w:val="en-US" w:eastAsia="en-US" w:bidi="ar-SA"/>
    </w:rPr>
  </w:style>
  <w:style w:type="paragraph" w:customStyle="1" w:styleId="DefinitionList">
    <w:name w:val="Definition List"/>
    <w:basedOn w:val="Normal"/>
    <w:next w:val="Normal"/>
    <w:rsid w:val="00F723EF"/>
    <w:pPr>
      <w:autoSpaceDE w:val="0"/>
      <w:autoSpaceDN w:val="0"/>
      <w:adjustRightInd w:val="0"/>
      <w:ind w:left="360"/>
    </w:pPr>
    <w:rPr>
      <w:sz w:val="24"/>
      <w:szCs w:val="24"/>
    </w:rPr>
  </w:style>
  <w:style w:type="paragraph" w:styleId="Revision">
    <w:name w:val="Revision"/>
    <w:hidden/>
    <w:uiPriority w:val="99"/>
    <w:semiHidden/>
    <w:rsid w:val="00B617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Westlaw&amp;db=0004493&amp;tc=-1&amp;rp=%2ffind%2fdefault.wl&amp;findtype=Y&amp;ordoc=2027091563&amp;serialnum=2001079448&amp;vr=2.0&amp;fn=_top&amp;sv=Split&amp;tf=-1&amp;referencepositiontype=S&amp;pbc=3997EA67&amp;referenceposition=1362&amp;rs=WLW1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1840</Words>
  <Characters>9535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11408</CharactersWithSpaces>
  <SharedDoc>false</SharedDoc>
  <HyperlinkBase> </HyperlinkBase>
  <HLinks>
    <vt:vector size="12" baseType="variant">
      <vt:variant>
        <vt:i4>8126550</vt:i4>
      </vt:variant>
      <vt:variant>
        <vt:i4>0</vt:i4>
      </vt:variant>
      <vt:variant>
        <vt:i4>0</vt:i4>
      </vt:variant>
      <vt:variant>
        <vt:i4>5</vt:i4>
      </vt:variant>
      <vt:variant>
        <vt:lpwstr>mailto:ARINQUIRIES@fcc.gov</vt:lpwstr>
      </vt:variant>
      <vt:variant>
        <vt:lpwstr/>
      </vt:variant>
      <vt:variant>
        <vt:i4>5177400</vt:i4>
      </vt:variant>
      <vt:variant>
        <vt:i4>0</vt:i4>
      </vt:variant>
      <vt:variant>
        <vt:i4>0</vt:i4>
      </vt:variant>
      <vt:variant>
        <vt:i4>5</vt:i4>
      </vt:variant>
      <vt:variant>
        <vt:lpwstr>http://web2.westlaw.com/find/default.wl?mt=Westlaw&amp;db=0004493&amp;tc=-1&amp;rp=%2ffind%2fdefault.wl&amp;findtype=Y&amp;ordoc=2027091563&amp;serialnum=2001079448&amp;vr=2.0&amp;fn=_top&amp;sv=Split&amp;tf=-1&amp;referencepositiontype=S&amp;pbc=3997EA67&amp;referenceposition=1362&amp;rs=WLW13.04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2013-05-08T20:11:00Z</cp:lastPrinted>
  <dcterms:created xsi:type="dcterms:W3CDTF">2014-06-10T16:20:00Z</dcterms:created>
  <dcterms:modified xsi:type="dcterms:W3CDTF">2014-06-10T16:20:00Z</dcterms:modified>
  <cp:category> </cp:category>
  <cp:contentStatus> </cp:contentStatus>
</cp:coreProperties>
</file>