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DD" w:rsidRPr="008F51DD" w:rsidRDefault="008F51DD" w:rsidP="008F51DD">
      <w:pPr>
        <w:jc w:val="center"/>
        <w:rPr>
          <w:b/>
          <w:snapToGrid w:val="0"/>
          <w:kern w:val="28"/>
          <w:szCs w:val="22"/>
        </w:rPr>
      </w:pPr>
      <w:bookmarkStart w:id="0" w:name="_GoBack"/>
      <w:bookmarkEnd w:id="0"/>
      <w:r w:rsidRPr="008F51DD">
        <w:rPr>
          <w:b/>
          <w:snapToGrid w:val="0"/>
          <w:kern w:val="28"/>
          <w:szCs w:val="22"/>
        </w:rPr>
        <w:t>Before the</w:t>
      </w:r>
    </w:p>
    <w:p w:rsidR="008F51DD" w:rsidRPr="008F51DD" w:rsidRDefault="008F51DD" w:rsidP="008F51DD">
      <w:pPr>
        <w:jc w:val="center"/>
        <w:rPr>
          <w:b/>
          <w:snapToGrid w:val="0"/>
          <w:kern w:val="28"/>
          <w:szCs w:val="22"/>
        </w:rPr>
      </w:pPr>
      <w:r w:rsidRPr="008F51DD">
        <w:rPr>
          <w:b/>
          <w:snapToGrid w:val="0"/>
          <w:kern w:val="28"/>
          <w:szCs w:val="22"/>
        </w:rPr>
        <w:t>Federal Communications Commission</w:t>
      </w:r>
    </w:p>
    <w:p w:rsidR="008F51DD" w:rsidRPr="008F51DD" w:rsidRDefault="008F51DD" w:rsidP="008F51DD">
      <w:pPr>
        <w:jc w:val="center"/>
        <w:rPr>
          <w:snapToGrid w:val="0"/>
          <w:kern w:val="28"/>
          <w:szCs w:val="22"/>
        </w:rPr>
      </w:pPr>
      <w:r w:rsidRPr="008F51DD">
        <w:rPr>
          <w:b/>
          <w:snapToGrid w:val="0"/>
          <w:kern w:val="28"/>
          <w:szCs w:val="22"/>
        </w:rPr>
        <w:t>Washington, D.C. 20554</w:t>
      </w:r>
    </w:p>
    <w:p w:rsidR="008F51DD" w:rsidRPr="008F51DD" w:rsidRDefault="008F51DD" w:rsidP="008F51DD">
      <w:pPr>
        <w:rPr>
          <w:snapToGrid w:val="0"/>
          <w:kern w:val="28"/>
          <w:szCs w:val="22"/>
        </w:rPr>
      </w:pPr>
    </w:p>
    <w:tbl>
      <w:tblPr>
        <w:tblW w:w="18795" w:type="dxa"/>
        <w:tblLayout w:type="fixed"/>
        <w:tblLook w:val="0000" w:firstRow="0" w:lastRow="0" w:firstColumn="0" w:lastColumn="0" w:noHBand="0" w:noVBand="0"/>
      </w:tblPr>
      <w:tblGrid>
        <w:gridCol w:w="4697"/>
        <w:gridCol w:w="630"/>
        <w:gridCol w:w="4069"/>
        <w:gridCol w:w="180"/>
        <w:gridCol w:w="4519"/>
        <w:gridCol w:w="4700"/>
      </w:tblGrid>
      <w:tr w:rsidR="008F51DD" w:rsidRPr="008F51DD" w:rsidTr="00470658">
        <w:trPr>
          <w:gridAfter w:val="2"/>
          <w:wAfter w:w="9219" w:type="dxa"/>
        </w:trPr>
        <w:tc>
          <w:tcPr>
            <w:tcW w:w="4698" w:type="dxa"/>
          </w:tcPr>
          <w:p w:rsidR="008F51DD" w:rsidRPr="008F51DD" w:rsidRDefault="008F51DD" w:rsidP="008F51DD">
            <w:pPr>
              <w:tabs>
                <w:tab w:val="center" w:pos="4680"/>
              </w:tabs>
              <w:suppressAutoHyphens/>
              <w:rPr>
                <w:snapToGrid w:val="0"/>
                <w:spacing w:val="-2"/>
                <w:kern w:val="28"/>
                <w:szCs w:val="22"/>
              </w:rPr>
            </w:pPr>
          </w:p>
        </w:tc>
        <w:tc>
          <w:tcPr>
            <w:tcW w:w="630" w:type="dxa"/>
          </w:tcPr>
          <w:p w:rsidR="008F51DD" w:rsidRPr="008F51DD" w:rsidRDefault="008F51DD" w:rsidP="008F51DD">
            <w:pPr>
              <w:tabs>
                <w:tab w:val="center" w:pos="4680"/>
              </w:tabs>
              <w:suppressAutoHyphens/>
              <w:rPr>
                <w:b/>
                <w:snapToGrid w:val="0"/>
                <w:spacing w:val="-2"/>
                <w:kern w:val="28"/>
                <w:szCs w:val="22"/>
              </w:rPr>
            </w:pPr>
          </w:p>
        </w:tc>
        <w:tc>
          <w:tcPr>
            <w:tcW w:w="4248" w:type="dxa"/>
            <w:gridSpan w:val="2"/>
          </w:tcPr>
          <w:p w:rsidR="008F51DD" w:rsidRPr="008F51DD" w:rsidRDefault="008F51DD" w:rsidP="008F51DD">
            <w:pPr>
              <w:tabs>
                <w:tab w:val="center" w:pos="4680"/>
              </w:tabs>
              <w:suppressAutoHyphens/>
              <w:rPr>
                <w:snapToGrid w:val="0"/>
                <w:spacing w:val="-2"/>
                <w:kern w:val="28"/>
                <w:szCs w:val="22"/>
                <w:lang w:val="sv-SE"/>
              </w:rPr>
            </w:pPr>
          </w:p>
        </w:tc>
      </w:tr>
      <w:tr w:rsidR="008F51DD" w:rsidRPr="008F51DD" w:rsidTr="00470658">
        <w:tblPrEx>
          <w:tblLook w:val="04A0" w:firstRow="1" w:lastRow="0" w:firstColumn="1" w:lastColumn="0" w:noHBand="0" w:noVBand="1"/>
        </w:tblPrEx>
        <w:trPr>
          <w:gridAfter w:val="2"/>
          <w:wAfter w:w="9218" w:type="dxa"/>
        </w:trPr>
        <w:tc>
          <w:tcPr>
            <w:tcW w:w="4698" w:type="dxa"/>
          </w:tcPr>
          <w:p w:rsidR="008F51DD" w:rsidRPr="008F51DD" w:rsidRDefault="008F51DD" w:rsidP="008F51DD">
            <w:pPr>
              <w:widowControl w:val="0"/>
              <w:tabs>
                <w:tab w:val="center" w:pos="4680"/>
              </w:tabs>
              <w:suppressAutoHyphens/>
              <w:rPr>
                <w:snapToGrid w:val="0"/>
                <w:spacing w:val="-2"/>
                <w:kern w:val="28"/>
                <w:szCs w:val="22"/>
              </w:rPr>
            </w:pPr>
            <w:r w:rsidRPr="008F51DD">
              <w:rPr>
                <w:snapToGrid w:val="0"/>
                <w:spacing w:val="-2"/>
                <w:kern w:val="28"/>
                <w:szCs w:val="22"/>
              </w:rPr>
              <w:t>In the Matter of</w:t>
            </w:r>
          </w:p>
          <w:p w:rsidR="008F51DD" w:rsidRPr="008F51DD" w:rsidRDefault="008F51DD" w:rsidP="008F51DD">
            <w:pPr>
              <w:widowControl w:val="0"/>
              <w:tabs>
                <w:tab w:val="center" w:pos="4680"/>
              </w:tabs>
              <w:suppressAutoHyphens/>
              <w:rPr>
                <w:snapToGrid w:val="0"/>
                <w:spacing w:val="-2"/>
                <w:kern w:val="28"/>
                <w:szCs w:val="22"/>
              </w:rPr>
            </w:pPr>
          </w:p>
          <w:p w:rsidR="008F51DD" w:rsidRPr="008F51DD" w:rsidRDefault="008F51DD" w:rsidP="008F51DD">
            <w:pPr>
              <w:widowControl w:val="0"/>
              <w:tabs>
                <w:tab w:val="center" w:pos="4680"/>
              </w:tabs>
              <w:suppressAutoHyphens/>
              <w:rPr>
                <w:snapToGrid w:val="0"/>
                <w:spacing w:val="-2"/>
                <w:kern w:val="28"/>
                <w:szCs w:val="22"/>
              </w:rPr>
            </w:pPr>
            <w:r w:rsidRPr="008F51DD">
              <w:rPr>
                <w:snapToGrid w:val="0"/>
                <w:kern w:val="28"/>
                <w:szCs w:val="22"/>
              </w:rPr>
              <w:t>Petition of Telcordia Technologies, Inc. to Reform or Strike Amendment 70, to Institute Competitive Bidding for Number Portability Administration and to End the NAPM LLC’s Interim  Role in Number Portability Administration Contract</w:t>
            </w:r>
          </w:p>
          <w:p w:rsidR="008F51DD" w:rsidRPr="008F51DD" w:rsidRDefault="008F51DD" w:rsidP="008F51DD">
            <w:pPr>
              <w:widowControl w:val="0"/>
              <w:tabs>
                <w:tab w:val="center" w:pos="4680"/>
              </w:tabs>
              <w:suppressAutoHyphens/>
              <w:rPr>
                <w:snapToGrid w:val="0"/>
                <w:spacing w:val="-2"/>
                <w:kern w:val="28"/>
                <w:szCs w:val="22"/>
              </w:rPr>
            </w:pPr>
          </w:p>
          <w:p w:rsidR="008F51DD" w:rsidRPr="008F51DD" w:rsidRDefault="008F51DD" w:rsidP="008F51DD">
            <w:pPr>
              <w:widowControl w:val="0"/>
              <w:tabs>
                <w:tab w:val="center" w:pos="4680"/>
              </w:tabs>
              <w:suppressAutoHyphens/>
              <w:rPr>
                <w:snapToGrid w:val="0"/>
                <w:spacing w:val="-2"/>
                <w:kern w:val="28"/>
                <w:szCs w:val="22"/>
              </w:rPr>
            </w:pPr>
            <w:r w:rsidRPr="008F51DD">
              <w:rPr>
                <w:snapToGrid w:val="0"/>
                <w:spacing w:val="-2"/>
                <w:kern w:val="28"/>
                <w:szCs w:val="22"/>
              </w:rPr>
              <w:t>Telephone Number Portability</w:t>
            </w:r>
          </w:p>
        </w:tc>
        <w:tc>
          <w:tcPr>
            <w:tcW w:w="630" w:type="dxa"/>
          </w:tcPr>
          <w:p w:rsidR="008F51DD" w:rsidRPr="008F51DD" w:rsidRDefault="008F51DD" w:rsidP="008F51DD">
            <w:pPr>
              <w:widowControl w:val="0"/>
              <w:tabs>
                <w:tab w:val="center" w:pos="4680"/>
              </w:tabs>
              <w:suppressAutoHyphens/>
              <w:rPr>
                <w:b/>
                <w:snapToGrid w:val="0"/>
                <w:spacing w:val="-2"/>
                <w:kern w:val="28"/>
                <w:szCs w:val="22"/>
              </w:rPr>
            </w:pPr>
            <w:r w:rsidRPr="008F51DD">
              <w:rPr>
                <w:b/>
                <w:snapToGrid w:val="0"/>
                <w:spacing w:val="-2"/>
                <w:kern w:val="28"/>
                <w:szCs w:val="22"/>
              </w:rPr>
              <w:t>)</w:t>
            </w:r>
          </w:p>
          <w:p w:rsidR="008F51DD" w:rsidRPr="008F51DD" w:rsidRDefault="008F51DD" w:rsidP="008F51DD">
            <w:pPr>
              <w:widowControl w:val="0"/>
              <w:tabs>
                <w:tab w:val="center" w:pos="4680"/>
              </w:tabs>
              <w:suppressAutoHyphens/>
              <w:rPr>
                <w:b/>
                <w:snapToGrid w:val="0"/>
                <w:spacing w:val="-2"/>
                <w:kern w:val="28"/>
                <w:szCs w:val="22"/>
              </w:rPr>
            </w:pPr>
            <w:r w:rsidRPr="008F51DD">
              <w:rPr>
                <w:b/>
                <w:snapToGrid w:val="0"/>
                <w:spacing w:val="-2"/>
                <w:kern w:val="28"/>
                <w:szCs w:val="22"/>
              </w:rPr>
              <w:t>)</w:t>
            </w:r>
          </w:p>
          <w:p w:rsidR="008F51DD" w:rsidRPr="008F51DD" w:rsidRDefault="008F51DD" w:rsidP="008F51DD">
            <w:pPr>
              <w:widowControl w:val="0"/>
              <w:tabs>
                <w:tab w:val="center" w:pos="4680"/>
              </w:tabs>
              <w:suppressAutoHyphens/>
              <w:rPr>
                <w:b/>
                <w:snapToGrid w:val="0"/>
                <w:spacing w:val="-2"/>
                <w:kern w:val="28"/>
                <w:szCs w:val="22"/>
              </w:rPr>
            </w:pPr>
            <w:r w:rsidRPr="008F51DD">
              <w:rPr>
                <w:b/>
                <w:snapToGrid w:val="0"/>
                <w:spacing w:val="-2"/>
                <w:kern w:val="28"/>
                <w:szCs w:val="22"/>
              </w:rPr>
              <w:t>)</w:t>
            </w:r>
          </w:p>
          <w:p w:rsidR="008F51DD" w:rsidRPr="008F51DD" w:rsidRDefault="008F51DD" w:rsidP="008F51DD">
            <w:pPr>
              <w:widowControl w:val="0"/>
              <w:tabs>
                <w:tab w:val="center" w:pos="4680"/>
              </w:tabs>
              <w:suppressAutoHyphens/>
              <w:rPr>
                <w:b/>
                <w:snapToGrid w:val="0"/>
                <w:spacing w:val="-2"/>
                <w:kern w:val="28"/>
                <w:szCs w:val="22"/>
              </w:rPr>
            </w:pPr>
            <w:r w:rsidRPr="008F51DD">
              <w:rPr>
                <w:b/>
                <w:snapToGrid w:val="0"/>
                <w:spacing w:val="-2"/>
                <w:kern w:val="28"/>
                <w:szCs w:val="22"/>
              </w:rPr>
              <w:t>)</w:t>
            </w:r>
          </w:p>
          <w:p w:rsidR="008F51DD" w:rsidRPr="008F51DD" w:rsidRDefault="008F51DD" w:rsidP="008F51DD">
            <w:pPr>
              <w:widowControl w:val="0"/>
              <w:tabs>
                <w:tab w:val="center" w:pos="4680"/>
              </w:tabs>
              <w:suppressAutoHyphens/>
              <w:rPr>
                <w:b/>
                <w:snapToGrid w:val="0"/>
                <w:spacing w:val="-2"/>
                <w:kern w:val="28"/>
                <w:szCs w:val="22"/>
              </w:rPr>
            </w:pPr>
            <w:r w:rsidRPr="008F51DD">
              <w:rPr>
                <w:b/>
                <w:snapToGrid w:val="0"/>
                <w:spacing w:val="-2"/>
                <w:kern w:val="28"/>
                <w:szCs w:val="22"/>
              </w:rPr>
              <w:t>)</w:t>
            </w:r>
          </w:p>
          <w:p w:rsidR="008F51DD" w:rsidRPr="008F51DD" w:rsidRDefault="008F51DD" w:rsidP="008F51DD">
            <w:pPr>
              <w:widowControl w:val="0"/>
              <w:tabs>
                <w:tab w:val="center" w:pos="4680"/>
              </w:tabs>
              <w:suppressAutoHyphens/>
              <w:rPr>
                <w:b/>
                <w:snapToGrid w:val="0"/>
                <w:spacing w:val="-2"/>
                <w:kern w:val="28"/>
                <w:szCs w:val="22"/>
              </w:rPr>
            </w:pPr>
            <w:r w:rsidRPr="008F51DD">
              <w:rPr>
                <w:b/>
                <w:snapToGrid w:val="0"/>
                <w:spacing w:val="-2"/>
                <w:kern w:val="28"/>
                <w:szCs w:val="22"/>
              </w:rPr>
              <w:t>)</w:t>
            </w:r>
          </w:p>
          <w:p w:rsidR="008F51DD" w:rsidRPr="008F51DD" w:rsidRDefault="008F51DD" w:rsidP="008F51DD">
            <w:pPr>
              <w:widowControl w:val="0"/>
              <w:tabs>
                <w:tab w:val="center" w:pos="4680"/>
              </w:tabs>
              <w:suppressAutoHyphens/>
              <w:rPr>
                <w:b/>
                <w:snapToGrid w:val="0"/>
                <w:spacing w:val="-2"/>
                <w:kern w:val="28"/>
                <w:szCs w:val="22"/>
              </w:rPr>
            </w:pPr>
            <w:r w:rsidRPr="008F51DD">
              <w:rPr>
                <w:b/>
                <w:snapToGrid w:val="0"/>
                <w:spacing w:val="-2"/>
                <w:kern w:val="28"/>
                <w:szCs w:val="22"/>
              </w:rPr>
              <w:t>)</w:t>
            </w:r>
          </w:p>
          <w:p w:rsidR="008F51DD" w:rsidRPr="008F51DD" w:rsidRDefault="008F51DD" w:rsidP="008F51DD">
            <w:pPr>
              <w:widowControl w:val="0"/>
              <w:tabs>
                <w:tab w:val="center" w:pos="4680"/>
              </w:tabs>
              <w:suppressAutoHyphens/>
              <w:rPr>
                <w:b/>
                <w:snapToGrid w:val="0"/>
                <w:spacing w:val="-2"/>
                <w:kern w:val="28"/>
                <w:szCs w:val="22"/>
              </w:rPr>
            </w:pPr>
            <w:r w:rsidRPr="008F51DD">
              <w:rPr>
                <w:b/>
                <w:snapToGrid w:val="0"/>
                <w:spacing w:val="-2"/>
                <w:kern w:val="28"/>
                <w:szCs w:val="22"/>
              </w:rPr>
              <w:t>)</w:t>
            </w:r>
          </w:p>
          <w:p w:rsidR="008F51DD" w:rsidRPr="008F51DD" w:rsidRDefault="008F51DD" w:rsidP="00DF26C1">
            <w:pPr>
              <w:widowControl w:val="0"/>
              <w:tabs>
                <w:tab w:val="center" w:pos="4680"/>
              </w:tabs>
              <w:suppressAutoHyphens/>
              <w:rPr>
                <w:b/>
                <w:snapToGrid w:val="0"/>
                <w:spacing w:val="-2"/>
                <w:kern w:val="28"/>
                <w:szCs w:val="22"/>
              </w:rPr>
            </w:pPr>
            <w:r w:rsidRPr="008F51DD">
              <w:rPr>
                <w:b/>
                <w:snapToGrid w:val="0"/>
                <w:spacing w:val="-2"/>
                <w:kern w:val="28"/>
                <w:szCs w:val="22"/>
              </w:rPr>
              <w:t>)</w:t>
            </w:r>
          </w:p>
        </w:tc>
        <w:tc>
          <w:tcPr>
            <w:tcW w:w="4249" w:type="dxa"/>
            <w:gridSpan w:val="2"/>
          </w:tcPr>
          <w:p w:rsidR="008F51DD" w:rsidRPr="008F51DD" w:rsidRDefault="008F51DD" w:rsidP="008F51DD">
            <w:pPr>
              <w:widowControl w:val="0"/>
              <w:tabs>
                <w:tab w:val="center" w:pos="4680"/>
              </w:tabs>
              <w:suppressAutoHyphens/>
              <w:rPr>
                <w:snapToGrid w:val="0"/>
                <w:spacing w:val="-2"/>
                <w:kern w:val="28"/>
                <w:szCs w:val="22"/>
                <w:lang w:val="sv-SE"/>
              </w:rPr>
            </w:pPr>
          </w:p>
          <w:p w:rsidR="008F51DD" w:rsidRPr="008F51DD" w:rsidRDefault="008F51DD" w:rsidP="008F51DD">
            <w:pPr>
              <w:widowControl w:val="0"/>
              <w:tabs>
                <w:tab w:val="center" w:pos="4680"/>
              </w:tabs>
              <w:suppressAutoHyphens/>
              <w:rPr>
                <w:snapToGrid w:val="0"/>
                <w:spacing w:val="-2"/>
                <w:kern w:val="28"/>
                <w:szCs w:val="22"/>
                <w:lang w:val="sv-SE"/>
              </w:rPr>
            </w:pPr>
          </w:p>
          <w:p w:rsidR="008F51DD" w:rsidRPr="008F51DD" w:rsidRDefault="008F51DD" w:rsidP="008F51DD">
            <w:pPr>
              <w:widowControl w:val="0"/>
              <w:tabs>
                <w:tab w:val="center" w:pos="4680"/>
              </w:tabs>
              <w:suppressAutoHyphens/>
              <w:rPr>
                <w:snapToGrid w:val="0"/>
                <w:spacing w:val="-2"/>
                <w:kern w:val="28"/>
                <w:szCs w:val="22"/>
                <w:lang w:val="sv-SE"/>
              </w:rPr>
            </w:pPr>
            <w:r w:rsidRPr="008F51DD">
              <w:rPr>
                <w:snapToGrid w:val="0"/>
                <w:spacing w:val="-2"/>
                <w:kern w:val="28"/>
                <w:szCs w:val="22"/>
                <w:lang w:val="sv-SE"/>
              </w:rPr>
              <w:t>WC Docket No. 09-109</w:t>
            </w:r>
          </w:p>
          <w:p w:rsidR="008F51DD" w:rsidRPr="008F51DD" w:rsidRDefault="008F51DD" w:rsidP="008F51DD">
            <w:pPr>
              <w:widowControl w:val="0"/>
              <w:tabs>
                <w:tab w:val="center" w:pos="4680"/>
              </w:tabs>
              <w:suppressAutoHyphens/>
              <w:rPr>
                <w:snapToGrid w:val="0"/>
                <w:spacing w:val="-2"/>
                <w:kern w:val="28"/>
                <w:szCs w:val="22"/>
                <w:lang w:val="sv-SE"/>
              </w:rPr>
            </w:pPr>
          </w:p>
          <w:p w:rsidR="008F51DD" w:rsidRPr="008F51DD" w:rsidRDefault="008F51DD" w:rsidP="008F51DD">
            <w:pPr>
              <w:widowControl w:val="0"/>
              <w:tabs>
                <w:tab w:val="center" w:pos="4680"/>
              </w:tabs>
              <w:suppressAutoHyphens/>
              <w:rPr>
                <w:snapToGrid w:val="0"/>
                <w:spacing w:val="-2"/>
                <w:kern w:val="28"/>
                <w:szCs w:val="22"/>
                <w:lang w:val="sv-SE"/>
              </w:rPr>
            </w:pPr>
          </w:p>
          <w:p w:rsidR="008F51DD" w:rsidRPr="008F51DD" w:rsidRDefault="008F51DD" w:rsidP="008F51DD">
            <w:pPr>
              <w:widowControl w:val="0"/>
              <w:tabs>
                <w:tab w:val="center" w:pos="4680"/>
              </w:tabs>
              <w:suppressAutoHyphens/>
              <w:rPr>
                <w:snapToGrid w:val="0"/>
                <w:spacing w:val="-2"/>
                <w:kern w:val="28"/>
                <w:szCs w:val="22"/>
                <w:lang w:val="sv-SE"/>
              </w:rPr>
            </w:pPr>
          </w:p>
          <w:p w:rsidR="008F51DD" w:rsidRPr="008F51DD" w:rsidRDefault="008F51DD" w:rsidP="008F51DD">
            <w:pPr>
              <w:widowControl w:val="0"/>
              <w:tabs>
                <w:tab w:val="center" w:pos="4680"/>
              </w:tabs>
              <w:suppressAutoHyphens/>
              <w:rPr>
                <w:snapToGrid w:val="0"/>
                <w:spacing w:val="-2"/>
                <w:kern w:val="28"/>
                <w:szCs w:val="22"/>
                <w:lang w:val="sv-SE"/>
              </w:rPr>
            </w:pPr>
          </w:p>
          <w:p w:rsidR="008F51DD" w:rsidRPr="008F51DD" w:rsidRDefault="008F51DD" w:rsidP="008F51DD">
            <w:pPr>
              <w:widowControl w:val="0"/>
              <w:tabs>
                <w:tab w:val="center" w:pos="4680"/>
              </w:tabs>
              <w:suppressAutoHyphens/>
              <w:rPr>
                <w:snapToGrid w:val="0"/>
                <w:spacing w:val="-2"/>
                <w:kern w:val="28"/>
                <w:szCs w:val="22"/>
                <w:lang w:val="sv-SE"/>
              </w:rPr>
            </w:pPr>
          </w:p>
          <w:p w:rsidR="008F51DD" w:rsidRPr="008F51DD" w:rsidRDefault="008F51DD" w:rsidP="008F51DD">
            <w:pPr>
              <w:widowControl w:val="0"/>
              <w:tabs>
                <w:tab w:val="center" w:pos="4680"/>
              </w:tabs>
              <w:suppressAutoHyphens/>
              <w:rPr>
                <w:snapToGrid w:val="0"/>
                <w:spacing w:val="-2"/>
                <w:kern w:val="28"/>
                <w:szCs w:val="22"/>
                <w:lang w:val="sv-SE"/>
              </w:rPr>
            </w:pPr>
            <w:r w:rsidRPr="008F51DD">
              <w:rPr>
                <w:snapToGrid w:val="0"/>
                <w:spacing w:val="-2"/>
                <w:kern w:val="28"/>
                <w:szCs w:val="22"/>
                <w:lang w:val="sv-SE"/>
              </w:rPr>
              <w:t>CC Docket No. 95-116</w:t>
            </w:r>
          </w:p>
          <w:p w:rsidR="008F51DD" w:rsidRPr="008F51DD" w:rsidRDefault="008F51DD" w:rsidP="008F51DD">
            <w:pPr>
              <w:widowControl w:val="0"/>
              <w:tabs>
                <w:tab w:val="center" w:pos="4680"/>
              </w:tabs>
              <w:suppressAutoHyphens/>
              <w:rPr>
                <w:snapToGrid w:val="0"/>
                <w:spacing w:val="-2"/>
                <w:kern w:val="28"/>
                <w:szCs w:val="22"/>
                <w:lang w:val="sv-SE"/>
              </w:rPr>
            </w:pPr>
          </w:p>
        </w:tc>
      </w:tr>
      <w:tr w:rsidR="008F51DD" w:rsidRPr="008F51DD" w:rsidTr="00470658">
        <w:tblPrEx>
          <w:tblLook w:val="04A0" w:firstRow="1" w:lastRow="0" w:firstColumn="1" w:lastColumn="0" w:noHBand="0" w:noVBand="1"/>
        </w:tblPrEx>
        <w:tc>
          <w:tcPr>
            <w:tcW w:w="4698" w:type="dxa"/>
          </w:tcPr>
          <w:p w:rsidR="008F51DD" w:rsidRPr="008F51DD" w:rsidRDefault="008F51DD" w:rsidP="008F51DD">
            <w:pPr>
              <w:widowControl w:val="0"/>
              <w:snapToGrid w:val="0"/>
              <w:rPr>
                <w:snapToGrid w:val="0"/>
                <w:kern w:val="28"/>
                <w:szCs w:val="22"/>
              </w:rPr>
            </w:pPr>
          </w:p>
        </w:tc>
        <w:tc>
          <w:tcPr>
            <w:tcW w:w="4699" w:type="dxa"/>
            <w:gridSpan w:val="2"/>
          </w:tcPr>
          <w:p w:rsidR="008F51DD" w:rsidRPr="008F51DD" w:rsidRDefault="008F51DD" w:rsidP="008F51DD">
            <w:pPr>
              <w:widowControl w:val="0"/>
              <w:rPr>
                <w:b/>
                <w:snapToGrid w:val="0"/>
                <w:kern w:val="28"/>
                <w:szCs w:val="22"/>
              </w:rPr>
            </w:pPr>
          </w:p>
        </w:tc>
        <w:tc>
          <w:tcPr>
            <w:tcW w:w="4699" w:type="dxa"/>
            <w:gridSpan w:val="2"/>
          </w:tcPr>
          <w:p w:rsidR="008F51DD" w:rsidRPr="008F51DD" w:rsidRDefault="008F51DD" w:rsidP="008F51DD">
            <w:pPr>
              <w:widowControl w:val="0"/>
              <w:snapToGrid w:val="0"/>
              <w:rPr>
                <w:snapToGrid w:val="0"/>
                <w:kern w:val="28"/>
                <w:szCs w:val="22"/>
              </w:rPr>
            </w:pPr>
          </w:p>
        </w:tc>
        <w:tc>
          <w:tcPr>
            <w:tcW w:w="4699" w:type="dxa"/>
          </w:tcPr>
          <w:p w:rsidR="008F51DD" w:rsidRPr="008F51DD" w:rsidRDefault="008F51DD" w:rsidP="008F51DD">
            <w:pPr>
              <w:widowControl w:val="0"/>
              <w:rPr>
                <w:b/>
                <w:snapToGrid w:val="0"/>
                <w:kern w:val="28"/>
                <w:szCs w:val="22"/>
              </w:rPr>
            </w:pPr>
          </w:p>
        </w:tc>
      </w:tr>
      <w:tr w:rsidR="008F51DD" w:rsidRPr="008F51DD" w:rsidTr="00470658">
        <w:trPr>
          <w:gridAfter w:val="3"/>
          <w:wAfter w:w="9399" w:type="dxa"/>
        </w:trPr>
        <w:tc>
          <w:tcPr>
            <w:tcW w:w="4698" w:type="dxa"/>
          </w:tcPr>
          <w:p w:rsidR="008F51DD" w:rsidRPr="008F51DD" w:rsidRDefault="008F51DD" w:rsidP="008F51DD">
            <w:pPr>
              <w:snapToGrid w:val="0"/>
              <w:rPr>
                <w:snapToGrid w:val="0"/>
                <w:kern w:val="28"/>
                <w:szCs w:val="22"/>
              </w:rPr>
            </w:pPr>
          </w:p>
        </w:tc>
        <w:tc>
          <w:tcPr>
            <w:tcW w:w="4698" w:type="dxa"/>
            <w:gridSpan w:val="2"/>
          </w:tcPr>
          <w:p w:rsidR="008F51DD" w:rsidRPr="008F51DD" w:rsidRDefault="008F51DD" w:rsidP="008F51DD">
            <w:pPr>
              <w:rPr>
                <w:snapToGrid w:val="0"/>
                <w:kern w:val="28"/>
                <w:szCs w:val="22"/>
              </w:rPr>
            </w:pPr>
          </w:p>
        </w:tc>
      </w:tr>
    </w:tbl>
    <w:p w:rsidR="008F51DD" w:rsidRPr="008F51DD" w:rsidRDefault="008F51DD" w:rsidP="008F51DD">
      <w:pPr>
        <w:snapToGrid w:val="0"/>
        <w:jc w:val="center"/>
        <w:rPr>
          <w:b/>
          <w:bCs/>
          <w:snapToGrid w:val="0"/>
          <w:kern w:val="28"/>
          <w:szCs w:val="22"/>
        </w:rPr>
      </w:pPr>
      <w:r>
        <w:rPr>
          <w:b/>
          <w:bCs/>
          <w:snapToGrid w:val="0"/>
          <w:kern w:val="28"/>
          <w:szCs w:val="22"/>
        </w:rPr>
        <w:t xml:space="preserve">SECOND LEVEL </w:t>
      </w:r>
      <w:r w:rsidRPr="008F51DD">
        <w:rPr>
          <w:b/>
          <w:bCs/>
          <w:snapToGrid w:val="0"/>
          <w:kern w:val="28"/>
          <w:szCs w:val="22"/>
        </w:rPr>
        <w:t>PROTECTIVE ORDER</w:t>
      </w:r>
    </w:p>
    <w:p w:rsidR="008F51DD" w:rsidRPr="008F51DD" w:rsidRDefault="008F51DD" w:rsidP="008F51DD">
      <w:pPr>
        <w:spacing w:after="120"/>
        <w:rPr>
          <w:snapToGrid w:val="0"/>
          <w:kern w:val="28"/>
          <w:szCs w:val="22"/>
        </w:rPr>
      </w:pPr>
      <w:r w:rsidRPr="008F51DD">
        <w:rPr>
          <w:snapToGrid w:val="0"/>
          <w:kern w:val="28"/>
          <w:szCs w:val="22"/>
        </w:rPr>
        <w:t> </w:t>
      </w:r>
    </w:p>
    <w:p w:rsidR="008F51DD" w:rsidRPr="008F51DD" w:rsidRDefault="008F51DD" w:rsidP="008F51DD">
      <w:pPr>
        <w:spacing w:after="120"/>
        <w:rPr>
          <w:snapToGrid w:val="0"/>
          <w:kern w:val="28"/>
          <w:szCs w:val="22"/>
        </w:rPr>
      </w:pPr>
      <w:r w:rsidRPr="008F51DD">
        <w:rPr>
          <w:b/>
          <w:bCs/>
          <w:snapToGrid w:val="0"/>
          <w:spacing w:val="-2"/>
          <w:kern w:val="28"/>
          <w:szCs w:val="22"/>
        </w:rPr>
        <w:t>Adopted: </w:t>
      </w:r>
      <w:r w:rsidRPr="008F51DD">
        <w:rPr>
          <w:snapToGrid w:val="0"/>
          <w:spacing w:val="-2"/>
          <w:kern w:val="28"/>
          <w:szCs w:val="22"/>
        </w:rPr>
        <w:t> </w:t>
      </w:r>
      <w:r w:rsidRPr="008F51DD">
        <w:rPr>
          <w:b/>
          <w:snapToGrid w:val="0"/>
          <w:spacing w:val="-2"/>
          <w:kern w:val="28"/>
          <w:szCs w:val="22"/>
        </w:rPr>
        <w:t xml:space="preserve">June </w:t>
      </w:r>
      <w:r w:rsidR="00DF26C1">
        <w:rPr>
          <w:b/>
          <w:snapToGrid w:val="0"/>
          <w:spacing w:val="-2"/>
          <w:kern w:val="28"/>
          <w:szCs w:val="22"/>
        </w:rPr>
        <w:t>9</w:t>
      </w:r>
      <w:r w:rsidRPr="008F51DD">
        <w:rPr>
          <w:b/>
          <w:snapToGrid w:val="0"/>
          <w:spacing w:val="-2"/>
          <w:kern w:val="28"/>
          <w:szCs w:val="22"/>
        </w:rPr>
        <w:t>, 2014</w:t>
      </w:r>
      <w:r w:rsidRPr="008F51DD">
        <w:rPr>
          <w:snapToGrid w:val="0"/>
          <w:spacing w:val="-2"/>
          <w:kern w:val="28"/>
          <w:szCs w:val="22"/>
        </w:rPr>
        <w:tab/>
      </w:r>
      <w:r w:rsidRPr="008F51DD">
        <w:rPr>
          <w:snapToGrid w:val="0"/>
          <w:spacing w:val="-2"/>
          <w:kern w:val="28"/>
          <w:szCs w:val="22"/>
        </w:rPr>
        <w:tab/>
      </w:r>
      <w:r w:rsidRPr="008F51DD">
        <w:rPr>
          <w:snapToGrid w:val="0"/>
          <w:spacing w:val="-2"/>
          <w:kern w:val="28"/>
          <w:szCs w:val="22"/>
        </w:rPr>
        <w:tab/>
      </w:r>
      <w:r w:rsidRPr="008F51DD">
        <w:rPr>
          <w:snapToGrid w:val="0"/>
          <w:spacing w:val="-2"/>
          <w:kern w:val="28"/>
          <w:szCs w:val="22"/>
        </w:rPr>
        <w:tab/>
      </w:r>
      <w:r w:rsidRPr="008F51DD">
        <w:rPr>
          <w:snapToGrid w:val="0"/>
          <w:spacing w:val="-2"/>
          <w:kern w:val="28"/>
          <w:szCs w:val="22"/>
        </w:rPr>
        <w:tab/>
      </w:r>
      <w:r w:rsidRPr="008F51DD">
        <w:rPr>
          <w:snapToGrid w:val="0"/>
          <w:spacing w:val="-2"/>
          <w:kern w:val="28"/>
          <w:szCs w:val="22"/>
        </w:rPr>
        <w:tab/>
        <w:t xml:space="preserve">   </w:t>
      </w:r>
      <w:r w:rsidR="00DF26C1">
        <w:rPr>
          <w:snapToGrid w:val="0"/>
          <w:spacing w:val="-2"/>
          <w:kern w:val="28"/>
          <w:szCs w:val="22"/>
        </w:rPr>
        <w:tab/>
      </w:r>
      <w:r w:rsidR="00DF26C1">
        <w:rPr>
          <w:snapToGrid w:val="0"/>
          <w:spacing w:val="-2"/>
          <w:kern w:val="28"/>
          <w:szCs w:val="22"/>
        </w:rPr>
        <w:tab/>
      </w:r>
      <w:r w:rsidRPr="008F51DD">
        <w:rPr>
          <w:b/>
          <w:snapToGrid w:val="0"/>
          <w:spacing w:val="-2"/>
          <w:kern w:val="28"/>
          <w:szCs w:val="22"/>
        </w:rPr>
        <w:t>R</w:t>
      </w:r>
      <w:r w:rsidRPr="008F51DD">
        <w:rPr>
          <w:b/>
          <w:bCs/>
          <w:snapToGrid w:val="0"/>
          <w:spacing w:val="-2"/>
          <w:kern w:val="28"/>
          <w:szCs w:val="22"/>
        </w:rPr>
        <w:t xml:space="preserve">eleased:  June </w:t>
      </w:r>
      <w:r w:rsidR="00DF26C1">
        <w:rPr>
          <w:b/>
          <w:bCs/>
          <w:snapToGrid w:val="0"/>
          <w:spacing w:val="-2"/>
          <w:kern w:val="28"/>
          <w:szCs w:val="22"/>
        </w:rPr>
        <w:t>9</w:t>
      </w:r>
      <w:r w:rsidRPr="008F51DD">
        <w:rPr>
          <w:b/>
          <w:bCs/>
          <w:snapToGrid w:val="0"/>
          <w:spacing w:val="-2"/>
          <w:kern w:val="28"/>
          <w:szCs w:val="22"/>
        </w:rPr>
        <w:t>, 2014</w:t>
      </w:r>
    </w:p>
    <w:p w:rsidR="008F51DD" w:rsidRPr="008F51DD" w:rsidRDefault="008F51DD" w:rsidP="008F51DD">
      <w:pPr>
        <w:snapToGrid w:val="0"/>
        <w:rPr>
          <w:snapToGrid w:val="0"/>
          <w:kern w:val="28"/>
          <w:szCs w:val="22"/>
        </w:rPr>
      </w:pPr>
      <w:r w:rsidRPr="008F51DD">
        <w:rPr>
          <w:snapToGrid w:val="0"/>
          <w:kern w:val="28"/>
          <w:szCs w:val="22"/>
        </w:rPr>
        <w:t> </w:t>
      </w:r>
    </w:p>
    <w:p w:rsidR="001E6F95" w:rsidRDefault="00D82479">
      <w:pPr>
        <w:snapToGrid w:val="0"/>
        <w:rPr>
          <w:szCs w:val="22"/>
        </w:rPr>
      </w:pPr>
      <w:r>
        <w:rPr>
          <w:szCs w:val="22"/>
        </w:rPr>
        <w:t>By the Chi</w:t>
      </w:r>
      <w:r w:rsidR="008F51DD">
        <w:rPr>
          <w:szCs w:val="22"/>
        </w:rPr>
        <w:t xml:space="preserve">ef, Wireline Competition </w:t>
      </w:r>
      <w:r>
        <w:rPr>
          <w:szCs w:val="22"/>
        </w:rPr>
        <w:t xml:space="preserve">Bureau:  </w:t>
      </w:r>
    </w:p>
    <w:p w:rsidR="001E6F95" w:rsidRDefault="00D82479">
      <w:pPr>
        <w:snapToGrid w:val="0"/>
        <w:rPr>
          <w:szCs w:val="22"/>
        </w:rPr>
      </w:pPr>
      <w:r>
        <w:rPr>
          <w:spacing w:val="-2"/>
          <w:szCs w:val="22"/>
        </w:rPr>
        <w:t> </w:t>
      </w:r>
    </w:p>
    <w:p w:rsidR="008F51DD" w:rsidRDefault="008F51DD" w:rsidP="00DF26C1">
      <w:pPr>
        <w:pStyle w:val="ParaNum"/>
        <w:widowControl/>
        <w:tabs>
          <w:tab w:val="clear" w:pos="1440"/>
          <w:tab w:val="num" w:pos="1080"/>
          <w:tab w:val="left" w:pos="1170"/>
        </w:tabs>
        <w:spacing w:after="120"/>
        <w:ind w:left="0"/>
        <w:jc w:val="left"/>
      </w:pPr>
      <w:r>
        <w:t>On April 24, 2014, the North American Numbering Council (“NANC”), a federal advisory committee, submitted its recommendation of a vendor to serve as the next local number portability administrator (“LNPA”).</w:t>
      </w:r>
      <w:r w:rsidR="00FE4FF7">
        <w:t xml:space="preserve">  </w:t>
      </w:r>
      <w:r w:rsidR="00FE4FF7" w:rsidRPr="00E96FB7">
        <w:t>The existing LNPA contract expires on June 30, 2015.</w:t>
      </w:r>
      <w:r w:rsidR="00FE4FF7">
        <w:t xml:space="preserve">  </w:t>
      </w:r>
      <w:r>
        <w:t xml:space="preserve">The NANC recommended the selection of Telcordia Technologies, Inc. d/b/a iconectiv.  The NANC submitted its </w:t>
      </w:r>
      <w:r w:rsidRPr="00DF26C1">
        <w:rPr>
          <w:color w:val="000000"/>
        </w:rPr>
        <w:t>recommendation</w:t>
      </w:r>
      <w:r>
        <w:rPr>
          <w:rStyle w:val="FootnoteReference"/>
          <w:iCs/>
          <w:szCs w:val="22"/>
        </w:rPr>
        <w:footnoteReference w:id="1"/>
      </w:r>
      <w:r>
        <w:t xml:space="preserve"> pursuant to direction from the Wireline Competition Bureau that the NANC recommend to the Commission one or more independent, non-governmental entities to serve as the next LNPA</w:t>
      </w:r>
      <w:r w:rsidR="00480530">
        <w:t xml:space="preserve"> (the “NANC Recommendation”)</w:t>
      </w:r>
      <w:r>
        <w:t>.</w:t>
      </w:r>
      <w:r>
        <w:rPr>
          <w:rStyle w:val="FootnoteReference"/>
          <w:iCs/>
          <w:szCs w:val="22"/>
        </w:rPr>
        <w:footnoteReference w:id="2"/>
      </w:r>
      <w:r>
        <w:t xml:space="preserve">  </w:t>
      </w:r>
    </w:p>
    <w:p w:rsidR="008F51DD" w:rsidRPr="009B13B7" w:rsidRDefault="008F51DD" w:rsidP="00DF26C1">
      <w:pPr>
        <w:pStyle w:val="ParaNum"/>
        <w:widowControl/>
        <w:tabs>
          <w:tab w:val="clear" w:pos="1440"/>
          <w:tab w:val="num" w:pos="1080"/>
          <w:tab w:val="left" w:pos="1170"/>
        </w:tabs>
        <w:spacing w:after="120"/>
        <w:ind w:left="0"/>
        <w:jc w:val="left"/>
        <w:rPr>
          <w:iCs/>
          <w:color w:val="000000"/>
          <w:szCs w:val="22"/>
        </w:rPr>
      </w:pPr>
      <w:r>
        <w:t>The NANC also forwarded, along with its vendor recommendation, reports from the NANC’s LNPA Selection Working Group and the North American Portability Management LLC’s (“NAPM”) Future of the Number Portability Administration Center.</w:t>
      </w:r>
      <w:r>
        <w:rPr>
          <w:rStyle w:val="FootnoteReference"/>
          <w:iCs/>
          <w:szCs w:val="22"/>
        </w:rPr>
        <w:footnoteReference w:id="3"/>
      </w:r>
      <w:r>
        <w:t xml:space="preserve">  </w:t>
      </w:r>
      <w:r w:rsidRPr="009B13B7">
        <w:rPr>
          <w:color w:val="000000"/>
        </w:rPr>
        <w:t xml:space="preserve">Specifically, the NANC’s recommendation addressed the following: (1) Which party should be selected as the LNPA; (2) how the LNPA should be selected, including the methodology and criteria that should be used; (3) the cost differential between vendor national proposals; and (4) transition costs and risks.  </w:t>
      </w:r>
      <w:r w:rsidR="00FE4FF7" w:rsidRPr="00FE4FF7">
        <w:rPr>
          <w:color w:val="000000"/>
          <w:szCs w:val="22"/>
        </w:rPr>
        <w:t xml:space="preserve">In addition to these materials, the Bureau requested that the NAPM’s </w:t>
      </w:r>
      <w:r w:rsidR="00FE4FF7">
        <w:t>Future of the Number Portability Administration Center (“</w:t>
      </w:r>
      <w:r w:rsidR="00FE4FF7" w:rsidRPr="00FE4FF7">
        <w:rPr>
          <w:color w:val="000000"/>
          <w:szCs w:val="22"/>
        </w:rPr>
        <w:t>FoNPAC</w:t>
      </w:r>
      <w:r w:rsidR="00FE4FF7">
        <w:rPr>
          <w:color w:val="000000"/>
          <w:szCs w:val="22"/>
        </w:rPr>
        <w:t>”)</w:t>
      </w:r>
      <w:r w:rsidR="00FE4FF7" w:rsidRPr="00FE4FF7">
        <w:rPr>
          <w:color w:val="000000"/>
          <w:szCs w:val="22"/>
        </w:rPr>
        <w:t xml:space="preserve"> file the bid documents submitted by the vendors and transcripts of meetings between the FoNPAC and the vendors.  Finally, as part of the bidding process, the vendors submitted opinion letters addressing the </w:t>
      </w:r>
      <w:r w:rsidR="00FE4FF7" w:rsidRPr="00FE4FF7">
        <w:rPr>
          <w:color w:val="000000"/>
          <w:szCs w:val="22"/>
        </w:rPr>
        <w:lastRenderedPageBreak/>
        <w:t>vendors’ compliance with the requirements for neutral administration of the local number portability database.  These materials, which include technical, pricing, and other proprietary information, were submitted as confidential information, subject to protection under section 0.459.</w:t>
      </w:r>
      <w:r w:rsidR="00FE4FF7" w:rsidRPr="00FE4FF7">
        <w:rPr>
          <w:color w:val="000000"/>
          <w:szCs w:val="22"/>
          <w:vertAlign w:val="superscript"/>
        </w:rPr>
        <w:footnoteReference w:id="4"/>
      </w:r>
    </w:p>
    <w:p w:rsidR="001E6F95" w:rsidRDefault="00D82479">
      <w:pPr>
        <w:pStyle w:val="ParaNum"/>
        <w:widowControl/>
        <w:tabs>
          <w:tab w:val="clear" w:pos="1440"/>
          <w:tab w:val="num" w:pos="1080"/>
          <w:tab w:val="left" w:pos="1170"/>
        </w:tabs>
        <w:spacing w:after="120"/>
        <w:ind w:left="0"/>
        <w:jc w:val="left"/>
        <w:rPr>
          <w:color w:val="000000"/>
        </w:rPr>
      </w:pPr>
      <w:r>
        <w:t xml:space="preserve">In this Second </w:t>
      </w:r>
      <w:r w:rsidR="008F51DD">
        <w:t xml:space="preserve">Level </w:t>
      </w:r>
      <w:r>
        <w:t xml:space="preserve">Protective Order, we adopt procedures to provide limited access to certain particularly competitively sensitive information that </w:t>
      </w:r>
      <w:r w:rsidR="000F7901">
        <w:t xml:space="preserve">has </w:t>
      </w:r>
      <w:r w:rsidR="00440B4A">
        <w:t xml:space="preserve">been </w:t>
      </w:r>
      <w:r w:rsidR="000F7901">
        <w:t xml:space="preserve">or </w:t>
      </w:r>
      <w:r w:rsidR="008F51DD">
        <w:t>will</w:t>
      </w:r>
      <w:r>
        <w:t xml:space="preserve"> be filed in this proceeding, which, if released to competitors or those with whom the Submitting Party does business, would allow those persons to gain a significant competitive advantage or</w:t>
      </w:r>
      <w:r w:rsidR="008F51DD">
        <w:t xml:space="preserve"> an advantage</w:t>
      </w:r>
      <w:r w:rsidR="0092658C">
        <w:t xml:space="preserve"> in negotiations</w:t>
      </w:r>
      <w:r w:rsidR="008F51DD">
        <w:t>.  S</w:t>
      </w:r>
      <w:r>
        <w:t xml:space="preserve">uch information will be necessary to develop a more complete record on which to base the Commission’s decision.  While we are mindful of the highly sensitive nature of such information, we are also mindful of the </w:t>
      </w:r>
      <w:r w:rsidR="009A5292">
        <w:t xml:space="preserve">desire </w:t>
      </w:r>
      <w:r>
        <w:t xml:space="preserve">of the public to participate in this proceeding in a meaningful way.  </w:t>
      </w:r>
      <w:r w:rsidR="009A5292">
        <w:t>W</w:t>
      </w:r>
      <w:r>
        <w:t xml:space="preserve">e will make such information available to participants in this proceeding, but limit such access to their Outside Counsel of Record and Outside Consultants whom they retain to assist them in this proceeding, and employees of such Outside Counsel and Outside Consultants.  We </w:t>
      </w:r>
      <w:r>
        <w:rPr>
          <w:szCs w:val="22"/>
        </w:rPr>
        <w:t xml:space="preserve">conclude that </w:t>
      </w:r>
      <w:r>
        <w:rPr>
          <w:color w:val="000000"/>
        </w:rPr>
        <w:t xml:space="preserve">the procedures we adopt in this Second </w:t>
      </w:r>
      <w:r w:rsidR="008F51DD">
        <w:rPr>
          <w:color w:val="000000"/>
        </w:rPr>
        <w:t>Level P</w:t>
      </w:r>
      <w:r>
        <w:rPr>
          <w:color w:val="000000"/>
        </w:rPr>
        <w:t xml:space="preserve">rotective Order give appropriate access to the public while protecting particularly competitively sensitive information from improper disclosure, and that the procedures thereby serve the public interest. </w:t>
      </w:r>
    </w:p>
    <w:p w:rsidR="001E6F95" w:rsidRDefault="00D8247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w:t>
      </w:r>
      <w:r w:rsidR="00440B4A">
        <w:t>Second Level Protective</w:t>
      </w:r>
      <w:r>
        <w:t xml:space="preserve"> Order shall have the following meanings:</w:t>
      </w:r>
      <w:bookmarkEnd w:id="1"/>
    </w:p>
    <w:p w:rsidR="001E6F95" w:rsidRDefault="00D82479">
      <w:pPr>
        <w:snapToGrid w:val="0"/>
        <w:spacing w:after="120"/>
        <w:ind w:firstLine="720"/>
        <w:rPr>
          <w:szCs w:val="22"/>
        </w:rPr>
      </w:pPr>
      <w:r>
        <w:rPr>
          <w:szCs w:val="22"/>
        </w:rPr>
        <w:t>“Acknowledgment” means the Acknowledgment of Confidentiality attached as Appendix B hereto.</w:t>
      </w:r>
    </w:p>
    <w:p w:rsidR="001E6F95" w:rsidRDefault="00D82479">
      <w:pPr>
        <w:snapToGrid w:val="0"/>
        <w:spacing w:after="120"/>
        <w:ind w:firstLine="720"/>
      </w:pPr>
      <w:r>
        <w:rPr>
          <w:szCs w:val="22"/>
        </w:rPr>
        <w:t>“Competitive Decision-Making” means a person’s activities, association, or relationship with any of its clients involv</w:t>
      </w:r>
      <w:r w:rsidR="007A2227">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7A2227" w:rsidRDefault="007A2227">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“Document” means any written, recorded, electronically stored, or graphic material, whether produced or created by the Submitting Party or another person. </w:t>
      </w:r>
    </w:p>
    <w:p w:rsidR="001E6F95" w:rsidRDefault="00D82479">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 xml:space="preserve">protection under </w:t>
      </w:r>
      <w:r w:rsidR="004535A7">
        <w:rPr>
          <w:rStyle w:val="StyleParaNum11ptCharCharCharCharCharCharCharCharCharCharCharCharChar"/>
          <w:szCs w:val="22"/>
        </w:rPr>
        <w:t xml:space="preserve">the Freedom of Information Act (“FOIA”), 5 U.S.C. § 552, </w:t>
      </w:r>
      <w:r>
        <w:rPr>
          <w:rStyle w:val="StyleParaNum11ptCharCharCharCharCharCharCharCharCharCharCharCharChar"/>
          <w:szCs w:val="22"/>
        </w:rPr>
        <w:t xml:space="preserve"> and the Commission’s implementing rules</w:t>
      </w:r>
      <w:r>
        <w:rPr>
          <w:szCs w:val="22"/>
        </w:rPr>
        <w:t xml:space="preserve">; that the Submitting Party claims constitutes </w:t>
      </w:r>
      <w:r>
        <w:t xml:space="preserve">sensitive business data which, if released to </w:t>
      </w:r>
      <w:r w:rsidR="00440B4A">
        <w:t>the other Participants</w:t>
      </w:r>
      <w:r>
        <w:t xml:space="preserve">, would allow those persons to gain a significant advantage in the marketplace or in negotiations; and </w:t>
      </w:r>
      <w:r>
        <w:rPr>
          <w:rStyle w:val="StyleParaNum11ptCharCharCharCharCharCharCharCharCharCharCharCharChar"/>
          <w:szCs w:val="22"/>
        </w:rPr>
        <w:t xml:space="preserve">that it is described in Appendix A to this </w:t>
      </w:r>
      <w:r w:rsidR="00440B4A">
        <w:rPr>
          <w:rStyle w:val="StyleParaNum11ptCharCharCharCharCharCharCharCharCharCharCharCharChar"/>
          <w:szCs w:val="22"/>
        </w:rPr>
        <w:t>Second Level Protective</w:t>
      </w:r>
      <w:r>
        <w:rPr>
          <w:rStyle w:val="StyleParaNum11ptCharCharCharCharCharCharCharCharCharCharCharCharChar"/>
          <w:szCs w:val="22"/>
        </w:rPr>
        <w:t xml:space="preserve"> Order, as the same may be amended from time to time</w:t>
      </w:r>
      <w:r>
        <w:t>.</w:t>
      </w:r>
    </w:p>
    <w:p w:rsidR="001E6F95" w:rsidRDefault="00D8247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1E6F95" w:rsidRDefault="00D8247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1E6F95" w:rsidRDefault="00D82479">
      <w:pPr>
        <w:snapToGrid w:val="0"/>
        <w:spacing w:after="120"/>
        <w:ind w:firstLine="720"/>
      </w:pPr>
      <w:r>
        <w:lastRenderedPageBreak/>
        <w:t>“Outside Firm” means a firm, whether organized as a partnership, limited partnership, limited liability partnership, limited liability company, corporation or otherwise, of Outside Counsel or Outside Consultants.</w:t>
      </w:r>
    </w:p>
    <w:p w:rsidR="001E6F95" w:rsidRDefault="00D82479">
      <w:pPr>
        <w:snapToGrid w:val="0"/>
        <w:spacing w:after="120"/>
        <w:ind w:firstLine="720"/>
      </w:pPr>
      <w:r>
        <w:t>“Participant” means a person or entity that has filed, or has a go</w:t>
      </w:r>
      <w:r w:rsidR="000F7901">
        <w:t xml:space="preserve">od faith intention to file </w:t>
      </w:r>
      <w:r>
        <w:t xml:space="preserve">material comments in </w:t>
      </w:r>
      <w:r w:rsidR="004535A7">
        <w:t xml:space="preserve">this </w:t>
      </w:r>
      <w:r>
        <w:t>proceeding.</w:t>
      </w:r>
    </w:p>
    <w:p w:rsidR="001E6F95" w:rsidRDefault="00D82479">
      <w:pPr>
        <w:snapToGrid w:val="0"/>
        <w:spacing w:after="120"/>
        <w:ind w:firstLine="720"/>
      </w:pPr>
      <w:r>
        <w:rPr>
          <w:szCs w:val="22"/>
        </w:rPr>
        <w:t>“Redacted Highly Confidential Document” means a copy of a Stamped Highly Confidential Document where the Highly Confidential Information has been redacted.</w:t>
      </w:r>
    </w:p>
    <w:p w:rsidR="001E6F95" w:rsidRDefault="00D82479">
      <w:pPr>
        <w:snapToGrid w:val="0"/>
        <w:spacing w:after="120"/>
        <w:ind w:firstLine="720"/>
        <w:rPr>
          <w:rStyle w:val="StyleParaNum11ptCharCharCharCharCharCharCharCharCharCharCharCharChar"/>
        </w:rPr>
      </w:pPr>
      <w:r>
        <w:rPr>
          <w:szCs w:val="22"/>
        </w:rPr>
        <w:t xml:space="preserve">“Reviewing </w:t>
      </w:r>
      <w:r>
        <w:rPr>
          <w:color w:val="000000"/>
          <w:szCs w:val="22"/>
        </w:rPr>
        <w:t>Party</w:t>
      </w:r>
      <w:r>
        <w:rPr>
          <w:szCs w:val="22"/>
        </w:rPr>
        <w:t xml:space="preserve">” means a person who has obtained access to Highly Confidential Information (including Stamped Highly Confidential Documents) pursuant to paragraphs </w:t>
      </w:r>
      <w:r w:rsidR="000F7901">
        <w:rPr>
          <w:szCs w:val="22"/>
        </w:rPr>
        <w:t>9</w:t>
      </w:r>
      <w:r>
        <w:rPr>
          <w:szCs w:val="22"/>
        </w:rPr>
        <w:t xml:space="preserve"> or </w:t>
      </w:r>
      <w:r w:rsidR="000F7901">
        <w:rPr>
          <w:szCs w:val="22"/>
        </w:rPr>
        <w:t>13</w:t>
      </w:r>
      <w:r>
        <w:rPr>
          <w:szCs w:val="22"/>
        </w:rPr>
        <w:t xml:space="preserve"> </w:t>
      </w:r>
      <w:r>
        <w:rPr>
          <w:rStyle w:val="StyleParaNum11ptCharCharCharCharCharCharCharCharCharCharCharCharChar"/>
          <w:szCs w:val="22"/>
        </w:rPr>
        <w:t xml:space="preserve">of this Second </w:t>
      </w:r>
      <w:r w:rsidR="000F7901">
        <w:rPr>
          <w:rStyle w:val="StyleParaNum11ptCharCharCharCharCharCharCharCharCharCharCharCharChar"/>
          <w:szCs w:val="22"/>
        </w:rPr>
        <w:t xml:space="preserve">Level </w:t>
      </w:r>
      <w:r>
        <w:rPr>
          <w:rStyle w:val="StyleParaNum11ptCharCharCharCharCharCharCharCharCharCharCharCharChar"/>
          <w:szCs w:val="22"/>
        </w:rPr>
        <w:t>Protective Order.</w:t>
      </w:r>
    </w:p>
    <w:p w:rsidR="001E6F95" w:rsidRDefault="00D8247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440B4A">
        <w:rPr>
          <w:rStyle w:val="StyleParaNum11ptCharCharCharCharCharCharCharCharCharCharCharCharChar"/>
          <w:szCs w:val="22"/>
        </w:rPr>
        <w:t>SECOND LEVEL PROTECTIVE</w:t>
      </w:r>
      <w:r>
        <w:rPr>
          <w:rStyle w:val="StyleParaNum11ptCharCharCharCharCharCharCharCharCharCharCharCharChar"/>
          <w:szCs w:val="22"/>
        </w:rPr>
        <w:t xml:space="preserve"> ORDE</w:t>
      </w:r>
      <w:r w:rsidR="002866E5">
        <w:rPr>
          <w:rStyle w:val="StyleParaNum11ptCharCharCharCharCharCharCharCharCharCharCharCharChar"/>
          <w:szCs w:val="22"/>
        </w:rPr>
        <w:t>R IN WC</w:t>
      </w:r>
      <w:r>
        <w:rPr>
          <w:rStyle w:val="StyleParaNum11ptCharCharCharCharCharCharCharCharCharCharCharCharChar"/>
          <w:szCs w:val="22"/>
        </w:rPr>
        <w:t xml:space="preserve"> </w:t>
      </w:r>
      <w:r>
        <w:rPr>
          <w:caps/>
          <w:szCs w:val="22"/>
        </w:rPr>
        <w:t>Docket No</w:t>
      </w:r>
      <w:r>
        <w:rPr>
          <w:rStyle w:val="StyleParaNum11ptCharCharCharCharCharCharCharCharCharCharCharCharChar"/>
          <w:szCs w:val="22"/>
        </w:rPr>
        <w:t xml:space="preserve">. </w:t>
      </w:r>
      <w:r w:rsidR="004630EF">
        <w:rPr>
          <w:rStyle w:val="StyleParaNum11ptCharCharCharCharCharCharCharCharCharCharCharCharChar"/>
          <w:szCs w:val="22"/>
        </w:rPr>
        <w:t>09-</w:t>
      </w:r>
      <w:r w:rsidR="002866E5">
        <w:rPr>
          <w:rStyle w:val="StyleParaNum11ptCharCharCharCharCharCharCharCharCharCharCharCharChar"/>
          <w:szCs w:val="22"/>
        </w:rPr>
        <w:t>109</w:t>
      </w:r>
      <w:r>
        <w:rPr>
          <w:rStyle w:val="StyleParaNum11ptCharCharCharCharCharCharCharCharCharCharCharCharChar"/>
          <w:szCs w:val="22"/>
        </w:rPr>
        <w:t xml:space="preserve"> </w:t>
      </w:r>
      <w:r w:rsidR="004630EF" w:rsidRPr="004630EF">
        <w:rPr>
          <w:caps/>
          <w:snapToGrid w:val="0"/>
          <w:kern w:val="28"/>
          <w:szCs w:val="22"/>
        </w:rPr>
        <w:t xml:space="preserve">&amp; CC DOCKET No. 95-116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 </w:t>
      </w:r>
      <w:r w:rsidR="004535A7">
        <w:rPr>
          <w:rStyle w:val="StyleParaNum11ptCharCharCharCharCharCharCharCharCharCharCharCharChar"/>
          <w:szCs w:val="22"/>
        </w:rPr>
        <w:t xml:space="preserve">paragraph </w:t>
      </w:r>
      <w:r w:rsidR="000F7901">
        <w:rPr>
          <w:rStyle w:val="StyleParaNum11ptCharCharCharCharCharCharCharCharCharCharCharCharChar"/>
          <w:szCs w:val="22"/>
        </w:rPr>
        <w:t>6</w:t>
      </w:r>
      <w:r w:rsidR="004535A7">
        <w:rPr>
          <w:rStyle w:val="StyleParaNum11ptCharCharCharCharCharCharCharCharCharCharCharCharChar"/>
          <w:szCs w:val="22"/>
        </w:rPr>
        <w:t xml:space="preserve"> of this Second </w:t>
      </w:r>
      <w:r w:rsidR="00440B4A">
        <w:rPr>
          <w:rStyle w:val="StyleParaNum11ptCharCharCharCharCharCharCharCharCharCharCharCharChar"/>
          <w:szCs w:val="22"/>
        </w:rPr>
        <w:t xml:space="preserve">Level </w:t>
      </w:r>
      <w:r w:rsidR="004535A7">
        <w:rPr>
          <w:rStyle w:val="StyleParaNum11ptCharCharCharCharCharCharCharCharCharCharCharCharChar"/>
          <w:szCs w:val="22"/>
        </w:rPr>
        <w:t xml:space="preserve">Protective Order or </w:t>
      </w:r>
      <w:r>
        <w:rPr>
          <w:rStyle w:val="StyleParaNum11ptCharCharCharCharCharCharCharCharCharCharCharCharChar"/>
          <w:szCs w:val="22"/>
        </w:rPr>
        <w:t xml:space="preserve">sections 0.459 or 0.461 of </w:t>
      </w:r>
      <w:r w:rsidR="004535A7">
        <w:rPr>
          <w:rStyle w:val="StyleParaNum11ptCharCharCharCharCharCharCharCharCharCharCharCharChar"/>
          <w:szCs w:val="22"/>
        </w:rPr>
        <w:t xml:space="preserve">the Commission’s </w:t>
      </w:r>
      <w:r>
        <w:rPr>
          <w:rStyle w:val="StyleParaNum11ptCharCharCharCharCharCharCharCharCharCharCharCharChar"/>
          <w:szCs w:val="22"/>
        </w:rPr>
        <w:t>rules, that any such document is not entitled to high</w:t>
      </w:r>
      <w:r w:rsidR="000F7901">
        <w:rPr>
          <w:rStyle w:val="StyleParaNum11ptCharCharCharCharCharCharCharCharCharCharCharCharChar"/>
          <w:szCs w:val="22"/>
        </w:rPr>
        <w:t xml:space="preserve">ly confidential </w:t>
      </w:r>
      <w:r>
        <w:rPr>
          <w:rStyle w:val="StyleParaNum11ptCharCharCharCharCharCharCharCharCharCharCharCharChar"/>
          <w:szCs w:val="22"/>
        </w:rPr>
        <w:t>treatment.  The term “document” means any written, recorded, electronically stored, or graphic material, whether produced or created by the Submitting Party or another person.  By designating a document a “Stamped Highly Confidential Document,” a Submitting Party signifies and represents that it contains Highly Confidential Information.</w:t>
      </w:r>
    </w:p>
    <w:p w:rsidR="001E6F95" w:rsidRDefault="00D82479">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F067A2">
        <w:rPr>
          <w:rStyle w:val="StyleParaNum11ptCharCharCharCharCharCharCharCharCharCharCharCharChar"/>
          <w:szCs w:val="22"/>
        </w:rPr>
        <w:t xml:space="preserve">or entity </w:t>
      </w:r>
      <w:r>
        <w:rPr>
          <w:rStyle w:val="StyleParaNum11ptCharCharCharCharCharCharCharCharCharCharCharCharChar"/>
          <w:szCs w:val="22"/>
        </w:rPr>
        <w:t>who submits a Stamped Highly Confidential Document.</w:t>
      </w:r>
    </w:p>
    <w:p w:rsidR="001E6F95" w:rsidRDefault="00D82479">
      <w:pPr>
        <w:pStyle w:val="ParaNum"/>
        <w:widowControl/>
        <w:tabs>
          <w:tab w:val="clear" w:pos="1440"/>
          <w:tab w:val="num" w:pos="1080"/>
          <w:tab w:val="left" w:pos="1170"/>
        </w:tabs>
        <w:spacing w:after="120"/>
        <w:ind w:left="0"/>
        <w:jc w:val="left"/>
      </w:pPr>
      <w:bookmarkStart w:id="2" w:name="_Ref287958858"/>
      <w:r>
        <w:rPr>
          <w:i/>
        </w:rPr>
        <w:t>Designation of Information as Highly Confidential.</w:t>
      </w:r>
      <w:r>
        <w:t xml:space="preserve">  </w:t>
      </w:r>
      <w:bookmarkEnd w:id="2"/>
      <w:r w:rsidR="002866E5">
        <w:t xml:space="preserve">The documents set forth or otherwise described on Exhibit A are </w:t>
      </w:r>
      <w:r w:rsidR="000F7901">
        <w:t xml:space="preserve">hereby </w:t>
      </w:r>
      <w:r w:rsidR="002866E5">
        <w:t>designated as Highly Confidential.  Other than the documents described on Exhibit A, b</w:t>
      </w:r>
      <w:r>
        <w:t xml:space="preserve">efore a Submitting Party may designate documents and information as Highly Confidential, it must receive the written approval of the Commission staff, which, based on the Submitting Party’s representations, will make a preliminary determination whether the proposed designation meets the requirements set forth in this Second </w:t>
      </w:r>
      <w:r w:rsidR="000F7901">
        <w:t xml:space="preserve">Level </w:t>
      </w:r>
      <w:r>
        <w:t xml:space="preserve">Protective Order.  A Submitting Party may designate as Highly Confidential only that information described in Appendix A to this </w:t>
      </w:r>
      <w:r w:rsidR="00440B4A">
        <w:t>Second Level Protective</w:t>
      </w:r>
      <w:r>
        <w:t xml:space="preserve"> Order, as the same may be amended from time to time.  If a Submitting Party believes that the existing list of descriptions contained in Appendix A should be revised, the Submitting Party shall submit a request to amend Appendix A along with a supporting explanation.  If the request is granted, in whole or in part, an amended Appendix A will be issued. </w:t>
      </w:r>
    </w:p>
    <w:p w:rsidR="001E6F95" w:rsidRDefault="00D82479">
      <w:pPr>
        <w:pStyle w:val="ParaNum"/>
        <w:widowControl/>
        <w:tabs>
          <w:tab w:val="clear" w:pos="1440"/>
          <w:tab w:val="num" w:pos="1080"/>
          <w:tab w:val="left" w:pos="1170"/>
        </w:tabs>
        <w:spacing w:after="120"/>
        <w:ind w:left="0"/>
        <w:jc w:val="left"/>
      </w:pPr>
      <w:bookmarkStart w:id="3" w:name="_Ref363480381"/>
      <w:r>
        <w:rPr>
          <w:i/>
        </w:rPr>
        <w:t>Effect of Designation</w:t>
      </w:r>
      <w:r>
        <w:t xml:space="preserve">.  By designating documents and information as Highly Confidential under this </w:t>
      </w:r>
      <w:r w:rsidR="00440B4A">
        <w:t>Second Level Protective</w:t>
      </w:r>
      <w:r>
        <w:t xml:space="preserve"> Order, a Submitting Party will be deemed to have submitted a request that the material not be made routinely available for public inspection under the Commission’s rules.</w:t>
      </w:r>
      <w:r>
        <w:rPr>
          <w:rStyle w:val="FootnoteReference"/>
        </w:rPr>
        <w:footnoteReference w:id="5"/>
      </w:r>
      <w:r>
        <w:t xml:space="preserve">  Any person wishing to challenge the designation of a document or portion of a document as Highly Confidential </w:t>
      </w:r>
      <w:r>
        <w:rPr>
          <w:szCs w:val="22"/>
        </w:rPr>
        <w:t xml:space="preserve">must file such a challenge at the Commission and serve it on the Submitting Party.  The Submitting Party must file any reply within </w:t>
      </w:r>
      <w:r w:rsidR="00A84AF0">
        <w:rPr>
          <w:szCs w:val="22"/>
        </w:rPr>
        <w:t>three</w:t>
      </w:r>
      <w:r>
        <w:rPr>
          <w:szCs w:val="22"/>
        </w:rPr>
        <w:t xml:space="preserve"> business days, and include a justification for treating the information as confidential.</w:t>
      </w:r>
      <w:r>
        <w:rPr>
          <w:rStyle w:val="FootnoteReference"/>
          <w:szCs w:val="22"/>
        </w:rPr>
        <w:footnoteReference w:id="6"/>
      </w:r>
      <w:r>
        <w:rPr>
          <w:szCs w:val="22"/>
        </w:rPr>
        <w:t xml:space="preserve">  The documents and information challenged will continue to be accorded confidential treatment until the Commission acts on the request and all subsequent appeal and stay proceedings have been exhausted.</w:t>
      </w:r>
      <w:r>
        <w:rPr>
          <w:rStyle w:val="FootnoteReference"/>
          <w:szCs w:val="22"/>
        </w:rPr>
        <w:footnoteReference w:id="7"/>
      </w:r>
      <w:r>
        <w:rPr>
          <w:szCs w:val="22"/>
        </w:rPr>
        <w:t xml:space="preserve">  Any decision on whether the materials should be accorded confidential treatment </w:t>
      </w:r>
      <w:r>
        <w:t>does not constitute a resolution of the merits concerning whether such information would be released publicly by the Commission upon a proper reques</w:t>
      </w:r>
      <w:r w:rsidR="000F7901">
        <w:t xml:space="preserve">t under our rules implementing </w:t>
      </w:r>
      <w:r>
        <w:t>FOIA.</w:t>
      </w:r>
      <w:r>
        <w:rPr>
          <w:rStyle w:val="FootnoteReference"/>
        </w:rPr>
        <w:footnoteReference w:id="8"/>
      </w:r>
      <w:bookmarkEnd w:id="3"/>
      <w:r>
        <w:t xml:space="preserve">  </w:t>
      </w:r>
    </w:p>
    <w:p w:rsidR="001E6F95" w:rsidRDefault="00D82479">
      <w:pPr>
        <w:pStyle w:val="ParaNum"/>
        <w:widowControl/>
        <w:tabs>
          <w:tab w:val="clear" w:pos="1440"/>
          <w:tab w:val="num" w:pos="1080"/>
          <w:tab w:val="left" w:pos="1170"/>
        </w:tabs>
        <w:spacing w:after="120"/>
        <w:ind w:left="0"/>
        <w:jc w:val="left"/>
      </w:pPr>
      <w:r>
        <w:rPr>
          <w:i/>
          <w:szCs w:val="22"/>
        </w:rPr>
        <w:t>Submission of Stamped Highly Confidential Documents.</w:t>
      </w:r>
      <w:r>
        <w:rPr>
          <w:szCs w:val="22"/>
        </w:rPr>
        <w:t xml:space="preserve">  A Submitting Party shall submit to the Secretary’s Office one copy of each Stamped Highly Confidential Document it wishes to file and an accompanying cover letter.  Each page of the Stamped Highly Confidential Document shall be stamped “HIGHLY CONFIDENTIAL INFORMATION – SUBJECT </w:t>
      </w:r>
      <w:r w:rsidR="002866E5">
        <w:rPr>
          <w:szCs w:val="22"/>
        </w:rPr>
        <w:t xml:space="preserve">TO </w:t>
      </w:r>
      <w:r w:rsidR="00440B4A">
        <w:rPr>
          <w:szCs w:val="22"/>
        </w:rPr>
        <w:t>SECOND LEVEL PROTECTIVE</w:t>
      </w:r>
      <w:r w:rsidR="002866E5">
        <w:rPr>
          <w:szCs w:val="22"/>
        </w:rPr>
        <w:t xml:space="preserve"> ORDER IN WC</w:t>
      </w:r>
      <w:r>
        <w:rPr>
          <w:szCs w:val="22"/>
        </w:rPr>
        <w:t xml:space="preserve"> DOCKET NO. </w:t>
      </w:r>
      <w:r w:rsidR="002866E5">
        <w:rPr>
          <w:szCs w:val="22"/>
        </w:rPr>
        <w:t>09-109</w:t>
      </w:r>
      <w:r>
        <w:rPr>
          <w:szCs w:val="22"/>
        </w:rPr>
        <w:t xml:space="preserve"> </w:t>
      </w:r>
      <w:r w:rsidR="004630EF" w:rsidRPr="004630EF">
        <w:rPr>
          <w:caps/>
          <w:snapToGrid w:val="0"/>
          <w:kern w:val="28"/>
          <w:szCs w:val="22"/>
        </w:rPr>
        <w:t xml:space="preserve">&amp; CC DOCKET No. 95-116 </w:t>
      </w:r>
      <w:r>
        <w:rPr>
          <w:szCs w:val="22"/>
        </w:rPr>
        <w:t xml:space="preserve">BEFORE THE FEDERAL COMMUNICATIONS COMMISSION.”  The cover letter also shall contain this legend.  </w:t>
      </w:r>
      <w:r w:rsidR="00F067A2">
        <w:rPr>
          <w:szCs w:val="22"/>
        </w:rPr>
        <w:t xml:space="preserve">In addition, with respect to each Stamped Highly Confidential Document submitted, each Submitting Party shall also file through the Commission’s Electronic Comment Filing System (“ECFS”) a copy of the respective Redacted Highly Confidential Document and an accompanying cover letter.  </w:t>
      </w:r>
      <w:r>
        <w:rPr>
          <w:szCs w:val="22"/>
        </w:rPr>
        <w:t xml:space="preserve">Each Redacted Highly Confidential Document shall have the same pagination as the Stamped Highly Confidential Document from which it is derived.  </w:t>
      </w:r>
      <w:r w:rsidR="00F067A2">
        <w:rPr>
          <w:szCs w:val="22"/>
        </w:rPr>
        <w:t xml:space="preserve">Each page </w:t>
      </w:r>
      <w:r>
        <w:rPr>
          <w:szCs w:val="22"/>
        </w:rPr>
        <w:t xml:space="preserve">of the Redacted Highly Confidential Document and the accompanying cover letter shall be stamped “REDACTED – FOR PUBLIC INSPECTION.”  </w:t>
      </w:r>
      <w:r>
        <w:t xml:space="preserve">To the extent that any page of the filing contains both Highly Confidential Information and non-confidential information, only the Highly Confidential Information may be redacted and the page of the unredacted filing shall clearly distinguish among the </w:t>
      </w:r>
      <w:r w:rsidR="00CA79EB">
        <w:t>Highly Confidential Information</w:t>
      </w:r>
      <w:r>
        <w:t xml:space="preserve"> and the non-confidential information.  In addition, t</w:t>
      </w:r>
      <w:r>
        <w:rPr>
          <w:szCs w:val="22"/>
        </w:rPr>
        <w:t>wo copies of each Stamped Highly Confidential Document and the accompanying cover letter must be delivered, as directed by Commission staff to</w:t>
      </w:r>
      <w:r w:rsidR="002866E5">
        <w:rPr>
          <w:szCs w:val="22"/>
        </w:rPr>
        <w:t xml:space="preserve"> </w:t>
      </w:r>
      <w:r w:rsidR="002866E5">
        <w:t>Sanford Williams</w:t>
      </w:r>
      <w:r w:rsidR="002866E5" w:rsidRPr="004D59FB">
        <w:t>, Competition Policy Division, Wireline Competition Bureau, Federal Communications Commission, 445 12</w:t>
      </w:r>
      <w:r w:rsidR="002866E5" w:rsidRPr="004D59FB">
        <w:rPr>
          <w:vertAlign w:val="superscript"/>
        </w:rPr>
        <w:t>th</w:t>
      </w:r>
      <w:r w:rsidR="002866E5">
        <w:t xml:space="preserve"> Street, SW, Room 5-C217</w:t>
      </w:r>
      <w:r w:rsidR="002866E5" w:rsidRPr="004D59FB">
        <w:t xml:space="preserve"> Washington</w:t>
      </w:r>
      <w:r w:rsidR="002866E5">
        <w:t>, DC 20554; email: Sanford.Williams@fcc.gov, phone: (202) 418-1508</w:t>
      </w:r>
      <w:r w:rsidR="00FB7637">
        <w:rPr>
          <w:szCs w:val="22"/>
        </w:rPr>
        <w:t>.</w:t>
      </w:r>
      <w:r>
        <w:rPr>
          <w:szCs w:val="22"/>
        </w:rPr>
        <w:t> </w:t>
      </w:r>
    </w:p>
    <w:p w:rsidR="001E6F95" w:rsidRDefault="00D82479">
      <w:pPr>
        <w:pStyle w:val="ParaNum"/>
        <w:widowControl/>
        <w:tabs>
          <w:tab w:val="clear" w:pos="1440"/>
          <w:tab w:val="num" w:pos="1080"/>
          <w:tab w:val="left" w:pos="1170"/>
        </w:tabs>
        <w:spacing w:after="120"/>
        <w:ind w:left="0"/>
        <w:jc w:val="left"/>
        <w:rPr>
          <w:szCs w:val="22"/>
        </w:rPr>
      </w:pPr>
      <w:bookmarkStart w:id="4" w:name="_Ref287609812"/>
      <w:r>
        <w:rPr>
          <w:i/>
        </w:rPr>
        <w:t xml:space="preserve">Copying Sensitive </w:t>
      </w:r>
      <w:r>
        <w:rPr>
          <w:i/>
          <w:szCs w:val="22"/>
        </w:rPr>
        <w:t>Documents</w:t>
      </w:r>
      <w:r>
        <w:rPr>
          <w:szCs w:val="22"/>
        </w:rPr>
        <w:t xml:space="preserve">.  </w:t>
      </w:r>
      <w:bookmarkEnd w:id="4"/>
      <w:r>
        <w:rPr>
          <w:szCs w:val="22"/>
        </w:rPr>
        <w:t xml:space="preserve">If, in the reasonable judgment of the Submitting Party, a document contains information so sensitive that copying of it should be restricted, the Submitting Party may mark the document with the legend “Additional Copying Restricted.”  </w:t>
      </w:r>
      <w:r w:rsidR="002866E5">
        <w:rPr>
          <w:szCs w:val="22"/>
        </w:rPr>
        <w:t>E</w:t>
      </w:r>
      <w:r>
        <w:rPr>
          <w:szCs w:val="22"/>
        </w:rPr>
        <w:t xml:space="preserve">ach Outside Firm shall receive only one copy of the document and no more than two additional copies, in any form, shall be made.  Application for relief from this restriction against further copying may be made to the Commission, with notice to </w:t>
      </w:r>
      <w:r w:rsidR="00CA79EB">
        <w:rPr>
          <w:szCs w:val="22"/>
        </w:rPr>
        <w:t xml:space="preserve">Outside </w:t>
      </w:r>
      <w:r>
        <w:rPr>
          <w:szCs w:val="22"/>
        </w:rPr>
        <w:t>Counsel of Record for the Submitting Party, which will be granted only for cause</w:t>
      </w:r>
      <w:r>
        <w:rPr>
          <w:i/>
          <w:szCs w:val="22"/>
        </w:rPr>
        <w:t>.</w:t>
      </w:r>
    </w:p>
    <w:p w:rsidR="001E6F95" w:rsidRDefault="00D8247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5" w:name="_Ref287447223"/>
      <w:bookmarkStart w:id="6" w:name="_Ref133212377"/>
      <w:r>
        <w:rPr>
          <w:i/>
          <w:iCs/>
          <w:szCs w:val="22"/>
        </w:rPr>
        <w:t xml:space="preserve">Procedure for Obtaining Access to </w:t>
      </w:r>
      <w:r w:rsidR="00F067A2">
        <w:rPr>
          <w:i/>
          <w:iCs/>
          <w:szCs w:val="22"/>
        </w:rPr>
        <w:t xml:space="preserve">Stamped Highly Confidential Documents and </w:t>
      </w:r>
      <w:r>
        <w:rPr>
          <w:i/>
          <w:iCs/>
          <w:szCs w:val="22"/>
        </w:rPr>
        <w:t>Highly Confidential Information</w:t>
      </w:r>
      <w:r>
        <w:rPr>
          <w:rStyle w:val="StyleParaNum11ptCharCharCharCharCharCharCharCharCharCharCharCharChar"/>
          <w:szCs w:val="22"/>
        </w:rPr>
        <w:t xml:space="preserve">.  Access to Stamped Highly Confidential Documents and Highly Confidential Information is limited to </w:t>
      </w:r>
      <w:r>
        <w:t xml:space="preserve">Outside Counsel of Record, Outside Consultants, and those employees of Outside Counsel and Outside Consultants described in paragraph </w:t>
      </w:r>
      <w:r w:rsidR="00F3756F">
        <w:t>13</w:t>
      </w:r>
      <w:r>
        <w:t xml:space="preserve">.  </w:t>
      </w:r>
      <w:r>
        <w:rPr>
          <w:szCs w:val="22"/>
        </w:rPr>
        <w:t xml:space="preserve">Any person seeking access to Stamped Highly Confidential Documents and Highly Confidential Information subject to this Second </w:t>
      </w:r>
      <w:r w:rsidR="0085093D">
        <w:rPr>
          <w:szCs w:val="22"/>
        </w:rPr>
        <w:t xml:space="preserve">Level </w:t>
      </w:r>
      <w:r>
        <w:rPr>
          <w:szCs w:val="22"/>
        </w:rPr>
        <w:t xml:space="preserve">Protective Order shall sign and date the Acknowledgment agreeing to be bound by the terms and conditions of this Second </w:t>
      </w:r>
      <w:r w:rsidR="0085093D">
        <w:rPr>
          <w:szCs w:val="22"/>
        </w:rPr>
        <w:t xml:space="preserve">Level </w:t>
      </w:r>
      <w:r>
        <w:rPr>
          <w:szCs w:val="22"/>
        </w:rPr>
        <w:t xml:space="preserve">Protective Order; and file the Acknowledgment with the Bureau, on behalf of the Commission.  Where the person seeking access is Outside Counsel or an Outside Consultant, a copy of the Acknowledgment shall be served upon the relevant Submitting Party through its Counsel of Record so that it is received at least </w:t>
      </w:r>
      <w:r w:rsidR="00A84AF0">
        <w:rPr>
          <w:szCs w:val="22"/>
        </w:rPr>
        <w:t>three</w:t>
      </w:r>
      <w:r>
        <w:rPr>
          <w:szCs w:val="22"/>
        </w:rPr>
        <w:t xml:space="preserve"> business days prior to such person’s reviewing or having access to the Submitting Party’s Stamped Highly Confidential Documents or Highly Confidential Information; where the person seeking access is one described in either clause 1 or 2 of paragraph </w:t>
      </w:r>
      <w:r w:rsidR="00F3756F">
        <w:rPr>
          <w:szCs w:val="22"/>
        </w:rPr>
        <w:t>13</w:t>
      </w:r>
      <w:r>
        <w:rPr>
          <w:szCs w:val="22"/>
        </w:rPr>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Stamped Highly Confidential Documents or Highly Confidential Information to any such person.  A Submitting Party must file any such objection at the Commission and serve it on </w:t>
      </w:r>
      <w:r w:rsidR="0085093D">
        <w:rPr>
          <w:szCs w:val="22"/>
        </w:rPr>
        <w:t xml:space="preserve">Outside </w:t>
      </w:r>
      <w:r>
        <w:rPr>
          <w:szCs w:val="22"/>
        </w:rPr>
        <w:t>Counsel representing, retaining or employing such person within three business days after receiving a copy of that person’s Acknowledgment (or where the person seeking access is one described in clause 1 or 2 of paragraph </w:t>
      </w:r>
      <w:r w:rsidR="0085093D">
        <w:rPr>
          <w:szCs w:val="22"/>
        </w:rPr>
        <w:t>13</w:t>
      </w:r>
      <w:r>
        <w:rPr>
          <w:rStyle w:val="StyleParaNum11ptCharCharCharCharCharCharCharCharCharCharCharCharChar"/>
          <w:szCs w:val="22"/>
        </w:rPr>
        <w:t>, file and serve such objection as promptly as practicable after receipt of the Acknowledgment).  Further, if a Submitting Party files additional Highly Confidential Documents, it must file any objection to the disclosure of those additional Highly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relevant Stamped Highly Confidential Documents or Highly Confidential Information.</w:t>
      </w:r>
      <w:bookmarkEnd w:id="5"/>
      <w:r>
        <w:rPr>
          <w:rStyle w:val="StyleParaNum11ptCharCharCharCharCharCharCharCharCharCharCharCharChar"/>
          <w:szCs w:val="22"/>
        </w:rPr>
        <w:t xml:space="preserve">  </w:t>
      </w:r>
    </w:p>
    <w:p w:rsidR="001E6F95" w:rsidRDefault="00D82479">
      <w:pPr>
        <w:pStyle w:val="ParaNum"/>
        <w:widowControl/>
        <w:tabs>
          <w:tab w:val="clear" w:pos="1440"/>
          <w:tab w:val="num" w:pos="1080"/>
          <w:tab w:val="left" w:pos="1170"/>
        </w:tabs>
        <w:spacing w:after="120"/>
        <w:ind w:left="0"/>
        <w:jc w:val="left"/>
        <w:rPr>
          <w:szCs w:val="22"/>
        </w:rPr>
      </w:pPr>
      <w:bookmarkStart w:id="7" w:name="_Ref287447233"/>
      <w:r>
        <w:rPr>
          <w:rStyle w:val="StyleParaNum11ptCharCharCharCharCharCharCharCharCharCharCharCharChar"/>
          <w:i/>
          <w:szCs w:val="22"/>
        </w:rPr>
        <w:t xml:space="preserve">Review of Stamped Highly Confidential Documents. </w:t>
      </w:r>
      <w:r>
        <w:rPr>
          <w:rStyle w:val="StyleParaNum11ptCharCharCharCharCharCharCharCharCharCharCharCharChar"/>
          <w:szCs w:val="22"/>
        </w:rPr>
        <w:t>A Submitting Party shall make available for review the Stamped Highly Confidential Documents of such party at the offices of the party’s Outside Counsel of Record.</w:t>
      </w:r>
      <w:bookmarkEnd w:id="6"/>
      <w:r>
        <w:rPr>
          <w:rStyle w:val="StyleParaNum11ptCharCharCharCharCharCharCharCharCharCharCharCharChar"/>
          <w:szCs w:val="22"/>
        </w:rPr>
        <w:t xml:space="preserve">  S</w:t>
      </w:r>
      <w:r>
        <w:rPr>
          <w:szCs w:val="22"/>
        </w:rPr>
        <w:t xml:space="preserve">ubject to the terms of paragraph </w:t>
      </w:r>
      <w:r w:rsidR="0085093D">
        <w:rPr>
          <w:szCs w:val="22"/>
        </w:rPr>
        <w:t>8</w:t>
      </w:r>
      <w:r>
        <w:rPr>
          <w:szCs w:val="22"/>
        </w:rPr>
        <w:t xml:space="preserve">, a </w:t>
      </w:r>
      <w:r>
        <w:rPr>
          <w:rStyle w:val="StyleParaNum11ptCharCharCharCharCharCharCharCharCharCharCharCharChar"/>
          <w:szCs w:val="22"/>
        </w:rPr>
        <w:t xml:space="preserve">Reviewing </w:t>
      </w:r>
      <w:r>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w:t>
      </w:r>
      <w:r w:rsidR="00A84AF0">
        <w:rPr>
          <w:szCs w:val="22"/>
        </w:rPr>
        <w:t>three</w:t>
      </w:r>
      <w:r>
        <w:rPr>
          <w:szCs w:val="22"/>
        </w:rPr>
        <w:t xml:space="preserve">-day period referred to in paragraph </w:t>
      </w:r>
      <w:r w:rsidR="0085093D">
        <w:rPr>
          <w:szCs w:val="22"/>
        </w:rPr>
        <w:t>9</w:t>
      </w:r>
      <w:r>
        <w:rPr>
          <w:szCs w:val="22"/>
        </w:rPr>
        <w:t xml:space="preserve">.  All copies of documents that are removed from the Submitting Party’s office must be returned or destroyed in accordance with the terms of paragraph </w:t>
      </w:r>
      <w:r w:rsidR="0085093D">
        <w:rPr>
          <w:szCs w:val="22"/>
        </w:rPr>
        <w:t>22</w:t>
      </w:r>
      <w:r>
        <w:rPr>
          <w:szCs w:val="22"/>
        </w:rPr>
        <w:t>.</w:t>
      </w:r>
      <w:bookmarkEnd w:id="7"/>
    </w:p>
    <w:p w:rsidR="001E6F95" w:rsidRDefault="00D82479">
      <w:pPr>
        <w:pStyle w:val="ParaNum"/>
        <w:widowControl/>
        <w:tabs>
          <w:tab w:val="clear" w:pos="1440"/>
          <w:tab w:val="num" w:pos="1080"/>
          <w:tab w:val="left" w:pos="1170"/>
        </w:tabs>
        <w:spacing w:after="120"/>
        <w:ind w:left="0"/>
        <w:jc w:val="left"/>
      </w:pPr>
      <w:bookmarkStart w:id="8"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disk or other medium containing the information in electronic format should be physically sent 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not be stored on a computer after being analyzed.  After the analysis is complete, the results of such analysis may be stored by saving the results (but not the original underlying Highly Confidential Information) to a mobile data storage medium, which, if it contains Highly Confidential Information, shall be treated as a Stamped Highly Confidential Document and so marked.  All files containing Highly Confidential Information shall be deleted from the computer as soon as practicable.  The original disk or other storage medium shall be stored securely and a record kept of any persons given access to it.  </w:t>
      </w:r>
      <w:bookmarkEnd w:id="8"/>
    </w:p>
    <w:p w:rsidR="001E6F95" w:rsidRDefault="00D82479">
      <w:pPr>
        <w:pStyle w:val="ParaNum"/>
        <w:widowControl/>
        <w:tabs>
          <w:tab w:val="clear" w:pos="1440"/>
          <w:tab w:val="num" w:pos="1080"/>
          <w:tab w:val="left" w:pos="1170"/>
        </w:tabs>
        <w:spacing w:after="120"/>
        <w:ind w:left="0"/>
        <w:jc w:val="left"/>
        <w:rPr>
          <w:szCs w:val="22"/>
        </w:rPr>
      </w:pPr>
      <w:r>
        <w:rPr>
          <w:i/>
        </w:rPr>
        <w:t>U</w:t>
      </w:r>
      <w:r>
        <w:rPr>
          <w:i/>
          <w:iCs/>
        </w:rPr>
        <w:t>se of Highly Confidential Information</w:t>
      </w:r>
      <w:r>
        <w:t xml:space="preserve">.  Persons obtaining access to Highly Confidential Information (including Stamped Highly Confidential Documents) under this </w:t>
      </w:r>
      <w:r w:rsidR="00440B4A">
        <w:t>Second Level Protective</w:t>
      </w:r>
      <w:r>
        <w:t xml:space="preser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Highly Confidential Documents or Highly Confidential Information in its decision in this proceeding, it will do so by redacting any Highly Confidential Information from the public version of the decision and by making the unredacted version of the decision available only to a court and to those persons entitled to access to Highly Confidential Information under this </w:t>
      </w:r>
      <w:r w:rsidR="00440B4A">
        <w:t>Second Level Protective</w:t>
      </w:r>
      <w:r>
        <w:t xml:space="preserve"> Order.   </w:t>
      </w:r>
    </w:p>
    <w:p w:rsidR="001E6F95" w:rsidRDefault="00D82479">
      <w:pPr>
        <w:pStyle w:val="ParaNum"/>
        <w:widowControl/>
        <w:tabs>
          <w:tab w:val="clear" w:pos="1440"/>
          <w:tab w:val="num" w:pos="1080"/>
          <w:tab w:val="left" w:pos="1170"/>
        </w:tabs>
        <w:spacing w:after="120"/>
        <w:ind w:left="0"/>
        <w:jc w:val="left"/>
      </w:pPr>
      <w:bookmarkStart w:id="9" w:name="_Ref287447280"/>
      <w:r>
        <w:rPr>
          <w:i/>
          <w:iCs/>
        </w:rPr>
        <w:t>Permissible Disclosure</w:t>
      </w:r>
      <w:r>
        <w:t xml:space="preserve">.  A </w:t>
      </w:r>
      <w:r>
        <w:rPr>
          <w:rStyle w:val="StyleParaNum11ptCharCharCharCharCharCharCharCharCharCharCharCharChar"/>
        </w:rPr>
        <w:t xml:space="preserve">Reviewing Party may discuss and share the contents of the Stamped Highly Confidential Documents and Highly Confidential Information with another Reviewing Party and with the Commission and its staff.  A Submitting Party’s Stamped Highly Confidential Documents and Highly Confidential Information may also be disclosed to employees and Counsel of the Submitting Party.  </w:t>
      </w:r>
      <w:r>
        <w:t>Subject to the requirements of paragraph </w:t>
      </w:r>
      <w:r w:rsidR="00F3756F">
        <w:t>9</w:t>
      </w:r>
      <w:r>
        <w:t>, a Reviewing Party may disclose Stamped Highly Confidential Documents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9"/>
      <w:r>
        <w:rPr>
          <w:rStyle w:val="StyleParaNum11ptCharCharCharCharCharCharCharCharCharCharCharCharChar"/>
        </w:rPr>
        <w:t xml:space="preserve">  </w:t>
      </w:r>
    </w:p>
    <w:p w:rsidR="001E6F95" w:rsidRDefault="00D82479">
      <w:pPr>
        <w:pStyle w:val="ParaNum"/>
        <w:widowControl/>
        <w:tabs>
          <w:tab w:val="clear" w:pos="1440"/>
          <w:tab w:val="num" w:pos="1080"/>
          <w:tab w:val="left" w:pos="1170"/>
        </w:tabs>
        <w:spacing w:after="120"/>
        <w:ind w:left="0"/>
        <w:jc w:val="left"/>
        <w:rPr>
          <w:szCs w:val="22"/>
        </w:rPr>
      </w:pPr>
      <w:bookmarkStart w:id="10" w:name="_Ref287453789"/>
      <w:r>
        <w:rPr>
          <w:i/>
          <w:iCs/>
        </w:rPr>
        <w:t>Filings with the Commission</w:t>
      </w:r>
      <w:r>
        <w:t xml:space="preserve">.  </w:t>
      </w:r>
      <w:bookmarkEnd w:id="10"/>
      <w:r>
        <w:t xml:space="preserve">A Reviewing Party or a Submitting Party may in any document that it files in this proceeding disclose Highly Confidential Information only if </w:t>
      </w:r>
      <w:r>
        <w:rPr>
          <w:szCs w:val="22"/>
        </w:rPr>
        <w:t>it</w:t>
      </w:r>
      <w:r>
        <w:t xml:space="preserve"> complies with the following procedure.  The party </w:t>
      </w:r>
      <w:r>
        <w:rPr>
          <w:szCs w:val="22"/>
        </w:rPr>
        <w:t xml:space="preserve">shall submit to the Secretary’s Office one copy of the filing containing Highly Confidential Information (the “Highly Confidential Filing”) and an accompanying cover letter.  </w:t>
      </w:r>
      <w:r>
        <w:t>The cover or first page of the Highly Confidential Filing and e</w:t>
      </w:r>
      <w:r>
        <w:rPr>
          <w:rStyle w:val="StyleParaNum11ptCharCharCharCharCharCharCharCharCharCharCharCharChar"/>
        </w:rPr>
        <w:t>ach page of the Highly Confidential Filing that contains or discloses Highly Confidential Information must be clearly marked “</w:t>
      </w:r>
      <w:r>
        <w:rPr>
          <w:rStyle w:val="StyleParaNum11ptCharCharCharCharCharCharCharCharCharCharCharCharChar"/>
          <w:caps/>
          <w:szCs w:val="22"/>
        </w:rPr>
        <w:t xml:space="preserve">Highly Confidential Information – subject </w:t>
      </w:r>
      <w:r w:rsidR="00F3756F">
        <w:rPr>
          <w:rStyle w:val="StyleParaNum11ptCharCharCharCharCharCharCharCharCharCharCharCharChar"/>
          <w:caps/>
          <w:szCs w:val="22"/>
        </w:rPr>
        <w:t>to SECOND LEVEL Protective Order in WC</w:t>
      </w:r>
      <w:r>
        <w:rPr>
          <w:rStyle w:val="StyleParaNum11ptCharCharCharCharCharCharCharCharCharCharCharCharChar"/>
          <w:caps/>
          <w:szCs w:val="22"/>
        </w:rPr>
        <w:t xml:space="preserve"> Docket No</w:t>
      </w:r>
      <w:r>
        <w:rPr>
          <w:rStyle w:val="StyleParaNum11ptCharCharCharCharCharCharCharCharCharCharCharCharChar"/>
        </w:rPr>
        <w:t xml:space="preserve">. </w:t>
      </w:r>
      <w:r w:rsidR="00F3756F">
        <w:rPr>
          <w:rStyle w:val="StyleParaNum11ptCharCharCharCharCharCharCharCharCharCharCharCharChar"/>
        </w:rPr>
        <w:t>09-109</w:t>
      </w:r>
      <w:r>
        <w:rPr>
          <w:rStyle w:val="StyleParaNum11ptCharCharCharCharCharCharCharCharCharCharCharCharChar"/>
        </w:rPr>
        <w:t xml:space="preserve"> </w:t>
      </w:r>
      <w:r w:rsidR="004630EF" w:rsidRPr="004630EF">
        <w:rPr>
          <w:caps/>
          <w:snapToGrid w:val="0"/>
          <w:kern w:val="28"/>
          <w:szCs w:val="22"/>
        </w:rPr>
        <w:t xml:space="preserve">&amp; CC DOCKET No. 95-116 </w:t>
      </w:r>
      <w:r>
        <w:rPr>
          <w:rStyle w:val="StyleParaNum11ptCharCharCharCharCharCharCharCharCharCharCharCharChar"/>
        </w:rPr>
        <w:t>BEFORE THE FEDERAL COMMUNICATIONS COMMISSION</w:t>
      </w:r>
      <w:r>
        <w:t>.</w:t>
      </w:r>
      <w:r>
        <w:rPr>
          <w:rStyle w:val="StyleParaNum11ptCharCharCharCharCharCharCharCharCharCharCharCharChar"/>
        </w:rPr>
        <w:t xml:space="preserve">”  </w:t>
      </w:r>
      <w:r>
        <w:rPr>
          <w:szCs w:val="22"/>
        </w:rPr>
        <w:t xml:space="preserve">The cover letter shall also contain this legend.  </w:t>
      </w:r>
      <w:r>
        <w:t xml:space="preserve">The Highly Confidential Filing shall be made under seal, and will not be placed in the Commission’s public file.  </w:t>
      </w:r>
      <w:r w:rsidR="00F067A2">
        <w:t xml:space="preserve">The party shall submit a copy of the </w:t>
      </w:r>
      <w:r w:rsidR="00F067A2">
        <w:rPr>
          <w:szCs w:val="22"/>
        </w:rPr>
        <w:t xml:space="preserve">filing in redacted form, </w:t>
      </w:r>
      <w:r w:rsidR="00F067A2">
        <w:rPr>
          <w:i/>
          <w:szCs w:val="22"/>
        </w:rPr>
        <w:t>i.e.</w:t>
      </w:r>
      <w:r w:rsidR="00F067A2">
        <w:rPr>
          <w:szCs w:val="22"/>
        </w:rPr>
        <w:t xml:space="preserve">, containing no Confidential or Highly Confidential Information (the “Redacted </w:t>
      </w:r>
      <w:r w:rsidR="00C64A48">
        <w:rPr>
          <w:szCs w:val="22"/>
        </w:rPr>
        <w:t xml:space="preserve">Highly </w:t>
      </w:r>
      <w:r w:rsidR="00F067A2">
        <w:rPr>
          <w:szCs w:val="22"/>
        </w:rPr>
        <w:t>Confidential Filing”) to the Commission via ECFS.</w:t>
      </w:r>
      <w:r w:rsidR="00F067A2">
        <w:rPr>
          <w:rStyle w:val="FootnoteReference"/>
          <w:szCs w:val="22"/>
        </w:rPr>
        <w:footnoteReference w:id="9"/>
      </w:r>
      <w:r w:rsidR="00F067A2">
        <w:rPr>
          <w:szCs w:val="22"/>
        </w:rPr>
        <w:t xml:space="preserve">  </w:t>
      </w:r>
      <w:r>
        <w:rPr>
          <w:szCs w:val="22"/>
        </w:rPr>
        <w:t xml:space="preserve">The Redacted Highly Confidential Filing and the accompanying cover letter shall be stamped “REDACTED – FOR PUBLIC INSPECTION.”  </w:t>
      </w:r>
      <w:r>
        <w:t xml:space="preserve">The cover letter accompanying the Redacted Highly Confidential Filing shall state that the party is filing a redacted version of the filing.  </w:t>
      </w:r>
      <w:r>
        <w:rPr>
          <w:szCs w:val="22"/>
        </w:rPr>
        <w:t xml:space="preserve">Each Redacted Highly Confidential Filing shall have the same pagination as the Highly Confidential Filing from which it is derived.  </w:t>
      </w:r>
      <w:r>
        <w:t xml:space="preserve">To the extent that any page of the Highly Confidential Filing contains </w:t>
      </w:r>
      <w:r w:rsidR="00F3756F">
        <w:t>Highly</w:t>
      </w:r>
      <w:r>
        <w:t xml:space="preserve"> Confidential Information, only the </w:t>
      </w:r>
      <w:r w:rsidR="00F3756F">
        <w:t xml:space="preserve">Highly </w:t>
      </w:r>
      <w:r>
        <w:t xml:space="preserve">Confidential Information may be redacted and the page of the unredacted </w:t>
      </w:r>
      <w:r w:rsidR="00F3756F">
        <w:t xml:space="preserve">Highly </w:t>
      </w:r>
      <w:r>
        <w:t xml:space="preserve">Confidential Filing shall clearly distinguish </w:t>
      </w:r>
      <w:r w:rsidR="00F3756F">
        <w:t>between the Highly Confidential Information</w:t>
      </w:r>
      <w:r>
        <w:t xml:space="preserve"> and the non-confidential information.  T</w:t>
      </w:r>
      <w:r>
        <w:rPr>
          <w:szCs w:val="22"/>
        </w:rPr>
        <w:t>wo copies of each Highly Confidential Filing and the accompanying cover letter must be delivered, as directed by Commission staff, to</w:t>
      </w:r>
      <w:r w:rsidR="00FB7637" w:rsidRPr="00FB7637">
        <w:rPr>
          <w:szCs w:val="22"/>
        </w:rPr>
        <w:t xml:space="preserve"> </w:t>
      </w:r>
      <w:r w:rsidR="00F3756F">
        <w:t>Sanford Williams</w:t>
      </w:r>
      <w:r w:rsidR="00F3756F" w:rsidRPr="004D59FB">
        <w:t>, Competition Policy Division, Wireline Competition Bureau, Federal Communications Commission, 445 12</w:t>
      </w:r>
      <w:r w:rsidR="00F3756F" w:rsidRPr="004D59FB">
        <w:rPr>
          <w:vertAlign w:val="superscript"/>
        </w:rPr>
        <w:t>th</w:t>
      </w:r>
      <w:r w:rsidR="00F3756F">
        <w:t xml:space="preserve"> Street, SW, Room 5-C217</w:t>
      </w:r>
      <w:r w:rsidR="00F3756F" w:rsidRPr="004D59FB">
        <w:t xml:space="preserve"> Washington</w:t>
      </w:r>
      <w:r w:rsidR="00F3756F">
        <w:t>, DC 20554; email: Sanford.Williams@fcc.gov, phone: (202) 418-1508</w:t>
      </w:r>
      <w:r>
        <w:rPr>
          <w:szCs w:val="22"/>
        </w:rPr>
        <w:t xml:space="preserve">, and one copy must be </w:t>
      </w:r>
      <w:r>
        <w:t>served on the relevant Submitting Party.  Parties should not provide courtesy copies of pleadings containing Highly Confidential Information to Commission staff unless the Bureau so requests, and any such courtesy copies shall be submitted under seal.</w:t>
      </w:r>
    </w:p>
    <w:p w:rsidR="001E6F95" w:rsidRDefault="00D82479">
      <w:pPr>
        <w:pStyle w:val="ParaNum"/>
        <w:widowControl/>
        <w:tabs>
          <w:tab w:val="clear" w:pos="1440"/>
          <w:tab w:val="num" w:pos="1080"/>
          <w:tab w:val="left" w:pos="1170"/>
        </w:tabs>
        <w:spacing w:after="120"/>
        <w:ind w:left="0"/>
        <w:jc w:val="left"/>
        <w:rPr>
          <w:szCs w:val="22"/>
        </w:rPr>
      </w:pPr>
      <w:r>
        <w:rPr>
          <w:i/>
          <w:iCs/>
          <w:szCs w:val="22"/>
        </w:rPr>
        <w:t>Non-Disclosure of Stamped Highly Confidential Documents and Highly Confidential Information</w:t>
      </w:r>
      <w:r>
        <w:rPr>
          <w:szCs w:val="22"/>
        </w:rPr>
        <w:t xml:space="preserve">.  Except with the prior written consent of the Submitting Party or as provided under this Second </w:t>
      </w:r>
      <w:r w:rsidR="00F3756F">
        <w:rPr>
          <w:szCs w:val="22"/>
        </w:rPr>
        <w:t xml:space="preserve">Level </w:t>
      </w:r>
      <w:r>
        <w:rPr>
          <w:szCs w:val="22"/>
        </w:rPr>
        <w:t>Protective Order, Stamped Highly Confidential Document</w:t>
      </w:r>
      <w:r w:rsidR="00C64A48">
        <w:rPr>
          <w:szCs w:val="22"/>
        </w:rPr>
        <w:t>s</w:t>
      </w:r>
      <w:r>
        <w:rPr>
          <w:szCs w:val="22"/>
        </w:rPr>
        <w:t xml:space="preserve"> </w:t>
      </w:r>
      <w:r w:rsidR="00C64A48">
        <w:rPr>
          <w:szCs w:val="22"/>
        </w:rPr>
        <w:t xml:space="preserve">and </w:t>
      </w:r>
      <w:r>
        <w:rPr>
          <w:szCs w:val="22"/>
        </w:rPr>
        <w:t xml:space="preserve">Highly Confidential Information may </w:t>
      </w:r>
      <w:r w:rsidR="00C64A48">
        <w:rPr>
          <w:szCs w:val="22"/>
        </w:rPr>
        <w:t xml:space="preserve">not </w:t>
      </w:r>
      <w:r>
        <w:rPr>
          <w:szCs w:val="22"/>
        </w:rPr>
        <w:t xml:space="preserve">be disclosed further.  </w:t>
      </w:r>
    </w:p>
    <w:p w:rsidR="001E6F95" w:rsidRDefault="00D82479">
      <w:pPr>
        <w:pStyle w:val="ParaNum"/>
        <w:widowControl/>
        <w:tabs>
          <w:tab w:val="clear" w:pos="1440"/>
          <w:tab w:val="num" w:pos="1080"/>
          <w:tab w:val="left" w:pos="1170"/>
        </w:tabs>
        <w:spacing w:after="120"/>
        <w:ind w:left="0"/>
        <w:jc w:val="left"/>
        <w:rPr>
          <w:szCs w:val="22"/>
        </w:rPr>
      </w:pPr>
      <w:r>
        <w:rPr>
          <w:i/>
          <w:iCs/>
          <w:szCs w:val="22"/>
        </w:rPr>
        <w:t>Protection of Stamped Highly Confidential Documents and Highly Confidential Information.</w:t>
      </w:r>
      <w:r>
        <w:rPr>
          <w:szCs w:val="22"/>
        </w:rPr>
        <w:t xml:space="preserve">  A Reviewing Party shall have the obligation to ensure that access to Stamped Highly Confidential Documents and Highly Confidential Information is strictly limited as prescribed in this Second </w:t>
      </w:r>
      <w:r w:rsidR="00F3756F">
        <w:rPr>
          <w:szCs w:val="22"/>
        </w:rPr>
        <w:t xml:space="preserve">Level </w:t>
      </w:r>
      <w:r>
        <w:rPr>
          <w:szCs w:val="22"/>
        </w:rPr>
        <w:t xml:space="preserve">Protective Order.  A Reviewing Party shall further have the obligation to ensure that Stamped Highly Confidential Documents and Highly Confidential Information are used only as provided in this Second </w:t>
      </w:r>
      <w:r w:rsidR="00F3756F">
        <w:rPr>
          <w:szCs w:val="22"/>
        </w:rPr>
        <w:t xml:space="preserve">Level </w:t>
      </w:r>
      <w:r>
        <w:rPr>
          <w:szCs w:val="22"/>
        </w:rPr>
        <w:t>Protective Order.</w:t>
      </w:r>
    </w:p>
    <w:p w:rsidR="001E6F95" w:rsidRDefault="00D8247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Highly Confidential Information outside the terms of this Second </w:t>
      </w:r>
      <w:r w:rsidR="00F3756F">
        <w:rPr>
          <w:szCs w:val="22"/>
        </w:rPr>
        <w:t xml:space="preserve">Level </w:t>
      </w:r>
      <w:r>
        <w:rPr>
          <w:szCs w:val="22"/>
        </w:rPr>
        <w:t>Protective Order, such a request will be treated in accordance with sections 0.442 and 0.461 of the Commission’s rules.</w:t>
      </w:r>
    </w:p>
    <w:p w:rsidR="001E6F95" w:rsidRDefault="00D8247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Second </w:t>
      </w:r>
      <w:r w:rsidR="00F3756F">
        <w:rPr>
          <w:szCs w:val="22"/>
        </w:rPr>
        <w:t xml:space="preserve">Level </w:t>
      </w:r>
      <w:r>
        <w:rPr>
          <w:szCs w:val="22"/>
        </w:rPr>
        <w:t xml:space="preserve">Protective Order shall prevent or otherwise restrict Outside Counsel from rendering advice to their clients relating to the conduct of this proceeding and any subsequent judicial proceeding arising therefrom and, in the course thereof, relying generally on examination of Stamped Highly Confidential Documents or Highly Confidential Information; </w:t>
      </w:r>
      <w:r>
        <w:rPr>
          <w:i/>
          <w:iCs/>
          <w:szCs w:val="22"/>
        </w:rPr>
        <w:t>provided, however</w:t>
      </w:r>
      <w:r>
        <w:rPr>
          <w:szCs w:val="22"/>
        </w:rPr>
        <w:t>, that in rendering such advice and otherwise communicating with such client, Outside Counsel shall not disclose Stamped Highly Confidential Documents or Highly Confidential Information.</w:t>
      </w:r>
    </w:p>
    <w:p w:rsidR="001E6F95" w:rsidRDefault="00D82479">
      <w:pPr>
        <w:pStyle w:val="ParaNum"/>
        <w:widowControl/>
        <w:tabs>
          <w:tab w:val="clear" w:pos="1440"/>
          <w:tab w:val="num" w:pos="1080"/>
          <w:tab w:val="left" w:pos="1170"/>
        </w:tabs>
        <w:spacing w:after="120"/>
        <w:ind w:left="0"/>
        <w:jc w:val="left"/>
        <w:rPr>
          <w:szCs w:val="22"/>
        </w:rPr>
      </w:pPr>
      <w:r>
        <w:rPr>
          <w:i/>
          <w:iCs/>
          <w:szCs w:val="22"/>
        </w:rPr>
        <w:t>No Waiver of Confidentiality</w:t>
      </w:r>
      <w:r>
        <w:rPr>
          <w:szCs w:val="22"/>
        </w:rPr>
        <w:t>.  Disclosure of Highly Confidential Information as provided herein by any person shall not be deemed a waiver by any Submitting Party of any privilege or entitlement to confidential treatment of such Highly Confidential Information.  Reviewing Parties, by viewing this material, agree:  (1) not to assert any such waiver; (2) not to use Highly Confidential Information to seek disclosure in any other proceeding; and (3) that accidental disclosure of Highly Confidential Information by a Submitting Party shall not be deemed a waiver of any privilege or entitlement as long as the Submitting Party takes prompt remedial action.</w:t>
      </w:r>
    </w:p>
    <w:p w:rsidR="001E6F95" w:rsidRDefault="00D8247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Stamped Highly Confidential Documents or Highly Confidential Information that a party has obtained under terms of this Second </w:t>
      </w:r>
      <w:r w:rsidR="00C35597">
        <w:rPr>
          <w:szCs w:val="22"/>
        </w:rPr>
        <w:t xml:space="preserve">Level </w:t>
      </w:r>
      <w:r>
        <w:rPr>
          <w:szCs w:val="22"/>
        </w:rPr>
        <w:t>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Highly Confidential Document or Highly Confidential Information.</w:t>
      </w:r>
    </w:p>
    <w:p w:rsidR="001E6F95" w:rsidRDefault="00D82479">
      <w:pPr>
        <w:pStyle w:val="ParaNum"/>
        <w:widowControl/>
        <w:tabs>
          <w:tab w:val="clear" w:pos="1440"/>
          <w:tab w:val="num" w:pos="1080"/>
          <w:tab w:val="left" w:pos="1170"/>
        </w:tabs>
        <w:spacing w:after="120"/>
        <w:ind w:left="0"/>
        <w:jc w:val="left"/>
        <w:rPr>
          <w:szCs w:val="22"/>
        </w:rPr>
      </w:pPr>
      <w:r>
        <w:rPr>
          <w:i/>
          <w:iCs/>
          <w:szCs w:val="22"/>
        </w:rPr>
        <w:t xml:space="preserve">Violations of </w:t>
      </w:r>
      <w:r w:rsidR="00440B4A">
        <w:rPr>
          <w:i/>
          <w:iCs/>
          <w:szCs w:val="22"/>
        </w:rPr>
        <w:t>Second Level Protective</w:t>
      </w:r>
      <w:r>
        <w:rPr>
          <w:i/>
          <w:iCs/>
          <w:szCs w:val="22"/>
        </w:rPr>
        <w:t xml:space="preserve"> Order.  </w:t>
      </w:r>
      <w:r>
        <w:rPr>
          <w:szCs w:val="22"/>
        </w:rPr>
        <w:t xml:space="preserve">Should a Reviewing Party violate any of the terms of this Second </w:t>
      </w:r>
      <w:r w:rsidR="00C35597">
        <w:rPr>
          <w:szCs w:val="22"/>
        </w:rPr>
        <w:t xml:space="preserve">Level </w:t>
      </w:r>
      <w:r>
        <w:rPr>
          <w:szCs w:val="22"/>
        </w:rPr>
        <w:t xml:space="preserve">Protective Order, such Reviewing Party shall immediately convey that fact to the Commission and to the Submitting Party.  Further, should such violation consist of improper disclosure of Highly Confidential Information, the violating person shall take all necessary steps to remedy the improper disclosure.  The Commission retains its full authority to fashion appropriate sanctions for violations of this Second </w:t>
      </w:r>
      <w:r w:rsidR="00C35597">
        <w:rPr>
          <w:szCs w:val="22"/>
        </w:rPr>
        <w:t xml:space="preserve">Level </w:t>
      </w:r>
      <w:r>
        <w:rPr>
          <w:szCs w:val="22"/>
        </w:rPr>
        <w:t xml:space="preserve">Protective Order, including but not limited to suspension or disbarment of Outside Counsel or </w:t>
      </w:r>
      <w:r w:rsidR="00A20C10">
        <w:rPr>
          <w:szCs w:val="22"/>
        </w:rPr>
        <w:t xml:space="preserve">Outside </w:t>
      </w:r>
      <w:r>
        <w:rPr>
          <w:szCs w:val="22"/>
        </w:rPr>
        <w:t xml:space="preserve">Consultants from practice before the Commission, forfeitures, cease and desist orders, and denial of further access to Highly Confidential Information in this or any other Commission proceeding.  Nothing in this Second </w:t>
      </w:r>
      <w:r w:rsidR="00C35597">
        <w:rPr>
          <w:szCs w:val="22"/>
        </w:rPr>
        <w:t xml:space="preserve">Level </w:t>
      </w:r>
      <w:r>
        <w:rPr>
          <w:szCs w:val="22"/>
        </w:rPr>
        <w:t xml:space="preserve">Protective Order shall limit any other rights and remedies available to the Submitting Party at law or in equity against any person using Highly Confidential Information in a manner not authorized by this Second </w:t>
      </w:r>
      <w:r w:rsidR="00C35597">
        <w:rPr>
          <w:szCs w:val="22"/>
        </w:rPr>
        <w:t xml:space="preserve">Level </w:t>
      </w:r>
      <w:r>
        <w:rPr>
          <w:szCs w:val="22"/>
        </w:rPr>
        <w:t>Protective Order.</w:t>
      </w:r>
    </w:p>
    <w:p w:rsidR="001E6F95" w:rsidRDefault="00D82479">
      <w:pPr>
        <w:pStyle w:val="ParaNum"/>
        <w:widowControl/>
        <w:tabs>
          <w:tab w:val="clear" w:pos="1440"/>
          <w:tab w:val="num" w:pos="1080"/>
          <w:tab w:val="left" w:pos="1170"/>
        </w:tabs>
        <w:spacing w:after="120"/>
        <w:ind w:left="0"/>
        <w:jc w:val="left"/>
        <w:rPr>
          <w:szCs w:val="22"/>
        </w:rPr>
      </w:pPr>
      <w:bookmarkStart w:id="11" w:name="_Ref287618273"/>
      <w:r>
        <w:rPr>
          <w:i/>
          <w:iCs/>
          <w:szCs w:val="22"/>
        </w:rPr>
        <w:t>Termination of Proceeding</w:t>
      </w:r>
      <w:r>
        <w:rPr>
          <w:szCs w:val="22"/>
        </w:rPr>
        <w:t xml:space="preserve">.  The provisions of this Second </w:t>
      </w:r>
      <w:r w:rsidR="00C35597">
        <w:rPr>
          <w:szCs w:val="22"/>
        </w:rPr>
        <w:t xml:space="preserve">Level </w:t>
      </w:r>
      <w:r>
        <w:rPr>
          <w:szCs w:val="22"/>
        </w:rPr>
        <w:t xml:space="preserve">Protective Order shall not terminate at the conclusion of this proceeding.  Within two weeks after conclusion of this proceeding and any administrative or judicial review, Reviewing Parties shall destroy or return to the Submitting Party Stamped Highly Confidential Documents and all copies of the same.  No material whatsoever derived from Stamped Highly Confidential Documents may be retained by any person having access thereto, except Outside Counsel may retain, under the continuing strictures of this Second </w:t>
      </w:r>
      <w:r w:rsidR="00C35597">
        <w:rPr>
          <w:szCs w:val="22"/>
        </w:rPr>
        <w:t xml:space="preserve">Level </w:t>
      </w:r>
      <w:r>
        <w:rPr>
          <w:szCs w:val="22"/>
        </w:rPr>
        <w:t>Protective Order, two copies of pleadings (one of which may be in electronic format) prepared in whole or in part by that party that contain Highly Confidential Information, and one copy of orders issued by the Commission or Bureau that contain Highly Confidential Information.  All Outside Counsel shall certify compliance with these terms and shall deliver such certification to Outside Counsel for the Submitting Party not more than three weeks after conclusion of this proceeding.  The provisions of</w:t>
      </w:r>
      <w:r>
        <w:rPr>
          <w:b/>
          <w:bCs/>
          <w:szCs w:val="22"/>
        </w:rPr>
        <w:t xml:space="preserve"> </w:t>
      </w:r>
      <w:r>
        <w:rPr>
          <w:szCs w:val="22"/>
        </w:rPr>
        <w:t>this paragraph regarding retention of Stamped Highly Confidential Documents and copies of the same and Highly Confidential Information shall not be construed to apply to the Commission or its staff.</w:t>
      </w:r>
      <w:bookmarkEnd w:id="11"/>
    </w:p>
    <w:p w:rsidR="00BF5CD1" w:rsidRPr="00BF5CD1" w:rsidRDefault="00BF5CD1" w:rsidP="00BF5CD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w:t>
      </w:r>
      <w:r w:rsidR="00C35597" w:rsidRPr="004D59FB">
        <w:t xml:space="preserve">Substantive questions concerning this Protective Order should be addressed </w:t>
      </w:r>
      <w:r w:rsidR="00C35597">
        <w:t>to Sanford Williams</w:t>
      </w:r>
      <w:r w:rsidR="00C35597" w:rsidRPr="004D59FB">
        <w:t>, Competition Policy Division, Wireline Competition Bureau, Federal Communications Commission, 445 12</w:t>
      </w:r>
      <w:r w:rsidR="00C35597" w:rsidRPr="004D59FB">
        <w:rPr>
          <w:vertAlign w:val="superscript"/>
        </w:rPr>
        <w:t>th</w:t>
      </w:r>
      <w:r w:rsidR="00C35597">
        <w:t xml:space="preserve"> Street, SW, Room 5-C217,</w:t>
      </w:r>
      <w:r w:rsidR="00C35597" w:rsidRPr="004D59FB">
        <w:t xml:space="preserve"> Washingto</w:t>
      </w:r>
      <w:r w:rsidR="00C35597">
        <w:t>n, DC 20554; email: Sanford. Wil</w:t>
      </w:r>
      <w:r w:rsidR="00C35597" w:rsidRPr="004D59FB">
        <w:t>l</w:t>
      </w:r>
      <w:r w:rsidR="00C35597">
        <w:t>iams</w:t>
      </w:r>
      <w:r w:rsidR="00C35597" w:rsidRPr="004D59FB">
        <w:t>@fcc.gov, phone: (202) 418-</w:t>
      </w:r>
      <w:r w:rsidR="00C35597" w:rsidRPr="006438C1">
        <w:t>1508</w:t>
      </w:r>
      <w:r>
        <w:rPr>
          <w:szCs w:val="22"/>
        </w:rPr>
        <w:t>.</w:t>
      </w:r>
    </w:p>
    <w:p w:rsidR="001E6F95" w:rsidRDefault="00D82479">
      <w:pPr>
        <w:pStyle w:val="ParaNum"/>
        <w:widowControl/>
        <w:tabs>
          <w:tab w:val="clear" w:pos="1440"/>
          <w:tab w:val="num" w:pos="1080"/>
          <w:tab w:val="left" w:pos="1170"/>
        </w:tabs>
        <w:spacing w:after="120"/>
        <w:ind w:left="0"/>
        <w:jc w:val="left"/>
        <w:rPr>
          <w:rStyle w:val="StyleParaNum11ptCharCharCharCharCharCharCharCharCharCharCharCharChar"/>
          <w:szCs w:val="22"/>
        </w:rPr>
      </w:pPr>
      <w:r>
        <w:rPr>
          <w:i/>
          <w:iCs/>
          <w:szCs w:val="22"/>
        </w:rPr>
        <w:t>Authority</w:t>
      </w:r>
      <w:r>
        <w:rPr>
          <w:rStyle w:val="StyleParaNum11ptCharCharCharCharCharCharCharCharCharCharCharCharChar"/>
        </w:rPr>
        <w:t xml:space="preserve">.  </w:t>
      </w:r>
      <w:r w:rsidR="00C35597" w:rsidRPr="00C35597">
        <w:rPr>
          <w:snapToGrid w:val="0"/>
          <w:kern w:val="28"/>
          <w:szCs w:val="22"/>
        </w:rPr>
        <w:t>This Order is issued pursuant to sections 4(i), 201, and 202 of the Communications Act of 1934, as amended, 47 U.S.C. §§ 154(i), 201, and 202, section 4 of the Freedom of Information Act, 5 U.S.C. § 552(b)(4), and authority delegated under section 0.291 of the Commission’s rules, 47 C.F.R. § 0.291, and is effective upon its adoption</w:t>
      </w:r>
      <w:r>
        <w:rPr>
          <w:rStyle w:val="StyleParaNum11ptCharCharCharCharCharCharCharCharCharCharCharCharChar"/>
        </w:rPr>
        <w:t>.</w:t>
      </w:r>
    </w:p>
    <w:p w:rsidR="001E6F95" w:rsidRDefault="001E6F95">
      <w:pPr>
        <w:pStyle w:val="ParaNum"/>
        <w:keepNext/>
        <w:widowControl/>
        <w:numPr>
          <w:ilvl w:val="0"/>
          <w:numId w:val="0"/>
        </w:numPr>
        <w:tabs>
          <w:tab w:val="clear" w:pos="1440"/>
          <w:tab w:val="left" w:pos="1170"/>
        </w:tabs>
        <w:spacing w:after="120"/>
        <w:jc w:val="left"/>
        <w:rPr>
          <w:szCs w:val="22"/>
        </w:rPr>
      </w:pPr>
    </w:p>
    <w:p w:rsidR="001E6F95" w:rsidRDefault="00D82479">
      <w:pPr>
        <w:snapToGrid w:val="0"/>
        <w:ind w:left="2880" w:firstLine="720"/>
        <w:rPr>
          <w:szCs w:val="22"/>
        </w:rPr>
      </w:pPr>
      <w:r>
        <w:rPr>
          <w:szCs w:val="22"/>
        </w:rPr>
        <w:t>FEDERAL COMMUNICATIONS COMMISSION</w:t>
      </w:r>
    </w:p>
    <w:p w:rsidR="001E6F95" w:rsidRDefault="001E6F95">
      <w:pPr>
        <w:snapToGrid w:val="0"/>
        <w:rPr>
          <w:szCs w:val="22"/>
        </w:rPr>
      </w:pPr>
    </w:p>
    <w:p w:rsidR="001E6F95" w:rsidRDefault="001E6F95">
      <w:pPr>
        <w:snapToGrid w:val="0"/>
        <w:rPr>
          <w:szCs w:val="22"/>
        </w:rPr>
      </w:pPr>
    </w:p>
    <w:p w:rsidR="001E6F95" w:rsidRDefault="001E6F95">
      <w:pPr>
        <w:snapToGrid w:val="0"/>
        <w:rPr>
          <w:szCs w:val="22"/>
        </w:rPr>
      </w:pPr>
    </w:p>
    <w:p w:rsidR="00DF26C1" w:rsidRDefault="00DF26C1">
      <w:pPr>
        <w:snapToGrid w:val="0"/>
        <w:rPr>
          <w:szCs w:val="22"/>
        </w:rPr>
      </w:pPr>
    </w:p>
    <w:p w:rsidR="00C35597" w:rsidRPr="00C35597" w:rsidRDefault="00C35597" w:rsidP="00C35597">
      <w:pPr>
        <w:snapToGrid w:val="0"/>
        <w:ind w:left="2880" w:firstLine="720"/>
        <w:rPr>
          <w:snapToGrid w:val="0"/>
          <w:kern w:val="28"/>
          <w:szCs w:val="22"/>
        </w:rPr>
      </w:pPr>
      <w:r w:rsidRPr="00C35597">
        <w:rPr>
          <w:snapToGrid w:val="0"/>
          <w:kern w:val="28"/>
          <w:szCs w:val="22"/>
        </w:rPr>
        <w:t>Julie A. Veach</w:t>
      </w:r>
    </w:p>
    <w:p w:rsidR="00DF26C1" w:rsidRDefault="00C35597" w:rsidP="00C35597">
      <w:pPr>
        <w:snapToGrid w:val="0"/>
        <w:ind w:left="2880" w:firstLine="720"/>
        <w:rPr>
          <w:snapToGrid w:val="0"/>
          <w:kern w:val="28"/>
          <w:szCs w:val="22"/>
        </w:rPr>
      </w:pPr>
      <w:r w:rsidRPr="00C35597">
        <w:rPr>
          <w:snapToGrid w:val="0"/>
          <w:kern w:val="28"/>
          <w:szCs w:val="22"/>
        </w:rPr>
        <w:t>Chief</w:t>
      </w:r>
    </w:p>
    <w:p w:rsidR="00C35597" w:rsidRPr="00C35597" w:rsidRDefault="00C35597" w:rsidP="00C35597">
      <w:pPr>
        <w:snapToGrid w:val="0"/>
        <w:ind w:left="2880" w:firstLine="720"/>
        <w:rPr>
          <w:snapToGrid w:val="0"/>
          <w:kern w:val="28"/>
          <w:szCs w:val="22"/>
        </w:rPr>
      </w:pPr>
      <w:r w:rsidRPr="00C35597">
        <w:rPr>
          <w:snapToGrid w:val="0"/>
          <w:kern w:val="28"/>
          <w:szCs w:val="22"/>
        </w:rPr>
        <w:t>Wireline Competition Bureau</w:t>
      </w:r>
    </w:p>
    <w:p w:rsidR="001E6F95" w:rsidRDefault="00D82479">
      <w:pPr>
        <w:snapToGrid w:val="0"/>
        <w:spacing w:after="120"/>
        <w:jc w:val="center"/>
        <w:rPr>
          <w:b/>
          <w:bCs/>
          <w:szCs w:val="22"/>
        </w:rPr>
      </w:pPr>
      <w:r>
        <w:rPr>
          <w:snapToGrid w:val="0"/>
          <w:szCs w:val="22"/>
        </w:rPr>
        <w:br w:type="page"/>
      </w:r>
      <w:r>
        <w:rPr>
          <w:b/>
          <w:bCs/>
          <w:szCs w:val="22"/>
        </w:rPr>
        <w:t>APPENDIX A</w:t>
      </w:r>
    </w:p>
    <w:p w:rsidR="001E6F95" w:rsidRDefault="00D82479">
      <w:pPr>
        <w:snapToGrid w:val="0"/>
        <w:spacing w:after="120"/>
        <w:jc w:val="center"/>
        <w:rPr>
          <w:b/>
          <w:bCs/>
          <w:szCs w:val="22"/>
        </w:rPr>
      </w:pPr>
      <w:r>
        <w:rPr>
          <w:b/>
          <w:bCs/>
          <w:szCs w:val="22"/>
        </w:rPr>
        <w:t>Highly Confidential Information and Documents</w:t>
      </w:r>
    </w:p>
    <w:p w:rsidR="001E6F95" w:rsidRDefault="001E6F95">
      <w:pPr>
        <w:snapToGrid w:val="0"/>
        <w:spacing w:after="120"/>
        <w:rPr>
          <w:b/>
          <w:bCs/>
          <w:szCs w:val="22"/>
        </w:rPr>
      </w:pPr>
    </w:p>
    <w:p w:rsidR="001E6F95" w:rsidRDefault="00D82479">
      <w:pPr>
        <w:snapToGrid w:val="0"/>
        <w:spacing w:after="120"/>
        <w:rPr>
          <w:bCs/>
          <w:szCs w:val="22"/>
        </w:rPr>
      </w:pPr>
      <w:r>
        <w:rPr>
          <w:b/>
          <w:bCs/>
          <w:szCs w:val="22"/>
        </w:rPr>
        <w:tab/>
      </w:r>
      <w:r>
        <w:rPr>
          <w:bCs/>
          <w:szCs w:val="22"/>
        </w:rPr>
        <w:t xml:space="preserve">As specified in paragraphs </w:t>
      </w:r>
      <w:r w:rsidR="00C35597">
        <w:rPr>
          <w:bCs/>
          <w:szCs w:val="22"/>
        </w:rPr>
        <w:t>4</w:t>
      </w:r>
      <w:r>
        <w:rPr>
          <w:bCs/>
          <w:szCs w:val="22"/>
        </w:rPr>
        <w:t xml:space="preserve"> and </w:t>
      </w:r>
      <w:r w:rsidR="00C35597">
        <w:rPr>
          <w:bCs/>
          <w:szCs w:val="22"/>
        </w:rPr>
        <w:t>5</w:t>
      </w:r>
      <w:r>
        <w:rPr>
          <w:bCs/>
          <w:szCs w:val="22"/>
        </w:rPr>
        <w:t xml:space="preserve"> of the Second </w:t>
      </w:r>
      <w:r w:rsidR="00C35597">
        <w:rPr>
          <w:bCs/>
          <w:szCs w:val="22"/>
        </w:rPr>
        <w:t xml:space="preserve">Level </w:t>
      </w:r>
      <w:r>
        <w:rPr>
          <w:bCs/>
          <w:szCs w:val="22"/>
        </w:rPr>
        <w:t>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480530" w:rsidRDefault="00480530" w:rsidP="0092658C">
      <w:pPr>
        <w:numPr>
          <w:ilvl w:val="0"/>
          <w:numId w:val="8"/>
        </w:numPr>
        <w:snapToGrid w:val="0"/>
        <w:spacing w:after="120"/>
        <w:rPr>
          <w:szCs w:val="22"/>
        </w:rPr>
      </w:pPr>
      <w:r>
        <w:rPr>
          <w:szCs w:val="22"/>
        </w:rPr>
        <w:t>The NANC Recommendation.</w:t>
      </w:r>
    </w:p>
    <w:p w:rsidR="0092658C" w:rsidRDefault="00480530" w:rsidP="0092658C">
      <w:pPr>
        <w:numPr>
          <w:ilvl w:val="0"/>
          <w:numId w:val="8"/>
        </w:numPr>
        <w:snapToGrid w:val="0"/>
        <w:spacing w:after="120"/>
        <w:rPr>
          <w:szCs w:val="22"/>
        </w:rPr>
      </w:pPr>
      <w:r>
        <w:rPr>
          <w:szCs w:val="22"/>
        </w:rPr>
        <w:t xml:space="preserve">The reports described or referred to in paragraph </w:t>
      </w:r>
      <w:r w:rsidR="0092658C">
        <w:rPr>
          <w:szCs w:val="22"/>
        </w:rPr>
        <w:t xml:space="preserve">2 of the Second Level Protective Order. </w:t>
      </w:r>
    </w:p>
    <w:p w:rsidR="00906788" w:rsidRPr="00906788" w:rsidRDefault="00480530" w:rsidP="0092658C">
      <w:pPr>
        <w:numPr>
          <w:ilvl w:val="0"/>
          <w:numId w:val="8"/>
        </w:numPr>
        <w:snapToGrid w:val="0"/>
        <w:spacing w:after="120"/>
        <w:rPr>
          <w:sz w:val="24"/>
          <w:szCs w:val="22"/>
        </w:rPr>
      </w:pPr>
      <w:r w:rsidRPr="00906788">
        <w:rPr>
          <w:color w:val="000000"/>
          <w:sz w:val="24"/>
          <w:szCs w:val="22"/>
        </w:rPr>
        <w:t>The bid documents submitted by the vendors</w:t>
      </w:r>
      <w:r w:rsidR="00906788">
        <w:rPr>
          <w:color w:val="000000"/>
          <w:sz w:val="24"/>
          <w:szCs w:val="22"/>
        </w:rPr>
        <w:t>.</w:t>
      </w:r>
    </w:p>
    <w:p w:rsidR="00480530" w:rsidRPr="00906788" w:rsidRDefault="00906788" w:rsidP="0092658C">
      <w:pPr>
        <w:numPr>
          <w:ilvl w:val="0"/>
          <w:numId w:val="8"/>
        </w:numPr>
        <w:snapToGrid w:val="0"/>
        <w:spacing w:after="120"/>
        <w:rPr>
          <w:sz w:val="24"/>
          <w:szCs w:val="22"/>
        </w:rPr>
      </w:pPr>
      <w:r>
        <w:rPr>
          <w:color w:val="000000"/>
          <w:sz w:val="24"/>
          <w:szCs w:val="22"/>
        </w:rPr>
        <w:t>T</w:t>
      </w:r>
      <w:r w:rsidR="00480530" w:rsidRPr="00906788">
        <w:rPr>
          <w:color w:val="000000"/>
          <w:sz w:val="24"/>
          <w:szCs w:val="22"/>
        </w:rPr>
        <w:t xml:space="preserve">ranscripts of meetings between the </w:t>
      </w:r>
      <w:r w:rsidRPr="00906788">
        <w:rPr>
          <w:sz w:val="24"/>
        </w:rPr>
        <w:t>Future of the Number Portability Administration Center</w:t>
      </w:r>
      <w:r w:rsidR="00480530" w:rsidRPr="00906788">
        <w:rPr>
          <w:color w:val="000000"/>
          <w:sz w:val="24"/>
          <w:szCs w:val="22"/>
        </w:rPr>
        <w:t xml:space="preserve"> and the vendors.</w:t>
      </w:r>
    </w:p>
    <w:p w:rsidR="00480530" w:rsidRDefault="00906788" w:rsidP="0092658C">
      <w:pPr>
        <w:numPr>
          <w:ilvl w:val="0"/>
          <w:numId w:val="8"/>
        </w:numPr>
        <w:snapToGrid w:val="0"/>
        <w:spacing w:after="120"/>
        <w:rPr>
          <w:szCs w:val="22"/>
        </w:rPr>
      </w:pPr>
      <w:r>
        <w:rPr>
          <w:color w:val="000000"/>
          <w:szCs w:val="22"/>
        </w:rPr>
        <w:t xml:space="preserve">The legal </w:t>
      </w:r>
      <w:r w:rsidR="00480530">
        <w:rPr>
          <w:color w:val="000000"/>
          <w:szCs w:val="22"/>
        </w:rPr>
        <w:t>opinion letters</w:t>
      </w:r>
      <w:r w:rsidR="00F303A3">
        <w:rPr>
          <w:color w:val="000000"/>
          <w:szCs w:val="22"/>
        </w:rPr>
        <w:t xml:space="preserve"> and supplements thereto</w:t>
      </w:r>
      <w:r>
        <w:rPr>
          <w:color w:val="000000"/>
          <w:szCs w:val="22"/>
        </w:rPr>
        <w:t>, submitted by the vendor’s counsel</w:t>
      </w:r>
      <w:r w:rsidR="00480530">
        <w:rPr>
          <w:color w:val="000000"/>
          <w:szCs w:val="22"/>
        </w:rPr>
        <w:t xml:space="preserve"> addressing the vendors’ compliance with the requirements for neutral administration of the local number portability database.  </w:t>
      </w:r>
    </w:p>
    <w:p w:rsidR="001E6F95" w:rsidRDefault="00D82479" w:rsidP="0092658C">
      <w:pPr>
        <w:snapToGrid w:val="0"/>
        <w:spacing w:after="120"/>
        <w:jc w:val="center"/>
        <w:rPr>
          <w:szCs w:val="22"/>
        </w:rPr>
      </w:pPr>
      <w:r>
        <w:rPr>
          <w:bCs/>
          <w:szCs w:val="22"/>
        </w:rPr>
        <w:br w:type="page"/>
      </w:r>
      <w:r>
        <w:rPr>
          <w:b/>
          <w:bCs/>
          <w:szCs w:val="22"/>
        </w:rPr>
        <w:t>APPENDIX B</w:t>
      </w:r>
    </w:p>
    <w:p w:rsidR="001E6F95" w:rsidRDefault="00D82479" w:rsidP="0092658C">
      <w:pPr>
        <w:snapToGrid w:val="0"/>
        <w:spacing w:after="120"/>
        <w:jc w:val="center"/>
        <w:rPr>
          <w:b/>
          <w:bCs/>
          <w:szCs w:val="22"/>
        </w:rPr>
      </w:pPr>
      <w:r>
        <w:rPr>
          <w:b/>
          <w:bCs/>
          <w:szCs w:val="22"/>
        </w:rPr>
        <w:t>Acknowledgment of Confidentiality</w:t>
      </w:r>
    </w:p>
    <w:p w:rsidR="001E6F95" w:rsidRDefault="0092658C">
      <w:pPr>
        <w:snapToGrid w:val="0"/>
        <w:spacing w:after="120"/>
        <w:jc w:val="center"/>
        <w:rPr>
          <w:b/>
          <w:bCs/>
          <w:szCs w:val="22"/>
        </w:rPr>
      </w:pPr>
      <w:r>
        <w:rPr>
          <w:b/>
          <w:bCs/>
          <w:szCs w:val="22"/>
        </w:rPr>
        <w:t>WC Docket No. 09-109</w:t>
      </w:r>
      <w:r>
        <w:rPr>
          <w:b/>
          <w:bCs/>
          <w:szCs w:val="22"/>
        </w:rPr>
        <w:br/>
        <w:t>CC Docket No. 95-116</w:t>
      </w:r>
    </w:p>
    <w:p w:rsidR="001E6F95" w:rsidRDefault="00D82479">
      <w:pPr>
        <w:snapToGrid w:val="0"/>
        <w:spacing w:after="120"/>
        <w:rPr>
          <w:szCs w:val="22"/>
        </w:rPr>
      </w:pPr>
      <w:r>
        <w:rPr>
          <w:szCs w:val="22"/>
        </w:rPr>
        <w:t xml:space="preserve">              I hereby acknowledge that I have received and read a copy of the foregoing Second </w:t>
      </w:r>
      <w:r w:rsidR="0092658C">
        <w:rPr>
          <w:szCs w:val="22"/>
        </w:rPr>
        <w:t xml:space="preserve">Level </w:t>
      </w:r>
      <w:r>
        <w:rPr>
          <w:szCs w:val="22"/>
        </w:rPr>
        <w:t xml:space="preserve">Protective Order in the above-captioned proceeding, and I understand it.  </w:t>
      </w:r>
    </w:p>
    <w:p w:rsidR="001E6F95" w:rsidRDefault="00D82479">
      <w:pPr>
        <w:snapToGrid w:val="0"/>
        <w:spacing w:after="120"/>
        <w:ind w:firstLine="720"/>
        <w:rPr>
          <w:szCs w:val="22"/>
        </w:rPr>
      </w:pPr>
      <w:r>
        <w:rPr>
          <w:szCs w:val="22"/>
        </w:rPr>
        <w:t xml:space="preserve">I agree that I am bound by the Second </w:t>
      </w:r>
      <w:r w:rsidR="0092658C">
        <w:rPr>
          <w:szCs w:val="22"/>
        </w:rPr>
        <w:t xml:space="preserve">Level </w:t>
      </w:r>
      <w:r>
        <w:rPr>
          <w:szCs w:val="22"/>
        </w:rPr>
        <w:t xml:space="preserve">Protective Order and that I shall not disclose or use Stamped Highly Confidential Documents or Highly Confidential Information except as allowed by the Second </w:t>
      </w:r>
      <w:r w:rsidR="0092658C">
        <w:rPr>
          <w:szCs w:val="22"/>
        </w:rPr>
        <w:t xml:space="preserve">Level </w:t>
      </w:r>
      <w:r>
        <w:rPr>
          <w:szCs w:val="22"/>
        </w:rPr>
        <w:t xml:space="preserve">Protective Order.  </w:t>
      </w:r>
    </w:p>
    <w:p w:rsidR="00C64A48" w:rsidRDefault="00D82479" w:rsidP="00C64A48">
      <w:pPr>
        <w:snapToGrid w:val="0"/>
        <w:spacing w:after="120"/>
        <w:ind w:firstLine="720"/>
        <w:rPr>
          <w:szCs w:val="22"/>
        </w:rPr>
      </w:pPr>
      <w:r>
        <w:rPr>
          <w:szCs w:val="22"/>
        </w:rPr>
        <w:t xml:space="preserve">I acknowledge that a violation of the Second </w:t>
      </w:r>
      <w:r w:rsidR="0092658C">
        <w:rPr>
          <w:szCs w:val="22"/>
        </w:rPr>
        <w:t xml:space="preserve">Level </w:t>
      </w:r>
      <w:r>
        <w:rPr>
          <w:szCs w:val="22"/>
        </w:rPr>
        <w:t>Protective Order is a violation of an order of the Federal Communications Commission.</w:t>
      </w:r>
      <w:r w:rsidR="00C64A48">
        <w:rPr>
          <w:szCs w:val="22"/>
        </w:rPr>
        <w:t xml:space="preserve">  I further acknowledge that the Commission retains its full authority to fashion appropriate sanctions for violations of the Second </w:t>
      </w:r>
      <w:r w:rsidR="0092658C">
        <w:rPr>
          <w:szCs w:val="22"/>
        </w:rPr>
        <w:t xml:space="preserve">Level </w:t>
      </w:r>
      <w:r w:rsidR="00C64A48">
        <w:rPr>
          <w:szCs w:val="22"/>
        </w:rPr>
        <w:t xml:space="preserve">Protective Order, including but not limited to suspension or disbarment of </w:t>
      </w:r>
      <w:r w:rsidR="0092658C">
        <w:rPr>
          <w:szCs w:val="22"/>
        </w:rPr>
        <w:t xml:space="preserve">Outside </w:t>
      </w:r>
      <w:r w:rsidR="00C64A48">
        <w:rPr>
          <w:szCs w:val="22"/>
        </w:rPr>
        <w:t xml:space="preserve">Counsel or </w:t>
      </w:r>
      <w:r w:rsidR="0092658C">
        <w:rPr>
          <w:szCs w:val="22"/>
        </w:rPr>
        <w:t xml:space="preserve">Outside </w:t>
      </w:r>
      <w:r w:rsidR="00C64A48">
        <w:rPr>
          <w:szCs w:val="22"/>
        </w:rPr>
        <w:t>Consultants from practice before the Commission, forfeitures, cease and desist orders, and denial of further access</w:t>
      </w:r>
      <w:r w:rsidR="0092658C">
        <w:rPr>
          <w:szCs w:val="22"/>
        </w:rPr>
        <w:t xml:space="preserve"> to </w:t>
      </w:r>
      <w:r w:rsidR="00C64A48">
        <w:rPr>
          <w:szCs w:val="22"/>
        </w:rPr>
        <w:t>Highly Confidential Information in this or any other Commission proceeding.</w:t>
      </w:r>
    </w:p>
    <w:p w:rsidR="001E6F95" w:rsidRDefault="00C64A48">
      <w:pPr>
        <w:snapToGrid w:val="0"/>
        <w:spacing w:after="120"/>
        <w:ind w:firstLine="720"/>
        <w:rPr>
          <w:szCs w:val="22"/>
        </w:rPr>
      </w:pPr>
      <w:r>
        <w:rPr>
          <w:szCs w:val="22"/>
        </w:rPr>
        <w:t xml:space="preserve">I acknowledge that nothing in the Second </w:t>
      </w:r>
      <w:r w:rsidR="0092658C">
        <w:rPr>
          <w:szCs w:val="22"/>
        </w:rPr>
        <w:t xml:space="preserve">Level </w:t>
      </w:r>
      <w:r>
        <w:rPr>
          <w:szCs w:val="22"/>
        </w:rPr>
        <w:t xml:space="preserve">Protective Order limits any other rights and remedies available to a Submitting Party at law or in equity against me if I use </w:t>
      </w:r>
      <w:r w:rsidR="0071658B">
        <w:rPr>
          <w:szCs w:val="22"/>
        </w:rPr>
        <w:t xml:space="preserve">Highly </w:t>
      </w:r>
      <w:r>
        <w:rPr>
          <w:szCs w:val="22"/>
        </w:rPr>
        <w:t xml:space="preserve">Confidential Information in a manner not authorized by the Second </w:t>
      </w:r>
      <w:r w:rsidR="0092658C">
        <w:rPr>
          <w:szCs w:val="22"/>
        </w:rPr>
        <w:t xml:space="preserve">Level </w:t>
      </w:r>
      <w:r>
        <w:rPr>
          <w:szCs w:val="22"/>
        </w:rPr>
        <w:t>Protective Order.</w:t>
      </w:r>
    </w:p>
    <w:p w:rsidR="001E6F95" w:rsidRDefault="00D82479">
      <w:pPr>
        <w:snapToGrid w:val="0"/>
        <w:spacing w:after="120"/>
        <w:rPr>
          <w:szCs w:val="22"/>
        </w:rPr>
      </w:pPr>
      <w:r>
        <w:rPr>
          <w:szCs w:val="22"/>
        </w:rPr>
        <w:t> </w:t>
      </w:r>
      <w:r>
        <w:rPr>
          <w:szCs w:val="22"/>
        </w:rPr>
        <w:tab/>
        <w:t>I certify that I am not involved in Competitive Decision-Making.</w:t>
      </w:r>
    </w:p>
    <w:p w:rsidR="001E6F95" w:rsidRDefault="00D82479">
      <w:pPr>
        <w:snapToGrid w:val="0"/>
        <w:spacing w:after="120"/>
        <w:rPr>
          <w:szCs w:val="22"/>
        </w:rPr>
      </w:pPr>
      <w:r>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Second </w:t>
      </w:r>
      <w:r w:rsidR="0092658C">
        <w:rPr>
          <w:szCs w:val="22"/>
        </w:rPr>
        <w:t xml:space="preserve">Level </w:t>
      </w:r>
      <w:r>
        <w:rPr>
          <w:szCs w:val="22"/>
        </w:rPr>
        <w:t>Protective Order is due solely to my capacity as Outside Counsel or Outside Consultant to a party or as a person described in paragraph</w:t>
      </w:r>
      <w:r w:rsidR="0092658C">
        <w:rPr>
          <w:szCs w:val="22"/>
        </w:rPr>
        <w:t xml:space="preserve"> 13</w:t>
      </w:r>
      <w:r>
        <w:rPr>
          <w:szCs w:val="22"/>
        </w:rPr>
        <w:t xml:space="preserve"> of the foregoing Second </w:t>
      </w:r>
      <w:r w:rsidR="0092658C">
        <w:rPr>
          <w:szCs w:val="22"/>
        </w:rPr>
        <w:t xml:space="preserve">Level </w:t>
      </w:r>
      <w:r>
        <w:rPr>
          <w:szCs w:val="22"/>
        </w:rPr>
        <w:t>Protective Order and agree that I will not use such information in any other capacity.</w:t>
      </w:r>
    </w:p>
    <w:p w:rsidR="001E6F95" w:rsidRDefault="00D82479">
      <w:pPr>
        <w:snapToGrid w:val="0"/>
        <w:spacing w:after="120"/>
        <w:ind w:firstLine="720"/>
        <w:rPr>
          <w:szCs w:val="22"/>
        </w:rPr>
      </w:pPr>
      <w:r>
        <w:rPr>
          <w:szCs w:val="22"/>
        </w:rPr>
        <w:t xml:space="preserve">I acknowledge that it is my obligation to ensure that Stamped Highly Confidential Documents are not duplicated except as specifically permitted by the terms of the Second </w:t>
      </w:r>
      <w:r w:rsidR="0092658C">
        <w:rPr>
          <w:szCs w:val="22"/>
        </w:rPr>
        <w:t xml:space="preserve">Level </w:t>
      </w:r>
      <w:r>
        <w:rPr>
          <w:szCs w:val="22"/>
        </w:rPr>
        <w:t>Protective Order</w:t>
      </w:r>
      <w:r w:rsidR="00C64A48">
        <w:rPr>
          <w:szCs w:val="22"/>
        </w:rPr>
        <w:t xml:space="preserve"> and to ensure that there is no disclosure of Stamped </w:t>
      </w:r>
      <w:r w:rsidR="0071658B">
        <w:rPr>
          <w:szCs w:val="22"/>
        </w:rPr>
        <w:t xml:space="preserve">Highly </w:t>
      </w:r>
      <w:r w:rsidR="00C64A48">
        <w:rPr>
          <w:szCs w:val="22"/>
        </w:rPr>
        <w:t xml:space="preserve">Confidential Documents or </w:t>
      </w:r>
      <w:r w:rsidR="0071658B">
        <w:rPr>
          <w:szCs w:val="22"/>
        </w:rPr>
        <w:t xml:space="preserve">Highly </w:t>
      </w:r>
      <w:r w:rsidR="00C64A48">
        <w:rPr>
          <w:szCs w:val="22"/>
        </w:rPr>
        <w:t xml:space="preserve">Confidential Information in my possession or in the possession of those who work for me, except as provided in the </w:t>
      </w:r>
      <w:r w:rsidR="0071658B">
        <w:rPr>
          <w:szCs w:val="22"/>
        </w:rPr>
        <w:t xml:space="preserve">Second </w:t>
      </w:r>
      <w:r w:rsidR="0092658C">
        <w:rPr>
          <w:szCs w:val="22"/>
        </w:rPr>
        <w:t xml:space="preserve">Level </w:t>
      </w:r>
      <w:r w:rsidR="00C64A48">
        <w:rPr>
          <w:szCs w:val="22"/>
        </w:rPr>
        <w:t>Protective Order</w:t>
      </w:r>
      <w:r>
        <w:rPr>
          <w:szCs w:val="22"/>
        </w:rPr>
        <w:t xml:space="preserve">.  </w:t>
      </w:r>
    </w:p>
    <w:p w:rsidR="001E6F95" w:rsidRDefault="00D82479">
      <w:pPr>
        <w:snapToGrid w:val="0"/>
        <w:spacing w:after="120"/>
        <w:ind w:firstLine="720"/>
        <w:rPr>
          <w:szCs w:val="22"/>
        </w:rPr>
      </w:pPr>
      <w:r>
        <w:rPr>
          <w:szCs w:val="22"/>
        </w:rPr>
        <w:t>I certify that I have verified that there are in place procedures at my firm or office to prevent unauthorized disclosure of Stamped Highly Confidential Documents and Highly Confidential Information.</w:t>
      </w:r>
    </w:p>
    <w:p w:rsidR="001E6F95" w:rsidRDefault="00D82479" w:rsidP="00F16CB9">
      <w:pPr>
        <w:snapToGrid w:val="0"/>
        <w:spacing w:after="120"/>
        <w:ind w:firstLine="720"/>
        <w:rPr>
          <w:szCs w:val="22"/>
        </w:rPr>
      </w:pPr>
      <w:r>
        <w:rPr>
          <w:szCs w:val="22"/>
        </w:rPr>
        <w:t xml:space="preserve">Capitalized terms used herein shall have the meanings ascribed to </w:t>
      </w:r>
      <w:r w:rsidR="0092658C">
        <w:rPr>
          <w:szCs w:val="22"/>
        </w:rPr>
        <w:t xml:space="preserve">them in </w:t>
      </w:r>
      <w:r>
        <w:rPr>
          <w:szCs w:val="22"/>
        </w:rPr>
        <w:t xml:space="preserve">the Second </w:t>
      </w:r>
      <w:r w:rsidR="0092658C">
        <w:rPr>
          <w:szCs w:val="22"/>
        </w:rPr>
        <w:t xml:space="preserve">Level </w:t>
      </w:r>
      <w:r>
        <w:rPr>
          <w:szCs w:val="22"/>
        </w:rPr>
        <w:t>Protective Order. </w:t>
      </w:r>
    </w:p>
    <w:p w:rsidR="001E6F95" w:rsidRDefault="00D82479">
      <w:pPr>
        <w:snapToGrid w:val="0"/>
        <w:spacing w:after="120"/>
        <w:ind w:left="3600" w:firstLine="720"/>
        <w:rPr>
          <w:szCs w:val="22"/>
        </w:rPr>
      </w:pPr>
      <w:r>
        <w:rPr>
          <w:szCs w:val="22"/>
        </w:rPr>
        <w:t>Executed thi</w:t>
      </w:r>
      <w:r w:rsidR="0092658C">
        <w:rPr>
          <w:szCs w:val="22"/>
        </w:rPr>
        <w:t>s ___ day of _____________, 2014</w:t>
      </w:r>
      <w:r>
        <w:rPr>
          <w:szCs w:val="22"/>
        </w:rPr>
        <w:t>.</w:t>
      </w:r>
    </w:p>
    <w:p w:rsidR="001E6F95" w:rsidRDefault="00D82479">
      <w:pPr>
        <w:snapToGrid w:val="0"/>
        <w:spacing w:after="120"/>
        <w:rPr>
          <w:szCs w:val="22"/>
        </w:rPr>
      </w:pPr>
      <w:r>
        <w:rPr>
          <w:szCs w:val="22"/>
        </w:rPr>
        <w:t>   </w:t>
      </w:r>
    </w:p>
    <w:p w:rsidR="001E6F95" w:rsidRDefault="00D82479">
      <w:pPr>
        <w:snapToGrid w:val="0"/>
        <w:spacing w:after="120"/>
        <w:rPr>
          <w:szCs w:val="22"/>
        </w:rPr>
      </w:pPr>
      <w:r>
        <w:rPr>
          <w:szCs w:val="22"/>
        </w:rPr>
        <w:t>                                                                  </w:t>
      </w:r>
      <w:r>
        <w:rPr>
          <w:szCs w:val="22"/>
        </w:rPr>
        <w:tab/>
        <w:t>_________________________________</w:t>
      </w:r>
    </w:p>
    <w:p w:rsidR="001E6F95" w:rsidRDefault="0071658B" w:rsidP="00F16CB9">
      <w:pPr>
        <w:tabs>
          <w:tab w:val="left" w:pos="4320"/>
        </w:tabs>
        <w:snapToGrid w:val="0"/>
        <w:rPr>
          <w:szCs w:val="22"/>
        </w:rPr>
      </w:pPr>
      <w:r w:rsidDel="0071658B">
        <w:rPr>
          <w:szCs w:val="22"/>
        </w:rPr>
        <w:t xml:space="preserve"> </w:t>
      </w:r>
      <w:r>
        <w:rPr>
          <w:szCs w:val="22"/>
        </w:rPr>
        <w:tab/>
      </w:r>
      <w:r w:rsidR="00D82479">
        <w:rPr>
          <w:szCs w:val="22"/>
        </w:rPr>
        <w:t>[Name]</w:t>
      </w:r>
    </w:p>
    <w:p w:rsidR="001E6F95" w:rsidRDefault="0071658B" w:rsidP="00F16CB9">
      <w:pPr>
        <w:tabs>
          <w:tab w:val="left" w:pos="4320"/>
        </w:tabs>
        <w:snapToGrid w:val="0"/>
        <w:rPr>
          <w:szCs w:val="22"/>
        </w:rPr>
      </w:pPr>
      <w:r w:rsidDel="0071658B">
        <w:rPr>
          <w:szCs w:val="22"/>
        </w:rPr>
        <w:t xml:space="preserve"> </w:t>
      </w:r>
      <w:r>
        <w:rPr>
          <w:szCs w:val="22"/>
        </w:rPr>
        <w:tab/>
      </w:r>
      <w:r w:rsidR="00D82479">
        <w:rPr>
          <w:szCs w:val="22"/>
        </w:rPr>
        <w:t>[Position]</w:t>
      </w:r>
    </w:p>
    <w:p w:rsidR="001E6F95" w:rsidRDefault="0071658B" w:rsidP="00F16CB9">
      <w:pPr>
        <w:tabs>
          <w:tab w:val="left" w:pos="4320"/>
        </w:tabs>
        <w:snapToGrid w:val="0"/>
        <w:rPr>
          <w:szCs w:val="22"/>
        </w:rPr>
      </w:pPr>
      <w:r w:rsidDel="0071658B">
        <w:rPr>
          <w:szCs w:val="22"/>
        </w:rPr>
        <w:t xml:space="preserve"> </w:t>
      </w:r>
      <w:r>
        <w:rPr>
          <w:szCs w:val="22"/>
        </w:rPr>
        <w:tab/>
      </w:r>
      <w:r w:rsidR="00D82479">
        <w:rPr>
          <w:szCs w:val="22"/>
        </w:rPr>
        <w:t>[Firm]</w:t>
      </w:r>
    </w:p>
    <w:p w:rsidR="001E6F95" w:rsidRDefault="0071658B" w:rsidP="00F16CB9">
      <w:pPr>
        <w:tabs>
          <w:tab w:val="left" w:pos="4320"/>
        </w:tabs>
        <w:rPr>
          <w:szCs w:val="22"/>
        </w:rPr>
      </w:pPr>
      <w:r>
        <w:rPr>
          <w:szCs w:val="22"/>
        </w:rPr>
        <w:tab/>
      </w:r>
      <w:r w:rsidR="00D82479">
        <w:rPr>
          <w:szCs w:val="22"/>
        </w:rPr>
        <w:t>[Telephone]</w:t>
      </w:r>
    </w:p>
    <w:sectPr w:rsidR="001E6F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0B" w:rsidRDefault="00A7550B">
      <w:r>
        <w:separator/>
      </w:r>
    </w:p>
  </w:endnote>
  <w:endnote w:type="continuationSeparator" w:id="0">
    <w:p w:rsidR="00A7550B" w:rsidRDefault="00A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37" w:rsidRDefault="00AE4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D82479">
    <w:pPr>
      <w:pStyle w:val="Footer"/>
      <w:jc w:val="center"/>
    </w:pPr>
    <w:r>
      <w:fldChar w:fldCharType="begin"/>
    </w:r>
    <w:r>
      <w:instrText xml:space="preserve"> PAGE   \* MERGEFORMAT </w:instrText>
    </w:r>
    <w:r>
      <w:fldChar w:fldCharType="separate"/>
    </w:r>
    <w:r w:rsidR="004955D4">
      <w:rPr>
        <w:noProof/>
      </w:rPr>
      <w:t>2</w:t>
    </w:r>
    <w:r>
      <w:rPr>
        <w:noProof/>
      </w:rPr>
      <w:fldChar w:fldCharType="end"/>
    </w:r>
  </w:p>
  <w:p w:rsidR="001E6F95" w:rsidRDefault="001E6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1E6F95">
    <w:pPr>
      <w:pStyle w:val="Footer"/>
      <w:jc w:val="center"/>
    </w:pPr>
  </w:p>
  <w:p w:rsidR="001E6F95" w:rsidRDefault="001E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0B" w:rsidRDefault="00A7550B">
      <w:r>
        <w:separator/>
      </w:r>
    </w:p>
  </w:footnote>
  <w:footnote w:type="continuationSeparator" w:id="0">
    <w:p w:rsidR="00A7550B" w:rsidRDefault="00A7550B">
      <w:r>
        <w:continuationSeparator/>
      </w:r>
    </w:p>
  </w:footnote>
  <w:footnote w:id="1">
    <w:p w:rsidR="008F51DD" w:rsidRPr="007C22F1" w:rsidRDefault="008F51DD" w:rsidP="00DF26C1">
      <w:pPr>
        <w:pStyle w:val="FootnoteText"/>
        <w:spacing w:after="120"/>
      </w:pPr>
      <w:r>
        <w:rPr>
          <w:rStyle w:val="FootnoteReference"/>
        </w:rPr>
        <w:footnoteRef/>
      </w:r>
      <w:r>
        <w:t xml:space="preserve"> Letter from Betty Ann Kane, Chairman, North American Numbering Council, to Julie A. Veach, Chief, Wireline Competition Bureau, Federal Communications Commission, WC Docket No. 09-109, CC Docket 95-116 (dated Apr. 24, 2014 and filed Apr. 25, 2014) (NANC Apr. 24 </w:t>
      </w:r>
      <w:r w:rsidRPr="00373169">
        <w:rPr>
          <w:i/>
        </w:rPr>
        <w:t>Ex Parte</w:t>
      </w:r>
      <w:r>
        <w:t xml:space="preserve"> Letter)</w:t>
      </w:r>
      <w:r w:rsidR="00FE4FF7">
        <w:t xml:space="preserve">. </w:t>
      </w:r>
    </w:p>
  </w:footnote>
  <w:footnote w:id="2">
    <w:p w:rsidR="008F51DD" w:rsidRPr="00B86119" w:rsidRDefault="008F51DD" w:rsidP="00DF26C1">
      <w:pPr>
        <w:pStyle w:val="FootnoteText"/>
        <w:spacing w:after="120"/>
      </w:pPr>
      <w:r>
        <w:rPr>
          <w:rStyle w:val="FootnoteReference"/>
        </w:rPr>
        <w:footnoteRef/>
      </w:r>
      <w:r>
        <w:t xml:space="preserve"> </w:t>
      </w:r>
      <w:r w:rsidRPr="009D1DF5">
        <w:rPr>
          <w:i/>
        </w:rPr>
        <w:t>Petition of Telcordia Technologies, Inc. to Reform or Strike Amendment 70, to Institute Competitive Bidding for Number Portability Administration and to End the NAPM LLC’s Interim  Role in Number Portability Administration Contract; Telephone number Portability,</w:t>
      </w:r>
      <w:r>
        <w:t xml:space="preserve"> Order and Request for Comment, WC Docket No. 09-109, CC Docket No. 95-116, 26 FCC Rcd </w:t>
      </w:r>
      <w:r w:rsidR="00FE4FF7">
        <w:t>3685</w:t>
      </w:r>
      <w:r>
        <w:t xml:space="preserve"> (2011).</w:t>
      </w:r>
    </w:p>
  </w:footnote>
  <w:footnote w:id="3">
    <w:p w:rsidR="008F51DD" w:rsidRPr="00231180" w:rsidRDefault="008F51DD" w:rsidP="008F51DD">
      <w:pPr>
        <w:pStyle w:val="FootnoteText"/>
      </w:pPr>
      <w:r>
        <w:rPr>
          <w:rStyle w:val="FootnoteReference"/>
        </w:rPr>
        <w:footnoteRef/>
      </w:r>
      <w:r>
        <w:t xml:space="preserve"> The NAPM is an industry consortium, and the Future of the Number Portability Administration Centeris a NAPM subcommittee charged with overseeing the vendor selection process on behalf of the NAPM.</w:t>
      </w:r>
    </w:p>
  </w:footnote>
  <w:footnote w:id="4">
    <w:p w:rsidR="00FE4FF7" w:rsidRPr="00886AE5" w:rsidRDefault="00FE4FF7" w:rsidP="00FE4FF7">
      <w:pPr>
        <w:pStyle w:val="FootnoteText"/>
        <w:spacing w:after="120"/>
      </w:pPr>
      <w:r>
        <w:rPr>
          <w:rStyle w:val="FootnoteReference"/>
        </w:rPr>
        <w:footnoteRef/>
      </w:r>
      <w:r>
        <w:t xml:space="preserve"> </w:t>
      </w:r>
      <w:r w:rsidR="009A5292">
        <w:t>47 C.F.R. § 0.459.</w:t>
      </w:r>
    </w:p>
  </w:footnote>
  <w:footnote w:id="5">
    <w:p w:rsidR="001E6F95" w:rsidRDefault="00D82479" w:rsidP="006D015D">
      <w:pPr>
        <w:pStyle w:val="FootnoteText"/>
        <w:spacing w:after="120"/>
      </w:pPr>
      <w:r>
        <w:rPr>
          <w:rStyle w:val="FootnoteReference"/>
        </w:rPr>
        <w:footnoteRef/>
      </w:r>
      <w:r>
        <w:t xml:space="preserve"> </w:t>
      </w:r>
      <w:r>
        <w:rPr>
          <w:i/>
        </w:rPr>
        <w:t>See</w:t>
      </w:r>
      <w:r>
        <w:t xml:space="preserve"> </w:t>
      </w:r>
      <w:r>
        <w:rPr>
          <w:szCs w:val="22"/>
        </w:rPr>
        <w:t>47 C.F.R. §§ 0.459(a), 0.459(a)(3).</w:t>
      </w:r>
    </w:p>
  </w:footnote>
  <w:footnote w:id="6">
    <w:p w:rsidR="001E6F95" w:rsidRDefault="00D82479" w:rsidP="006D015D">
      <w:pPr>
        <w:pStyle w:val="FootnoteText"/>
        <w:spacing w:after="120"/>
      </w:pPr>
      <w:r>
        <w:rPr>
          <w:rStyle w:val="FootnoteReference"/>
        </w:rPr>
        <w:footnoteRef/>
      </w:r>
      <w:r>
        <w:t xml:space="preserve"> </w:t>
      </w:r>
      <w:r>
        <w:rPr>
          <w:i/>
        </w:rPr>
        <w:t xml:space="preserve">See </w:t>
      </w:r>
      <w:r>
        <w:rPr>
          <w:szCs w:val="22"/>
        </w:rPr>
        <w:t>47 C.F.R. § 0.459(b).</w:t>
      </w:r>
    </w:p>
  </w:footnote>
  <w:footnote w:id="7">
    <w:p w:rsidR="001E6F95" w:rsidRDefault="00D82479" w:rsidP="006D015D">
      <w:pPr>
        <w:pStyle w:val="FootnoteText"/>
        <w:spacing w:after="120"/>
      </w:pPr>
      <w:r>
        <w:rPr>
          <w:rStyle w:val="FootnoteReference"/>
        </w:rPr>
        <w:footnoteRef/>
      </w:r>
      <w:r>
        <w:t xml:space="preserve"> </w:t>
      </w:r>
      <w:r>
        <w:rPr>
          <w:i/>
          <w:szCs w:val="22"/>
        </w:rPr>
        <w:t>See</w:t>
      </w:r>
      <w:r>
        <w:rPr>
          <w:szCs w:val="22"/>
        </w:rPr>
        <w:t xml:space="preserve"> 47 C.F.R. § 0.459(g).</w:t>
      </w:r>
    </w:p>
  </w:footnote>
  <w:footnote w:id="8">
    <w:p w:rsidR="001E6F95" w:rsidRDefault="00D82479" w:rsidP="006D015D">
      <w:pPr>
        <w:pStyle w:val="FootnoteText"/>
        <w:spacing w:after="120"/>
      </w:pPr>
      <w:r>
        <w:rPr>
          <w:rStyle w:val="FootnoteReference"/>
        </w:rPr>
        <w:footnoteRef/>
      </w:r>
      <w:r>
        <w:t xml:space="preserve"> </w:t>
      </w:r>
      <w:r>
        <w:rPr>
          <w:i/>
        </w:rPr>
        <w:t>See</w:t>
      </w:r>
      <w:r>
        <w:t xml:space="preserve"> 47 C.F.R. §§ 0.459(h), 0.461.</w:t>
      </w:r>
    </w:p>
  </w:footnote>
  <w:footnote w:id="9">
    <w:p w:rsidR="00F067A2" w:rsidRDefault="00F067A2" w:rsidP="00F067A2">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37" w:rsidRDefault="00AE4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1E6F95">
    <w:pPr>
      <w:pStyle w:val="Header"/>
      <w:tabs>
        <w:tab w:val="clear" w:pos="4320"/>
        <w:tab w:val="clear" w:pos="8640"/>
        <w:tab w:val="center" w:pos="4680"/>
        <w:tab w:val="right" w:pos="9360"/>
      </w:tabs>
      <w:rPr>
        <w:b/>
      </w:rPr>
    </w:pPr>
  </w:p>
  <w:p w:rsidR="001E6F95" w:rsidRDefault="00D82479">
    <w:pPr>
      <w:pStyle w:val="Header"/>
      <w:tabs>
        <w:tab w:val="clear" w:pos="4320"/>
        <w:tab w:val="clear" w:pos="8640"/>
        <w:tab w:val="center" w:pos="4680"/>
        <w:tab w:val="right" w:pos="9360"/>
      </w:tabs>
      <w:rPr>
        <w:b/>
      </w:rPr>
    </w:pPr>
    <w:r>
      <w:rPr>
        <w:b/>
      </w:rPr>
      <w:tab/>
      <w:t xml:space="preserve">Federal </w:t>
    </w:r>
    <w:r w:rsidR="008F51DD">
      <w:rPr>
        <w:b/>
      </w:rPr>
      <w:t>Communications Commission</w:t>
    </w:r>
    <w:r w:rsidR="008F51DD">
      <w:rPr>
        <w:b/>
      </w:rPr>
      <w:tab/>
      <w:t>DA 14-</w:t>
    </w:r>
    <w:r w:rsidR="00DF26C1">
      <w:rPr>
        <w:b/>
      </w:rPr>
      <w:t>796</w:t>
    </w:r>
  </w:p>
  <w:p w:rsidR="001E6F95" w:rsidRDefault="0049103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30F0992" wp14:editId="12EEEA9A">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42DF1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E6F95" w:rsidRDefault="001E6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95" w:rsidRDefault="00D82479">
    <w:pPr>
      <w:pStyle w:val="Header"/>
      <w:tabs>
        <w:tab w:val="clear" w:pos="4320"/>
        <w:tab w:val="clear" w:pos="8640"/>
        <w:tab w:val="center" w:pos="4680"/>
        <w:tab w:val="right" w:pos="9360"/>
      </w:tabs>
      <w:rPr>
        <w:b/>
      </w:rPr>
    </w:pPr>
    <w:r>
      <w:rPr>
        <w:b/>
      </w:rPr>
      <w:tab/>
      <w:t xml:space="preserve">Federal </w:t>
    </w:r>
    <w:r w:rsidR="008F51DD">
      <w:rPr>
        <w:b/>
      </w:rPr>
      <w:t>Communications Commission</w:t>
    </w:r>
    <w:r w:rsidR="008F51DD">
      <w:rPr>
        <w:b/>
      </w:rPr>
      <w:tab/>
      <w:t>DA 14-</w:t>
    </w:r>
    <w:r w:rsidR="00DF26C1">
      <w:rPr>
        <w:b/>
      </w:rPr>
      <w:t>796</w:t>
    </w:r>
  </w:p>
  <w:p w:rsidR="001E6F95" w:rsidRPr="00C91AEE" w:rsidRDefault="0049103D">
    <w:pPr>
      <w:pStyle w:val="Header"/>
      <w:tabs>
        <w:tab w:val="clear" w:pos="8640"/>
        <w:tab w:val="right" w:pos="9360"/>
      </w:tabs>
      <w:rPr>
        <w:color w:val="FF0000"/>
      </w:rPr>
    </w:pPr>
    <w:r>
      <w:rPr>
        <w:noProof/>
        <w:color w:val="FF000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C4396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num w:numId="1">
    <w:abstractNumId w:val="0"/>
  </w:num>
  <w:num w:numId="2">
    <w:abstractNumId w:val="3"/>
  </w:num>
  <w:num w:numId="3">
    <w:abstractNumId w:val="4"/>
  </w:num>
  <w:num w:numId="4">
    <w:abstractNumId w:val="3"/>
  </w:num>
  <w:num w:numId="5">
    <w:abstractNumId w:val="3"/>
  </w:num>
  <w:num w:numId="6">
    <w:abstractNumId w:val="3"/>
  </w:num>
  <w:num w:numId="7">
    <w:abstractNumId w:val="3"/>
  </w:num>
  <w:num w:numId="8">
    <w:abstractNumId w:val="2"/>
  </w:num>
  <w:num w:numId="9">
    <w:abstractNumId w:val="3"/>
  </w:num>
  <w:num w:numId="10">
    <w:abstractNumId w:val="1"/>
  </w:num>
  <w:num w:numId="11">
    <w:abstractNumId w:val="5"/>
  </w:num>
  <w:num w:numId="12">
    <w:abstractNumId w:val="3"/>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04"/>
    <w:rsid w:val="00020C40"/>
    <w:rsid w:val="00032A29"/>
    <w:rsid w:val="000638FC"/>
    <w:rsid w:val="000645AB"/>
    <w:rsid w:val="00096985"/>
    <w:rsid w:val="000F7901"/>
    <w:rsid w:val="001424A3"/>
    <w:rsid w:val="00194A04"/>
    <w:rsid w:val="001B514D"/>
    <w:rsid w:val="001E6F95"/>
    <w:rsid w:val="002127EA"/>
    <w:rsid w:val="00226A75"/>
    <w:rsid w:val="00284AD6"/>
    <w:rsid w:val="002866E5"/>
    <w:rsid w:val="00432720"/>
    <w:rsid w:val="00440B4A"/>
    <w:rsid w:val="004535A7"/>
    <w:rsid w:val="004630EF"/>
    <w:rsid w:val="00480530"/>
    <w:rsid w:val="0049103D"/>
    <w:rsid w:val="004955D4"/>
    <w:rsid w:val="004A4624"/>
    <w:rsid w:val="004A55FF"/>
    <w:rsid w:val="005A1DBD"/>
    <w:rsid w:val="006A67CD"/>
    <w:rsid w:val="006A7AD0"/>
    <w:rsid w:val="006B7657"/>
    <w:rsid w:val="006D015D"/>
    <w:rsid w:val="006D41FF"/>
    <w:rsid w:val="0071658B"/>
    <w:rsid w:val="007A2227"/>
    <w:rsid w:val="007E5F32"/>
    <w:rsid w:val="007E63D1"/>
    <w:rsid w:val="0085093D"/>
    <w:rsid w:val="00865541"/>
    <w:rsid w:val="008E1E2B"/>
    <w:rsid w:val="008F51DD"/>
    <w:rsid w:val="00906788"/>
    <w:rsid w:val="0092658C"/>
    <w:rsid w:val="009A5292"/>
    <w:rsid w:val="009A55D6"/>
    <w:rsid w:val="00A20C10"/>
    <w:rsid w:val="00A7550B"/>
    <w:rsid w:val="00A84AF0"/>
    <w:rsid w:val="00A95D7D"/>
    <w:rsid w:val="00AE4137"/>
    <w:rsid w:val="00B45577"/>
    <w:rsid w:val="00BF5CD1"/>
    <w:rsid w:val="00C35597"/>
    <w:rsid w:val="00C35C75"/>
    <w:rsid w:val="00C64A48"/>
    <w:rsid w:val="00C91AEE"/>
    <w:rsid w:val="00CA79EB"/>
    <w:rsid w:val="00CF1DB8"/>
    <w:rsid w:val="00D443A4"/>
    <w:rsid w:val="00D82479"/>
    <w:rsid w:val="00DF26C1"/>
    <w:rsid w:val="00E23879"/>
    <w:rsid w:val="00E677E6"/>
    <w:rsid w:val="00E757B7"/>
    <w:rsid w:val="00EF658C"/>
    <w:rsid w:val="00F067A2"/>
    <w:rsid w:val="00F16CB9"/>
    <w:rsid w:val="00F303A3"/>
    <w:rsid w:val="00F3756F"/>
    <w:rsid w:val="00F41954"/>
    <w:rsid w:val="00F54830"/>
    <w:rsid w:val="00FA29D3"/>
    <w:rsid w:val="00FB7637"/>
    <w:rsid w:val="00FE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qFormat/>
    <w:rPr>
      <w:sz w:val="20"/>
    </w:rPr>
  </w:style>
  <w:style w:type="character" w:styleId="FootnoteReference">
    <w:name w:val="footnote reference"/>
    <w:aliases w:val="Appel note de bas de p,Style 12,(NECG) Footnote Reference,Style 124,Style 13,fr,o,Style 3,FR"/>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Footnote Text Char Char Char Char Char1"/>
    <w:rsid w:val="00F067A2"/>
    <w:rPr>
      <w:lang w:val="en-US" w:eastAsia="en-US" w:bidi="ar-SA"/>
    </w:rPr>
  </w:style>
  <w:style w:type="character" w:styleId="FollowedHyperlink">
    <w:name w:val="FollowedHyperlink"/>
    <w:rsid w:val="00B455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qFormat/>
    <w:rPr>
      <w:sz w:val="20"/>
    </w:rPr>
  </w:style>
  <w:style w:type="character" w:styleId="FootnoteReference">
    <w:name w:val="footnote reference"/>
    <w:aliases w:val="Appel note de bas de p,Style 12,(NECG) Footnote Reference,Style 124,Style 13,fr,o,Style 3,FR"/>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Pr>
      <w:color w:val="0000FF"/>
      <w:u w:val="single"/>
    </w:r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Footnote Text Char Char Char Char Char1"/>
    <w:rsid w:val="00F067A2"/>
    <w:rPr>
      <w:lang w:val="en-US" w:eastAsia="en-US" w:bidi="ar-SA"/>
    </w:rPr>
  </w:style>
  <w:style w:type="character" w:styleId="FollowedHyperlink">
    <w:name w:val="FollowedHyperlink"/>
    <w:rsid w:val="00B455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4728</Words>
  <Characters>27121</Characters>
  <Application>Microsoft Office Word</Application>
  <DocSecurity>0</DocSecurity>
  <Lines>415</Lines>
  <Paragraphs>86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32023</CharactersWithSpaces>
  <SharedDoc>false</SharedDoc>
  <HyperlinkBase> </HyperlinkBase>
  <HLinks>
    <vt:vector size="24" baseType="variant">
      <vt:variant>
        <vt:i4>2293847</vt:i4>
      </vt:variant>
      <vt:variant>
        <vt:i4>42</vt:i4>
      </vt:variant>
      <vt:variant>
        <vt:i4>0</vt:i4>
      </vt:variant>
      <vt:variant>
        <vt:i4>5</vt:i4>
      </vt:variant>
      <vt:variant>
        <vt:lpwstr>mailto:joel.rabinovitz@fcc.gov</vt:lpwstr>
      </vt:variant>
      <vt:variant>
        <vt:lpwstr/>
      </vt:variant>
      <vt:variant>
        <vt:i4>6225963</vt:i4>
      </vt:variant>
      <vt:variant>
        <vt:i4>39</vt:i4>
      </vt:variant>
      <vt:variant>
        <vt:i4>0</vt:i4>
      </vt:variant>
      <vt:variant>
        <vt:i4>5</vt:i4>
      </vt:variant>
      <vt:variant>
        <vt:lpwstr>mailto:john.schauble@fcc.gov</vt:lpwstr>
      </vt:variant>
      <vt:variant>
        <vt:lpwstr/>
      </vt:variant>
      <vt:variant>
        <vt:i4>2424904</vt:i4>
      </vt:variant>
      <vt:variant>
        <vt:i4>36</vt:i4>
      </vt:variant>
      <vt:variant>
        <vt:i4>0</vt:i4>
      </vt:variant>
      <vt:variant>
        <vt:i4>5</vt:i4>
      </vt:variant>
      <vt:variant>
        <vt:lpwstr>mailto:brigid.calamis@fcc.gov</vt:lpwstr>
      </vt:variant>
      <vt:variant>
        <vt:lpwstr/>
      </vt:variant>
      <vt:variant>
        <vt:i4>2424904</vt:i4>
      </vt:variant>
      <vt:variant>
        <vt:i4>9</vt:i4>
      </vt:variant>
      <vt:variant>
        <vt:i4>0</vt:i4>
      </vt:variant>
      <vt:variant>
        <vt:i4>5</vt:i4>
      </vt:variant>
      <vt:variant>
        <vt:lpwstr>mailto:brigid.calamis@fcc.gov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2011-06-22T19:18:00Z</cp:lastPrinted>
  <dcterms:created xsi:type="dcterms:W3CDTF">2014-06-09T21:40:00Z</dcterms:created>
  <dcterms:modified xsi:type="dcterms:W3CDTF">2014-06-09T21:40:00Z</dcterms:modified>
  <cp:category> </cp:category>
  <cp:contentStatus> </cp:contentStatus>
</cp:coreProperties>
</file>