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13" w:rsidRDefault="00AD1E13">
      <w:pPr>
        <w:pStyle w:val="Header"/>
        <w:tabs>
          <w:tab w:val="clear" w:pos="4320"/>
          <w:tab w:val="clear" w:pos="8640"/>
        </w:tabs>
        <w:sectPr w:rsidR="00AD1E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D1E13" w:rsidRDefault="00BD0751">
      <w:pPr>
        <w:jc w:val="right"/>
        <w:outlineLvl w:val="0"/>
        <w:rPr>
          <w:b/>
          <w:sz w:val="24"/>
        </w:rPr>
      </w:pPr>
      <w:r>
        <w:rPr>
          <w:b/>
          <w:sz w:val="24"/>
        </w:rPr>
        <w:lastRenderedPageBreak/>
        <w:t>DA 14-</w:t>
      </w:r>
      <w:r w:rsidR="008F23E7">
        <w:rPr>
          <w:b/>
          <w:sz w:val="24"/>
        </w:rPr>
        <w:t>835</w:t>
      </w:r>
    </w:p>
    <w:p w:rsidR="00AD1E13" w:rsidRDefault="009F7C9F">
      <w:pPr>
        <w:spacing w:before="60"/>
        <w:jc w:val="right"/>
        <w:outlineLvl w:val="0"/>
        <w:rPr>
          <w:b/>
          <w:sz w:val="24"/>
        </w:rPr>
      </w:pPr>
      <w:r>
        <w:rPr>
          <w:b/>
          <w:sz w:val="24"/>
        </w:rPr>
        <w:t>Released:  June 18</w:t>
      </w:r>
      <w:r w:rsidR="00AD1E13">
        <w:rPr>
          <w:b/>
          <w:sz w:val="24"/>
        </w:rPr>
        <w:t>, 2014</w:t>
      </w:r>
    </w:p>
    <w:p w:rsidR="00AD1E13" w:rsidRDefault="00AD1E13">
      <w:pPr>
        <w:jc w:val="center"/>
        <w:rPr>
          <w:sz w:val="24"/>
        </w:rPr>
      </w:pPr>
    </w:p>
    <w:p w:rsidR="00AD1E13" w:rsidRDefault="00AD1E13">
      <w:pPr>
        <w:tabs>
          <w:tab w:val="center" w:pos="4680"/>
        </w:tabs>
        <w:jc w:val="center"/>
        <w:rPr>
          <w:b/>
          <w:sz w:val="24"/>
          <w:szCs w:val="24"/>
        </w:rPr>
      </w:pPr>
      <w:r>
        <w:rPr>
          <w:b/>
          <w:sz w:val="24"/>
          <w:szCs w:val="24"/>
        </w:rPr>
        <w:t xml:space="preserve">Media Bureau Announces the Effective Date of the </w:t>
      </w:r>
    </w:p>
    <w:p w:rsidR="00AD1E13" w:rsidRPr="00AD1E13" w:rsidRDefault="00AD1E13">
      <w:pPr>
        <w:tabs>
          <w:tab w:val="center" w:pos="4680"/>
        </w:tabs>
        <w:jc w:val="center"/>
        <w:rPr>
          <w:spacing w:val="-2"/>
        </w:rPr>
      </w:pPr>
      <w:r>
        <w:rPr>
          <w:b/>
          <w:sz w:val="24"/>
          <w:szCs w:val="24"/>
        </w:rPr>
        <w:t>Television Joint Sales Agreement Attribution Rule</w:t>
      </w:r>
    </w:p>
    <w:p w:rsidR="00AD1E13" w:rsidRDefault="00AD1E13">
      <w:pPr>
        <w:rPr>
          <w:b/>
          <w:sz w:val="24"/>
          <w:szCs w:val="24"/>
        </w:rPr>
      </w:pPr>
    </w:p>
    <w:p w:rsidR="005C2D69" w:rsidRPr="00F16531" w:rsidRDefault="00AD1E13">
      <w:pPr>
        <w:ind w:firstLine="720"/>
      </w:pPr>
      <w:r>
        <w:t>On April 15, 2014, the Commission released a Report and Order in</w:t>
      </w:r>
      <w:r>
        <w:rPr>
          <w:i/>
        </w:rPr>
        <w:t xml:space="preserve"> </w:t>
      </w:r>
      <w:r>
        <w:t>the</w:t>
      </w:r>
      <w:r>
        <w:rPr>
          <w:i/>
        </w:rPr>
        <w:t xml:space="preserve"> </w:t>
      </w:r>
      <w:r>
        <w:rPr>
          <w:i/>
          <w:spacing w:val="-2"/>
          <w:szCs w:val="22"/>
        </w:rPr>
        <w:t>2014 Quadrennial Regulatory Review – Review of the Commission’s Broadcast Ownership Rules and Other Rules Adopted Pursuant to Section 202 of the Telecommunications Act of 1996</w:t>
      </w:r>
      <w:r>
        <w:t>.</w:t>
      </w:r>
      <w:r>
        <w:rPr>
          <w:rStyle w:val="FootnoteReference"/>
        </w:rPr>
        <w:footnoteReference w:id="1"/>
      </w:r>
      <w:r>
        <w:t xml:space="preserve">  In the </w:t>
      </w:r>
      <w:r w:rsidR="005C2D69">
        <w:rPr>
          <w:i/>
          <w:szCs w:val="22"/>
        </w:rPr>
        <w:t>Report and Order</w:t>
      </w:r>
      <w:r>
        <w:t xml:space="preserve">, the Commission </w:t>
      </w:r>
      <w:r w:rsidR="005C2D69">
        <w:t xml:space="preserve">adopted an attribution rule for television joint sales agreements (“JSAs”), </w:t>
      </w:r>
      <w:r w:rsidR="00EB1A87">
        <w:t>establish</w:t>
      </w:r>
      <w:r w:rsidR="005C2D69">
        <w:t>ing that same-market television JSAs for more than 15 percent of the weekly advertising</w:t>
      </w:r>
      <w:r w:rsidR="00BD0751">
        <w:t xml:space="preserve"> time for the brokered station </w:t>
      </w:r>
      <w:r w:rsidR="00EB1A87">
        <w:t>are to</w:t>
      </w:r>
      <w:r w:rsidR="005C2D69">
        <w:t xml:space="preserve"> be counted toward the brokering station’s ownership totals, just as the Commission has long done with respect to radio stations.  To avoid disruption of current business arrangements, the </w:t>
      </w:r>
      <w:r w:rsidR="005C2D69">
        <w:rPr>
          <w:i/>
        </w:rPr>
        <w:t>Report and Order</w:t>
      </w:r>
      <w:r w:rsidR="005C2D69">
        <w:t xml:space="preserve"> provided a two-year compliance period</w:t>
      </w:r>
      <w:r w:rsidR="00F16531">
        <w:t xml:space="preserve"> </w:t>
      </w:r>
      <w:r w:rsidR="005C2D69">
        <w:t>—</w:t>
      </w:r>
      <w:r w:rsidR="00F16531">
        <w:t xml:space="preserve"> </w:t>
      </w:r>
      <w:r w:rsidR="005C2D69">
        <w:t xml:space="preserve">from the effective date of the </w:t>
      </w:r>
      <w:r w:rsidR="005C2D69">
        <w:rPr>
          <w:i/>
        </w:rPr>
        <w:t>Report and Order</w:t>
      </w:r>
      <w:r w:rsidR="00F16531">
        <w:rPr>
          <w:i/>
        </w:rPr>
        <w:t xml:space="preserve"> </w:t>
      </w:r>
      <w:r w:rsidR="005C2D69">
        <w:t>—</w:t>
      </w:r>
      <w:r w:rsidR="00F16531">
        <w:t xml:space="preserve"> </w:t>
      </w:r>
      <w:r w:rsidR="005C2D69">
        <w:t>for parties to same-market JSAs</w:t>
      </w:r>
      <w:r w:rsidR="00F6260A">
        <w:t xml:space="preserve"> in existence as of the release date</w:t>
      </w:r>
      <w:r w:rsidR="005C2D69">
        <w:t xml:space="preserve"> whose attribution results in a violation of the broadcast ownership limits to come into compliance with the broadcast ownership rules.</w:t>
      </w:r>
      <w:r w:rsidR="00F16531">
        <w:t xml:space="preserve">  The effective date of the </w:t>
      </w:r>
      <w:r w:rsidR="00F16531">
        <w:rPr>
          <w:i/>
        </w:rPr>
        <w:t>Report and Order</w:t>
      </w:r>
      <w:r w:rsidR="00F16531">
        <w:t xml:space="preserve"> is 30 days after publication of the text or summary thereof in the Federal Register.</w:t>
      </w:r>
      <w:r w:rsidR="00F16531">
        <w:rPr>
          <w:rStyle w:val="FootnoteReference"/>
        </w:rPr>
        <w:footnoteReference w:id="2"/>
      </w:r>
    </w:p>
    <w:p w:rsidR="005C2D69" w:rsidRPr="00F16531" w:rsidRDefault="005C2D69">
      <w:pPr>
        <w:ind w:firstLine="720"/>
        <w:rPr>
          <w:szCs w:val="22"/>
        </w:rPr>
      </w:pPr>
      <w:r>
        <w:t xml:space="preserve">   </w:t>
      </w:r>
      <w:r w:rsidR="00AD1E13">
        <w:t xml:space="preserve"> </w:t>
      </w:r>
    </w:p>
    <w:p w:rsidR="00F16531" w:rsidRDefault="00AD1E13">
      <w:r w:rsidRPr="00F16531">
        <w:rPr>
          <w:szCs w:val="22"/>
        </w:rPr>
        <w:tab/>
        <w:t xml:space="preserve">By this </w:t>
      </w:r>
      <w:r w:rsidRPr="00F16531">
        <w:rPr>
          <w:i/>
          <w:szCs w:val="22"/>
        </w:rPr>
        <w:t>Public Notice</w:t>
      </w:r>
      <w:r w:rsidRPr="00F16531">
        <w:rPr>
          <w:szCs w:val="22"/>
        </w:rPr>
        <w:t xml:space="preserve">, the Media Bureau announces that the </w:t>
      </w:r>
      <w:r w:rsidR="00F16531" w:rsidRPr="00F16531">
        <w:rPr>
          <w:i/>
          <w:szCs w:val="22"/>
        </w:rPr>
        <w:t>Report and Order</w:t>
      </w:r>
      <w:r w:rsidRPr="00F16531">
        <w:rPr>
          <w:szCs w:val="22"/>
        </w:rPr>
        <w:t xml:space="preserve"> was published in the Federal Register on May 20, 2014.</w:t>
      </w:r>
      <w:r w:rsidRPr="00F16531">
        <w:rPr>
          <w:rStyle w:val="FootnoteReference"/>
          <w:szCs w:val="22"/>
        </w:rPr>
        <w:footnoteReference w:id="3"/>
      </w:r>
      <w:r w:rsidRPr="00F16531">
        <w:rPr>
          <w:szCs w:val="22"/>
        </w:rPr>
        <w:t xml:space="preserve">  </w:t>
      </w:r>
      <w:r w:rsidR="00F16531" w:rsidRPr="00F16531">
        <w:rPr>
          <w:szCs w:val="22"/>
        </w:rPr>
        <w:t xml:space="preserve">Accordingly, the effective date of the </w:t>
      </w:r>
      <w:r w:rsidR="00EE70A2">
        <w:rPr>
          <w:szCs w:val="22"/>
        </w:rPr>
        <w:t xml:space="preserve">television JSA </w:t>
      </w:r>
      <w:r w:rsidR="00F16531" w:rsidRPr="00F16531">
        <w:rPr>
          <w:szCs w:val="22"/>
        </w:rPr>
        <w:t>attribution rule is June 19, 2014</w:t>
      </w:r>
      <w:r w:rsidR="002A456F">
        <w:rPr>
          <w:szCs w:val="22"/>
        </w:rPr>
        <w:t>,</w:t>
      </w:r>
      <w:r w:rsidR="00F16531">
        <w:rPr>
          <w:szCs w:val="22"/>
        </w:rPr>
        <w:t xml:space="preserve"> and the two-year compliance period will end on June 19, 2016</w:t>
      </w:r>
      <w:r w:rsidR="00F16531">
        <w:rPr>
          <w:sz w:val="20"/>
        </w:rPr>
        <w:t>.</w:t>
      </w:r>
    </w:p>
    <w:p w:rsidR="00AD1E13" w:rsidRDefault="00F16531">
      <w:r>
        <w:t xml:space="preserve"> </w:t>
      </w:r>
    </w:p>
    <w:p w:rsidR="00AD1E13" w:rsidRDefault="00AD1E13" w:rsidP="007A62CC">
      <w:pPr>
        <w:ind w:firstLine="720"/>
      </w:pPr>
      <w:r>
        <w:t xml:space="preserve">For additional information on this proceeding, contact Hillary DeNigro, </w:t>
      </w:r>
      <w:hyperlink r:id="rId14" w:history="1">
        <w:r>
          <w:rPr>
            <w:rStyle w:val="Hyperlink"/>
          </w:rPr>
          <w:t>Hillary.DeNigro@fcc.gov</w:t>
        </w:r>
      </w:hyperlink>
      <w:r>
        <w:t xml:space="preserve">, or Benjamin Arden, </w:t>
      </w:r>
      <w:hyperlink r:id="rId15" w:history="1">
        <w:r>
          <w:rPr>
            <w:rStyle w:val="Hyperlink"/>
          </w:rPr>
          <w:t>Benjamin.Arden@fcc.gov</w:t>
        </w:r>
      </w:hyperlink>
      <w:r>
        <w:t xml:space="preserve">, of the Industry Analysis Division, Media Bureau, at (202) 418-2330.  Press inquiries should be directed to </w:t>
      </w:r>
      <w:bookmarkStart w:id="2" w:name="SR;1105"/>
      <w:bookmarkEnd w:id="2"/>
      <w:r w:rsidR="003331D9">
        <w:rPr>
          <w:rStyle w:val="searchterm"/>
        </w:rPr>
        <w:t>Margo Domon-Davenport</w:t>
      </w:r>
      <w:r w:rsidR="003331D9">
        <w:t>, (202) 418-2949</w:t>
      </w:r>
      <w:r>
        <w:t>. TTY: (202) 418-7172 or (888) 835-5322.</w:t>
      </w:r>
    </w:p>
    <w:p w:rsidR="00AD1E13" w:rsidRDefault="00AD1E13">
      <w:pPr>
        <w:jc w:val="center"/>
        <w:rPr>
          <w:sz w:val="24"/>
        </w:rPr>
      </w:pPr>
      <w:r>
        <w:t>--FCC--</w:t>
      </w:r>
    </w:p>
    <w:sectPr w:rsidR="00AD1E13">
      <w:headerReference w:type="first" r:id="rId16"/>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93" w:rsidRDefault="00B80593">
      <w:r>
        <w:separator/>
      </w:r>
    </w:p>
  </w:endnote>
  <w:endnote w:type="continuationSeparator" w:id="0">
    <w:p w:rsidR="00B80593" w:rsidRDefault="00B8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5" w:rsidRDefault="00EB6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5" w:rsidRDefault="00EB6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5" w:rsidRDefault="00EB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93" w:rsidRDefault="00B80593">
      <w:r>
        <w:separator/>
      </w:r>
    </w:p>
  </w:footnote>
  <w:footnote w:type="continuationSeparator" w:id="0">
    <w:p w:rsidR="00B80593" w:rsidRDefault="00B80593">
      <w:r>
        <w:continuationSeparator/>
      </w:r>
    </w:p>
  </w:footnote>
  <w:footnote w:id="1">
    <w:p w:rsidR="00F16531" w:rsidRPr="00EA4F15" w:rsidRDefault="00F16531">
      <w:pPr>
        <w:pStyle w:val="FootnoteText"/>
        <w:spacing w:after="120"/>
        <w:rPr>
          <w:sz w:val="20"/>
        </w:rPr>
      </w:pPr>
      <w:r w:rsidRPr="00EA4F15">
        <w:rPr>
          <w:rStyle w:val="FootnoteReference"/>
          <w:sz w:val="20"/>
        </w:rPr>
        <w:footnoteRef/>
      </w:r>
      <w:r w:rsidRPr="00EA4F15">
        <w:rPr>
          <w:sz w:val="20"/>
        </w:rPr>
        <w:t xml:space="preserve"> Further Notice of Proposed Rule Making and Report and Order, MB Docket No. 14-50, FCC 14-28 (rel. Apr. 15, 2014) (“</w:t>
      </w:r>
      <w:r w:rsidRPr="00EA4F15">
        <w:rPr>
          <w:i/>
          <w:sz w:val="20"/>
        </w:rPr>
        <w:t>Report and Order</w:t>
      </w:r>
      <w:r w:rsidRPr="00EA4F15">
        <w:rPr>
          <w:sz w:val="20"/>
        </w:rPr>
        <w:t>”).</w:t>
      </w:r>
    </w:p>
  </w:footnote>
  <w:footnote w:id="2">
    <w:p w:rsidR="00F16531" w:rsidRPr="00EA4F15" w:rsidRDefault="00F16531">
      <w:pPr>
        <w:pStyle w:val="FootnoteText"/>
        <w:rPr>
          <w:sz w:val="20"/>
        </w:rPr>
      </w:pPr>
      <w:r w:rsidRPr="00EA4F15">
        <w:rPr>
          <w:rStyle w:val="FootnoteReference"/>
          <w:sz w:val="20"/>
        </w:rPr>
        <w:footnoteRef/>
      </w:r>
      <w:r w:rsidRPr="00EA4F15">
        <w:rPr>
          <w:sz w:val="20"/>
        </w:rPr>
        <w:t xml:space="preserve"> Form changes and filing requirements</w:t>
      </w:r>
      <w:r w:rsidR="002A456F" w:rsidRPr="00EA4F15">
        <w:rPr>
          <w:sz w:val="20"/>
        </w:rPr>
        <w:t xml:space="preserve"> that require approval by the Office of Management and Budget (“OMB”) will become effective on the effective date announced in the Federal Register notice announcing OMB approval.</w:t>
      </w:r>
    </w:p>
  </w:footnote>
  <w:footnote w:id="3">
    <w:p w:rsidR="00F16531" w:rsidRPr="00EA4F15" w:rsidRDefault="00F16531">
      <w:pPr>
        <w:pStyle w:val="FootnoteText"/>
        <w:spacing w:after="120"/>
        <w:rPr>
          <w:sz w:val="20"/>
        </w:rPr>
      </w:pPr>
      <w:r w:rsidRPr="00EA4F15">
        <w:rPr>
          <w:rStyle w:val="FootnoteReference"/>
          <w:sz w:val="20"/>
        </w:rPr>
        <w:footnoteRef/>
      </w:r>
      <w:r w:rsidRPr="00EA4F15">
        <w:rPr>
          <w:i/>
          <w:sz w:val="20"/>
        </w:rPr>
        <w:t xml:space="preserve"> 2014 Quadrennial Regulatory Review</w:t>
      </w:r>
      <w:r w:rsidRPr="00EA4F15">
        <w:rPr>
          <w:sz w:val="20"/>
        </w:rPr>
        <w:t xml:space="preserve">, 79 Fed. Reg. 28995 (May 20,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5" w:rsidRDefault="00EB6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5" w:rsidRDefault="00EB6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F16531" w:rsidRDefault="00F1653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B"/>
    <w:rsid w:val="000B1836"/>
    <w:rsid w:val="00255171"/>
    <w:rsid w:val="002A456F"/>
    <w:rsid w:val="003116E0"/>
    <w:rsid w:val="003331D9"/>
    <w:rsid w:val="003A6A55"/>
    <w:rsid w:val="005872B3"/>
    <w:rsid w:val="005C2D69"/>
    <w:rsid w:val="0061694E"/>
    <w:rsid w:val="0064458F"/>
    <w:rsid w:val="007A62CC"/>
    <w:rsid w:val="007C022D"/>
    <w:rsid w:val="008F23E7"/>
    <w:rsid w:val="00917580"/>
    <w:rsid w:val="00947BE5"/>
    <w:rsid w:val="009F7C9F"/>
    <w:rsid w:val="00A36FCC"/>
    <w:rsid w:val="00AD1E13"/>
    <w:rsid w:val="00AD469C"/>
    <w:rsid w:val="00B63B0B"/>
    <w:rsid w:val="00B748A2"/>
    <w:rsid w:val="00B80593"/>
    <w:rsid w:val="00BD0751"/>
    <w:rsid w:val="00C71A49"/>
    <w:rsid w:val="00C73F31"/>
    <w:rsid w:val="00CE7B43"/>
    <w:rsid w:val="00DA2174"/>
    <w:rsid w:val="00EA4F15"/>
    <w:rsid w:val="00EB1A87"/>
    <w:rsid w:val="00EB68F5"/>
    <w:rsid w:val="00EE70A2"/>
    <w:rsid w:val="00F16531"/>
    <w:rsid w:val="00F6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njamin.Arde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llary.DeNigro@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286</Words>
  <Characters>1583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1875</CharactersWithSpaces>
  <SharedDoc>false</SharedDoc>
  <HyperlinkBase> </HyperlinkBase>
  <HLinks>
    <vt:vector size="24" baseType="variant">
      <vt:variant>
        <vt:i4>3997775</vt:i4>
      </vt:variant>
      <vt:variant>
        <vt:i4>3</vt:i4>
      </vt:variant>
      <vt:variant>
        <vt:i4>0</vt:i4>
      </vt:variant>
      <vt:variant>
        <vt:i4>5</vt:i4>
      </vt:variant>
      <vt:variant>
        <vt:lpwstr>mailto:Benjamin.Arden@fcc.gov</vt:lpwstr>
      </vt:variant>
      <vt:variant>
        <vt:lpwstr/>
      </vt:variant>
      <vt:variant>
        <vt:i4>6815759</vt:i4>
      </vt:variant>
      <vt:variant>
        <vt:i4>0</vt:i4>
      </vt:variant>
      <vt:variant>
        <vt:i4>0</vt:i4>
      </vt:variant>
      <vt:variant>
        <vt:i4>5</vt:i4>
      </vt:variant>
      <vt:variant>
        <vt:lpwstr>mailto:Hillary.DeNigro@fcc.gov</vt:lpwstr>
      </vt:variant>
      <vt:variant>
        <vt:lpwstr/>
      </vt:variant>
      <vt:variant>
        <vt:i4>5898365</vt:i4>
      </vt:variant>
      <vt:variant>
        <vt:i4>3</vt:i4>
      </vt:variant>
      <vt:variant>
        <vt:i4>0</vt:i4>
      </vt:variant>
      <vt:variant>
        <vt:i4>5</vt:i4>
      </vt:variant>
      <vt:variant>
        <vt:lpwstr>http://hraunfoss.fcc.gov/edocs_public/attachmatch/FCC-14-28A1.pdf</vt:lpwstr>
      </vt:variant>
      <vt:variant>
        <vt:lpwstr/>
      </vt:variant>
      <vt:variant>
        <vt:i4>5308521</vt:i4>
      </vt:variant>
      <vt:variant>
        <vt:i4>0</vt:i4>
      </vt:variant>
      <vt:variant>
        <vt:i4>0</vt:i4>
      </vt:variant>
      <vt:variant>
        <vt:i4>5</vt:i4>
      </vt:variant>
      <vt:variant>
        <vt:lpwstr>http://hraunfoss.fcc.gov/edocs_public/attachmatch/FCC-14-28A1.doc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2011-03-16T13:28:00Z</cp:lastPrinted>
  <dcterms:created xsi:type="dcterms:W3CDTF">2014-06-18T13:26:00Z</dcterms:created>
  <dcterms:modified xsi:type="dcterms:W3CDTF">2014-06-18T13:26:00Z</dcterms:modified>
  <cp:category> </cp:category>
  <cp:contentStatus> </cp:contentStatus>
</cp:coreProperties>
</file>