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D870EB">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D870EB">
      <w:pPr>
        <w:pStyle w:val="StyleBoldCentered"/>
        <w:widowControl/>
      </w:pPr>
      <w:r>
        <w:t>F</w:t>
      </w:r>
      <w:r>
        <w:rPr>
          <w:caps w:val="0"/>
        </w:rPr>
        <w:t>ederal Communications Commission</w:t>
      </w:r>
    </w:p>
    <w:p w:rsidR="004C2EE3" w:rsidRDefault="004C2EE3" w:rsidP="00D870EB">
      <w:pPr>
        <w:pStyle w:val="StyleBoldCentered"/>
        <w:widowControl/>
      </w:pPr>
      <w:r>
        <w:t>W</w:t>
      </w:r>
      <w:r w:rsidR="00B329E2">
        <w:rPr>
          <w:caps w:val="0"/>
        </w:rPr>
        <w:t>ashington</w:t>
      </w:r>
      <w:r>
        <w:t>, D.C. 20554</w:t>
      </w:r>
    </w:p>
    <w:p w:rsidR="004C2EE3" w:rsidRDefault="004C2EE3" w:rsidP="00D870EB">
      <w:pPr>
        <w:widowControl/>
      </w:pPr>
    </w:p>
    <w:p w:rsidR="004C2EE3" w:rsidRDefault="004C2EE3" w:rsidP="00D870EB">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D870EB">
            <w:pPr>
              <w:widowControl/>
              <w:tabs>
                <w:tab w:val="center" w:pos="4680"/>
              </w:tabs>
              <w:suppressAutoHyphens/>
              <w:rPr>
                <w:spacing w:val="-2"/>
              </w:rPr>
            </w:pPr>
            <w:r>
              <w:rPr>
                <w:spacing w:val="-2"/>
              </w:rPr>
              <w:t>In the Matter of</w:t>
            </w:r>
          </w:p>
          <w:p w:rsidR="004C2EE3" w:rsidRDefault="004C2EE3" w:rsidP="00D870EB">
            <w:pPr>
              <w:widowControl/>
              <w:tabs>
                <w:tab w:val="center" w:pos="4680"/>
              </w:tabs>
              <w:suppressAutoHyphens/>
              <w:rPr>
                <w:spacing w:val="-2"/>
              </w:rPr>
            </w:pPr>
          </w:p>
          <w:p w:rsidR="002917D2" w:rsidRDefault="002917D2" w:rsidP="00D870EB">
            <w:pPr>
              <w:widowControl/>
              <w:tabs>
                <w:tab w:val="center" w:pos="4680"/>
              </w:tabs>
              <w:suppressAutoHyphens/>
              <w:rPr>
                <w:spacing w:val="-2"/>
              </w:rPr>
            </w:pPr>
            <w:r>
              <w:rPr>
                <w:spacing w:val="-2"/>
              </w:rPr>
              <w:t>Local Number Portability Porting Interval and Validation Requirements</w:t>
            </w:r>
          </w:p>
          <w:p w:rsidR="002917D2" w:rsidRDefault="002917D2" w:rsidP="00D870EB">
            <w:pPr>
              <w:widowControl/>
              <w:tabs>
                <w:tab w:val="center" w:pos="4680"/>
              </w:tabs>
              <w:suppressAutoHyphens/>
              <w:rPr>
                <w:spacing w:val="-2"/>
              </w:rPr>
            </w:pPr>
          </w:p>
          <w:p w:rsidR="004C2EE3" w:rsidRDefault="002917D2" w:rsidP="00D870EB">
            <w:pPr>
              <w:widowControl/>
              <w:tabs>
                <w:tab w:val="center" w:pos="4680"/>
              </w:tabs>
              <w:suppressAutoHyphens/>
              <w:rPr>
                <w:spacing w:val="-2"/>
              </w:rPr>
            </w:pPr>
            <w:r>
              <w:rPr>
                <w:spacing w:val="-2"/>
              </w:rPr>
              <w:t>Telephone Number Portability</w:t>
            </w:r>
          </w:p>
          <w:p w:rsidR="002442C8" w:rsidRDefault="002442C8" w:rsidP="00D870EB">
            <w:pPr>
              <w:widowControl/>
              <w:tabs>
                <w:tab w:val="center" w:pos="4680"/>
              </w:tabs>
              <w:suppressAutoHyphens/>
              <w:rPr>
                <w:spacing w:val="-2"/>
              </w:rPr>
            </w:pPr>
          </w:p>
          <w:p w:rsidR="002442C8" w:rsidRPr="002442C8" w:rsidRDefault="002442C8" w:rsidP="00D870EB">
            <w:pPr>
              <w:widowControl/>
            </w:pPr>
            <w:r w:rsidRPr="002442C8">
              <w:t>Numbering Resource Optimization</w:t>
            </w:r>
          </w:p>
          <w:p w:rsidR="002442C8" w:rsidRPr="007115F7" w:rsidRDefault="002442C8" w:rsidP="00D870EB">
            <w:pPr>
              <w:widowControl/>
              <w:rPr>
                <w:spacing w:val="-2"/>
              </w:rPr>
            </w:pPr>
          </w:p>
        </w:tc>
        <w:tc>
          <w:tcPr>
            <w:tcW w:w="630" w:type="dxa"/>
          </w:tcPr>
          <w:p w:rsidR="004C2EE3" w:rsidRDefault="004C2EE3" w:rsidP="00D870EB">
            <w:pPr>
              <w:widowControl/>
              <w:tabs>
                <w:tab w:val="center" w:pos="4680"/>
              </w:tabs>
              <w:suppressAutoHyphens/>
              <w:rPr>
                <w:b/>
                <w:spacing w:val="-2"/>
              </w:rPr>
            </w:pPr>
            <w:r>
              <w:rPr>
                <w:b/>
                <w:spacing w:val="-2"/>
              </w:rPr>
              <w:t>)</w:t>
            </w:r>
          </w:p>
          <w:p w:rsidR="004C2EE3" w:rsidRDefault="004C2EE3" w:rsidP="00D870EB">
            <w:pPr>
              <w:widowControl/>
              <w:tabs>
                <w:tab w:val="center" w:pos="4680"/>
              </w:tabs>
              <w:suppressAutoHyphens/>
              <w:rPr>
                <w:b/>
                <w:spacing w:val="-2"/>
              </w:rPr>
            </w:pPr>
            <w:r>
              <w:rPr>
                <w:b/>
                <w:spacing w:val="-2"/>
              </w:rPr>
              <w:t>)</w:t>
            </w:r>
          </w:p>
          <w:p w:rsidR="004C2EE3" w:rsidRDefault="004C2EE3" w:rsidP="00D870EB">
            <w:pPr>
              <w:widowControl/>
              <w:tabs>
                <w:tab w:val="center" w:pos="4680"/>
              </w:tabs>
              <w:suppressAutoHyphens/>
              <w:rPr>
                <w:b/>
                <w:spacing w:val="-2"/>
              </w:rPr>
            </w:pPr>
            <w:r>
              <w:rPr>
                <w:b/>
                <w:spacing w:val="-2"/>
              </w:rPr>
              <w:t>)</w:t>
            </w:r>
          </w:p>
          <w:p w:rsidR="004C2EE3" w:rsidRDefault="004C2EE3" w:rsidP="00D870EB">
            <w:pPr>
              <w:widowControl/>
              <w:tabs>
                <w:tab w:val="center" w:pos="4680"/>
              </w:tabs>
              <w:suppressAutoHyphens/>
              <w:rPr>
                <w:b/>
                <w:spacing w:val="-2"/>
              </w:rPr>
            </w:pPr>
            <w:r>
              <w:rPr>
                <w:b/>
                <w:spacing w:val="-2"/>
              </w:rPr>
              <w:t>)</w:t>
            </w:r>
          </w:p>
          <w:p w:rsidR="004C2EE3" w:rsidRDefault="004C2EE3" w:rsidP="00D870EB">
            <w:pPr>
              <w:widowControl/>
              <w:tabs>
                <w:tab w:val="center" w:pos="4680"/>
              </w:tabs>
              <w:suppressAutoHyphens/>
              <w:rPr>
                <w:b/>
                <w:spacing w:val="-2"/>
              </w:rPr>
            </w:pPr>
            <w:r>
              <w:rPr>
                <w:b/>
                <w:spacing w:val="-2"/>
              </w:rPr>
              <w:t>)</w:t>
            </w:r>
          </w:p>
          <w:p w:rsidR="004C2EE3" w:rsidRDefault="004C2EE3" w:rsidP="00D870EB">
            <w:pPr>
              <w:widowControl/>
              <w:tabs>
                <w:tab w:val="center" w:pos="4680"/>
              </w:tabs>
              <w:suppressAutoHyphens/>
              <w:rPr>
                <w:b/>
                <w:spacing w:val="-2"/>
              </w:rPr>
            </w:pPr>
            <w:r>
              <w:rPr>
                <w:b/>
                <w:spacing w:val="-2"/>
              </w:rPr>
              <w:t>)</w:t>
            </w:r>
          </w:p>
          <w:p w:rsidR="002442C8" w:rsidRDefault="002442C8" w:rsidP="00D870EB">
            <w:pPr>
              <w:widowControl/>
              <w:tabs>
                <w:tab w:val="center" w:pos="4680"/>
              </w:tabs>
              <w:suppressAutoHyphens/>
              <w:rPr>
                <w:b/>
                <w:spacing w:val="-2"/>
              </w:rPr>
            </w:pPr>
            <w:r>
              <w:rPr>
                <w:b/>
                <w:spacing w:val="-2"/>
              </w:rPr>
              <w:t>)</w:t>
            </w:r>
          </w:p>
          <w:p w:rsidR="002442C8" w:rsidRDefault="002442C8" w:rsidP="00D870EB">
            <w:pPr>
              <w:widowControl/>
              <w:tabs>
                <w:tab w:val="center" w:pos="4680"/>
              </w:tabs>
              <w:suppressAutoHyphens/>
              <w:rPr>
                <w:b/>
                <w:spacing w:val="-2"/>
              </w:rPr>
            </w:pPr>
            <w:r>
              <w:rPr>
                <w:b/>
                <w:spacing w:val="-2"/>
              </w:rPr>
              <w:t>)</w:t>
            </w:r>
          </w:p>
          <w:p w:rsidR="002442C8" w:rsidRPr="002917D2" w:rsidRDefault="002442C8" w:rsidP="00D870EB">
            <w:pPr>
              <w:widowControl/>
              <w:tabs>
                <w:tab w:val="center" w:pos="4680"/>
              </w:tabs>
              <w:suppressAutoHyphens/>
              <w:rPr>
                <w:b/>
                <w:spacing w:val="-2"/>
              </w:rPr>
            </w:pPr>
            <w:r>
              <w:rPr>
                <w:b/>
                <w:spacing w:val="-2"/>
              </w:rPr>
              <w:t>)</w:t>
            </w:r>
          </w:p>
        </w:tc>
        <w:tc>
          <w:tcPr>
            <w:tcW w:w="4248" w:type="dxa"/>
          </w:tcPr>
          <w:p w:rsidR="004C2EE3" w:rsidRDefault="004C2EE3" w:rsidP="00D870EB">
            <w:pPr>
              <w:widowControl/>
              <w:tabs>
                <w:tab w:val="center" w:pos="4680"/>
              </w:tabs>
              <w:suppressAutoHyphens/>
              <w:rPr>
                <w:spacing w:val="-2"/>
              </w:rPr>
            </w:pPr>
          </w:p>
          <w:p w:rsidR="004C2EE3" w:rsidRDefault="004C2EE3" w:rsidP="00D870EB">
            <w:pPr>
              <w:pStyle w:val="TOAHeading"/>
              <w:widowControl/>
              <w:tabs>
                <w:tab w:val="clear" w:pos="9360"/>
                <w:tab w:val="center" w:pos="4680"/>
              </w:tabs>
              <w:rPr>
                <w:spacing w:val="-2"/>
              </w:rPr>
            </w:pPr>
          </w:p>
          <w:p w:rsidR="002917D2" w:rsidRDefault="002917D2" w:rsidP="00D870EB">
            <w:pPr>
              <w:widowControl/>
              <w:tabs>
                <w:tab w:val="center" w:pos="4680"/>
              </w:tabs>
              <w:suppressAutoHyphens/>
              <w:rPr>
                <w:spacing w:val="-2"/>
              </w:rPr>
            </w:pPr>
            <w:r>
              <w:rPr>
                <w:spacing w:val="-2"/>
              </w:rPr>
              <w:t>WC Docket No. 07-244</w:t>
            </w:r>
          </w:p>
          <w:p w:rsidR="002917D2" w:rsidRDefault="002917D2" w:rsidP="00D870EB">
            <w:pPr>
              <w:widowControl/>
              <w:tabs>
                <w:tab w:val="center" w:pos="4680"/>
              </w:tabs>
              <w:suppressAutoHyphens/>
              <w:rPr>
                <w:spacing w:val="-2"/>
              </w:rPr>
            </w:pPr>
          </w:p>
          <w:p w:rsidR="002917D2" w:rsidRDefault="002917D2" w:rsidP="00D870EB">
            <w:pPr>
              <w:widowControl/>
              <w:tabs>
                <w:tab w:val="center" w:pos="4680"/>
              </w:tabs>
              <w:suppressAutoHyphens/>
              <w:rPr>
                <w:spacing w:val="-2"/>
              </w:rPr>
            </w:pPr>
          </w:p>
          <w:p w:rsidR="004C2EE3" w:rsidRDefault="002917D2" w:rsidP="00D870EB">
            <w:pPr>
              <w:widowControl/>
              <w:tabs>
                <w:tab w:val="center" w:pos="4680"/>
              </w:tabs>
              <w:suppressAutoHyphens/>
              <w:rPr>
                <w:spacing w:val="-2"/>
              </w:rPr>
            </w:pPr>
            <w:r>
              <w:rPr>
                <w:spacing w:val="-2"/>
              </w:rPr>
              <w:t>CC Docket No. 95-116</w:t>
            </w:r>
          </w:p>
          <w:p w:rsidR="002442C8" w:rsidRDefault="002442C8" w:rsidP="00D870EB">
            <w:pPr>
              <w:widowControl/>
              <w:tabs>
                <w:tab w:val="center" w:pos="4680"/>
              </w:tabs>
              <w:suppressAutoHyphens/>
              <w:rPr>
                <w:spacing w:val="-2"/>
              </w:rPr>
            </w:pPr>
          </w:p>
          <w:p w:rsidR="002442C8" w:rsidRDefault="002442C8" w:rsidP="00D870EB">
            <w:pPr>
              <w:widowControl/>
              <w:tabs>
                <w:tab w:val="center" w:pos="4680"/>
              </w:tabs>
              <w:suppressAutoHyphens/>
              <w:rPr>
                <w:spacing w:val="-2"/>
              </w:rPr>
            </w:pPr>
            <w:r>
              <w:rPr>
                <w:spacing w:val="-2"/>
              </w:rPr>
              <w:t>CC Docket No. 99-200</w:t>
            </w:r>
          </w:p>
        </w:tc>
      </w:tr>
    </w:tbl>
    <w:p w:rsidR="004C2EE3" w:rsidRDefault="004C2EE3" w:rsidP="00D870EB">
      <w:pPr>
        <w:widowControl/>
      </w:pPr>
    </w:p>
    <w:p w:rsidR="00B329E2" w:rsidRDefault="00B329E2" w:rsidP="00D870EB">
      <w:pPr>
        <w:widowControl/>
      </w:pPr>
    </w:p>
    <w:p w:rsidR="00841AB1" w:rsidRDefault="002917D2" w:rsidP="00D870EB">
      <w:pPr>
        <w:pStyle w:val="StyleBoldCentered"/>
        <w:widowControl/>
      </w:pPr>
      <w:r>
        <w:t>order</w:t>
      </w:r>
    </w:p>
    <w:p w:rsidR="004C2EE3" w:rsidRDefault="004C2EE3" w:rsidP="00D870EB">
      <w:pPr>
        <w:widowControl/>
        <w:tabs>
          <w:tab w:val="left" w:pos="-720"/>
        </w:tabs>
        <w:suppressAutoHyphens/>
        <w:spacing w:line="227" w:lineRule="auto"/>
        <w:rPr>
          <w:spacing w:val="-2"/>
        </w:rPr>
      </w:pPr>
    </w:p>
    <w:p w:rsidR="004C2EE3" w:rsidRDefault="004C2EE3" w:rsidP="00D870EB">
      <w:pPr>
        <w:widowControl/>
        <w:tabs>
          <w:tab w:val="left" w:pos="720"/>
          <w:tab w:val="left" w:pos="5760"/>
        </w:tabs>
        <w:suppressAutoHyphens/>
        <w:spacing w:line="227" w:lineRule="auto"/>
        <w:rPr>
          <w:spacing w:val="-2"/>
        </w:rPr>
      </w:pPr>
      <w:r>
        <w:rPr>
          <w:b/>
          <w:spacing w:val="-2"/>
        </w:rPr>
        <w:t xml:space="preserve">Adopted:  </w:t>
      </w:r>
      <w:r w:rsidR="00C9702B">
        <w:rPr>
          <w:b/>
          <w:spacing w:val="-2"/>
        </w:rPr>
        <w:t>June 20</w:t>
      </w:r>
      <w:r w:rsidR="0072597F">
        <w:rPr>
          <w:b/>
          <w:spacing w:val="-2"/>
        </w:rPr>
        <w:t>, 2014</w:t>
      </w:r>
      <w:r>
        <w:rPr>
          <w:b/>
          <w:spacing w:val="-2"/>
        </w:rPr>
        <w:tab/>
      </w:r>
      <w:r w:rsidR="00E6319B">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597F">
        <w:rPr>
          <w:b/>
          <w:spacing w:val="-2"/>
        </w:rPr>
        <w:t xml:space="preserve">June </w:t>
      </w:r>
      <w:r w:rsidR="00C9702B">
        <w:rPr>
          <w:b/>
          <w:spacing w:val="-2"/>
        </w:rPr>
        <w:t>20</w:t>
      </w:r>
      <w:r w:rsidR="0072597F">
        <w:rPr>
          <w:b/>
          <w:spacing w:val="-2"/>
        </w:rPr>
        <w:t>, 2014</w:t>
      </w:r>
    </w:p>
    <w:p w:rsidR="00822CE0" w:rsidRDefault="00822CE0" w:rsidP="00D870EB">
      <w:pPr>
        <w:widowControl/>
      </w:pPr>
    </w:p>
    <w:p w:rsidR="004C2EE3" w:rsidRDefault="004C2EE3" w:rsidP="00D870EB">
      <w:pPr>
        <w:widowControl/>
        <w:rPr>
          <w:spacing w:val="-2"/>
        </w:rPr>
      </w:pPr>
      <w:r>
        <w:t xml:space="preserve">By </w:t>
      </w:r>
      <w:r w:rsidR="004E4A22">
        <w:t>the</w:t>
      </w:r>
      <w:r w:rsidR="002A2D2E">
        <w:t xml:space="preserve"> </w:t>
      </w:r>
      <w:r w:rsidR="00B329E2">
        <w:t xml:space="preserve">Acting </w:t>
      </w:r>
      <w:r w:rsidR="002917D2">
        <w:rPr>
          <w:spacing w:val="-2"/>
        </w:rPr>
        <w:t>Chief, Wireline Competition Bureau</w:t>
      </w:r>
      <w:r>
        <w:rPr>
          <w:spacing w:val="-2"/>
        </w:rPr>
        <w:t>:</w:t>
      </w:r>
    </w:p>
    <w:p w:rsidR="00B85929" w:rsidRDefault="00B85929" w:rsidP="00D870EB">
      <w:pPr>
        <w:widowControl/>
        <w:rPr>
          <w:spacing w:val="-2"/>
        </w:rPr>
      </w:pPr>
    </w:p>
    <w:p w:rsidR="00412FC5" w:rsidRPr="00D870EB" w:rsidRDefault="00B85929" w:rsidP="00D870EB">
      <w:pPr>
        <w:pStyle w:val="Heading1"/>
      </w:pPr>
      <w:r w:rsidRPr="00D870EB">
        <w:t>Introduction</w:t>
      </w:r>
    </w:p>
    <w:p w:rsidR="002917D2" w:rsidRDefault="002917D2" w:rsidP="00D870EB">
      <w:pPr>
        <w:pStyle w:val="ParaNum"/>
        <w:widowControl/>
      </w:pPr>
      <w:r>
        <w:t>In this Order, we adopt</w:t>
      </w:r>
      <w:r w:rsidR="003E4B28">
        <w:t xml:space="preserve"> several recommendations of</w:t>
      </w:r>
      <w:r>
        <w:t> the North American Numbering Council (NANC)</w:t>
      </w:r>
      <w:r w:rsidR="00312C50">
        <w:rPr>
          <w:rStyle w:val="FootnoteReference"/>
        </w:rPr>
        <w:footnoteReference w:id="2"/>
      </w:r>
      <w:r w:rsidR="00312C50">
        <w:t xml:space="preserve"> </w:t>
      </w:r>
      <w:r w:rsidR="003E4B28">
        <w:t>pertaining to</w:t>
      </w:r>
      <w:r>
        <w:t xml:space="preserve"> local number portability (LNP)</w:t>
      </w:r>
      <w:r w:rsidR="0043520A">
        <w:t>.</w:t>
      </w:r>
      <w:r w:rsidR="00106F81">
        <w:rPr>
          <w:rStyle w:val="FootnoteReference"/>
        </w:rPr>
        <w:footnoteReference w:id="3"/>
      </w:r>
      <w:r w:rsidR="003E4B28">
        <w:t xml:space="preserve">  These recommendations all involve </w:t>
      </w:r>
      <w:r w:rsidR="00312C50">
        <w:t xml:space="preserve">changes to the </w:t>
      </w:r>
      <w:r w:rsidR="00DB06D5">
        <w:t xml:space="preserve">LNP </w:t>
      </w:r>
      <w:r w:rsidR="003E4B28">
        <w:t>“</w:t>
      </w:r>
      <w:r w:rsidRPr="00345CFB">
        <w:t>provisioning flows</w:t>
      </w:r>
      <w:r w:rsidR="00106F81">
        <w:t>”</w:t>
      </w:r>
      <w:r w:rsidR="00666519">
        <w:t xml:space="preserve"> </w:t>
      </w:r>
      <w:r w:rsidR="000454FB">
        <w:t xml:space="preserve">and </w:t>
      </w:r>
      <w:r w:rsidR="00312C50">
        <w:t xml:space="preserve">are intended to improve the </w:t>
      </w:r>
      <w:r w:rsidR="007649A6">
        <w:t xml:space="preserve">telephone </w:t>
      </w:r>
      <w:r w:rsidR="00312C50">
        <w:t>number porting process.</w:t>
      </w:r>
      <w:r w:rsidR="00106F81">
        <w:rPr>
          <w:rStyle w:val="FootnoteReference"/>
        </w:rPr>
        <w:footnoteReference w:id="4"/>
      </w:r>
      <w:r w:rsidR="00B73F44">
        <w:t xml:space="preserve"> </w:t>
      </w:r>
      <w:r w:rsidR="000F7417">
        <w:t xml:space="preserve"> </w:t>
      </w:r>
      <w:r w:rsidR="00B73F44">
        <w:t>These improv</w:t>
      </w:r>
      <w:r w:rsidR="00DB06D5">
        <w:t>e</w:t>
      </w:r>
      <w:r w:rsidR="00B73F44">
        <w:t>ments include revising</w:t>
      </w:r>
      <w:r w:rsidR="00666519">
        <w:t xml:space="preserve"> </w:t>
      </w:r>
      <w:r w:rsidR="000311F9">
        <w:t xml:space="preserve">existing </w:t>
      </w:r>
      <w:r w:rsidR="00666519">
        <w:t>process</w:t>
      </w:r>
      <w:r w:rsidR="008C75F7">
        <w:t>es</w:t>
      </w:r>
      <w:r w:rsidR="00666519">
        <w:t xml:space="preserve"> for cancelling </w:t>
      </w:r>
      <w:r w:rsidR="00106F81">
        <w:t>a number port</w:t>
      </w:r>
      <w:r w:rsidR="00771E20">
        <w:t xml:space="preserve"> request</w:t>
      </w:r>
      <w:r w:rsidR="0086194D">
        <w:t>, clarif</w:t>
      </w:r>
      <w:r w:rsidR="00B73F44">
        <w:t>ying</w:t>
      </w:r>
      <w:r w:rsidR="0086194D">
        <w:t xml:space="preserve"> the timeline</w:t>
      </w:r>
      <w:r w:rsidR="00C62562">
        <w:t xml:space="preserve"> for re-using</w:t>
      </w:r>
      <w:r w:rsidR="00B73F44">
        <w:t xml:space="preserve"> </w:t>
      </w:r>
      <w:r w:rsidR="0086194D">
        <w:t>disconnected ported numbers</w:t>
      </w:r>
      <w:r w:rsidR="000311F9">
        <w:t>,</w:t>
      </w:r>
      <w:r w:rsidR="00B73F44">
        <w:t xml:space="preserve"> and </w:t>
      </w:r>
      <w:r w:rsidR="00204F85">
        <w:t xml:space="preserve">stopping </w:t>
      </w:r>
      <w:r w:rsidR="00464DD4">
        <w:t>new service providers</w:t>
      </w:r>
      <w:r w:rsidR="00B93654">
        <w:t xml:space="preserve"> </w:t>
      </w:r>
      <w:r w:rsidR="00C62562">
        <w:t>from prematurely activating ports</w:t>
      </w:r>
      <w:r w:rsidR="007649A6">
        <w:t>.</w:t>
      </w:r>
      <w:r w:rsidR="00C26956">
        <w:t xml:space="preserve">  </w:t>
      </w:r>
      <w:r w:rsidR="00E761ED">
        <w:t>Also</w:t>
      </w:r>
      <w:r w:rsidR="00C26956">
        <w:t xml:space="preserve"> in this Order, we</w:t>
      </w:r>
      <w:r w:rsidR="00B04A99">
        <w:t xml:space="preserve"> clarify that</w:t>
      </w:r>
      <w:r w:rsidR="009E35DC">
        <w:t>,</w:t>
      </w:r>
      <w:r w:rsidR="00B04A99">
        <w:t xml:space="preserve"> </w:t>
      </w:r>
      <w:r w:rsidR="00B04A99">
        <w:rPr>
          <w:szCs w:val="22"/>
        </w:rPr>
        <w:t>n</w:t>
      </w:r>
      <w:r w:rsidR="00B04A99" w:rsidRPr="002B00BE">
        <w:rPr>
          <w:szCs w:val="22"/>
        </w:rPr>
        <w:t>otwithstanding the NANC</w:t>
      </w:r>
      <w:r w:rsidR="00D870EB">
        <w:rPr>
          <w:szCs w:val="22"/>
        </w:rPr>
        <w:t>’</w:t>
      </w:r>
      <w:r w:rsidR="00B04A99" w:rsidRPr="002B00BE">
        <w:rPr>
          <w:szCs w:val="22"/>
        </w:rPr>
        <w:t xml:space="preserve">s </w:t>
      </w:r>
      <w:r w:rsidR="009E35DC">
        <w:rPr>
          <w:szCs w:val="22"/>
        </w:rPr>
        <w:t>preference for</w:t>
      </w:r>
      <w:r w:rsidR="00DB5E84">
        <w:rPr>
          <w:szCs w:val="22"/>
        </w:rPr>
        <w:t xml:space="preserve"> area code overlays </w:t>
      </w:r>
      <w:r w:rsidR="00B035E7">
        <w:rPr>
          <w:szCs w:val="22"/>
        </w:rPr>
        <w:t>over</w:t>
      </w:r>
      <w:r w:rsidR="00DB5E84">
        <w:rPr>
          <w:szCs w:val="22"/>
        </w:rPr>
        <w:t xml:space="preserve"> area code splits, the</w:t>
      </w:r>
      <w:r w:rsidR="00B04A99">
        <w:rPr>
          <w:szCs w:val="22"/>
        </w:rPr>
        <w:t xml:space="preserve"> states </w:t>
      </w:r>
      <w:r w:rsidR="007B52BD">
        <w:rPr>
          <w:szCs w:val="22"/>
        </w:rPr>
        <w:t xml:space="preserve">still </w:t>
      </w:r>
      <w:r w:rsidR="000A5B03">
        <w:rPr>
          <w:szCs w:val="22"/>
        </w:rPr>
        <w:t>have the option</w:t>
      </w:r>
      <w:r w:rsidR="00B04A99">
        <w:rPr>
          <w:szCs w:val="22"/>
        </w:rPr>
        <w:t xml:space="preserve"> to choose </w:t>
      </w:r>
      <w:r w:rsidR="000A5B03">
        <w:rPr>
          <w:szCs w:val="22"/>
        </w:rPr>
        <w:t xml:space="preserve">the best </w:t>
      </w:r>
      <w:r w:rsidR="00AE565A">
        <w:rPr>
          <w:szCs w:val="22"/>
        </w:rPr>
        <w:t>means of</w:t>
      </w:r>
      <w:r w:rsidR="00B04A99">
        <w:rPr>
          <w:szCs w:val="22"/>
        </w:rPr>
        <w:t xml:space="preserve"> implement</w:t>
      </w:r>
      <w:r w:rsidR="007B52BD">
        <w:rPr>
          <w:szCs w:val="22"/>
        </w:rPr>
        <w:t>ing</w:t>
      </w:r>
      <w:r w:rsidR="00B04A99">
        <w:rPr>
          <w:szCs w:val="22"/>
        </w:rPr>
        <w:t xml:space="preserve"> area code relief</w:t>
      </w:r>
      <w:r w:rsidR="000A5B03">
        <w:rPr>
          <w:szCs w:val="22"/>
        </w:rPr>
        <w:t xml:space="preserve"> for their citizens.</w:t>
      </w:r>
      <w:r w:rsidR="007F1E0E">
        <w:rPr>
          <w:rStyle w:val="FootnoteReference"/>
          <w:szCs w:val="22"/>
        </w:rPr>
        <w:footnoteReference w:id="5"/>
      </w:r>
      <w:r w:rsidR="0086194D">
        <w:t xml:space="preserve"> </w:t>
      </w:r>
      <w:r w:rsidR="00B93654">
        <w:t xml:space="preserve"> </w:t>
      </w:r>
    </w:p>
    <w:p w:rsidR="007B52BD" w:rsidRDefault="001D1D21" w:rsidP="00D870EB">
      <w:pPr>
        <w:pStyle w:val="Heading1"/>
        <w:widowControl/>
      </w:pPr>
      <w:r>
        <w:lastRenderedPageBreak/>
        <w:t>Background</w:t>
      </w:r>
    </w:p>
    <w:p w:rsidR="007B52BD" w:rsidRPr="00AE565A" w:rsidRDefault="00C4086E" w:rsidP="00D870EB">
      <w:pPr>
        <w:pStyle w:val="Heading2"/>
      </w:pPr>
      <w:r>
        <w:t xml:space="preserve">LNP </w:t>
      </w:r>
      <w:r w:rsidR="007B52BD" w:rsidRPr="00AE565A">
        <w:t>Provisioning Flows</w:t>
      </w:r>
    </w:p>
    <w:p w:rsidR="002917D2" w:rsidRDefault="002917D2" w:rsidP="00D870EB">
      <w:pPr>
        <w:pStyle w:val="ParaNum"/>
        <w:widowControl/>
      </w:pPr>
      <w:r>
        <w:t xml:space="preserve">In May 2010, the Commission adopted </w:t>
      </w:r>
      <w:r w:rsidR="00850A39">
        <w:t xml:space="preserve">various </w:t>
      </w:r>
      <w:r w:rsidRPr="00345CFB">
        <w:t>provisioning flows</w:t>
      </w:r>
      <w:r w:rsidR="00B73F44">
        <w:t xml:space="preserve"> in its </w:t>
      </w:r>
      <w:r w:rsidR="00B73F44" w:rsidRPr="00106F81">
        <w:rPr>
          <w:i/>
        </w:rPr>
        <w:t>LNP Standard Fields Order</w:t>
      </w:r>
      <w:r w:rsidR="000311F9" w:rsidRPr="00204F85">
        <w:t>.</w:t>
      </w:r>
      <w:r w:rsidRPr="00204F85">
        <w:rPr>
          <w:rStyle w:val="FootnoteReference"/>
        </w:rPr>
        <w:footnoteReference w:id="6"/>
      </w:r>
      <w:r>
        <w:t xml:space="preserve">  However, the Commission recognized that </w:t>
      </w:r>
      <w:r w:rsidR="00BC4EC1">
        <w:t xml:space="preserve">industry </w:t>
      </w:r>
      <w:r w:rsidR="00D870EB">
        <w:t xml:space="preserve">developments </w:t>
      </w:r>
      <w:r>
        <w:t xml:space="preserve">would likely </w:t>
      </w:r>
      <w:r w:rsidR="00965EBE">
        <w:t xml:space="preserve">require </w:t>
      </w:r>
      <w:r>
        <w:t xml:space="preserve">changes to </w:t>
      </w:r>
      <w:r w:rsidR="009C0830">
        <w:t xml:space="preserve">these </w:t>
      </w:r>
      <w:r>
        <w:t>flows.</w:t>
      </w:r>
      <w:r>
        <w:rPr>
          <w:rStyle w:val="FootnoteReference"/>
        </w:rPr>
        <w:footnoteReference w:id="7"/>
      </w:r>
      <w:r>
        <w:t xml:space="preserve">  It also acknowledged that “the NANC is best situated to monitor the continued effectiveness of the provisioning process flows, and make recommendations when changes are needed.”</w:t>
      </w:r>
      <w:r w:rsidRPr="00C1000B">
        <w:rPr>
          <w:rStyle w:val="FootnoteReference"/>
        </w:rPr>
        <w:t xml:space="preserve"> </w:t>
      </w:r>
      <w:r>
        <w:rPr>
          <w:rStyle w:val="FootnoteReference"/>
        </w:rPr>
        <w:footnoteReference w:id="8"/>
      </w:r>
      <w:r>
        <w:t xml:space="preserve">  Thus, the Commission </w:t>
      </w:r>
      <w:r w:rsidR="00126133">
        <w:t xml:space="preserve">decided </w:t>
      </w:r>
      <w:r>
        <w:t xml:space="preserve">that the provisioning flows adopted in that </w:t>
      </w:r>
      <w:r w:rsidR="00E6319B">
        <w:t>o</w:t>
      </w:r>
      <w:r>
        <w:t>rder would remain in effect until the Commission approves revised provisioning flows based on recommendations from the NANC.</w:t>
      </w:r>
      <w:r>
        <w:rPr>
          <w:rStyle w:val="FootnoteReference"/>
        </w:rPr>
        <w:footnoteReference w:id="9"/>
      </w:r>
      <w:r>
        <w:t xml:space="preserve">  The Commission delegated authority to the Chief of the Wireline Competition Bureau </w:t>
      </w:r>
      <w:r w:rsidR="00036F1D">
        <w:t xml:space="preserve">(Bureau) </w:t>
      </w:r>
      <w:r>
        <w:t xml:space="preserve">to approve such </w:t>
      </w:r>
      <w:r w:rsidR="00E6319B">
        <w:t xml:space="preserve">recommended </w:t>
      </w:r>
      <w:r>
        <w:t>revis</w:t>
      </w:r>
      <w:r w:rsidR="00E6319B">
        <w:t>ion</w:t>
      </w:r>
      <w:r>
        <w:t>s and directed the NANC to make the revised provisioning flows</w:t>
      </w:r>
      <w:r w:rsidR="00AD1CBE">
        <w:t>, once approved,</w:t>
      </w:r>
      <w:r>
        <w:t xml:space="preserve"> available to the public on the NANC website.</w:t>
      </w:r>
      <w:r>
        <w:rPr>
          <w:rStyle w:val="FootnoteReference"/>
        </w:rPr>
        <w:footnoteReference w:id="10"/>
      </w:r>
      <w:r>
        <w:t xml:space="preserve">    </w:t>
      </w:r>
    </w:p>
    <w:p w:rsidR="0086194D" w:rsidRPr="009E6E5F" w:rsidRDefault="009C0830" w:rsidP="00D870EB">
      <w:pPr>
        <w:pStyle w:val="ParaNum"/>
        <w:widowControl/>
      </w:pPr>
      <w:r w:rsidRPr="00282113">
        <w:rPr>
          <w:b/>
          <w:i/>
        </w:rPr>
        <w:t>Flows for Cancellations</w:t>
      </w:r>
      <w:r w:rsidR="00AE1722" w:rsidRPr="00282113">
        <w:rPr>
          <w:b/>
          <w:i/>
        </w:rPr>
        <w:t xml:space="preserve"> and Disconnections</w:t>
      </w:r>
      <w:r w:rsidR="00AE1722">
        <w:rPr>
          <w:b/>
        </w:rPr>
        <w:t>.</w:t>
      </w:r>
      <w:r>
        <w:t xml:space="preserve">  </w:t>
      </w:r>
      <w:r w:rsidR="002917D2">
        <w:t xml:space="preserve">On January 2, 2013, the NANC </w:t>
      </w:r>
      <w:r>
        <w:t xml:space="preserve">submitted a </w:t>
      </w:r>
      <w:r w:rsidR="002917D2">
        <w:t>letter</w:t>
      </w:r>
      <w:r w:rsidR="0041487E">
        <w:t xml:space="preserve"> to the Bureau </w:t>
      </w:r>
      <w:r w:rsidR="00C54ACA">
        <w:t>recommending revisions to</w:t>
      </w:r>
      <w:r w:rsidR="002917D2" w:rsidRPr="00094426">
        <w:rPr>
          <w:szCs w:val="22"/>
        </w:rPr>
        <w:t xml:space="preserve"> the </w:t>
      </w:r>
      <w:r w:rsidR="00C54ACA">
        <w:rPr>
          <w:szCs w:val="22"/>
        </w:rPr>
        <w:t>provisioning flow</w:t>
      </w:r>
      <w:r w:rsidR="00A60620">
        <w:rPr>
          <w:szCs w:val="22"/>
        </w:rPr>
        <w:t>s</w:t>
      </w:r>
      <w:r w:rsidR="002917D2" w:rsidRPr="00094426">
        <w:rPr>
          <w:szCs w:val="22"/>
        </w:rPr>
        <w:t xml:space="preserve"> </w:t>
      </w:r>
      <w:r w:rsidR="005B57A0">
        <w:rPr>
          <w:szCs w:val="22"/>
        </w:rPr>
        <w:t xml:space="preserve">for </w:t>
      </w:r>
      <w:r w:rsidR="001D0965">
        <w:rPr>
          <w:szCs w:val="22"/>
        </w:rPr>
        <w:t>port cancellations</w:t>
      </w:r>
      <w:r w:rsidR="00A60620">
        <w:rPr>
          <w:szCs w:val="22"/>
        </w:rPr>
        <w:t>, termed by the NANC as the “Cancel Flows</w:t>
      </w:r>
      <w:r w:rsidR="00AE1722">
        <w:rPr>
          <w:szCs w:val="22"/>
        </w:rPr>
        <w:t>.</w:t>
      </w:r>
      <w:r w:rsidR="00A60620">
        <w:rPr>
          <w:szCs w:val="22"/>
        </w:rPr>
        <w:t>”</w:t>
      </w:r>
      <w:r w:rsidR="002917D2" w:rsidRPr="00D73269">
        <w:rPr>
          <w:rStyle w:val="FootnoteReference"/>
          <w:kern w:val="0"/>
          <w:szCs w:val="22"/>
        </w:rPr>
        <w:footnoteReference w:id="11"/>
      </w:r>
      <w:r w:rsidR="002917D2" w:rsidRPr="00DF230D">
        <w:rPr>
          <w:kern w:val="0"/>
          <w:szCs w:val="22"/>
        </w:rPr>
        <w:t xml:space="preserve">  </w:t>
      </w:r>
      <w:r w:rsidR="00154F40">
        <w:t>Th</w:t>
      </w:r>
      <w:r w:rsidR="0086194D">
        <w:t>e</w:t>
      </w:r>
      <w:r>
        <w:t>se</w:t>
      </w:r>
      <w:r w:rsidR="0086194D">
        <w:t xml:space="preserve"> </w:t>
      </w:r>
      <w:r w:rsidR="00154F40">
        <w:t>flow</w:t>
      </w:r>
      <w:r w:rsidR="0086194D">
        <w:t xml:space="preserve">s </w:t>
      </w:r>
      <w:r w:rsidR="00126133">
        <w:t xml:space="preserve">apply </w:t>
      </w:r>
      <w:r w:rsidR="00154F40">
        <w:t>when a</w:t>
      </w:r>
      <w:r w:rsidR="00817197">
        <w:t xml:space="preserve"> </w:t>
      </w:r>
      <w:r w:rsidR="00803EDC">
        <w:t xml:space="preserve">customer </w:t>
      </w:r>
      <w:r w:rsidR="00036F1D">
        <w:t>asks</w:t>
      </w:r>
      <w:r w:rsidR="00817197">
        <w:t xml:space="preserve"> a new </w:t>
      </w:r>
      <w:r w:rsidR="00036F1D">
        <w:t xml:space="preserve">service </w:t>
      </w:r>
      <w:r w:rsidR="00817197">
        <w:t xml:space="preserve">provider </w:t>
      </w:r>
      <w:r w:rsidR="00036F1D">
        <w:t xml:space="preserve">to port his or her number, </w:t>
      </w:r>
      <w:r w:rsidR="003F5936">
        <w:t xml:space="preserve">and then subsequently </w:t>
      </w:r>
      <w:r w:rsidR="00036F1D">
        <w:t xml:space="preserve">decides to </w:t>
      </w:r>
      <w:r w:rsidR="003F5936">
        <w:t>cancel that request and remain with his or her current provider.  Th</w:t>
      </w:r>
      <w:r w:rsidR="004B340C">
        <w:t xml:space="preserve">e </w:t>
      </w:r>
      <w:r w:rsidR="00905F29">
        <w:t xml:space="preserve">customer </w:t>
      </w:r>
      <w:r w:rsidR="0086194D">
        <w:t xml:space="preserve">must </w:t>
      </w:r>
      <w:r w:rsidR="00126133">
        <w:t xml:space="preserve">notify </w:t>
      </w:r>
      <w:r w:rsidR="00803EDC">
        <w:t>one of the providers</w:t>
      </w:r>
      <w:r w:rsidR="00126133">
        <w:t xml:space="preserve"> of </w:t>
      </w:r>
      <w:r w:rsidR="00036F1D">
        <w:t xml:space="preserve">the cancellation.  </w:t>
      </w:r>
      <w:r w:rsidR="002E55A9">
        <w:t>The NANC</w:t>
      </w:r>
      <w:r w:rsidR="00A60620">
        <w:t xml:space="preserve"> recommended </w:t>
      </w:r>
      <w:r w:rsidR="002E55A9">
        <w:t xml:space="preserve">three </w:t>
      </w:r>
      <w:r w:rsidR="00A60620">
        <w:t xml:space="preserve">revisions to these flows.  </w:t>
      </w:r>
      <w:r w:rsidR="00917817">
        <w:t xml:space="preserve">The first revision </w:t>
      </w:r>
      <w:r w:rsidR="00AF6227">
        <w:t>clarifies the responsibilities of the current and new service provider</w:t>
      </w:r>
      <w:r w:rsidR="0043520A">
        <w:t>s</w:t>
      </w:r>
      <w:r w:rsidR="00AF6227">
        <w:t xml:space="preserve">.  It </w:t>
      </w:r>
      <w:r w:rsidR="00917817">
        <w:t xml:space="preserve">states that </w:t>
      </w:r>
      <w:r w:rsidR="004B340C">
        <w:t xml:space="preserve">if the </w:t>
      </w:r>
      <w:r w:rsidR="00905F29">
        <w:t xml:space="preserve">customer </w:t>
      </w:r>
      <w:r w:rsidR="00AF6227">
        <w:t xml:space="preserve">contacts the </w:t>
      </w:r>
      <w:r w:rsidR="004B340C">
        <w:t>current provider</w:t>
      </w:r>
      <w:r w:rsidR="00AF6227">
        <w:t xml:space="preserve">, that provider </w:t>
      </w:r>
      <w:r w:rsidR="004B340C">
        <w:t xml:space="preserve">may choose to advise the </w:t>
      </w:r>
      <w:r w:rsidR="00905F29">
        <w:t xml:space="preserve">customer </w:t>
      </w:r>
      <w:r w:rsidR="004B340C">
        <w:t>to call the new p</w:t>
      </w:r>
      <w:r w:rsidR="00AF6227">
        <w:t xml:space="preserve">rovider to </w:t>
      </w:r>
      <w:r w:rsidR="00036F1D">
        <w:t>cancel</w:t>
      </w:r>
      <w:r w:rsidR="00AF6227">
        <w:t xml:space="preserve"> the </w:t>
      </w:r>
      <w:r w:rsidR="00036F1D">
        <w:t xml:space="preserve">port </w:t>
      </w:r>
      <w:r w:rsidR="00AF6227">
        <w:t>request</w:t>
      </w:r>
      <w:r w:rsidR="0011789D">
        <w:t>.  I</w:t>
      </w:r>
      <w:r w:rsidR="004B340C">
        <w:t xml:space="preserve">f the </w:t>
      </w:r>
      <w:r w:rsidR="00905F29">
        <w:t xml:space="preserve">customer </w:t>
      </w:r>
      <w:r w:rsidR="00AF6227">
        <w:t xml:space="preserve">contacts the </w:t>
      </w:r>
      <w:r w:rsidR="004B340C">
        <w:t>new provider</w:t>
      </w:r>
      <w:r w:rsidR="00AF6227">
        <w:t>, that provider</w:t>
      </w:r>
      <w:r w:rsidR="004B340C">
        <w:t xml:space="preserve"> must cancel the port.</w:t>
      </w:r>
      <w:r w:rsidR="004B340C">
        <w:rPr>
          <w:rStyle w:val="FootnoteReference"/>
        </w:rPr>
        <w:footnoteReference w:id="12"/>
      </w:r>
      <w:r w:rsidR="00917817">
        <w:t xml:space="preserve">  The second revision states that i</w:t>
      </w:r>
      <w:r w:rsidR="00422865">
        <w:t xml:space="preserve">f the current provider decides to </w:t>
      </w:r>
      <w:r w:rsidR="00036F1D">
        <w:t xml:space="preserve">cancel the port request, </w:t>
      </w:r>
      <w:r w:rsidR="00422865">
        <w:t xml:space="preserve">it must obtain verifiable authority </w:t>
      </w:r>
      <w:r w:rsidR="00001823">
        <w:t>from the</w:t>
      </w:r>
      <w:r w:rsidR="0011789D">
        <w:t xml:space="preserve"> </w:t>
      </w:r>
      <w:r w:rsidR="00905F29">
        <w:t>customer</w:t>
      </w:r>
      <w:r w:rsidR="00AF6227">
        <w:t xml:space="preserve">, </w:t>
      </w:r>
      <w:r w:rsidR="00803EDC">
        <w:t>such as a</w:t>
      </w:r>
      <w:r w:rsidR="00422865">
        <w:rPr>
          <w:i/>
        </w:rPr>
        <w:t xml:space="preserve"> </w:t>
      </w:r>
      <w:r w:rsidR="00422865">
        <w:t>L</w:t>
      </w:r>
      <w:r w:rsidR="00803EDC">
        <w:t xml:space="preserve">etter of </w:t>
      </w:r>
      <w:r w:rsidR="00422865">
        <w:t>A</w:t>
      </w:r>
      <w:r w:rsidR="00803EDC">
        <w:t>uthorization</w:t>
      </w:r>
      <w:r w:rsidR="00154F40">
        <w:t>,</w:t>
      </w:r>
      <w:r w:rsidR="00422865">
        <w:t xml:space="preserve"> dated after the initial port request</w:t>
      </w:r>
      <w:r w:rsidR="00AF6227">
        <w:t xml:space="preserve">.  The </w:t>
      </w:r>
      <w:r w:rsidR="00422865">
        <w:t xml:space="preserve">new provider must </w:t>
      </w:r>
      <w:r w:rsidR="00AF6227">
        <w:t xml:space="preserve">then </w:t>
      </w:r>
      <w:r w:rsidR="00F84471">
        <w:t xml:space="preserve">process the </w:t>
      </w:r>
      <w:r w:rsidR="00036F1D">
        <w:t>cancel</w:t>
      </w:r>
      <w:r w:rsidR="00F84471">
        <w:t>lation request</w:t>
      </w:r>
      <w:r w:rsidR="00036F1D">
        <w:t xml:space="preserve">, </w:t>
      </w:r>
      <w:r w:rsidR="00F84471">
        <w:t xml:space="preserve">even if the </w:t>
      </w:r>
      <w:r w:rsidR="005A0BBF">
        <w:t>current provider does not provide an actual</w:t>
      </w:r>
      <w:r w:rsidR="00F84471">
        <w:rPr>
          <w:i/>
        </w:rPr>
        <w:t xml:space="preserve"> </w:t>
      </w:r>
      <w:r w:rsidR="00F84471">
        <w:t>copy of the authorization</w:t>
      </w:r>
      <w:r w:rsidR="009E4664">
        <w:t>.</w:t>
      </w:r>
      <w:r w:rsidR="00422865">
        <w:rPr>
          <w:rStyle w:val="FootnoteReference"/>
        </w:rPr>
        <w:footnoteReference w:id="13"/>
      </w:r>
      <w:r w:rsidR="00917817">
        <w:t xml:space="preserve">  The third revision outlines the different steps to be taken to notify the new provider of the cancellation, depending on whet</w:t>
      </w:r>
      <w:r w:rsidR="00154F40">
        <w:t>her the current</w:t>
      </w:r>
      <w:r w:rsidR="00917817">
        <w:t xml:space="preserve"> provider is a wireline </w:t>
      </w:r>
      <w:r w:rsidR="00803EDC">
        <w:t xml:space="preserve">or a </w:t>
      </w:r>
      <w:r w:rsidR="00917817">
        <w:t>wireless provider.</w:t>
      </w:r>
      <w:r w:rsidR="00917817">
        <w:rPr>
          <w:rStyle w:val="FootnoteReference"/>
        </w:rPr>
        <w:footnoteReference w:id="14"/>
      </w:r>
      <w:r w:rsidR="00154F40">
        <w:t xml:space="preserve">   </w:t>
      </w:r>
    </w:p>
    <w:p w:rsidR="0084273E" w:rsidRPr="00AA0902" w:rsidRDefault="00441283" w:rsidP="00D870EB">
      <w:pPr>
        <w:pStyle w:val="ParaNum"/>
        <w:widowControl/>
        <w:rPr>
          <w:kern w:val="0"/>
          <w:sz w:val="23"/>
          <w:szCs w:val="23"/>
        </w:rPr>
      </w:pPr>
      <w:r>
        <w:lastRenderedPageBreak/>
        <w:t>In its January 2013</w:t>
      </w:r>
      <w:r w:rsidR="00AE1722">
        <w:t xml:space="preserve"> letter, the NANC also </w:t>
      </w:r>
      <w:r w:rsidR="00154F40">
        <w:t xml:space="preserve">recommended </w:t>
      </w:r>
      <w:r w:rsidR="00A60620">
        <w:t xml:space="preserve">deleting </w:t>
      </w:r>
      <w:r w:rsidR="00AA0902">
        <w:t>language in</w:t>
      </w:r>
      <w:r w:rsidR="00AF6227">
        <w:t xml:space="preserve"> </w:t>
      </w:r>
      <w:r w:rsidR="00154F40">
        <w:t xml:space="preserve">the </w:t>
      </w:r>
      <w:r w:rsidR="00AE1722">
        <w:t xml:space="preserve">flow entitled </w:t>
      </w:r>
      <w:r w:rsidR="00001823">
        <w:t>“</w:t>
      </w:r>
      <w:r w:rsidR="00154F40">
        <w:t>Disconnect Process for Ported Teleph</w:t>
      </w:r>
      <w:r w:rsidR="0086194D">
        <w:t>one Numbers.</w:t>
      </w:r>
      <w:r w:rsidR="00001823">
        <w:t>”</w:t>
      </w:r>
      <w:r w:rsidR="0086194D">
        <w:t xml:space="preserve">  </w:t>
      </w:r>
      <w:r w:rsidR="00E62A47">
        <w:t xml:space="preserve">That flow applies to “aging numbers,” defined </w:t>
      </w:r>
      <w:r w:rsidR="0008639F">
        <w:t xml:space="preserve">by section 52.15(f)(ii) of </w:t>
      </w:r>
      <w:r w:rsidR="00E62A47">
        <w:t xml:space="preserve">the Commission’s rules as </w:t>
      </w:r>
      <w:r w:rsidR="00FF5EBA">
        <w:t>“</w:t>
      </w:r>
      <w:r w:rsidR="00E62A47">
        <w:t>disconnected numbers that are not available for assignment to another customer for a specified period of time.</w:t>
      </w:r>
      <w:r w:rsidR="00FF5EBA">
        <w:t>”</w:t>
      </w:r>
      <w:r w:rsidR="00E62A47">
        <w:rPr>
          <w:rStyle w:val="FootnoteReference"/>
        </w:rPr>
        <w:footnoteReference w:id="15"/>
      </w:r>
      <w:r w:rsidR="00E62A47">
        <w:t xml:space="preserve"> </w:t>
      </w:r>
      <w:r w:rsidR="00860EF4">
        <w:t xml:space="preserve"> </w:t>
      </w:r>
      <w:r w:rsidR="0086194D">
        <w:t>Th</w:t>
      </w:r>
      <w:r w:rsidR="00AA0902">
        <w:t xml:space="preserve">e language </w:t>
      </w:r>
      <w:r w:rsidR="009E35DC">
        <w:t xml:space="preserve">to be deleted </w:t>
      </w:r>
      <w:r w:rsidR="00AA0902">
        <w:t>reads</w:t>
      </w:r>
      <w:r w:rsidR="0086194D">
        <w:t>, “</w:t>
      </w:r>
      <w:r w:rsidR="00D870EB">
        <w:t>[t]</w:t>
      </w:r>
      <w:r w:rsidR="0086194D">
        <w:t>he maximum interval between disconnect date and effective release is 18 months.”</w:t>
      </w:r>
      <w:r w:rsidR="00154F40">
        <w:rPr>
          <w:rStyle w:val="FootnoteReference"/>
        </w:rPr>
        <w:footnoteReference w:id="16"/>
      </w:r>
      <w:r w:rsidR="00153CF1">
        <w:t xml:space="preserve">  </w:t>
      </w:r>
      <w:r w:rsidR="00AA0902">
        <w:t xml:space="preserve">The NANC proposes to delete this language because it </w:t>
      </w:r>
      <w:r w:rsidR="00153CF1">
        <w:t xml:space="preserve">is inconsistent with </w:t>
      </w:r>
      <w:r w:rsidR="00001823">
        <w:t xml:space="preserve">section 52.15(f)(ii) of the Commission’s </w:t>
      </w:r>
      <w:r w:rsidR="00860EF4">
        <w:t>rules, which</w:t>
      </w:r>
      <w:r w:rsidR="00230988">
        <w:t xml:space="preserve"> </w:t>
      </w:r>
      <w:r w:rsidR="0011789D">
        <w:t xml:space="preserve">provides that a service provider may not “age” disconnected residential numbers </w:t>
      </w:r>
      <w:r w:rsidR="004566CB">
        <w:t>for</w:t>
      </w:r>
      <w:r w:rsidR="00153CF1">
        <w:t xml:space="preserve"> more than 90 days</w:t>
      </w:r>
      <w:r w:rsidR="004566CB">
        <w:t xml:space="preserve"> </w:t>
      </w:r>
      <w:r w:rsidR="0008639F">
        <w:t>and</w:t>
      </w:r>
      <w:r w:rsidR="004566CB">
        <w:t xml:space="preserve"> disconnected business numbers</w:t>
      </w:r>
      <w:r w:rsidR="00DA4979">
        <w:t xml:space="preserve"> for</w:t>
      </w:r>
      <w:r w:rsidR="00153CF1">
        <w:t xml:space="preserve"> more than 365 day</w:t>
      </w:r>
      <w:r w:rsidR="00DA4979">
        <w:t>s</w:t>
      </w:r>
      <w:r w:rsidR="00153CF1">
        <w:t>.</w:t>
      </w:r>
      <w:r w:rsidR="00153CF1">
        <w:rPr>
          <w:rStyle w:val="FootnoteReference"/>
        </w:rPr>
        <w:footnoteReference w:id="17"/>
      </w:r>
      <w:r w:rsidR="00153CF1">
        <w:t xml:space="preserve"> </w:t>
      </w:r>
    </w:p>
    <w:p w:rsidR="002917D2" w:rsidRPr="00AA0902" w:rsidRDefault="002917D2" w:rsidP="00D870EB">
      <w:pPr>
        <w:pStyle w:val="ParaNum"/>
        <w:widowControl/>
        <w:rPr>
          <w:kern w:val="0"/>
          <w:sz w:val="23"/>
          <w:szCs w:val="23"/>
        </w:rPr>
      </w:pPr>
      <w:r w:rsidRPr="00AA0902">
        <w:rPr>
          <w:kern w:val="0"/>
          <w:szCs w:val="22"/>
        </w:rPr>
        <w:t>The Bureau sought comment on the</w:t>
      </w:r>
      <w:r w:rsidR="009E35DC">
        <w:rPr>
          <w:kern w:val="0"/>
          <w:szCs w:val="22"/>
        </w:rPr>
        <w:t>se</w:t>
      </w:r>
      <w:r w:rsidRPr="00AA0902">
        <w:rPr>
          <w:kern w:val="0"/>
          <w:szCs w:val="22"/>
        </w:rPr>
        <w:t xml:space="preserve"> NANC recommendation</w:t>
      </w:r>
      <w:r w:rsidR="009E35DC">
        <w:rPr>
          <w:kern w:val="0"/>
          <w:szCs w:val="22"/>
        </w:rPr>
        <w:t>s</w:t>
      </w:r>
      <w:r w:rsidR="00524527" w:rsidRPr="00AA0902">
        <w:rPr>
          <w:kern w:val="0"/>
          <w:szCs w:val="22"/>
        </w:rPr>
        <w:t xml:space="preserve"> </w:t>
      </w:r>
      <w:r w:rsidR="00DD6C68">
        <w:rPr>
          <w:kern w:val="0"/>
          <w:szCs w:val="22"/>
        </w:rPr>
        <w:t>i</w:t>
      </w:r>
      <w:r w:rsidR="00524527" w:rsidRPr="00AA0902">
        <w:rPr>
          <w:kern w:val="0"/>
          <w:szCs w:val="22"/>
        </w:rPr>
        <w:t>n May 2013</w:t>
      </w:r>
      <w:r w:rsidR="00001823" w:rsidRPr="00AA0902">
        <w:rPr>
          <w:kern w:val="0"/>
          <w:szCs w:val="22"/>
        </w:rPr>
        <w:t>.</w:t>
      </w:r>
      <w:r w:rsidRPr="00094426">
        <w:rPr>
          <w:rStyle w:val="FootnoteReference"/>
          <w:szCs w:val="22"/>
        </w:rPr>
        <w:footnoteReference w:id="18"/>
      </w:r>
      <w:r w:rsidRPr="00AA0902">
        <w:rPr>
          <w:szCs w:val="22"/>
        </w:rPr>
        <w:t xml:space="preserve">  In response, the Commission received comments from</w:t>
      </w:r>
      <w:r>
        <w:t xml:space="preserve"> CenturyLink supporting the NANC’s recommended revisions to the</w:t>
      </w:r>
      <w:r w:rsidR="0008639F">
        <w:t>se</w:t>
      </w:r>
      <w:r>
        <w:t xml:space="preserve"> flows.</w:t>
      </w:r>
      <w:r>
        <w:rPr>
          <w:rStyle w:val="FootnoteReference"/>
        </w:rPr>
        <w:footnoteReference w:id="19"/>
      </w:r>
      <w:r>
        <w:t xml:space="preserve"> </w:t>
      </w:r>
      <w:r w:rsidR="0084273E">
        <w:t xml:space="preserve"> No commenter opposed t</w:t>
      </w:r>
      <w:r w:rsidR="00ED4625">
        <w:t>he</w:t>
      </w:r>
      <w:r w:rsidR="0084273E">
        <w:t xml:space="preserve"> recommendation</w:t>
      </w:r>
      <w:r w:rsidR="00FF1C30">
        <w:t>s</w:t>
      </w:r>
      <w:r w:rsidR="0084273E">
        <w:t>.</w:t>
      </w:r>
    </w:p>
    <w:p w:rsidR="009B5CA6" w:rsidRDefault="007B52BD" w:rsidP="00D870EB">
      <w:pPr>
        <w:pStyle w:val="ParaNum"/>
        <w:widowControl/>
      </w:pPr>
      <w:r>
        <w:rPr>
          <w:b/>
          <w:i/>
        </w:rPr>
        <w:t xml:space="preserve">Flows and </w:t>
      </w:r>
      <w:r w:rsidR="00001823" w:rsidRPr="00282113">
        <w:rPr>
          <w:b/>
          <w:i/>
        </w:rPr>
        <w:t>Premature Activation of Ports</w:t>
      </w:r>
      <w:r w:rsidR="00001823" w:rsidRPr="00106F81">
        <w:rPr>
          <w:b/>
        </w:rPr>
        <w:t>.</w:t>
      </w:r>
      <w:r w:rsidR="00001823">
        <w:t xml:space="preserve">  </w:t>
      </w:r>
      <w:r w:rsidR="009B5CA6">
        <w:t>On October</w:t>
      </w:r>
      <w:r w:rsidR="00D870EB">
        <w:t xml:space="preserve"> </w:t>
      </w:r>
      <w:r w:rsidR="00F41042">
        <w:t>17</w:t>
      </w:r>
      <w:r w:rsidR="009B5CA6">
        <w:t xml:space="preserve"> </w:t>
      </w:r>
      <w:r w:rsidR="000D715E">
        <w:t xml:space="preserve">and October 28, </w:t>
      </w:r>
      <w:r w:rsidR="009B5CA6">
        <w:t xml:space="preserve">2013, the NANC </w:t>
      </w:r>
      <w:r w:rsidR="00131497">
        <w:t xml:space="preserve">submitted </w:t>
      </w:r>
      <w:r w:rsidR="009B5CA6">
        <w:t>letter</w:t>
      </w:r>
      <w:r w:rsidR="00F513F7">
        <w:t>s</w:t>
      </w:r>
      <w:r w:rsidR="009B5CA6">
        <w:t xml:space="preserve"> requesting that the Commission accept Best Practice 65, </w:t>
      </w:r>
      <w:r w:rsidR="005A156C">
        <w:t>which provides that both service providers</w:t>
      </w:r>
      <w:r w:rsidR="00FF5EBA">
        <w:t xml:space="preserve"> involved in a port</w:t>
      </w:r>
      <w:r w:rsidR="005A156C">
        <w:t xml:space="preserve"> must agree to any changes to the original due date for </w:t>
      </w:r>
      <w:r w:rsidR="00FF5EBA">
        <w:t>that</w:t>
      </w:r>
      <w:r w:rsidR="005A156C">
        <w:t xml:space="preserve"> port.</w:t>
      </w:r>
      <w:r w:rsidR="005A156C">
        <w:rPr>
          <w:rStyle w:val="FootnoteReference"/>
        </w:rPr>
        <w:footnoteReference w:id="20"/>
      </w:r>
      <w:r w:rsidR="005A156C">
        <w:t xml:space="preserve"> </w:t>
      </w:r>
      <w:r w:rsidR="00860EF4">
        <w:t xml:space="preserve"> </w:t>
      </w:r>
      <w:r w:rsidR="006C1E83">
        <w:t>According to the NANC letter</w:t>
      </w:r>
      <w:r w:rsidR="00F513F7">
        <w:t>s</w:t>
      </w:r>
      <w:r w:rsidR="006C1E83">
        <w:t>, there is a perceived loophole in the current flows that prompt</w:t>
      </w:r>
      <w:r w:rsidR="00837FB6">
        <w:t>s</w:t>
      </w:r>
      <w:r w:rsidR="006C1E83">
        <w:t xml:space="preserve"> </w:t>
      </w:r>
      <w:r w:rsidR="003A3386">
        <w:t>s</w:t>
      </w:r>
      <w:r w:rsidR="00264935">
        <w:t xml:space="preserve">ome new service providers </w:t>
      </w:r>
      <w:r w:rsidR="006C1E83">
        <w:t xml:space="preserve">to activate </w:t>
      </w:r>
      <w:r w:rsidR="00264935">
        <w:t xml:space="preserve">ports hours or days </w:t>
      </w:r>
      <w:r w:rsidR="003A3386">
        <w:t>before the agreed</w:t>
      </w:r>
      <w:r w:rsidR="00294BA1">
        <w:t>-</w:t>
      </w:r>
      <w:r w:rsidR="003A3386">
        <w:t>to porting date</w:t>
      </w:r>
      <w:r w:rsidR="009E35DC">
        <w:t xml:space="preserve"> and before</w:t>
      </w:r>
      <w:r w:rsidR="003A3386">
        <w:t xml:space="preserve"> </w:t>
      </w:r>
      <w:r w:rsidR="00264935">
        <w:t>the old service provider</w:t>
      </w:r>
      <w:r w:rsidR="003A3386">
        <w:t>s</w:t>
      </w:r>
      <w:r w:rsidR="00264935">
        <w:t xml:space="preserve"> have their networks </w:t>
      </w:r>
      <w:r w:rsidR="003A3386">
        <w:t>ready</w:t>
      </w:r>
      <w:r w:rsidR="00264935">
        <w:t xml:space="preserve"> to</w:t>
      </w:r>
      <w:r w:rsidR="002B129E">
        <w:t xml:space="preserve"> port a number out</w:t>
      </w:r>
      <w:r w:rsidR="009E35DC">
        <w:t>.</w:t>
      </w:r>
      <w:r w:rsidR="002B129E">
        <w:t xml:space="preserve"> </w:t>
      </w:r>
      <w:r w:rsidR="009E4664">
        <w:t xml:space="preserve"> </w:t>
      </w:r>
      <w:r w:rsidR="009E35DC">
        <w:t>T</w:t>
      </w:r>
      <w:r w:rsidR="00837FB6">
        <w:t>he</w:t>
      </w:r>
      <w:r w:rsidR="002F6BD1">
        <w:t xml:space="preserve">se </w:t>
      </w:r>
      <w:r w:rsidR="00264935">
        <w:t xml:space="preserve">premature </w:t>
      </w:r>
      <w:r w:rsidR="006C1E83">
        <w:t xml:space="preserve">port </w:t>
      </w:r>
      <w:r w:rsidR="00264935">
        <w:t>activation</w:t>
      </w:r>
      <w:r w:rsidR="006C1E83">
        <w:t>s</w:t>
      </w:r>
      <w:r w:rsidR="00264935">
        <w:t xml:space="preserve"> </w:t>
      </w:r>
      <w:r w:rsidR="00837FB6">
        <w:t xml:space="preserve">can disrupt </w:t>
      </w:r>
      <w:r w:rsidR="00264935">
        <w:t>customers’ service.</w:t>
      </w:r>
      <w:r w:rsidR="00264935">
        <w:rPr>
          <w:rStyle w:val="FootnoteReference"/>
        </w:rPr>
        <w:footnoteReference w:id="21"/>
      </w:r>
      <w:r w:rsidR="00264935">
        <w:t xml:space="preserve">  </w:t>
      </w:r>
      <w:r w:rsidR="006C1E83">
        <w:t>T</w:t>
      </w:r>
      <w:r w:rsidR="002B129E">
        <w:t xml:space="preserve">he NANC believes </w:t>
      </w:r>
      <w:r w:rsidR="00264935">
        <w:t>it is important that current and new service providers coordinate when activating a port</w:t>
      </w:r>
      <w:r w:rsidR="00FF1C30">
        <w:t>,</w:t>
      </w:r>
      <w:r w:rsidR="002F6BD1">
        <w:t xml:space="preserve"> to avoid service disruptions</w:t>
      </w:r>
      <w:r w:rsidR="00264935">
        <w:t>.</w:t>
      </w:r>
      <w:r w:rsidR="00264935">
        <w:rPr>
          <w:rStyle w:val="FootnoteReference"/>
        </w:rPr>
        <w:footnoteReference w:id="22"/>
      </w:r>
      <w:r w:rsidR="00264935">
        <w:t xml:space="preserve">  </w:t>
      </w:r>
      <w:r w:rsidR="005A156C">
        <w:t>By Best Practice</w:t>
      </w:r>
      <w:r w:rsidR="00294BA1">
        <w:t xml:space="preserve"> 65</w:t>
      </w:r>
      <w:r w:rsidR="005A156C">
        <w:t xml:space="preserve">, and corresponding provisioning flows, the NANC intends </w:t>
      </w:r>
      <w:r w:rsidR="009B5CA6">
        <w:t xml:space="preserve">to </w:t>
      </w:r>
      <w:r w:rsidR="005A156C">
        <w:t xml:space="preserve">close </w:t>
      </w:r>
      <w:r w:rsidR="006C1E83">
        <w:t>the</w:t>
      </w:r>
      <w:r w:rsidR="005A156C">
        <w:t xml:space="preserve"> perceived loophole</w:t>
      </w:r>
      <w:r w:rsidR="009B5CA6">
        <w:t xml:space="preserve"> </w:t>
      </w:r>
      <w:r w:rsidR="002F6BD1">
        <w:t xml:space="preserve">and </w:t>
      </w:r>
      <w:r w:rsidR="002B129E">
        <w:t>stop premature activation of ports</w:t>
      </w:r>
      <w:r w:rsidR="00294BA1">
        <w:t>.</w:t>
      </w:r>
      <w:r w:rsidR="002B129E">
        <w:rPr>
          <w:rStyle w:val="FootnoteReference"/>
        </w:rPr>
        <w:footnoteReference w:id="23"/>
      </w:r>
      <w:r w:rsidR="002B129E">
        <w:t xml:space="preserve">  </w:t>
      </w:r>
    </w:p>
    <w:p w:rsidR="00DB5E84" w:rsidRPr="00AE565A" w:rsidRDefault="0092489B" w:rsidP="00D870EB">
      <w:pPr>
        <w:pStyle w:val="ParaNum"/>
        <w:widowControl/>
        <w:rPr>
          <w:kern w:val="0"/>
          <w:sz w:val="23"/>
          <w:szCs w:val="23"/>
        </w:rPr>
      </w:pPr>
      <w:r w:rsidRPr="00DF230D">
        <w:rPr>
          <w:kern w:val="0"/>
          <w:szCs w:val="22"/>
        </w:rPr>
        <w:t xml:space="preserve">The Bureau sought comment </w:t>
      </w:r>
      <w:r w:rsidR="009E35DC">
        <w:rPr>
          <w:kern w:val="0"/>
          <w:szCs w:val="22"/>
        </w:rPr>
        <w:t xml:space="preserve">in December 2013 </w:t>
      </w:r>
      <w:r w:rsidRPr="00DF230D">
        <w:rPr>
          <w:kern w:val="0"/>
          <w:szCs w:val="22"/>
        </w:rPr>
        <w:t>on th</w:t>
      </w:r>
      <w:r w:rsidR="00524527">
        <w:rPr>
          <w:kern w:val="0"/>
          <w:szCs w:val="22"/>
        </w:rPr>
        <w:t>e</w:t>
      </w:r>
      <w:r w:rsidRPr="00DF230D">
        <w:rPr>
          <w:kern w:val="0"/>
          <w:szCs w:val="22"/>
        </w:rPr>
        <w:t xml:space="preserve"> NANC</w:t>
      </w:r>
      <w:r w:rsidR="00524527">
        <w:rPr>
          <w:kern w:val="0"/>
          <w:szCs w:val="22"/>
        </w:rPr>
        <w:t xml:space="preserve">’s request </w:t>
      </w:r>
      <w:r w:rsidR="005A156C">
        <w:rPr>
          <w:kern w:val="0"/>
          <w:szCs w:val="22"/>
        </w:rPr>
        <w:t xml:space="preserve">to accept Best Practice 65 </w:t>
      </w:r>
      <w:r w:rsidR="005750F2">
        <w:rPr>
          <w:kern w:val="0"/>
          <w:szCs w:val="22"/>
        </w:rPr>
        <w:t>and the corresponding provisioning flows</w:t>
      </w:r>
      <w:r w:rsidR="009E35DC">
        <w:rPr>
          <w:kern w:val="0"/>
          <w:szCs w:val="22"/>
        </w:rPr>
        <w:t>.</w:t>
      </w:r>
      <w:r w:rsidRPr="00094426">
        <w:rPr>
          <w:rStyle w:val="FootnoteReference"/>
          <w:szCs w:val="22"/>
        </w:rPr>
        <w:footnoteReference w:id="24"/>
      </w:r>
      <w:r w:rsidRPr="00094426">
        <w:rPr>
          <w:szCs w:val="22"/>
        </w:rPr>
        <w:t xml:space="preserve">  </w:t>
      </w:r>
      <w:r w:rsidR="009E35DC">
        <w:rPr>
          <w:szCs w:val="22"/>
        </w:rPr>
        <w:t>T</w:t>
      </w:r>
      <w:r w:rsidRPr="00DF230D">
        <w:rPr>
          <w:szCs w:val="22"/>
        </w:rPr>
        <w:t>he Commission received comments from</w:t>
      </w:r>
      <w:r>
        <w:t xml:space="preserve"> CenturyLink </w:t>
      </w:r>
      <w:r w:rsidR="001B754B">
        <w:t>and AT&amp;T</w:t>
      </w:r>
      <w:r w:rsidR="0041487E">
        <w:t xml:space="preserve"> supporting</w:t>
      </w:r>
      <w:r w:rsidR="00572D7D">
        <w:t xml:space="preserve"> </w:t>
      </w:r>
      <w:r w:rsidR="005750F2">
        <w:t xml:space="preserve">the </w:t>
      </w:r>
      <w:r w:rsidR="00704D00">
        <w:t>Best Practice and the corresponding</w:t>
      </w:r>
      <w:r>
        <w:t xml:space="preserve"> flows</w:t>
      </w:r>
      <w:r w:rsidR="00F539A4">
        <w:t>,</w:t>
      </w:r>
      <w:r w:rsidR="005750F2">
        <w:t xml:space="preserve"> and received no opposition to either</w:t>
      </w:r>
      <w:r>
        <w:t>.</w:t>
      </w:r>
      <w:r>
        <w:rPr>
          <w:rStyle w:val="FootnoteReference"/>
        </w:rPr>
        <w:footnoteReference w:id="25"/>
      </w:r>
    </w:p>
    <w:p w:rsidR="007B52BD" w:rsidRPr="00AE565A" w:rsidRDefault="005439D8" w:rsidP="00D870EB">
      <w:pPr>
        <w:pStyle w:val="Heading2"/>
        <w:rPr>
          <w:kern w:val="0"/>
          <w:sz w:val="23"/>
          <w:szCs w:val="23"/>
        </w:rPr>
      </w:pPr>
      <w:r w:rsidRPr="00AE565A">
        <w:t>Area Code Relief</w:t>
      </w:r>
      <w:r w:rsidR="004671CB">
        <w:t xml:space="preserve"> and Number Porting</w:t>
      </w:r>
    </w:p>
    <w:p w:rsidR="00DB5E84" w:rsidRDefault="00C27108" w:rsidP="00D870EB">
      <w:pPr>
        <w:pStyle w:val="ParaNum"/>
        <w:widowControl/>
        <w:rPr>
          <w:szCs w:val="22"/>
        </w:rPr>
      </w:pPr>
      <w:r>
        <w:rPr>
          <w:szCs w:val="22"/>
        </w:rPr>
        <w:t>I</w:t>
      </w:r>
      <w:r w:rsidR="00C26956">
        <w:rPr>
          <w:szCs w:val="22"/>
        </w:rPr>
        <w:t xml:space="preserve">n </w:t>
      </w:r>
      <w:r>
        <w:rPr>
          <w:szCs w:val="22"/>
        </w:rPr>
        <w:t xml:space="preserve">its </w:t>
      </w:r>
      <w:r w:rsidR="00C26956">
        <w:rPr>
          <w:szCs w:val="22"/>
        </w:rPr>
        <w:t xml:space="preserve">October </w:t>
      </w:r>
      <w:r w:rsidR="00A1641A">
        <w:rPr>
          <w:szCs w:val="22"/>
        </w:rPr>
        <w:t>17</w:t>
      </w:r>
      <w:r w:rsidR="0020523A">
        <w:rPr>
          <w:szCs w:val="22"/>
        </w:rPr>
        <w:t>, 2013</w:t>
      </w:r>
      <w:r w:rsidR="00C26956">
        <w:rPr>
          <w:szCs w:val="22"/>
        </w:rPr>
        <w:t xml:space="preserve"> letter, the NANC</w:t>
      </w:r>
      <w:r>
        <w:rPr>
          <w:szCs w:val="22"/>
        </w:rPr>
        <w:t xml:space="preserve"> also</w:t>
      </w:r>
      <w:r w:rsidR="00DB5E84">
        <w:rPr>
          <w:szCs w:val="22"/>
        </w:rPr>
        <w:t xml:space="preserve"> </w:t>
      </w:r>
      <w:r w:rsidR="00106B23">
        <w:rPr>
          <w:szCs w:val="22"/>
        </w:rPr>
        <w:t>recommends approval</w:t>
      </w:r>
      <w:r w:rsidR="00AC5875">
        <w:rPr>
          <w:szCs w:val="22"/>
        </w:rPr>
        <w:t xml:space="preserve"> of Best Practice 30, which calls for “All-Services Area Code (NPA) Overlays,” rather than area code splits, as the best solution for area code relief.</w:t>
      </w:r>
      <w:r w:rsidR="00DB5E84">
        <w:rPr>
          <w:rStyle w:val="FootnoteReference"/>
          <w:szCs w:val="22"/>
        </w:rPr>
        <w:footnoteReference w:id="26"/>
      </w:r>
      <w:r w:rsidR="00DB5E84">
        <w:rPr>
          <w:szCs w:val="22"/>
        </w:rPr>
        <w:t xml:space="preserve">  </w:t>
      </w:r>
      <w:r w:rsidR="008A626B">
        <w:rPr>
          <w:szCs w:val="22"/>
        </w:rPr>
        <w:t>The NANC states that “NPA Overlays have both practical and technical positive implications for customers and service providers alike.”</w:t>
      </w:r>
      <w:r w:rsidR="008A626B">
        <w:rPr>
          <w:rStyle w:val="FootnoteReference"/>
          <w:szCs w:val="22"/>
        </w:rPr>
        <w:footnoteReference w:id="27"/>
      </w:r>
      <w:r w:rsidR="008A626B">
        <w:rPr>
          <w:szCs w:val="22"/>
        </w:rPr>
        <w:t xml:space="preserve">  </w:t>
      </w:r>
      <w:r w:rsidR="00DB5E84">
        <w:rPr>
          <w:szCs w:val="22"/>
        </w:rPr>
        <w:t xml:space="preserve">The </w:t>
      </w:r>
      <w:r w:rsidR="007B52BD">
        <w:rPr>
          <w:szCs w:val="22"/>
        </w:rPr>
        <w:t xml:space="preserve">letter </w:t>
      </w:r>
      <w:r w:rsidR="00A1641A">
        <w:rPr>
          <w:szCs w:val="22"/>
        </w:rPr>
        <w:t xml:space="preserve">and accompanying </w:t>
      </w:r>
      <w:r w:rsidR="00AC5875">
        <w:rPr>
          <w:szCs w:val="22"/>
        </w:rPr>
        <w:t>attachment</w:t>
      </w:r>
      <w:r w:rsidR="00E56313">
        <w:rPr>
          <w:szCs w:val="22"/>
        </w:rPr>
        <w:t xml:space="preserve"> </w:t>
      </w:r>
      <w:r w:rsidR="00436234">
        <w:rPr>
          <w:szCs w:val="22"/>
        </w:rPr>
        <w:t xml:space="preserve">explain that </w:t>
      </w:r>
      <w:r w:rsidR="00E56313">
        <w:rPr>
          <w:szCs w:val="22"/>
        </w:rPr>
        <w:t>an overlay avoids</w:t>
      </w:r>
      <w:r w:rsidR="00436234">
        <w:rPr>
          <w:szCs w:val="22"/>
        </w:rPr>
        <w:t xml:space="preserve"> the </w:t>
      </w:r>
      <w:r w:rsidR="00E56313">
        <w:rPr>
          <w:szCs w:val="22"/>
        </w:rPr>
        <w:t>need to</w:t>
      </w:r>
      <w:r w:rsidR="00436234">
        <w:rPr>
          <w:szCs w:val="22"/>
        </w:rPr>
        <w:t xml:space="preserve"> synchronize old and new area codes in the LNP database to ensure that port requests are completed on time</w:t>
      </w:r>
      <w:r w:rsidR="002D015C">
        <w:rPr>
          <w:szCs w:val="22"/>
        </w:rPr>
        <w:t xml:space="preserve"> and are not misrouted.</w:t>
      </w:r>
      <w:r w:rsidR="002D015C">
        <w:rPr>
          <w:rStyle w:val="FootnoteReference"/>
          <w:szCs w:val="22"/>
        </w:rPr>
        <w:footnoteReference w:id="28"/>
      </w:r>
      <w:r w:rsidR="00436234">
        <w:rPr>
          <w:szCs w:val="22"/>
        </w:rPr>
        <w:t xml:space="preserve">  The NANC notes that area code overlays </w:t>
      </w:r>
      <w:r w:rsidR="00EA4807">
        <w:rPr>
          <w:szCs w:val="22"/>
        </w:rPr>
        <w:t>treat all customers the same</w:t>
      </w:r>
      <w:r w:rsidR="00AA2AA3">
        <w:rPr>
          <w:szCs w:val="22"/>
        </w:rPr>
        <w:t>,</w:t>
      </w:r>
      <w:r w:rsidR="00EA4807">
        <w:rPr>
          <w:szCs w:val="22"/>
        </w:rPr>
        <w:t xml:space="preserve"> allowing </w:t>
      </w:r>
      <w:r w:rsidR="00FF1C30">
        <w:rPr>
          <w:szCs w:val="22"/>
        </w:rPr>
        <w:t>them</w:t>
      </w:r>
      <w:r w:rsidR="00EA4807">
        <w:rPr>
          <w:szCs w:val="22"/>
        </w:rPr>
        <w:t xml:space="preserve"> </w:t>
      </w:r>
      <w:r w:rsidR="002D015C">
        <w:rPr>
          <w:szCs w:val="22"/>
        </w:rPr>
        <w:t>to retain their existing area codes and telephone numbers.</w:t>
      </w:r>
      <w:r w:rsidR="002D015C">
        <w:rPr>
          <w:rStyle w:val="FootnoteReference"/>
          <w:szCs w:val="22"/>
        </w:rPr>
        <w:footnoteReference w:id="29"/>
      </w:r>
      <w:r w:rsidR="00E56313">
        <w:rPr>
          <w:szCs w:val="22"/>
        </w:rPr>
        <w:t xml:space="preserve">   </w:t>
      </w:r>
    </w:p>
    <w:p w:rsidR="0092489B" w:rsidRPr="00282113" w:rsidRDefault="00DB5E84" w:rsidP="00D870EB">
      <w:pPr>
        <w:pStyle w:val="ParaNum"/>
        <w:widowControl/>
        <w:rPr>
          <w:kern w:val="0"/>
          <w:sz w:val="23"/>
          <w:szCs w:val="23"/>
        </w:rPr>
      </w:pPr>
      <w:r>
        <w:t xml:space="preserve"> </w:t>
      </w:r>
      <w:r w:rsidR="0092489B">
        <w:t xml:space="preserve">  </w:t>
      </w:r>
      <w:r w:rsidR="00C4086E">
        <w:t xml:space="preserve">The Bureau sought comment on Best Practice 30 </w:t>
      </w:r>
      <w:r w:rsidR="0020523A">
        <w:t>i</w:t>
      </w:r>
      <w:r>
        <w:rPr>
          <w:szCs w:val="22"/>
        </w:rPr>
        <w:t xml:space="preserve">n December 2013, along with </w:t>
      </w:r>
      <w:r w:rsidR="00C4086E">
        <w:rPr>
          <w:szCs w:val="22"/>
        </w:rPr>
        <w:t>Best Practice 65.</w:t>
      </w:r>
      <w:r>
        <w:rPr>
          <w:rStyle w:val="FootnoteReference"/>
          <w:szCs w:val="22"/>
        </w:rPr>
        <w:footnoteReference w:id="30"/>
      </w:r>
      <w:r>
        <w:rPr>
          <w:szCs w:val="22"/>
        </w:rPr>
        <w:t xml:space="preserve">  CenturyLink and AT&amp;T support Best Practice 30.</w:t>
      </w:r>
      <w:r>
        <w:rPr>
          <w:rStyle w:val="FootnoteReference"/>
          <w:szCs w:val="22"/>
        </w:rPr>
        <w:footnoteReference w:id="31"/>
      </w:r>
      <w:r>
        <w:rPr>
          <w:szCs w:val="22"/>
        </w:rPr>
        <w:t xml:space="preserve">  Three state agencies express concern about making area code overlays mandatory</w:t>
      </w:r>
      <w:r w:rsidR="008E512B">
        <w:rPr>
          <w:szCs w:val="22"/>
        </w:rPr>
        <w:t>.</w:t>
      </w:r>
      <w:r>
        <w:rPr>
          <w:rStyle w:val="FootnoteReference"/>
          <w:szCs w:val="22"/>
        </w:rPr>
        <w:footnoteReference w:id="32"/>
      </w:r>
      <w:r>
        <w:rPr>
          <w:szCs w:val="22"/>
        </w:rPr>
        <w:t xml:space="preserve">  The state agencies contend that states have the greatest expertise regarding the issues facing their citizens and should </w:t>
      </w:r>
      <w:r w:rsidR="006325B6">
        <w:rPr>
          <w:szCs w:val="22"/>
        </w:rPr>
        <w:t xml:space="preserve">continue to </w:t>
      </w:r>
      <w:r>
        <w:rPr>
          <w:szCs w:val="22"/>
        </w:rPr>
        <w:t xml:space="preserve">have autonomy to </w:t>
      </w:r>
      <w:r w:rsidR="008E512B">
        <w:rPr>
          <w:szCs w:val="22"/>
        </w:rPr>
        <w:t xml:space="preserve">decide whether </w:t>
      </w:r>
      <w:r>
        <w:rPr>
          <w:szCs w:val="22"/>
        </w:rPr>
        <w:t xml:space="preserve">an area code split </w:t>
      </w:r>
      <w:r w:rsidR="00F539A4">
        <w:rPr>
          <w:szCs w:val="22"/>
        </w:rPr>
        <w:t>or</w:t>
      </w:r>
      <w:r>
        <w:rPr>
          <w:szCs w:val="22"/>
        </w:rPr>
        <w:t xml:space="preserve"> an overlay</w:t>
      </w:r>
      <w:r w:rsidR="008E512B">
        <w:rPr>
          <w:szCs w:val="22"/>
        </w:rPr>
        <w:t xml:space="preserve"> is more appropriate</w:t>
      </w:r>
      <w:r>
        <w:rPr>
          <w:szCs w:val="22"/>
        </w:rPr>
        <w:t>.</w:t>
      </w:r>
      <w:r>
        <w:rPr>
          <w:rStyle w:val="FootnoteReference"/>
          <w:szCs w:val="22"/>
        </w:rPr>
        <w:footnoteReference w:id="33"/>
      </w:r>
    </w:p>
    <w:p w:rsidR="00B85929" w:rsidRDefault="00B85929" w:rsidP="00D870EB">
      <w:pPr>
        <w:pStyle w:val="Heading1"/>
        <w:widowControl/>
        <w:rPr>
          <w:kern w:val="0"/>
        </w:rPr>
      </w:pPr>
      <w:r>
        <w:rPr>
          <w:kern w:val="0"/>
        </w:rPr>
        <w:t>Discussion</w:t>
      </w:r>
    </w:p>
    <w:p w:rsidR="00C4086E" w:rsidRPr="00AE565A" w:rsidRDefault="00C4086E" w:rsidP="00D870EB">
      <w:pPr>
        <w:pStyle w:val="Heading2"/>
      </w:pPr>
      <w:r w:rsidRPr="00AE565A">
        <w:t xml:space="preserve">LNP Provisioning Flows </w:t>
      </w:r>
    </w:p>
    <w:p w:rsidR="00E27CF1" w:rsidRDefault="00E27CF1" w:rsidP="00D870EB">
      <w:pPr>
        <w:pStyle w:val="ParaNum"/>
        <w:widowControl/>
      </w:pPr>
      <w:r>
        <w:t>We conclude</w:t>
      </w:r>
      <w:r w:rsidR="00665A1D">
        <w:t xml:space="preserve"> that all of the NANC’s proposed revisions to the provisioning flows will improve the number porting process</w:t>
      </w:r>
      <w:r>
        <w:t xml:space="preserve"> for service providers and </w:t>
      </w:r>
      <w:r w:rsidR="002B129E">
        <w:t>their</w:t>
      </w:r>
      <w:r>
        <w:t xml:space="preserve"> customers</w:t>
      </w:r>
      <w:r w:rsidR="00665A1D">
        <w:t xml:space="preserve">.  </w:t>
      </w:r>
      <w:r w:rsidR="00B32B0B">
        <w:t xml:space="preserve">The </w:t>
      </w:r>
      <w:r w:rsidR="00665A1D">
        <w:t xml:space="preserve">flow revisions clarifying </w:t>
      </w:r>
      <w:r w:rsidR="008C10BF">
        <w:t>the process for cancelling port request</w:t>
      </w:r>
      <w:r w:rsidR="005750F2">
        <w:t>s</w:t>
      </w:r>
      <w:r w:rsidR="00665A1D">
        <w:t xml:space="preserve"> will improve </w:t>
      </w:r>
      <w:r w:rsidR="005363C8">
        <w:t>communications between service providers</w:t>
      </w:r>
      <w:r w:rsidR="00F539A4">
        <w:t>,</w:t>
      </w:r>
      <w:r w:rsidR="005363C8">
        <w:t xml:space="preserve"> </w:t>
      </w:r>
      <w:r>
        <w:t xml:space="preserve">and </w:t>
      </w:r>
      <w:r w:rsidR="00A12BB1">
        <w:t xml:space="preserve">will </w:t>
      </w:r>
      <w:r>
        <w:t xml:space="preserve">ensure </w:t>
      </w:r>
      <w:r w:rsidR="005363C8">
        <w:t xml:space="preserve">that port cancellation requests </w:t>
      </w:r>
      <w:r>
        <w:t xml:space="preserve">are </w:t>
      </w:r>
      <w:r w:rsidR="005363C8">
        <w:t xml:space="preserve">handled properly and without </w:t>
      </w:r>
      <w:r w:rsidR="005750F2">
        <w:t xml:space="preserve">customer </w:t>
      </w:r>
      <w:r w:rsidR="005363C8">
        <w:t>inconvenience.</w:t>
      </w:r>
      <w:r w:rsidR="005363C8">
        <w:rPr>
          <w:rStyle w:val="FootnoteReference"/>
        </w:rPr>
        <w:footnoteReference w:id="34"/>
      </w:r>
      <w:r w:rsidR="005363C8">
        <w:t xml:space="preserve">  T</w:t>
      </w:r>
      <w:r w:rsidR="008C10BF">
        <w:t xml:space="preserve">he change to the disconnection flow will make </w:t>
      </w:r>
      <w:r w:rsidR="00A12BB1">
        <w:t>the disconnection process</w:t>
      </w:r>
      <w:r w:rsidR="008C10BF">
        <w:t xml:space="preserve"> consistent with Commission rules on aging disconnected telephone numbers</w:t>
      </w:r>
      <w:r w:rsidR="005363C8">
        <w:t>, lessening service provider and customer confusion</w:t>
      </w:r>
      <w:r w:rsidR="008C10BF">
        <w:t xml:space="preserve">. </w:t>
      </w:r>
      <w:r w:rsidR="000719B0">
        <w:t xml:space="preserve"> </w:t>
      </w:r>
      <w:r w:rsidR="00DB5E84">
        <w:t xml:space="preserve">Also, </w:t>
      </w:r>
      <w:r w:rsidR="000719B0">
        <w:t>Best Practice 65 and the corresponding provisioning flows will ensure that service providers are in sync when activating a port</w:t>
      </w:r>
      <w:r w:rsidR="005363C8">
        <w:t>, thus avoiding disruption of service to</w:t>
      </w:r>
      <w:r w:rsidR="00572D7D">
        <w:t xml:space="preserve"> </w:t>
      </w:r>
      <w:r w:rsidR="005750F2">
        <w:t>customers</w:t>
      </w:r>
      <w:r w:rsidR="000719B0">
        <w:t xml:space="preserve">.  </w:t>
      </w:r>
      <w:r w:rsidR="003A6874">
        <w:t>T</w:t>
      </w:r>
      <w:r>
        <w:t>herefore</w:t>
      </w:r>
      <w:r w:rsidR="003A6874">
        <w:t>, pursuant to the Commission’s authority over telephone number administration and porting</w:t>
      </w:r>
      <w:r w:rsidR="00F539A4">
        <w:t>,</w:t>
      </w:r>
      <w:r w:rsidR="007962F0">
        <w:t xml:space="preserve"> and the authority delegated to the Bureau by the full Commission</w:t>
      </w:r>
      <w:r w:rsidR="003A6874">
        <w:t>, we</w:t>
      </w:r>
      <w:r>
        <w:t xml:space="preserve"> adopt the NANC’s recommended changes to the </w:t>
      </w:r>
      <w:r w:rsidR="00F539A4">
        <w:t>LNP</w:t>
      </w:r>
      <w:r>
        <w:t xml:space="preserve"> provisioning flows and require the industry to adhere to them.</w:t>
      </w:r>
      <w:r>
        <w:rPr>
          <w:rStyle w:val="FootnoteReference"/>
        </w:rPr>
        <w:footnoteReference w:id="35"/>
      </w:r>
      <w:r>
        <w:t xml:space="preserve">  </w:t>
      </w:r>
      <w:r w:rsidR="007962F0">
        <w:t>P</w:t>
      </w:r>
      <w:r>
        <w:t xml:space="preserve">ursuant to the Commission’s 2010 </w:t>
      </w:r>
      <w:r w:rsidRPr="00E27CF1">
        <w:rPr>
          <w:i/>
        </w:rPr>
        <w:t>LNP Standard Fields Order</w:t>
      </w:r>
      <w:r>
        <w:t>, we direct the NANC to make these revised provisioning flows available to the public through the NANC’s website.</w:t>
      </w:r>
      <w:r>
        <w:rPr>
          <w:rStyle w:val="FootnoteReference"/>
        </w:rPr>
        <w:footnoteReference w:id="36"/>
      </w:r>
    </w:p>
    <w:p w:rsidR="00C4086E" w:rsidRPr="00AE565A" w:rsidRDefault="00C4086E" w:rsidP="00D870EB">
      <w:pPr>
        <w:pStyle w:val="Heading2"/>
      </w:pPr>
      <w:r w:rsidRPr="00AE565A">
        <w:t>Area Code Relief</w:t>
      </w:r>
      <w:r w:rsidR="004671CB">
        <w:t xml:space="preserve"> and Number Porting</w:t>
      </w:r>
    </w:p>
    <w:p w:rsidR="00DB5E84" w:rsidRDefault="0020523A" w:rsidP="00D870EB">
      <w:pPr>
        <w:pStyle w:val="ParaNum"/>
        <w:widowControl/>
      </w:pPr>
      <w:r>
        <w:rPr>
          <w:szCs w:val="22"/>
        </w:rPr>
        <w:t xml:space="preserve">The NANC’s Local Number Portability Administration (LNPA) Working Group </w:t>
      </w:r>
      <w:r w:rsidR="000A5B03">
        <w:rPr>
          <w:szCs w:val="22"/>
        </w:rPr>
        <w:t>has</w:t>
      </w:r>
      <w:r w:rsidR="00DB5E84">
        <w:rPr>
          <w:szCs w:val="22"/>
        </w:rPr>
        <w:t xml:space="preserve"> created </w:t>
      </w:r>
      <w:r w:rsidR="000A5B03">
        <w:rPr>
          <w:szCs w:val="22"/>
        </w:rPr>
        <w:t xml:space="preserve">many </w:t>
      </w:r>
      <w:r w:rsidR="00DB5E84">
        <w:rPr>
          <w:szCs w:val="22"/>
        </w:rPr>
        <w:t>Best Practices to facilitate porting between service providers.</w:t>
      </w:r>
      <w:r w:rsidR="00DB5E84">
        <w:rPr>
          <w:rStyle w:val="FootnoteReference"/>
          <w:szCs w:val="22"/>
        </w:rPr>
        <w:footnoteReference w:id="37"/>
      </w:r>
      <w:r w:rsidR="00DB5E84">
        <w:rPr>
          <w:szCs w:val="22"/>
        </w:rPr>
        <w:t xml:space="preserve">  </w:t>
      </w:r>
      <w:r>
        <w:rPr>
          <w:szCs w:val="22"/>
        </w:rPr>
        <w:t xml:space="preserve">The Bureau appreciates and commends those efforts to improve the number porting process.  However, </w:t>
      </w:r>
      <w:r w:rsidR="004671CB">
        <w:rPr>
          <w:szCs w:val="22"/>
        </w:rPr>
        <w:t>we</w:t>
      </w:r>
      <w:r w:rsidR="000F7417">
        <w:rPr>
          <w:szCs w:val="22"/>
        </w:rPr>
        <w:t xml:space="preserve"> do not, in this</w:t>
      </w:r>
      <w:r w:rsidR="008473D3">
        <w:rPr>
          <w:szCs w:val="22"/>
        </w:rPr>
        <w:t xml:space="preserve"> Order, adopt and codify Best Practice 30.  And</w:t>
      </w:r>
      <w:r w:rsidR="005D0E15">
        <w:rPr>
          <w:szCs w:val="22"/>
        </w:rPr>
        <w:t>,</w:t>
      </w:r>
      <w:r w:rsidR="008473D3">
        <w:rPr>
          <w:szCs w:val="22"/>
        </w:rPr>
        <w:t xml:space="preserve"> we</w:t>
      </w:r>
      <w:r w:rsidR="004671CB">
        <w:rPr>
          <w:szCs w:val="22"/>
        </w:rPr>
        <w:t xml:space="preserve"> </w:t>
      </w:r>
      <w:r w:rsidR="00DB5E84">
        <w:rPr>
          <w:szCs w:val="22"/>
        </w:rPr>
        <w:t>make clear that unless the Commission specifically adopts and codifies a Best Practice, it is not mandatory.</w:t>
      </w:r>
      <w:r w:rsidR="00DB5E84">
        <w:rPr>
          <w:rStyle w:val="FootnoteReference"/>
          <w:szCs w:val="22"/>
        </w:rPr>
        <w:footnoteReference w:id="38"/>
      </w:r>
      <w:r w:rsidR="00DB5E84">
        <w:rPr>
          <w:szCs w:val="22"/>
        </w:rPr>
        <w:t xml:space="preserve">  Section 52.19(a) of the Commission’s rules gives state commissions the discretion to decide how to introduce new area codes within their states.</w:t>
      </w:r>
      <w:r w:rsidR="00DB5E84">
        <w:rPr>
          <w:rStyle w:val="FootnoteReference"/>
          <w:szCs w:val="22"/>
        </w:rPr>
        <w:footnoteReference w:id="39"/>
      </w:r>
      <w:r w:rsidR="00DB5E84">
        <w:rPr>
          <w:szCs w:val="22"/>
        </w:rPr>
        <w:t xml:space="preserve">  </w:t>
      </w:r>
      <w:r w:rsidR="000A5B03">
        <w:rPr>
          <w:szCs w:val="22"/>
        </w:rPr>
        <w:t xml:space="preserve">Therefore, the </w:t>
      </w:r>
      <w:r w:rsidR="00DB5E84">
        <w:rPr>
          <w:szCs w:val="22"/>
        </w:rPr>
        <w:t xml:space="preserve">states still have the option to choose between an area code split </w:t>
      </w:r>
      <w:r w:rsidR="00B035E7">
        <w:rPr>
          <w:szCs w:val="22"/>
        </w:rPr>
        <w:t xml:space="preserve">or </w:t>
      </w:r>
      <w:r w:rsidR="00DB5E84">
        <w:rPr>
          <w:szCs w:val="22"/>
        </w:rPr>
        <w:t xml:space="preserve">overlay </w:t>
      </w:r>
      <w:r w:rsidR="00B035E7">
        <w:rPr>
          <w:szCs w:val="22"/>
        </w:rPr>
        <w:t>in determining the best way to implement</w:t>
      </w:r>
      <w:r w:rsidR="00DB5E84">
        <w:rPr>
          <w:szCs w:val="22"/>
        </w:rPr>
        <w:t xml:space="preserve"> area code relief</w:t>
      </w:r>
      <w:r w:rsidR="00B035E7">
        <w:rPr>
          <w:szCs w:val="22"/>
        </w:rPr>
        <w:t xml:space="preserve"> for</w:t>
      </w:r>
      <w:r w:rsidR="000A5B03">
        <w:rPr>
          <w:szCs w:val="22"/>
        </w:rPr>
        <w:t xml:space="preserve"> their</w:t>
      </w:r>
      <w:r w:rsidR="00B035E7">
        <w:rPr>
          <w:szCs w:val="22"/>
        </w:rPr>
        <w:t xml:space="preserve"> ci</w:t>
      </w:r>
      <w:r w:rsidR="000A5B03">
        <w:rPr>
          <w:szCs w:val="22"/>
        </w:rPr>
        <w:t>t</w:t>
      </w:r>
      <w:r w:rsidR="00B035E7">
        <w:rPr>
          <w:szCs w:val="22"/>
        </w:rPr>
        <w:t>izen</w:t>
      </w:r>
      <w:r w:rsidR="000A5B03">
        <w:rPr>
          <w:szCs w:val="22"/>
        </w:rPr>
        <w:t>s</w:t>
      </w:r>
      <w:r w:rsidR="00DB5E84">
        <w:rPr>
          <w:szCs w:val="22"/>
        </w:rPr>
        <w:t>.</w:t>
      </w:r>
    </w:p>
    <w:p w:rsidR="00C25494" w:rsidRDefault="001D1D21" w:rsidP="00D870EB">
      <w:pPr>
        <w:pStyle w:val="Heading1"/>
        <w:widowControl/>
      </w:pPr>
      <w:r>
        <w:t>Ordering Clauses</w:t>
      </w:r>
    </w:p>
    <w:p w:rsidR="002E1A08" w:rsidRDefault="002E1A08" w:rsidP="00D870EB">
      <w:pPr>
        <w:pStyle w:val="ParaNum"/>
        <w:widowControl/>
      </w:pPr>
      <w:r>
        <w:t xml:space="preserve">Accordingly, IT IS ORDERED that, pursuant to sections 1, 4(i)-4(j), </w:t>
      </w:r>
      <w:r w:rsidR="00F539A4">
        <w:t xml:space="preserve">5, </w:t>
      </w:r>
      <w:r>
        <w:t xml:space="preserve">251, and 303(r) of the Communications Act of 1934, as amended, 47 U.S.C. §§ 151, 154(i)-(j), </w:t>
      </w:r>
      <w:r w:rsidR="00F539A4">
        <w:t xml:space="preserve">155, </w:t>
      </w:r>
      <w:r>
        <w:t>251, 303(r), this Order</w:t>
      </w:r>
      <w:r w:rsidR="003E3DF0">
        <w:t xml:space="preserve"> </w:t>
      </w:r>
      <w:r w:rsidR="005948B1">
        <w:t>approving t</w:t>
      </w:r>
      <w:r w:rsidR="003E3DF0">
        <w:t xml:space="preserve">he </w:t>
      </w:r>
      <w:r w:rsidR="005948B1">
        <w:t xml:space="preserve">North American Numbering Council’s </w:t>
      </w:r>
      <w:r w:rsidR="003E3DF0">
        <w:t xml:space="preserve">recommendation to revise the </w:t>
      </w:r>
      <w:r w:rsidR="005750F2">
        <w:t>“</w:t>
      </w:r>
      <w:r w:rsidR="003E3DF0">
        <w:t>Cancel Flows</w:t>
      </w:r>
      <w:r w:rsidR="005750F2">
        <w:t>”</w:t>
      </w:r>
      <w:r w:rsidR="003E3DF0">
        <w:t xml:space="preserve"> in the </w:t>
      </w:r>
      <w:r w:rsidR="005948B1">
        <w:t xml:space="preserve">Local Number </w:t>
      </w:r>
      <w:r w:rsidR="003E3DF0">
        <w:t>P</w:t>
      </w:r>
      <w:r w:rsidR="005948B1">
        <w:t>ortability</w:t>
      </w:r>
      <w:r w:rsidR="003E3DF0">
        <w:t xml:space="preserve"> Provisioning Flows</w:t>
      </w:r>
      <w:r w:rsidR="005750F2">
        <w:t>,</w:t>
      </w:r>
      <w:r>
        <w:t xml:space="preserve"> WC Docket No. 07-244</w:t>
      </w:r>
      <w:r w:rsidR="001B2822">
        <w:t>,</w:t>
      </w:r>
      <w:r w:rsidR="0037639D">
        <w:t xml:space="preserve"> </w:t>
      </w:r>
      <w:r>
        <w:t>CC Docket No</w:t>
      </w:r>
      <w:r w:rsidR="001B2822">
        <w:t>s</w:t>
      </w:r>
      <w:r>
        <w:t>. 95-116</w:t>
      </w:r>
      <w:r w:rsidR="001B2822">
        <w:t xml:space="preserve"> and 99-200</w:t>
      </w:r>
      <w:r w:rsidR="005750F2">
        <w:t>,</w:t>
      </w:r>
      <w:r>
        <w:t xml:space="preserve"> IS ADOPTED.  </w:t>
      </w:r>
    </w:p>
    <w:p w:rsidR="00DD3EFE" w:rsidRDefault="00DD3EFE" w:rsidP="00D870EB">
      <w:pPr>
        <w:pStyle w:val="ParaNum"/>
        <w:widowControl/>
      </w:pPr>
      <w:r>
        <w:t xml:space="preserve"> IT IS </w:t>
      </w:r>
      <w:r w:rsidR="005B0525">
        <w:t xml:space="preserve">FURTHER </w:t>
      </w:r>
      <w:r>
        <w:t xml:space="preserve">ORDERED that, pursuant to sections 1, 4(i)-4(j), </w:t>
      </w:r>
      <w:r w:rsidR="00F539A4">
        <w:t xml:space="preserve">5, </w:t>
      </w:r>
      <w:r>
        <w:t xml:space="preserve">251, and 303(r) of the Communications Act of 1934, as amended, 47 U.S.C. §§ 151, 154(i)-(j), </w:t>
      </w:r>
      <w:r w:rsidR="00F539A4">
        <w:t xml:space="preserve">155, </w:t>
      </w:r>
      <w:r>
        <w:t>251, 303(r), this</w:t>
      </w:r>
      <w:r w:rsidR="0037639D">
        <w:t xml:space="preserve"> Order</w:t>
      </w:r>
      <w:r w:rsidR="005948B1">
        <w:t xml:space="preserve"> approving the North American Numbering Council’s recommendation to revise the </w:t>
      </w:r>
      <w:r w:rsidR="005750F2">
        <w:t>“</w:t>
      </w:r>
      <w:r w:rsidR="005948B1">
        <w:t>Disconnect Process for Port</w:t>
      </w:r>
      <w:r w:rsidR="00736D91">
        <w:t>ed</w:t>
      </w:r>
      <w:r w:rsidR="005948B1">
        <w:t xml:space="preserve"> Telephone Numbers</w:t>
      </w:r>
      <w:r w:rsidR="005750F2">
        <w:t>”</w:t>
      </w:r>
      <w:r w:rsidR="005948B1">
        <w:t xml:space="preserve"> in the Local Number Portability Provisioning Flows</w:t>
      </w:r>
      <w:r w:rsidR="005750F2">
        <w:t>,</w:t>
      </w:r>
      <w:r w:rsidR="0037639D">
        <w:t xml:space="preserve"> WC Docket No. 07-244</w:t>
      </w:r>
      <w:r w:rsidR="00455ABD">
        <w:t>,</w:t>
      </w:r>
      <w:r w:rsidR="0037639D">
        <w:t xml:space="preserve"> </w:t>
      </w:r>
      <w:r>
        <w:t>CC Docket No</w:t>
      </w:r>
      <w:r w:rsidR="00455ABD">
        <w:t>s</w:t>
      </w:r>
      <w:r>
        <w:t xml:space="preserve">. </w:t>
      </w:r>
      <w:r w:rsidR="0037639D">
        <w:t>95-116</w:t>
      </w:r>
      <w:r w:rsidR="00455ABD">
        <w:t xml:space="preserve"> and 99-200</w:t>
      </w:r>
      <w:r w:rsidR="005750F2">
        <w:t>,</w:t>
      </w:r>
      <w:r>
        <w:t xml:space="preserve"> IS ADOPTED.  </w:t>
      </w:r>
    </w:p>
    <w:p w:rsidR="005948B1" w:rsidRDefault="00DD3EFE" w:rsidP="00D870EB">
      <w:pPr>
        <w:pStyle w:val="ParaNum"/>
        <w:widowControl/>
      </w:pPr>
      <w:r>
        <w:t xml:space="preserve">IT IS </w:t>
      </w:r>
      <w:r w:rsidR="003E3DF0">
        <w:t xml:space="preserve">FURTHER </w:t>
      </w:r>
      <w:r>
        <w:t xml:space="preserve">ORDERED that, pursuant to sections 1, 4(i)-4(j), </w:t>
      </w:r>
      <w:r w:rsidR="00736D91">
        <w:t xml:space="preserve">5, </w:t>
      </w:r>
      <w:r>
        <w:t xml:space="preserve">251, and 303(r) of the Communications Act of 1934, as amended, 47 U.S.C. §§ 151, 154(i)-(j), </w:t>
      </w:r>
      <w:r w:rsidR="00736D91">
        <w:t xml:space="preserve">155, </w:t>
      </w:r>
      <w:r>
        <w:t>251, 303(r), this</w:t>
      </w:r>
      <w:r w:rsidR="0037639D">
        <w:t xml:space="preserve"> Order</w:t>
      </w:r>
      <w:r w:rsidR="005948B1">
        <w:t xml:space="preserve"> approving the North American Numbering Council’s recommendation to accept Best Practice 65 and the corresponding revisions </w:t>
      </w:r>
      <w:r w:rsidR="00556146">
        <w:t xml:space="preserve">to </w:t>
      </w:r>
      <w:r w:rsidR="005948B1">
        <w:t xml:space="preserve">the Local Number Portability </w:t>
      </w:r>
      <w:r w:rsidR="005750F2">
        <w:t>P</w:t>
      </w:r>
      <w:r w:rsidR="005948B1">
        <w:t>rovisioning flows</w:t>
      </w:r>
      <w:r w:rsidR="005750F2">
        <w:t>,</w:t>
      </w:r>
      <w:r w:rsidR="0037639D">
        <w:t xml:space="preserve"> </w:t>
      </w:r>
      <w:r w:rsidR="00556146" w:rsidRPr="00F0222D">
        <w:t>and denying the North American Numbering Council’s recommendation to accept Best Practice 30</w:t>
      </w:r>
      <w:r w:rsidR="00556146">
        <w:t xml:space="preserve">, </w:t>
      </w:r>
      <w:r w:rsidR="0037639D">
        <w:t>WC Docket No. 07-244</w:t>
      </w:r>
      <w:r w:rsidR="00455ABD">
        <w:t>,</w:t>
      </w:r>
      <w:r w:rsidR="0037639D">
        <w:t xml:space="preserve"> </w:t>
      </w:r>
      <w:r>
        <w:t>CC Docket No</w:t>
      </w:r>
      <w:r w:rsidR="00455ABD">
        <w:t>s</w:t>
      </w:r>
      <w:r>
        <w:t xml:space="preserve">. </w:t>
      </w:r>
      <w:r w:rsidR="0037639D">
        <w:t>95-116</w:t>
      </w:r>
      <w:r w:rsidR="00455ABD">
        <w:t xml:space="preserve"> and 99-200</w:t>
      </w:r>
      <w:r w:rsidR="005750F2">
        <w:t>,</w:t>
      </w:r>
      <w:r w:rsidR="00556146">
        <w:t xml:space="preserve"> </w:t>
      </w:r>
      <w:r w:rsidR="005948B1">
        <w:t xml:space="preserve">IS ADOPTED.  </w:t>
      </w:r>
    </w:p>
    <w:p w:rsidR="004A34F6" w:rsidRDefault="004A34F6" w:rsidP="00D870EB">
      <w:pPr>
        <w:pStyle w:val="ParaNum"/>
        <w:widowControl/>
      </w:pPr>
      <w:r>
        <w:t>IT IS FURTHER ORDERED that th</w:t>
      </w:r>
      <w:r w:rsidR="00736D91">
        <w:t>is</w:t>
      </w:r>
      <w:r>
        <w:t xml:space="preserve"> Order SHALL BECOME EFFECTIVE </w:t>
      </w:r>
      <w:r w:rsidR="00455ABD">
        <w:t>30 days</w:t>
      </w:r>
      <w:r w:rsidR="00F52FDA">
        <w:t xml:space="preserve"> after</w:t>
      </w:r>
      <w:r>
        <w:t xml:space="preserve"> publication in the Federal Register.</w:t>
      </w:r>
    </w:p>
    <w:p w:rsidR="004A34F6" w:rsidRDefault="004A34F6" w:rsidP="00D870EB">
      <w:pPr>
        <w:pStyle w:val="ParaNum"/>
        <w:widowControl/>
        <w:numPr>
          <w:ilvl w:val="0"/>
          <w:numId w:val="0"/>
        </w:numPr>
        <w:ind w:left="720"/>
      </w:pPr>
    </w:p>
    <w:p w:rsidR="002E1A08" w:rsidRDefault="002E1A08" w:rsidP="00D870EB">
      <w:pPr>
        <w:pStyle w:val="ParaNum"/>
        <w:widowControl/>
        <w:numPr>
          <w:ilvl w:val="0"/>
          <w:numId w:val="0"/>
        </w:numPr>
        <w:ind w:left="2880" w:firstLine="720"/>
      </w:pPr>
      <w:r>
        <w:t>FEDERAL COMMUNICATIONS COMMISSION</w:t>
      </w:r>
    </w:p>
    <w:p w:rsidR="002E1A08" w:rsidRDefault="002E1A08" w:rsidP="00D870EB">
      <w:pPr>
        <w:pStyle w:val="ParaNum"/>
        <w:widowControl/>
        <w:numPr>
          <w:ilvl w:val="0"/>
          <w:numId w:val="0"/>
        </w:numPr>
        <w:ind w:firstLine="720"/>
      </w:pPr>
    </w:p>
    <w:p w:rsidR="00736D91" w:rsidRDefault="00736D91" w:rsidP="00D870EB">
      <w:pPr>
        <w:pStyle w:val="ParaNum"/>
        <w:widowControl/>
        <w:numPr>
          <w:ilvl w:val="0"/>
          <w:numId w:val="0"/>
        </w:numPr>
        <w:ind w:firstLine="720"/>
      </w:pPr>
    </w:p>
    <w:p w:rsidR="002E1A08" w:rsidRDefault="002E1A08" w:rsidP="00D870EB">
      <w:pPr>
        <w:pStyle w:val="ParaNum"/>
        <w:widowControl/>
        <w:numPr>
          <w:ilvl w:val="0"/>
          <w:numId w:val="0"/>
        </w:numPr>
        <w:ind w:firstLine="720"/>
      </w:pPr>
    </w:p>
    <w:p w:rsidR="002E1A08" w:rsidRDefault="003622A7" w:rsidP="00D870EB">
      <w:pPr>
        <w:pStyle w:val="ParaNum"/>
        <w:widowControl/>
        <w:numPr>
          <w:ilvl w:val="0"/>
          <w:numId w:val="0"/>
        </w:numPr>
        <w:spacing w:after="0"/>
        <w:ind w:left="2880" w:firstLine="720"/>
      </w:pPr>
      <w:r>
        <w:t>Carol</w:t>
      </w:r>
      <w:r w:rsidR="00C60ED8">
        <w:t xml:space="preserve"> E.</w:t>
      </w:r>
      <w:r>
        <w:t xml:space="preserve"> </w:t>
      </w:r>
      <w:r w:rsidR="009C00F5">
        <w:t xml:space="preserve">Mattey </w:t>
      </w:r>
    </w:p>
    <w:p w:rsidR="00790D0F" w:rsidRDefault="003622A7" w:rsidP="00D870EB">
      <w:pPr>
        <w:pStyle w:val="ParaNum"/>
        <w:widowControl/>
        <w:numPr>
          <w:ilvl w:val="0"/>
          <w:numId w:val="0"/>
        </w:numPr>
        <w:spacing w:after="0"/>
        <w:ind w:left="2880" w:firstLine="720"/>
      </w:pPr>
      <w:r>
        <w:t xml:space="preserve">Acting </w:t>
      </w:r>
      <w:r w:rsidR="002E1A08">
        <w:t>Chief</w:t>
      </w:r>
    </w:p>
    <w:p w:rsidR="002E1A08" w:rsidRPr="002917D2" w:rsidRDefault="002E1A08" w:rsidP="00D870EB">
      <w:pPr>
        <w:pStyle w:val="ParaNum"/>
        <w:widowControl/>
        <w:numPr>
          <w:ilvl w:val="0"/>
          <w:numId w:val="0"/>
        </w:numPr>
        <w:spacing w:after="0"/>
        <w:ind w:left="2880" w:firstLine="720"/>
      </w:pPr>
      <w:r>
        <w:t>Wireline Competition Bureau</w:t>
      </w:r>
    </w:p>
    <w:p w:rsidR="002917D2" w:rsidRPr="002917D2" w:rsidRDefault="002917D2" w:rsidP="00D870EB">
      <w:pPr>
        <w:pStyle w:val="ParaNum"/>
        <w:widowControl/>
        <w:numPr>
          <w:ilvl w:val="0"/>
          <w:numId w:val="0"/>
        </w:numPr>
      </w:pPr>
    </w:p>
    <w:sectPr w:rsidR="002917D2" w:rsidRPr="002917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50" w:rsidRDefault="009B7750">
      <w:pPr>
        <w:spacing w:line="20" w:lineRule="exact"/>
      </w:pPr>
    </w:p>
  </w:endnote>
  <w:endnote w:type="continuationSeparator" w:id="0">
    <w:p w:rsidR="009B7750" w:rsidRDefault="009B7750">
      <w:r>
        <w:t xml:space="preserve"> </w:t>
      </w:r>
    </w:p>
  </w:endnote>
  <w:endnote w:type="continuationNotice" w:id="1">
    <w:p w:rsidR="009B7750" w:rsidRDefault="009B7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Default="00EA4807" w:rsidP="0055614C">
    <w:pPr>
      <w:pStyle w:val="Footer"/>
      <w:framePr w:wrap="around" w:vAnchor="text" w:hAnchor="margin" w:xAlign="center" w:y="1"/>
    </w:pPr>
    <w:r>
      <w:fldChar w:fldCharType="begin"/>
    </w:r>
    <w:r>
      <w:instrText xml:space="preserve">PAGE  </w:instrText>
    </w:r>
    <w:r>
      <w:fldChar w:fldCharType="end"/>
    </w:r>
  </w:p>
  <w:p w:rsidR="00EA4807" w:rsidRDefault="00EA4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Default="00EA4807" w:rsidP="0055614C">
    <w:pPr>
      <w:pStyle w:val="Footer"/>
      <w:framePr w:wrap="around" w:vAnchor="text" w:hAnchor="margin" w:xAlign="center" w:y="1"/>
    </w:pPr>
    <w:r>
      <w:fldChar w:fldCharType="begin"/>
    </w:r>
    <w:r>
      <w:instrText xml:space="preserve">PAGE  </w:instrText>
    </w:r>
    <w:r>
      <w:fldChar w:fldCharType="separate"/>
    </w:r>
    <w:r w:rsidR="006C67E9">
      <w:rPr>
        <w:noProof/>
      </w:rPr>
      <w:t>2</w:t>
    </w:r>
    <w:r>
      <w:rPr>
        <w:noProof/>
      </w:rPr>
      <w:fldChar w:fldCharType="end"/>
    </w:r>
  </w:p>
  <w:p w:rsidR="00EA4807" w:rsidRDefault="00EA4807">
    <w:pPr>
      <w:spacing w:before="140" w:line="100" w:lineRule="exact"/>
      <w:rPr>
        <w:sz w:val="10"/>
      </w:rPr>
    </w:pPr>
  </w:p>
  <w:p w:rsidR="00EA4807" w:rsidRDefault="00EA4807">
    <w:pPr>
      <w:suppressAutoHyphens/>
      <w:spacing w:line="227" w:lineRule="auto"/>
    </w:pPr>
  </w:p>
  <w:p w:rsidR="00EA4807" w:rsidRDefault="00EA48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Default="00EA480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50" w:rsidRDefault="009B7750">
      <w:r>
        <w:separator/>
      </w:r>
    </w:p>
  </w:footnote>
  <w:footnote w:type="continuationSeparator" w:id="0">
    <w:p w:rsidR="009B7750" w:rsidRDefault="009B7750">
      <w:pPr>
        <w:rPr>
          <w:sz w:val="20"/>
        </w:rPr>
      </w:pPr>
      <w:r>
        <w:rPr>
          <w:sz w:val="20"/>
        </w:rPr>
        <w:t xml:space="preserve">(Continued from previous page)  </w:t>
      </w:r>
      <w:r>
        <w:rPr>
          <w:sz w:val="20"/>
        </w:rPr>
        <w:separator/>
      </w:r>
    </w:p>
  </w:footnote>
  <w:footnote w:type="continuationNotice" w:id="1">
    <w:p w:rsidR="009B7750" w:rsidRDefault="009B7750">
      <w:pPr>
        <w:rPr>
          <w:sz w:val="20"/>
        </w:rPr>
      </w:pPr>
      <w:r>
        <w:rPr>
          <w:sz w:val="20"/>
        </w:rPr>
        <w:t>(continued….)</w:t>
      </w:r>
    </w:p>
  </w:footnote>
  <w:footnote w:id="2">
    <w:p w:rsidR="00EA4807" w:rsidRDefault="00EA4807" w:rsidP="00D870EB">
      <w:pPr>
        <w:pStyle w:val="FootnoteText"/>
      </w:pPr>
      <w:r>
        <w:rPr>
          <w:rStyle w:val="FootnoteReference"/>
        </w:rPr>
        <w:footnoteRef/>
      </w:r>
      <w:r>
        <w:t xml:space="preserve"> The NANC is the Federal Communications Commission’s federal advisory committee on telephone number administration.</w:t>
      </w:r>
    </w:p>
  </w:footnote>
  <w:footnote w:id="3">
    <w:p w:rsidR="00EA4807" w:rsidRPr="00B73C5F" w:rsidRDefault="00EA4807" w:rsidP="00D870EB">
      <w:pPr>
        <w:pStyle w:val="FootnoteText"/>
        <w:rPr>
          <w:b/>
        </w:rPr>
      </w:pPr>
      <w:r>
        <w:rPr>
          <w:rStyle w:val="FootnoteReference"/>
        </w:rPr>
        <w:footnoteRef/>
      </w:r>
      <w:r w:rsidR="00D870EB">
        <w:t xml:space="preserve"> </w:t>
      </w:r>
      <w:r>
        <w:t>The Communications Act defines number portability as “the ability of users of telecommunications services to retain, at the same location, existing telecommunications numbers without impairment of quality, reliability, or convenience when switching from one telecommunications carrier to another.”  47 U.S.C. § 153(3</w:t>
      </w:r>
      <w:r w:rsidR="00D870EB">
        <w:t>7</w:t>
      </w:r>
      <w:r>
        <w:t xml:space="preserve">); </w:t>
      </w:r>
      <w:r w:rsidR="00B329E2">
        <w:rPr>
          <w:i/>
        </w:rPr>
        <w:t xml:space="preserve">see </w:t>
      </w:r>
      <w:r>
        <w:t>47 C.F.R. § 52.21(l)</w:t>
      </w:r>
      <w:r>
        <w:rPr>
          <w:i/>
        </w:rPr>
        <w:t>.</w:t>
      </w:r>
      <w:r>
        <w:t xml:space="preserve">  This means that customers have the ability to keep their telephone numbers if they change service providers, with a few exceptions.  This process is called telephone number “porting.” </w:t>
      </w:r>
    </w:p>
  </w:footnote>
  <w:footnote w:id="4">
    <w:p w:rsidR="00EA4807" w:rsidRPr="000311F9" w:rsidRDefault="00EA4807" w:rsidP="00D870EB">
      <w:pPr>
        <w:pStyle w:val="FootnoteText"/>
        <w:rPr>
          <w:b/>
        </w:rPr>
      </w:pPr>
      <w:r>
        <w:rPr>
          <w:rStyle w:val="FootnoteReference"/>
        </w:rPr>
        <w:footnoteRef/>
      </w:r>
      <w:r w:rsidR="00D870EB">
        <w:t xml:space="preserve"> </w:t>
      </w:r>
      <w:r>
        <w:t xml:space="preserve">Telephone number porting is accomplished by the old and new service providers working together and following a uniform set of flow charts, referred to as the “LNP provisioning flows.”  These flows consist of diagrams and accompanying narratives which explain the processes service providers follow in specific porting scenarios.  The recommendations addressed in this Order are changes to the narratives that accompany the diagrams. </w:t>
      </w:r>
    </w:p>
  </w:footnote>
  <w:footnote w:id="5">
    <w:p w:rsidR="00EA4807" w:rsidRDefault="00EA4807" w:rsidP="00D870EB">
      <w:pPr>
        <w:pStyle w:val="FootnoteText"/>
      </w:pPr>
      <w:r>
        <w:rPr>
          <w:rStyle w:val="FootnoteReference"/>
        </w:rPr>
        <w:footnoteRef/>
      </w:r>
      <w:r>
        <w:t xml:space="preserve"> </w:t>
      </w:r>
      <w:r w:rsidRPr="00830A3F">
        <w:t>A</w:t>
      </w:r>
      <w:r>
        <w:t>n</w:t>
      </w:r>
      <w:r w:rsidRPr="00830A3F">
        <w:t xml:space="preserve"> area code </w:t>
      </w:r>
      <w:r w:rsidR="00D870EB">
        <w:t>“</w:t>
      </w:r>
      <w:r w:rsidRPr="00830A3F">
        <w:t>split</w:t>
      </w:r>
      <w:r>
        <w:t>”</w:t>
      </w:r>
      <w:r w:rsidRPr="00830A3F">
        <w:t xml:space="preserve"> occurs when the geographic area served </w:t>
      </w:r>
      <w:r>
        <w:t xml:space="preserve">by </w:t>
      </w:r>
      <w:r w:rsidRPr="00830A3F">
        <w:t xml:space="preserve">an area code is </w:t>
      </w:r>
      <w:r>
        <w:t>divided</w:t>
      </w:r>
      <w:r w:rsidRPr="00830A3F">
        <w:t xml:space="preserve"> into two or more geographic parts.  </w:t>
      </w:r>
      <w:r w:rsidRPr="00830A3F">
        <w:rPr>
          <w:i/>
        </w:rPr>
        <w:t>See</w:t>
      </w:r>
      <w:r w:rsidRPr="00830A3F">
        <w:t xml:space="preserve"> 47 C.F.R. § 52.19(c)(1). </w:t>
      </w:r>
      <w:r>
        <w:t xml:space="preserve"> </w:t>
      </w:r>
      <w:r w:rsidRPr="00830A3F">
        <w:t>An area code overlay occurs when a new area code is introduced to serve th</w:t>
      </w:r>
      <w:r>
        <w:t>e same geographic area as one or</w:t>
      </w:r>
      <w:r w:rsidRPr="00830A3F">
        <w:t xml:space="preserve"> more existing area codes.  </w:t>
      </w:r>
      <w:r w:rsidRPr="002E1E0C">
        <w:rPr>
          <w:i/>
        </w:rPr>
        <w:t>See</w:t>
      </w:r>
      <w:r w:rsidRPr="00830A3F">
        <w:t xml:space="preserve"> 47 C.F. R. § 52.19(c)(3).</w:t>
      </w:r>
      <w:r>
        <w:t xml:space="preserve"> </w:t>
      </w:r>
      <w:r w:rsidRPr="00830A3F">
        <w:t xml:space="preserve"> In </w:t>
      </w:r>
      <w:r w:rsidR="00D870EB">
        <w:t>both scenarios</w:t>
      </w:r>
      <w:r w:rsidRPr="00830A3F">
        <w:t xml:space="preserve">, callers must dial a ten-digit telephone number (three-digit area code, plus seven-digit number) to reach end users. </w:t>
      </w:r>
      <w:r>
        <w:t xml:space="preserve"> </w:t>
      </w:r>
    </w:p>
  </w:footnote>
  <w:footnote w:id="6">
    <w:p w:rsidR="00EA4807" w:rsidRDefault="00EA4807" w:rsidP="00D870EB">
      <w:pPr>
        <w:pStyle w:val="FootnoteText"/>
      </w:pPr>
      <w:r>
        <w:rPr>
          <w:rStyle w:val="FootnoteReference"/>
        </w:rPr>
        <w:footnoteRef/>
      </w:r>
      <w:r>
        <w:t xml:space="preserve"> </w:t>
      </w:r>
      <w:r w:rsidR="00E6319B">
        <w:rPr>
          <w:i/>
        </w:rPr>
        <w:t xml:space="preserve">See </w:t>
      </w:r>
      <w:r w:rsidRPr="006158BE">
        <w:rPr>
          <w:i/>
        </w:rPr>
        <w:t>Local Number Portability Porting Interval and Validation Requirements; Telephone Number Portability</w:t>
      </w:r>
      <w:r>
        <w:t>, WC Docket No. 07-244, CC Docket No. 95-116, Report and Order, 25 FCC Rcd 6953, 6962, para. 18 (2010) (</w:t>
      </w:r>
      <w:r>
        <w:rPr>
          <w:i/>
        </w:rPr>
        <w:t>LNP Standard Fields Order</w:t>
      </w:r>
      <w:r>
        <w:t xml:space="preserve">); </w:t>
      </w:r>
      <w:r>
        <w:rPr>
          <w:i/>
        </w:rPr>
        <w:t xml:space="preserve">see also </w:t>
      </w:r>
      <w:r w:rsidRPr="00BE0F52">
        <w:t>North American Numbering Council</w:t>
      </w:r>
      <w:r>
        <w:t>,</w:t>
      </w:r>
      <w:r w:rsidRPr="00BE0F52">
        <w:t xml:space="preserve"> </w:t>
      </w:r>
      <w:r w:rsidRPr="007D476D">
        <w:rPr>
          <w:i/>
        </w:rPr>
        <w:t>Inter</w:t>
      </w:r>
      <w:r>
        <w:rPr>
          <w:i/>
        </w:rPr>
        <w:t>-</w:t>
      </w:r>
      <w:r w:rsidRPr="0080722B">
        <w:rPr>
          <w:i/>
        </w:rPr>
        <w:t>Service Provider LNP Operation Flows</w:t>
      </w:r>
      <w:r>
        <w:rPr>
          <w:i/>
        </w:rPr>
        <w:t xml:space="preserve"> </w:t>
      </w:r>
      <w:r w:rsidRPr="0080722B">
        <w:rPr>
          <w:i/>
        </w:rPr>
        <w:t>(Version 4.2.</w:t>
      </w:r>
      <w:r>
        <w:t xml:space="preserve">), </w:t>
      </w:r>
      <w:r w:rsidRPr="00BE0F52">
        <w:t>http://www.npac.com/lnpa-working-group/nanc-lnp-process-flows</w:t>
      </w:r>
      <w:r>
        <w:t xml:space="preserve"> (last visited </w:t>
      </w:r>
      <w:r w:rsidR="00257AC2">
        <w:t>June 19</w:t>
      </w:r>
      <w:r>
        <w:t>, 2014).</w:t>
      </w:r>
    </w:p>
  </w:footnote>
  <w:footnote w:id="7">
    <w:p w:rsidR="00EA4807" w:rsidRPr="00BB572F" w:rsidRDefault="00EA4807" w:rsidP="00D870EB">
      <w:pPr>
        <w:pStyle w:val="FootnoteText"/>
      </w:pPr>
      <w:r>
        <w:rPr>
          <w:rStyle w:val="FootnoteReference"/>
        </w:rPr>
        <w:footnoteRef/>
      </w:r>
      <w:r>
        <w:t xml:space="preserve"> </w:t>
      </w:r>
      <w:r>
        <w:rPr>
          <w:i/>
        </w:rPr>
        <w:t>LNP Standard Fields Order</w:t>
      </w:r>
      <w:r w:rsidR="00E6319B">
        <w:t>, 25 FCC Rcd</w:t>
      </w:r>
      <w:r>
        <w:t xml:space="preserve"> at 6965, para. 22.  </w:t>
      </w:r>
    </w:p>
  </w:footnote>
  <w:footnote w:id="8">
    <w:p w:rsidR="00EA4807" w:rsidRDefault="00EA4807" w:rsidP="00D870EB">
      <w:pPr>
        <w:pStyle w:val="FootnoteText"/>
      </w:pPr>
      <w:r>
        <w:rPr>
          <w:rStyle w:val="FootnoteReference"/>
        </w:rPr>
        <w:footnoteRef/>
      </w:r>
      <w:r>
        <w:t xml:space="preserve"> </w:t>
      </w:r>
      <w:r>
        <w:rPr>
          <w:i/>
        </w:rPr>
        <w:t>Id.</w:t>
      </w:r>
    </w:p>
  </w:footnote>
  <w:footnote w:id="9">
    <w:p w:rsidR="00EA4807" w:rsidRDefault="00EA4807" w:rsidP="00D870EB">
      <w:pPr>
        <w:pStyle w:val="FootnoteText"/>
      </w:pPr>
      <w:r>
        <w:rPr>
          <w:rStyle w:val="FootnoteReference"/>
        </w:rPr>
        <w:footnoteRef/>
      </w:r>
      <w:r>
        <w:t xml:space="preserve"> </w:t>
      </w:r>
      <w:r>
        <w:rPr>
          <w:i/>
        </w:rPr>
        <w:t>Id.</w:t>
      </w:r>
    </w:p>
  </w:footnote>
  <w:footnote w:id="10">
    <w:p w:rsidR="00EA4807" w:rsidRDefault="00EA4807" w:rsidP="00D870EB">
      <w:pPr>
        <w:pStyle w:val="FootnoteText"/>
      </w:pPr>
      <w:r>
        <w:rPr>
          <w:rStyle w:val="FootnoteReference"/>
        </w:rPr>
        <w:footnoteRef/>
      </w:r>
      <w:r>
        <w:t xml:space="preserve"> </w:t>
      </w:r>
      <w:r>
        <w:rPr>
          <w:i/>
        </w:rPr>
        <w:t>Id.</w:t>
      </w:r>
    </w:p>
  </w:footnote>
  <w:footnote w:id="11">
    <w:p w:rsidR="00EA4807" w:rsidRPr="003D3146" w:rsidRDefault="00EA4807" w:rsidP="00D870EB">
      <w:pPr>
        <w:pStyle w:val="FootnoteText"/>
        <w:rPr>
          <w:b/>
        </w:rPr>
      </w:pPr>
      <w:r>
        <w:rPr>
          <w:rStyle w:val="FootnoteReference"/>
        </w:rPr>
        <w:footnoteRef/>
      </w:r>
      <w:r>
        <w:t xml:space="preserve"> </w:t>
      </w:r>
      <w:r>
        <w:rPr>
          <w:i/>
        </w:rPr>
        <w:t xml:space="preserve">See </w:t>
      </w:r>
      <w:r>
        <w:t>Letter from Betty Ann Kane, Chairman, N</w:t>
      </w:r>
      <w:r w:rsidR="00E6319B">
        <w:t>ANC</w:t>
      </w:r>
      <w:r>
        <w:t>, to Julie A. Veach, Chief, Wireline Competition Bureau, F</w:t>
      </w:r>
      <w:r w:rsidR="00E6319B">
        <w:t>CC</w:t>
      </w:r>
      <w:r>
        <w:t xml:space="preserve">, WC Docket No. 07-244, Attach. 1 (filed Jan. 2, 2013) (NANC Jan. 2 </w:t>
      </w:r>
      <w:r>
        <w:rPr>
          <w:i/>
        </w:rPr>
        <w:t xml:space="preserve">Ex Parte </w:t>
      </w:r>
      <w:r w:rsidRPr="00F350F8">
        <w:t>Letter</w:t>
      </w:r>
      <w:r w:rsidRPr="00E6319B">
        <w:t>)</w:t>
      </w:r>
      <w:r w:rsidR="00E6319B">
        <w:t xml:space="preserve"> (depicting the “Cancel Flows” in Figure 12);</w:t>
      </w:r>
      <w:r>
        <w:t xml:space="preserve"> </w:t>
      </w:r>
      <w:r w:rsidR="00E6319B">
        <w:rPr>
          <w:i/>
        </w:rPr>
        <w:t>s</w:t>
      </w:r>
      <w:r>
        <w:rPr>
          <w:i/>
        </w:rPr>
        <w:t xml:space="preserve">ee also </w:t>
      </w:r>
      <w:r w:rsidRPr="00F350F8">
        <w:t>N</w:t>
      </w:r>
      <w:r w:rsidR="00E6319B">
        <w:t>ANC</w:t>
      </w:r>
      <w:r>
        <w:rPr>
          <w:i/>
        </w:rPr>
        <w:t>, Cancellation Flows for Provisioning Process,</w:t>
      </w:r>
      <w:r>
        <w:t xml:space="preserve"> </w:t>
      </w:r>
      <w:r w:rsidR="00B6404A" w:rsidRPr="00B6404A">
        <w:t xml:space="preserve">http://www.npac.com/lnpa-working-group/nanc-lnp-process-flows/cancellation-flow-for-provisioning-process </w:t>
      </w:r>
      <w:r>
        <w:t xml:space="preserve">(last visited </w:t>
      </w:r>
      <w:r w:rsidR="00B6404A">
        <w:t>June 19</w:t>
      </w:r>
      <w:r>
        <w:t>, 2014).</w:t>
      </w:r>
      <w:r>
        <w:rPr>
          <w:i/>
        </w:rPr>
        <w:t xml:space="preserve"> </w:t>
      </w:r>
      <w:r>
        <w:t xml:space="preserve"> </w:t>
      </w:r>
    </w:p>
  </w:footnote>
  <w:footnote w:id="12">
    <w:p w:rsidR="00EA4807" w:rsidRDefault="00EA4807" w:rsidP="00D870EB">
      <w:pPr>
        <w:pStyle w:val="FootnoteText"/>
      </w:pPr>
      <w:r>
        <w:rPr>
          <w:rStyle w:val="FootnoteReference"/>
        </w:rPr>
        <w:footnoteRef/>
      </w:r>
      <w:r w:rsidR="00D870EB">
        <w:rPr>
          <w:i/>
        </w:rPr>
        <w:t xml:space="preserve"> </w:t>
      </w:r>
      <w:r w:rsidRPr="00DB3543">
        <w:rPr>
          <w:i/>
        </w:rPr>
        <w:t xml:space="preserve">See </w:t>
      </w:r>
      <w:r>
        <w:t xml:space="preserve">NANC Jan. 2 </w:t>
      </w:r>
      <w:r>
        <w:rPr>
          <w:i/>
        </w:rPr>
        <w:t xml:space="preserve">Ex Parte </w:t>
      </w:r>
      <w:r>
        <w:t>Letter</w:t>
      </w:r>
      <w:r w:rsidR="00E6319B">
        <w:t xml:space="preserve"> at</w:t>
      </w:r>
      <w:r>
        <w:t xml:space="preserve"> Attach. 1, Figure 12, Step 2</w:t>
      </w:r>
      <w:r w:rsidRPr="00DB3543">
        <w:t xml:space="preserve">.  </w:t>
      </w:r>
      <w:r>
        <w:t xml:space="preserve">The term “current provider” is the same as “old local service provider” or “OLSP” in the “Cancel Flows” narratives.  </w:t>
      </w:r>
    </w:p>
  </w:footnote>
  <w:footnote w:id="13">
    <w:p w:rsidR="00EA4807" w:rsidRDefault="00EA4807" w:rsidP="00D870EB">
      <w:pPr>
        <w:pStyle w:val="FootnoteText"/>
      </w:pPr>
      <w:r>
        <w:rPr>
          <w:rStyle w:val="FootnoteReference"/>
        </w:rPr>
        <w:footnoteRef/>
      </w:r>
      <w:r>
        <w:t xml:space="preserve"> </w:t>
      </w:r>
      <w:r w:rsidRPr="00DB3543">
        <w:rPr>
          <w:i/>
        </w:rPr>
        <w:t>See id</w:t>
      </w:r>
      <w:r w:rsidR="00E6319B">
        <w:t>. at</w:t>
      </w:r>
      <w:r w:rsidRPr="00DB3543">
        <w:t xml:space="preserve"> Figure 12, Step 7.</w:t>
      </w:r>
      <w:r w:rsidR="00792988">
        <w:t xml:space="preserve">  If a dispute arises, the current service provider</w:t>
      </w:r>
      <w:r w:rsidR="005A0BBF">
        <w:t xml:space="preserve"> must </w:t>
      </w:r>
      <w:r w:rsidR="000210E5">
        <w:t>then produce</w:t>
      </w:r>
      <w:r w:rsidR="005A0BBF">
        <w:t xml:space="preserve"> a copy of the cancellation authorization. </w:t>
      </w:r>
      <w:r w:rsidR="00792988">
        <w:t xml:space="preserve"> </w:t>
      </w:r>
    </w:p>
  </w:footnote>
  <w:footnote w:id="14">
    <w:p w:rsidR="00EA4807" w:rsidRDefault="00EA4807" w:rsidP="00D870EB">
      <w:pPr>
        <w:pStyle w:val="FootnoteText"/>
      </w:pPr>
      <w:r>
        <w:rPr>
          <w:rStyle w:val="FootnoteReference"/>
        </w:rPr>
        <w:footnoteRef/>
      </w:r>
      <w:r>
        <w:t xml:space="preserve"> </w:t>
      </w:r>
      <w:r w:rsidRPr="00DB3543">
        <w:rPr>
          <w:i/>
        </w:rPr>
        <w:t>See id</w:t>
      </w:r>
      <w:r w:rsidRPr="00DB3543">
        <w:t>.</w:t>
      </w:r>
      <w:r w:rsidR="00E6319B">
        <w:t xml:space="preserve"> at</w:t>
      </w:r>
      <w:r>
        <w:t xml:space="preserve"> Figure 12, Step 11</w:t>
      </w:r>
      <w:r w:rsidRPr="00DB3543">
        <w:t xml:space="preserve">.  </w:t>
      </w:r>
    </w:p>
  </w:footnote>
  <w:footnote w:id="15">
    <w:p w:rsidR="00EA4807" w:rsidRDefault="00EA4807" w:rsidP="00D870EB">
      <w:pPr>
        <w:pStyle w:val="FootnoteText"/>
      </w:pPr>
      <w:r>
        <w:rPr>
          <w:rStyle w:val="FootnoteReference"/>
        </w:rPr>
        <w:footnoteRef/>
      </w:r>
      <w:r>
        <w:t xml:space="preserve"> 47 C.F.R. § 52.15(f)(ii).</w:t>
      </w:r>
    </w:p>
  </w:footnote>
  <w:footnote w:id="16">
    <w:p w:rsidR="00EA4807" w:rsidRPr="00DF28F1" w:rsidRDefault="00EA4807" w:rsidP="00D870EB">
      <w:pPr>
        <w:pStyle w:val="FootnoteText"/>
      </w:pPr>
      <w:r>
        <w:rPr>
          <w:rStyle w:val="FootnoteReference"/>
        </w:rPr>
        <w:footnoteRef/>
      </w:r>
      <w:r>
        <w:t xml:space="preserve"> </w:t>
      </w:r>
      <w:r w:rsidRPr="00DB3543">
        <w:rPr>
          <w:i/>
        </w:rPr>
        <w:t xml:space="preserve">See </w:t>
      </w:r>
      <w:r w:rsidR="00257AC2">
        <w:t xml:space="preserve">NANC Jan. 2 </w:t>
      </w:r>
      <w:r w:rsidR="00257AC2">
        <w:rPr>
          <w:i/>
        </w:rPr>
        <w:t xml:space="preserve">Ex Parte </w:t>
      </w:r>
      <w:r w:rsidR="00257AC2">
        <w:t>Letter</w:t>
      </w:r>
      <w:r w:rsidR="00F513F7">
        <w:t xml:space="preserve"> at</w:t>
      </w:r>
      <w:r w:rsidR="00257AC2">
        <w:t xml:space="preserve"> Attach. 1, </w:t>
      </w:r>
      <w:r>
        <w:t>Figure 14, Step 7.  The “Disconnect Process For Ported Telephone Numbers” is depicted in Figure 14</w:t>
      </w:r>
      <w:r w:rsidR="00F513F7">
        <w:t>.</w:t>
      </w:r>
      <w:r>
        <w:t xml:space="preserve"> </w:t>
      </w:r>
      <w:r w:rsidR="00F513F7">
        <w:t xml:space="preserve"> </w:t>
      </w:r>
      <w:r w:rsidR="00F513F7">
        <w:rPr>
          <w:i/>
        </w:rPr>
        <w:t>S</w:t>
      </w:r>
      <w:r>
        <w:rPr>
          <w:i/>
        </w:rPr>
        <w:t xml:space="preserve">ee also </w:t>
      </w:r>
      <w:r>
        <w:t>N</w:t>
      </w:r>
      <w:r w:rsidR="00F513F7">
        <w:t>ANC</w:t>
      </w:r>
      <w:r>
        <w:t xml:space="preserve">, </w:t>
      </w:r>
      <w:r>
        <w:rPr>
          <w:i/>
        </w:rPr>
        <w:t xml:space="preserve">Disconnect Process For Ported Telephone Numbers, </w:t>
      </w:r>
      <w:r w:rsidRPr="00BE0F52">
        <w:t>http://www.npac.com/lnpa-working-group/nanc-lnp-process-flows/disconnect-process-for-ported-tn</w:t>
      </w:r>
      <w:r>
        <w:t xml:space="preserve"> (last visited </w:t>
      </w:r>
      <w:r w:rsidR="00257AC2">
        <w:t>June 19</w:t>
      </w:r>
      <w:r>
        <w:t>, 2014).</w:t>
      </w:r>
    </w:p>
  </w:footnote>
  <w:footnote w:id="17">
    <w:p w:rsidR="00EA4807" w:rsidRDefault="00EA4807" w:rsidP="00D870EB">
      <w:pPr>
        <w:pStyle w:val="FootnoteText"/>
      </w:pPr>
      <w:r>
        <w:rPr>
          <w:rStyle w:val="FootnoteReference"/>
        </w:rPr>
        <w:footnoteRef/>
      </w:r>
      <w:r>
        <w:t xml:space="preserve"> </w:t>
      </w:r>
      <w:r>
        <w:rPr>
          <w:i/>
        </w:rPr>
        <w:t xml:space="preserve">See </w:t>
      </w:r>
      <w:r>
        <w:t>47 C.F.R §</w:t>
      </w:r>
      <w:r w:rsidR="00F513F7">
        <w:t xml:space="preserve"> </w:t>
      </w:r>
      <w:r>
        <w:t>52.15(f)(ii).</w:t>
      </w:r>
    </w:p>
  </w:footnote>
  <w:footnote w:id="18">
    <w:p w:rsidR="00EA4807" w:rsidRDefault="00EA4807" w:rsidP="00D870EB">
      <w:pPr>
        <w:pStyle w:val="FootnoteText"/>
      </w:pPr>
      <w:r>
        <w:rPr>
          <w:rStyle w:val="FootnoteReference"/>
        </w:rPr>
        <w:footnoteRef/>
      </w:r>
      <w:r>
        <w:t xml:space="preserve"> </w:t>
      </w:r>
      <w:r w:rsidRPr="00D530E9">
        <w:rPr>
          <w:i/>
        </w:rPr>
        <w:t>See Comment Sought on North American Numbering Council Requests for Clarification of Use of Passcodes for Non-Simple Ports and Local Number Portability Provisioning Flows</w:t>
      </w:r>
      <w:r>
        <w:t>, WC Docket No. 07-244, CC Docket No. 95-116, Public Notice, 28 FCC Rcd 7470 (W</w:t>
      </w:r>
      <w:r w:rsidR="00D64829">
        <w:t>ireline Comp. Bur.</w:t>
      </w:r>
      <w:r>
        <w:t xml:space="preserve"> 2013).</w:t>
      </w:r>
    </w:p>
  </w:footnote>
  <w:footnote w:id="19">
    <w:p w:rsidR="00EA4807" w:rsidRDefault="00EA4807" w:rsidP="00D870EB">
      <w:pPr>
        <w:pStyle w:val="FootnoteText"/>
      </w:pPr>
      <w:r>
        <w:rPr>
          <w:rStyle w:val="FootnoteReference"/>
        </w:rPr>
        <w:footnoteRef/>
      </w:r>
      <w:r>
        <w:t xml:space="preserve"> </w:t>
      </w:r>
      <w:r w:rsidRPr="00631B66">
        <w:rPr>
          <w:i/>
        </w:rPr>
        <w:t>See</w:t>
      </w:r>
      <w:r>
        <w:t xml:space="preserve"> CenturyLink Comments at 4.</w:t>
      </w:r>
    </w:p>
  </w:footnote>
  <w:footnote w:id="20">
    <w:p w:rsidR="00EA4807" w:rsidRDefault="00EA4807" w:rsidP="00D870EB">
      <w:pPr>
        <w:pStyle w:val="FootnoteText"/>
      </w:pPr>
      <w:r>
        <w:rPr>
          <w:rStyle w:val="FootnoteReference"/>
        </w:rPr>
        <w:footnoteRef/>
      </w:r>
      <w:r>
        <w:t xml:space="preserve"> </w:t>
      </w:r>
      <w:r>
        <w:rPr>
          <w:i/>
        </w:rPr>
        <w:t xml:space="preserve">See </w:t>
      </w:r>
      <w:r>
        <w:t>Letter from Betty Ann Kane, Chairman, N</w:t>
      </w:r>
      <w:r w:rsidR="008E3413">
        <w:t>ANC</w:t>
      </w:r>
      <w:r>
        <w:t>, to Julie A. Veach, Chief, Wireline Competition Bureau, F</w:t>
      </w:r>
      <w:r w:rsidR="008E3413">
        <w:t>CC</w:t>
      </w:r>
      <w:r>
        <w:t xml:space="preserve">, WC Docket No. 07-244 (dated Oct. 17, 2013 and filed Oct. 22, 2013) (NANC Oct. 17 </w:t>
      </w:r>
      <w:r>
        <w:rPr>
          <w:i/>
        </w:rPr>
        <w:t xml:space="preserve">Ex Parte </w:t>
      </w:r>
      <w:r w:rsidRPr="00F350F8">
        <w:t>Letter</w:t>
      </w:r>
      <w:r>
        <w:t xml:space="preserve">); </w:t>
      </w:r>
      <w:r>
        <w:rPr>
          <w:i/>
        </w:rPr>
        <w:t xml:space="preserve">see also </w:t>
      </w:r>
      <w:r>
        <w:t>Letter from Betty Ann Kane, Chairman, N</w:t>
      </w:r>
      <w:r w:rsidR="008E3413">
        <w:t>ANC</w:t>
      </w:r>
      <w:r>
        <w:t>, to Julie A. Veach, Chief, Wireline Competition Bureau, FCC, WC Docket No. 07-244, Attachs. (dated Oct</w:t>
      </w:r>
      <w:r w:rsidR="008E3413">
        <w:t>.</w:t>
      </w:r>
      <w:r>
        <w:t xml:space="preserve"> 28, 2013 and filed Nov. 5, 2013) (NANC Oct. 28 </w:t>
      </w:r>
      <w:r>
        <w:rPr>
          <w:i/>
        </w:rPr>
        <w:t xml:space="preserve">Ex Parte </w:t>
      </w:r>
      <w:r>
        <w:t>Letter) (includ</w:t>
      </w:r>
      <w:r w:rsidR="008E3413">
        <w:t>ing</w:t>
      </w:r>
      <w:r>
        <w:t xml:space="preserve"> a description of Best Practice 65 endorsed by NANC).  </w:t>
      </w:r>
    </w:p>
  </w:footnote>
  <w:footnote w:id="21">
    <w:p w:rsidR="00EA4807" w:rsidRDefault="00EA4807" w:rsidP="00D870EB">
      <w:pPr>
        <w:pStyle w:val="FootnoteText"/>
      </w:pPr>
      <w:r>
        <w:rPr>
          <w:rStyle w:val="FootnoteReference"/>
        </w:rPr>
        <w:footnoteRef/>
      </w:r>
      <w:r>
        <w:t xml:space="preserve"> </w:t>
      </w:r>
      <w:r>
        <w:rPr>
          <w:i/>
        </w:rPr>
        <w:t xml:space="preserve">See </w:t>
      </w:r>
      <w:r>
        <w:t xml:space="preserve">NANC Oct. 17 </w:t>
      </w:r>
      <w:r>
        <w:rPr>
          <w:i/>
        </w:rPr>
        <w:t xml:space="preserve">Ex Parte </w:t>
      </w:r>
      <w:r>
        <w:t>Letter at 1.</w:t>
      </w:r>
    </w:p>
  </w:footnote>
  <w:footnote w:id="22">
    <w:p w:rsidR="00EA4807" w:rsidRDefault="00EA4807" w:rsidP="00D870EB">
      <w:pPr>
        <w:pStyle w:val="FootnoteText"/>
      </w:pPr>
      <w:r>
        <w:rPr>
          <w:rStyle w:val="FootnoteReference"/>
        </w:rPr>
        <w:footnoteRef/>
      </w:r>
      <w:r>
        <w:t xml:space="preserve"> </w:t>
      </w:r>
      <w:r>
        <w:rPr>
          <w:i/>
        </w:rPr>
        <w:t xml:space="preserve">See </w:t>
      </w:r>
      <w:r w:rsidR="008E3413">
        <w:rPr>
          <w:i/>
        </w:rPr>
        <w:t>generally id</w:t>
      </w:r>
      <w:r w:rsidR="008E3413">
        <w:t>.</w:t>
      </w:r>
      <w:r>
        <w:t xml:space="preserve">; </w:t>
      </w:r>
      <w:r>
        <w:rPr>
          <w:i/>
        </w:rPr>
        <w:t xml:space="preserve">see also </w:t>
      </w:r>
      <w:r>
        <w:t xml:space="preserve">NANC </w:t>
      </w:r>
      <w:r w:rsidR="006E5694">
        <w:t>Oct. 28</w:t>
      </w:r>
      <w:r>
        <w:t xml:space="preserve"> </w:t>
      </w:r>
      <w:r>
        <w:rPr>
          <w:i/>
        </w:rPr>
        <w:t xml:space="preserve">Ex Parte </w:t>
      </w:r>
      <w:r>
        <w:t xml:space="preserve">Letter; </w:t>
      </w:r>
      <w:r w:rsidR="006E5694">
        <w:t>NANC</w:t>
      </w:r>
      <w:r>
        <w:t xml:space="preserve">, LNPA Working Group, 0065 LSR SUPPs, Expedites, Due Date Changes (May 4, 2010), </w:t>
      </w:r>
      <w:r w:rsidRPr="006E5694">
        <w:t>http://www.npac.com/lnpa-working-group/lnp-best-practices#0065</w:t>
      </w:r>
      <w:r>
        <w:t xml:space="preserve"> (Best Practices 65 Report). </w:t>
      </w:r>
    </w:p>
  </w:footnote>
  <w:footnote w:id="23">
    <w:p w:rsidR="00EA4807" w:rsidRDefault="00EA4807" w:rsidP="00D870EB">
      <w:pPr>
        <w:pStyle w:val="FootnoteText"/>
      </w:pPr>
      <w:r>
        <w:rPr>
          <w:rStyle w:val="FootnoteReference"/>
        </w:rPr>
        <w:footnoteRef/>
      </w:r>
      <w:r>
        <w:t xml:space="preserve"> </w:t>
      </w:r>
      <w:r w:rsidRPr="00DB3543">
        <w:rPr>
          <w:i/>
        </w:rPr>
        <w:t>See</w:t>
      </w:r>
      <w:r>
        <w:rPr>
          <w:i/>
        </w:rPr>
        <w:t xml:space="preserve"> generally</w:t>
      </w:r>
      <w:r w:rsidRPr="00DB3543">
        <w:rPr>
          <w:i/>
        </w:rPr>
        <w:t xml:space="preserve"> </w:t>
      </w:r>
      <w:r>
        <w:t>Best Practices 65 Report</w:t>
      </w:r>
      <w:r w:rsidR="006E5694">
        <w:t>.</w:t>
      </w:r>
      <w:r>
        <w:t xml:space="preserve"> </w:t>
      </w:r>
      <w:r w:rsidR="006E5694">
        <w:t xml:space="preserve"> </w:t>
      </w:r>
      <w:r w:rsidR="006E5694">
        <w:rPr>
          <w:i/>
        </w:rPr>
        <w:t>S</w:t>
      </w:r>
      <w:r>
        <w:rPr>
          <w:i/>
        </w:rPr>
        <w:t>ee</w:t>
      </w:r>
      <w:r w:rsidR="006E5694">
        <w:rPr>
          <w:i/>
        </w:rPr>
        <w:t xml:space="preserve"> also</w:t>
      </w:r>
      <w:r>
        <w:rPr>
          <w:i/>
        </w:rPr>
        <w:t xml:space="preserve"> </w:t>
      </w:r>
      <w:r>
        <w:t xml:space="preserve">LNPA Working Group, </w:t>
      </w:r>
      <w:r w:rsidRPr="000B6009">
        <w:t xml:space="preserve">0065 Redline PIM 81 LNP Process Flow and BP 65 Consensus </w:t>
      </w:r>
      <w:r>
        <w:t>C</w:t>
      </w:r>
      <w:r w:rsidRPr="000B6009">
        <w:t>hanges</w:t>
      </w:r>
      <w:r>
        <w:t xml:space="preserve">, </w:t>
      </w:r>
      <w:r w:rsidRPr="000B6009">
        <w:t>6Mar2013</w:t>
      </w:r>
      <w:r>
        <w:t xml:space="preserve"> (May 4, 2010), </w:t>
      </w:r>
      <w:r w:rsidRPr="006E5694">
        <w:t>http://www.npac.com/lnpa-working-group/lnp-best-practices#0065</w:t>
      </w:r>
      <w:r w:rsidRPr="001F7A9E">
        <w:rPr>
          <w:i/>
        </w:rPr>
        <w:t xml:space="preserve"> </w:t>
      </w:r>
      <w:r w:rsidRPr="001F7A9E">
        <w:t>(embedded</w:t>
      </w:r>
      <w:r>
        <w:t xml:space="preserve"> document in the Best Practices 65 Report); NANC Oct. 17 </w:t>
      </w:r>
      <w:r>
        <w:rPr>
          <w:i/>
        </w:rPr>
        <w:t>Ex parte Letter</w:t>
      </w:r>
      <w:r>
        <w:t xml:space="preserve"> at 1, Attach. 1 at Figure 7, Step 1; Figure 9, Step 3; and Figure 10, Step 4; NANC Oct. 28 </w:t>
      </w:r>
      <w:r>
        <w:rPr>
          <w:i/>
        </w:rPr>
        <w:t xml:space="preserve">Ex Parte </w:t>
      </w:r>
      <w:r>
        <w:t>Letter.</w:t>
      </w:r>
    </w:p>
  </w:footnote>
  <w:footnote w:id="24">
    <w:p w:rsidR="00EA4807" w:rsidRDefault="00EA4807" w:rsidP="00D870EB">
      <w:pPr>
        <w:pStyle w:val="FootnoteText"/>
      </w:pPr>
      <w:r>
        <w:rPr>
          <w:rStyle w:val="FootnoteReference"/>
        </w:rPr>
        <w:footnoteRef/>
      </w:r>
      <w:r>
        <w:t xml:space="preserve"> </w:t>
      </w:r>
      <w:r w:rsidRPr="00D530E9">
        <w:rPr>
          <w:i/>
        </w:rPr>
        <w:t xml:space="preserve">See Comment Sought on North American Numbering Council </w:t>
      </w:r>
      <w:r>
        <w:rPr>
          <w:i/>
        </w:rPr>
        <w:t>Proposals Regarding Premature Activation of Ports and Area Code Relief Options</w:t>
      </w:r>
      <w:r>
        <w:t>, WC Docket No. 07-244, CC Docket No. 95-116, CC Docket 99-200, Public Notice, 28 FCC Rcd 16595 (W</w:t>
      </w:r>
      <w:r w:rsidR="00F539A4">
        <w:t xml:space="preserve">ireline </w:t>
      </w:r>
      <w:r>
        <w:t>C</w:t>
      </w:r>
      <w:r w:rsidR="00F539A4">
        <w:t xml:space="preserve">omp. </w:t>
      </w:r>
      <w:r>
        <w:t>B</w:t>
      </w:r>
      <w:r w:rsidR="00F539A4">
        <w:t>ur.</w:t>
      </w:r>
      <w:r>
        <w:t xml:space="preserve"> 2013) (</w:t>
      </w:r>
      <w:r w:rsidRPr="00F539A4">
        <w:rPr>
          <w:i/>
        </w:rPr>
        <w:t>Best Practices PN</w:t>
      </w:r>
      <w:r>
        <w:t>).</w:t>
      </w:r>
    </w:p>
  </w:footnote>
  <w:footnote w:id="25">
    <w:p w:rsidR="00EA4807" w:rsidRPr="00F41DCC" w:rsidRDefault="00EA4807" w:rsidP="00D870EB">
      <w:pPr>
        <w:pStyle w:val="FootnoteText"/>
      </w:pPr>
      <w:r>
        <w:rPr>
          <w:rStyle w:val="FootnoteReference"/>
        </w:rPr>
        <w:footnoteRef/>
      </w:r>
      <w:r>
        <w:t xml:space="preserve"> </w:t>
      </w:r>
      <w:r w:rsidRPr="00631B66">
        <w:rPr>
          <w:i/>
        </w:rPr>
        <w:t>See</w:t>
      </w:r>
      <w:r>
        <w:t xml:space="preserve"> CenturyLink Comments at 1-4; </w:t>
      </w:r>
      <w:r>
        <w:rPr>
          <w:i/>
        </w:rPr>
        <w:t>see also</w:t>
      </w:r>
      <w:r>
        <w:t xml:space="preserve"> AT&amp;T Reply Comments at 1. </w:t>
      </w:r>
    </w:p>
  </w:footnote>
  <w:footnote w:id="26">
    <w:p w:rsidR="00EA4807" w:rsidRPr="00830A3F" w:rsidRDefault="00EA4807" w:rsidP="00D870EB">
      <w:pPr>
        <w:pStyle w:val="FootnoteText"/>
      </w:pPr>
      <w:r w:rsidRPr="00830A3F">
        <w:rPr>
          <w:rStyle w:val="FootnoteReference"/>
        </w:rPr>
        <w:footnoteRef/>
      </w:r>
      <w:r w:rsidRPr="00830A3F">
        <w:t xml:space="preserve"> </w:t>
      </w:r>
      <w:r w:rsidRPr="00830A3F">
        <w:rPr>
          <w:i/>
        </w:rPr>
        <w:t>See</w:t>
      </w:r>
      <w:r w:rsidRPr="00830A3F">
        <w:t xml:space="preserve"> </w:t>
      </w:r>
      <w:r>
        <w:t xml:space="preserve">NANC Oct. 17 </w:t>
      </w:r>
      <w:r>
        <w:rPr>
          <w:i/>
        </w:rPr>
        <w:t xml:space="preserve">Ex Parte </w:t>
      </w:r>
      <w:r w:rsidRPr="00F350F8">
        <w:t>Letter</w:t>
      </w:r>
      <w:r w:rsidR="006F0367">
        <w:t xml:space="preserve"> at </w:t>
      </w:r>
      <w:r w:rsidR="00F539A4">
        <w:t>Attach., “The All Services Overlay is the Best Solution for the Area Code”</w:t>
      </w:r>
      <w:r>
        <w:t xml:space="preserve"> (explaining preference for area code overlays over area code splits). </w:t>
      </w:r>
    </w:p>
  </w:footnote>
  <w:footnote w:id="27">
    <w:p w:rsidR="00EA4807" w:rsidRPr="00830A3F" w:rsidRDefault="00EA4807" w:rsidP="00D870EB">
      <w:pPr>
        <w:pStyle w:val="FootnoteText"/>
      </w:pPr>
      <w:r w:rsidRPr="00830A3F">
        <w:rPr>
          <w:rStyle w:val="FootnoteReference"/>
        </w:rPr>
        <w:footnoteRef/>
      </w:r>
      <w:r>
        <w:t xml:space="preserve"> </w:t>
      </w:r>
      <w:r w:rsidR="003622A7">
        <w:rPr>
          <w:i/>
        </w:rPr>
        <w:t>Id</w:t>
      </w:r>
      <w:r w:rsidR="003622A7">
        <w:t>.</w:t>
      </w:r>
    </w:p>
  </w:footnote>
  <w:footnote w:id="28">
    <w:p w:rsidR="00EA4807" w:rsidRDefault="00EA4807" w:rsidP="002A0229">
      <w:pPr>
        <w:widowControl/>
        <w:spacing w:after="120"/>
      </w:pPr>
      <w:r>
        <w:rPr>
          <w:rStyle w:val="FootnoteReference"/>
        </w:rPr>
        <w:footnoteRef/>
      </w:r>
      <w:r>
        <w:t xml:space="preserve"> </w:t>
      </w:r>
      <w:r w:rsidRPr="00BB3A38">
        <w:rPr>
          <w:sz w:val="20"/>
        </w:rPr>
        <w:t xml:space="preserve">Port requests can fail or create a backlog if the carriers’ operational support systems are not in sync with the LNP database. </w:t>
      </w:r>
      <w:r w:rsidR="001B3AD9">
        <w:rPr>
          <w:sz w:val="20"/>
        </w:rPr>
        <w:t xml:space="preserve"> </w:t>
      </w:r>
      <w:r w:rsidRPr="00BB3A38">
        <w:rPr>
          <w:sz w:val="20"/>
        </w:rPr>
        <w:t xml:space="preserve">If such synchronization fails, calls can also be misrouted. </w:t>
      </w:r>
      <w:r w:rsidR="00F539A4">
        <w:rPr>
          <w:sz w:val="20"/>
        </w:rPr>
        <w:t xml:space="preserve"> </w:t>
      </w:r>
      <w:r w:rsidRPr="00BB3A38">
        <w:rPr>
          <w:i/>
          <w:sz w:val="20"/>
        </w:rPr>
        <w:t>Id</w:t>
      </w:r>
      <w:r w:rsidRPr="00BB3A38">
        <w:rPr>
          <w:sz w:val="20"/>
        </w:rPr>
        <w:t>.</w:t>
      </w:r>
    </w:p>
  </w:footnote>
  <w:footnote w:id="29">
    <w:p w:rsidR="00EA4807" w:rsidRDefault="00EA4807" w:rsidP="00D870EB">
      <w:pPr>
        <w:pStyle w:val="FootnoteText"/>
      </w:pPr>
      <w:r>
        <w:rPr>
          <w:rStyle w:val="FootnoteReference"/>
        </w:rPr>
        <w:footnoteRef/>
      </w:r>
      <w:r>
        <w:t xml:space="preserve"> The NANC maintains that an overlay avoids discrimination against customers on different sides of a boundary line when determining which side </w:t>
      </w:r>
      <w:r w:rsidR="00AA2AA3">
        <w:t xml:space="preserve">of the boundary </w:t>
      </w:r>
      <w:r>
        <w:t xml:space="preserve">gets the new area code.  The NANC also maintains that an overlay requires less customer education and results in less customer confusion.  </w:t>
      </w:r>
      <w:r w:rsidRPr="00BB3A38">
        <w:rPr>
          <w:i/>
        </w:rPr>
        <w:t>Id</w:t>
      </w:r>
      <w:r>
        <w:t>.</w:t>
      </w:r>
    </w:p>
  </w:footnote>
  <w:footnote w:id="30">
    <w:p w:rsidR="00EA4807" w:rsidRPr="00830A3F" w:rsidRDefault="00EA4807" w:rsidP="00D870EB">
      <w:pPr>
        <w:pStyle w:val="FootnoteText"/>
      </w:pPr>
      <w:r w:rsidRPr="00830A3F">
        <w:rPr>
          <w:rStyle w:val="FootnoteReference"/>
        </w:rPr>
        <w:footnoteRef/>
      </w:r>
      <w:r w:rsidRPr="00830A3F">
        <w:t xml:space="preserve"> </w:t>
      </w:r>
      <w:r>
        <w:rPr>
          <w:i/>
        </w:rPr>
        <w:t xml:space="preserve">See </w:t>
      </w:r>
      <w:r w:rsidRPr="00F539A4">
        <w:rPr>
          <w:i/>
        </w:rPr>
        <w:t>Best Practices PN</w:t>
      </w:r>
      <w:r>
        <w:t>.</w:t>
      </w:r>
      <w:r w:rsidRPr="00830A3F">
        <w:t xml:space="preserve"> </w:t>
      </w:r>
    </w:p>
  </w:footnote>
  <w:footnote w:id="31">
    <w:p w:rsidR="00EA4807" w:rsidRPr="00830A3F" w:rsidRDefault="00EA4807" w:rsidP="00D870EB">
      <w:pPr>
        <w:pStyle w:val="FootnoteText"/>
      </w:pPr>
      <w:r w:rsidRPr="00830A3F">
        <w:rPr>
          <w:rStyle w:val="FootnoteReference"/>
        </w:rPr>
        <w:footnoteRef/>
      </w:r>
      <w:r w:rsidRPr="00830A3F">
        <w:t xml:space="preserve"> </w:t>
      </w:r>
      <w:r w:rsidR="00F539A4">
        <w:rPr>
          <w:i/>
        </w:rPr>
        <w:t xml:space="preserve">See </w:t>
      </w:r>
      <w:r w:rsidRPr="00830A3F">
        <w:t xml:space="preserve">CenturyLink Comments at 5-6; AT&amp;T Reply Comments at 1.  </w:t>
      </w:r>
    </w:p>
  </w:footnote>
  <w:footnote w:id="32">
    <w:p w:rsidR="00EA4807" w:rsidRPr="00830A3F" w:rsidRDefault="00EA4807" w:rsidP="00D870EB">
      <w:pPr>
        <w:pStyle w:val="FootnoteText"/>
      </w:pPr>
      <w:r w:rsidRPr="00830A3F">
        <w:rPr>
          <w:rStyle w:val="FootnoteReference"/>
        </w:rPr>
        <w:footnoteRef/>
      </w:r>
      <w:r w:rsidRPr="00830A3F">
        <w:t xml:space="preserve"> </w:t>
      </w:r>
      <w:r w:rsidR="00F539A4">
        <w:rPr>
          <w:i/>
        </w:rPr>
        <w:t xml:space="preserve">See </w:t>
      </w:r>
      <w:r w:rsidRPr="00830A3F">
        <w:t xml:space="preserve">Minnesota DOC Comments at </w:t>
      </w:r>
      <w:r>
        <w:t xml:space="preserve">1, </w:t>
      </w:r>
      <w:r w:rsidRPr="00830A3F">
        <w:t>4; California PUC Reply Comments at 2; Pennsylvania PUC Reply Comments at 4</w:t>
      </w:r>
      <w:r>
        <w:t>, 5</w:t>
      </w:r>
      <w:r w:rsidRPr="00830A3F">
        <w:t>.</w:t>
      </w:r>
    </w:p>
  </w:footnote>
  <w:footnote w:id="33">
    <w:p w:rsidR="00EA4807" w:rsidRPr="00830A3F" w:rsidRDefault="00EA4807" w:rsidP="00D870EB">
      <w:pPr>
        <w:pStyle w:val="FootnoteText"/>
      </w:pPr>
      <w:r w:rsidRPr="00830A3F">
        <w:rPr>
          <w:rStyle w:val="FootnoteReference"/>
        </w:rPr>
        <w:footnoteRef/>
      </w:r>
      <w:r w:rsidRPr="00830A3F">
        <w:t xml:space="preserve"> Minnesota DOC Comments at 3-4; California PUC Reply Comments at 2-3; Pennsylvania PUC Reply Comments at 4-5.</w:t>
      </w:r>
    </w:p>
  </w:footnote>
  <w:footnote w:id="34">
    <w:p w:rsidR="00EA4807" w:rsidRPr="00163AB6" w:rsidRDefault="00EA4807" w:rsidP="00D870EB">
      <w:pPr>
        <w:pStyle w:val="FootnoteText"/>
      </w:pPr>
      <w:r>
        <w:rPr>
          <w:rStyle w:val="FootnoteReference"/>
          <w:sz w:val="20"/>
        </w:rPr>
        <w:footnoteRef/>
      </w:r>
      <w:r>
        <w:t xml:space="preserve"> </w:t>
      </w:r>
      <w:r w:rsidRPr="00BE0F52">
        <w:rPr>
          <w:i/>
        </w:rPr>
        <w:t>See LNP Standard Fields Order</w:t>
      </w:r>
      <w:r w:rsidRPr="001835C9">
        <w:t xml:space="preserve">, 25 FCC Rcd at 6963, para. 18; </w:t>
      </w:r>
      <w:r w:rsidRPr="001835C9">
        <w:rPr>
          <w:i/>
        </w:rPr>
        <w:t>Telephone Number Portability</w:t>
      </w:r>
      <w:r w:rsidRPr="001835C9">
        <w:t>, CC Docket No. 95-116, RM 8535, Second Report and Order, 12 FCC Rcd 12281, 12</w:t>
      </w:r>
      <w:r w:rsidRPr="00163AB6">
        <w:t xml:space="preserve">316, para. 58 (1997). </w:t>
      </w:r>
    </w:p>
  </w:footnote>
  <w:footnote w:id="35">
    <w:p w:rsidR="00EA4807" w:rsidRDefault="00EA4807" w:rsidP="00D870EB">
      <w:pPr>
        <w:pStyle w:val="FootnoteText"/>
      </w:pPr>
      <w:r w:rsidRPr="00163AB6">
        <w:rPr>
          <w:rStyle w:val="FootnoteReference"/>
          <w:sz w:val="20"/>
        </w:rPr>
        <w:footnoteRef/>
      </w:r>
      <w:r w:rsidRPr="00163AB6">
        <w:t xml:space="preserve"> </w:t>
      </w:r>
      <w:r w:rsidRPr="00163AB6">
        <w:rPr>
          <w:i/>
        </w:rPr>
        <w:t xml:space="preserve">See </w:t>
      </w:r>
      <w:r w:rsidRPr="00163AB6">
        <w:t>47 U.S.C. § 251(b)(2) (requiring LECs to “provide, to the extent technically feasible, number portability in accordance with requirements prescribed by the Commission”); 47 U.S.C. § 251(e) (giving the Commission plenary jurisdiction over the North American Numbering Plan and related telephone numbering issues in the United States).</w:t>
      </w:r>
      <w:r>
        <w:t xml:space="preserve">  </w:t>
      </w:r>
    </w:p>
  </w:footnote>
  <w:footnote w:id="36">
    <w:p w:rsidR="00EA4807" w:rsidRPr="00592CD0" w:rsidRDefault="00EA4807" w:rsidP="00D870EB">
      <w:pPr>
        <w:pStyle w:val="FootnoteText"/>
      </w:pPr>
      <w:r>
        <w:rPr>
          <w:rStyle w:val="FootnoteReference"/>
        </w:rPr>
        <w:footnoteRef/>
      </w:r>
      <w:r>
        <w:t xml:space="preserve"> </w:t>
      </w:r>
      <w:r>
        <w:rPr>
          <w:i/>
        </w:rPr>
        <w:t>See LNP Standard Fields Order</w:t>
      </w:r>
      <w:r>
        <w:t>, 25 FCC Rcd at 6965, para. 22.</w:t>
      </w:r>
    </w:p>
  </w:footnote>
  <w:footnote w:id="37">
    <w:p w:rsidR="00EA4807" w:rsidRPr="00830A3F" w:rsidRDefault="00EA4807" w:rsidP="00D870EB">
      <w:pPr>
        <w:pStyle w:val="FootnoteText"/>
      </w:pPr>
      <w:r w:rsidRPr="00830A3F">
        <w:rPr>
          <w:rStyle w:val="FootnoteReference"/>
        </w:rPr>
        <w:footnoteRef/>
      </w:r>
      <w:r w:rsidRPr="00830A3F">
        <w:t xml:space="preserve"> </w:t>
      </w:r>
      <w:r w:rsidRPr="00830A3F">
        <w:rPr>
          <w:i/>
        </w:rPr>
        <w:t>See</w:t>
      </w:r>
      <w:r w:rsidRPr="00830A3F">
        <w:t xml:space="preserve"> </w:t>
      </w:r>
      <w:r w:rsidR="001B3AD9">
        <w:t xml:space="preserve">Number Portability Administration Center, </w:t>
      </w:r>
      <w:r w:rsidR="001B3AD9">
        <w:rPr>
          <w:i/>
        </w:rPr>
        <w:t xml:space="preserve">Local Number Portability Best Practices, </w:t>
      </w:r>
      <w:r w:rsidRPr="00830A3F">
        <w:t xml:space="preserve">http://www.npac.com/lnpa-working-group/lnp-best-practices (“The members of the Local Number Portability Administration Working Group have created </w:t>
      </w:r>
      <w:r>
        <w:t>‘</w:t>
      </w:r>
      <w:r w:rsidRPr="00830A3F">
        <w:t>Best Practices</w:t>
      </w:r>
      <w:r>
        <w:t>’</w:t>
      </w:r>
      <w:r w:rsidRPr="00830A3F">
        <w:t xml:space="preserve"> for porting between and within telephony carriers.”</w:t>
      </w:r>
      <w:r>
        <w:t>)</w:t>
      </w:r>
      <w:r w:rsidR="001B3AD9">
        <w:t xml:space="preserve"> (last visited June 19, 2014)</w:t>
      </w:r>
      <w:r>
        <w:t>.</w:t>
      </w:r>
    </w:p>
  </w:footnote>
  <w:footnote w:id="38">
    <w:p w:rsidR="00EA4807" w:rsidRPr="00830A3F" w:rsidRDefault="00EA4807" w:rsidP="00D870EB">
      <w:pPr>
        <w:pStyle w:val="FootnoteText"/>
      </w:pPr>
      <w:r w:rsidRPr="00830A3F">
        <w:rPr>
          <w:rStyle w:val="FootnoteReference"/>
        </w:rPr>
        <w:footnoteRef/>
      </w:r>
      <w:r w:rsidRPr="00830A3F">
        <w:t xml:space="preserve"> </w:t>
      </w:r>
      <w:r w:rsidRPr="00830A3F">
        <w:rPr>
          <w:i/>
        </w:rPr>
        <w:t>Id</w:t>
      </w:r>
      <w:r w:rsidRPr="00830A3F">
        <w:t>. (“These Best Practices have not been mandated entirely, and in many cases are considered a gentleman</w:t>
      </w:r>
      <w:r>
        <w:t>’</w:t>
      </w:r>
      <w:r w:rsidRPr="00830A3F">
        <w:t>s agreement on porting between carriers.  However, many of the Best Practices have been presented to the North American Number Council (NANC) for approval and, after NANC</w:t>
      </w:r>
      <w:r>
        <w:t>’</w:t>
      </w:r>
      <w:r w:rsidRPr="00830A3F">
        <w:t>s approval, forwarded on to the FCC.”)</w:t>
      </w:r>
      <w:r>
        <w:t>.</w:t>
      </w:r>
    </w:p>
  </w:footnote>
  <w:footnote w:id="39">
    <w:p w:rsidR="00EA4807" w:rsidRPr="00830A3F" w:rsidRDefault="00EA4807" w:rsidP="00D870EB">
      <w:pPr>
        <w:pStyle w:val="FootnoteText"/>
      </w:pPr>
      <w:r w:rsidRPr="00830A3F">
        <w:rPr>
          <w:rStyle w:val="FootnoteReference"/>
        </w:rPr>
        <w:footnoteRef/>
      </w:r>
      <w:r w:rsidRPr="00830A3F">
        <w:t xml:space="preserve"> 47 C.F.R. § 52.19(a) (“State commissions may resolve matters involving the introduction of new area codes within their states. </w:t>
      </w:r>
      <w:r>
        <w:t xml:space="preserve"> </w:t>
      </w:r>
      <w:r w:rsidRPr="00830A3F">
        <w:t>Such matters may include, but are not limited to: Directing whether area code relief will take the form o</w:t>
      </w:r>
      <w:r w:rsidR="00F539A4">
        <w:t>f</w:t>
      </w:r>
      <w:r w:rsidRPr="00830A3F">
        <w:t xml:space="preserve"> a geographic split, an overlay area code, or a boundary realignment</w:t>
      </w:r>
      <w:r>
        <w:t>. . .</w:t>
      </w:r>
      <w:r w:rsidR="007962F0">
        <w:t xml:space="preserve"> .</w:t>
      </w:r>
      <w:r w:rsidRPr="00830A3F">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7D" w:rsidRDefault="00875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Default="00EA4807">
    <w:pPr>
      <w:pStyle w:val="Header"/>
      <w:pBdr>
        <w:bottom w:val="single" w:sz="12" w:space="1" w:color="auto"/>
      </w:pBdr>
      <w:rPr>
        <w:b w:val="0"/>
      </w:rPr>
    </w:pPr>
    <w:r>
      <w:tab/>
      <w:t>Federal Communications Commission</w:t>
    </w:r>
    <w:r>
      <w:tab/>
      <w:t>DA 14-</w:t>
    </w:r>
    <w:r w:rsidR="001B3AD9">
      <w:t>842</w:t>
    </w:r>
  </w:p>
  <w:p w:rsidR="00EA4807" w:rsidRDefault="00EA4807">
    <w:pPr>
      <w:tabs>
        <w:tab w:val="left" w:pos="-720"/>
      </w:tabs>
      <w:suppressAutoHyphens/>
      <w:spacing w:line="19" w:lineRule="exact"/>
      <w:rPr>
        <w:spacing w:val="-2"/>
      </w:rPr>
    </w:pPr>
  </w:p>
  <w:p w:rsidR="00EA4807" w:rsidRDefault="00EA480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Default="00EA4807">
    <w:pPr>
      <w:pStyle w:val="Header"/>
      <w:pBdr>
        <w:bottom w:val="single" w:sz="12" w:space="1" w:color="auto"/>
      </w:pBdr>
      <w:rPr>
        <w:b w:val="0"/>
      </w:rPr>
    </w:pPr>
    <w:r>
      <w:tab/>
      <w:t>Federal Communications Commission</w:t>
    </w:r>
    <w:r>
      <w:tab/>
    </w:r>
    <w:r>
      <w:rPr>
        <w:spacing w:val="-2"/>
      </w:rPr>
      <w:t>DA 14-</w:t>
    </w:r>
    <w:r w:rsidR="001B3AD9">
      <w:rPr>
        <w:spacing w:val="-2"/>
      </w:rPr>
      <w:t>842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530"/>
        </w:tabs>
        <w:ind w:left="45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num>
  <w:num w:numId="8">
    <w:abstractNumId w:val="6"/>
  </w:num>
  <w:num w:numId="9">
    <w:abstractNumId w:val="6"/>
  </w:num>
  <w:num w:numId="10">
    <w:abstractNumId w:val="5"/>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DB"/>
    <w:rsid w:val="00001823"/>
    <w:rsid w:val="00004648"/>
    <w:rsid w:val="000063AB"/>
    <w:rsid w:val="00012F80"/>
    <w:rsid w:val="00013925"/>
    <w:rsid w:val="00017033"/>
    <w:rsid w:val="000210E5"/>
    <w:rsid w:val="00023353"/>
    <w:rsid w:val="000311F9"/>
    <w:rsid w:val="00036039"/>
    <w:rsid w:val="00036F1D"/>
    <w:rsid w:val="00037F90"/>
    <w:rsid w:val="000454FB"/>
    <w:rsid w:val="000476DE"/>
    <w:rsid w:val="000632C2"/>
    <w:rsid w:val="000637ED"/>
    <w:rsid w:val="000719B0"/>
    <w:rsid w:val="0008639F"/>
    <w:rsid w:val="000875BF"/>
    <w:rsid w:val="00096B4E"/>
    <w:rsid w:val="00096D8C"/>
    <w:rsid w:val="000A5B03"/>
    <w:rsid w:val="000B6009"/>
    <w:rsid w:val="000C0B65"/>
    <w:rsid w:val="000D6783"/>
    <w:rsid w:val="000D715E"/>
    <w:rsid w:val="000E3D42"/>
    <w:rsid w:val="000F6F36"/>
    <w:rsid w:val="000F7417"/>
    <w:rsid w:val="00103EEF"/>
    <w:rsid w:val="00104812"/>
    <w:rsid w:val="00106B23"/>
    <w:rsid w:val="00106F81"/>
    <w:rsid w:val="00113729"/>
    <w:rsid w:val="0011789D"/>
    <w:rsid w:val="00117DE3"/>
    <w:rsid w:val="00122BD5"/>
    <w:rsid w:val="0012397B"/>
    <w:rsid w:val="001240EA"/>
    <w:rsid w:val="00125018"/>
    <w:rsid w:val="00126133"/>
    <w:rsid w:val="00131497"/>
    <w:rsid w:val="001457FA"/>
    <w:rsid w:val="00153CF1"/>
    <w:rsid w:val="00154F40"/>
    <w:rsid w:val="00163AB6"/>
    <w:rsid w:val="00163E67"/>
    <w:rsid w:val="00173FA6"/>
    <w:rsid w:val="001835C9"/>
    <w:rsid w:val="00190050"/>
    <w:rsid w:val="00191E75"/>
    <w:rsid w:val="001A039A"/>
    <w:rsid w:val="001B2822"/>
    <w:rsid w:val="001B3AD9"/>
    <w:rsid w:val="001B754B"/>
    <w:rsid w:val="001D0965"/>
    <w:rsid w:val="001D1D21"/>
    <w:rsid w:val="001D6BCF"/>
    <w:rsid w:val="001D77AD"/>
    <w:rsid w:val="001E01CA"/>
    <w:rsid w:val="001E14FE"/>
    <w:rsid w:val="001F32F1"/>
    <w:rsid w:val="001F54DE"/>
    <w:rsid w:val="001F7A9E"/>
    <w:rsid w:val="00204F85"/>
    <w:rsid w:val="0020523A"/>
    <w:rsid w:val="002300F1"/>
    <w:rsid w:val="00230988"/>
    <w:rsid w:val="00242048"/>
    <w:rsid w:val="002442C8"/>
    <w:rsid w:val="0025063D"/>
    <w:rsid w:val="00257AC2"/>
    <w:rsid w:val="00264935"/>
    <w:rsid w:val="00273E0F"/>
    <w:rsid w:val="00282113"/>
    <w:rsid w:val="00285017"/>
    <w:rsid w:val="002917D2"/>
    <w:rsid w:val="00294BA1"/>
    <w:rsid w:val="002A0229"/>
    <w:rsid w:val="002A2D2E"/>
    <w:rsid w:val="002A7996"/>
    <w:rsid w:val="002B129E"/>
    <w:rsid w:val="002B3BA8"/>
    <w:rsid w:val="002C1849"/>
    <w:rsid w:val="002C39D5"/>
    <w:rsid w:val="002D015C"/>
    <w:rsid w:val="002D792D"/>
    <w:rsid w:val="002E1A08"/>
    <w:rsid w:val="002E55A9"/>
    <w:rsid w:val="002F3665"/>
    <w:rsid w:val="002F6BD1"/>
    <w:rsid w:val="00312C50"/>
    <w:rsid w:val="00327A37"/>
    <w:rsid w:val="00332CE7"/>
    <w:rsid w:val="00334AF6"/>
    <w:rsid w:val="00335EB0"/>
    <w:rsid w:val="0033691B"/>
    <w:rsid w:val="00343749"/>
    <w:rsid w:val="00345CFB"/>
    <w:rsid w:val="00354062"/>
    <w:rsid w:val="003622A7"/>
    <w:rsid w:val="0037439A"/>
    <w:rsid w:val="0037639D"/>
    <w:rsid w:val="003A3386"/>
    <w:rsid w:val="003A6874"/>
    <w:rsid w:val="003B0550"/>
    <w:rsid w:val="003B694F"/>
    <w:rsid w:val="003B75DC"/>
    <w:rsid w:val="003D3146"/>
    <w:rsid w:val="003E391A"/>
    <w:rsid w:val="003E3DF0"/>
    <w:rsid w:val="003E4B28"/>
    <w:rsid w:val="003F171C"/>
    <w:rsid w:val="003F5936"/>
    <w:rsid w:val="00401447"/>
    <w:rsid w:val="00412FC5"/>
    <w:rsid w:val="0041487E"/>
    <w:rsid w:val="00422276"/>
    <w:rsid w:val="00422865"/>
    <w:rsid w:val="004242F1"/>
    <w:rsid w:val="00434BC5"/>
    <w:rsid w:val="0043520A"/>
    <w:rsid w:val="00436234"/>
    <w:rsid w:val="00441283"/>
    <w:rsid w:val="0044468C"/>
    <w:rsid w:val="00445A00"/>
    <w:rsid w:val="00451B0F"/>
    <w:rsid w:val="00455ABD"/>
    <w:rsid w:val="004566CB"/>
    <w:rsid w:val="00464DD4"/>
    <w:rsid w:val="004671CB"/>
    <w:rsid w:val="00467992"/>
    <w:rsid w:val="00486B25"/>
    <w:rsid w:val="004A34F6"/>
    <w:rsid w:val="004A6AC8"/>
    <w:rsid w:val="004B31E5"/>
    <w:rsid w:val="004B340C"/>
    <w:rsid w:val="004C2EE3"/>
    <w:rsid w:val="004D7FB7"/>
    <w:rsid w:val="004E4A22"/>
    <w:rsid w:val="00507C21"/>
    <w:rsid w:val="00511968"/>
    <w:rsid w:val="0051545E"/>
    <w:rsid w:val="00524527"/>
    <w:rsid w:val="00524CB3"/>
    <w:rsid w:val="005363C8"/>
    <w:rsid w:val="005439D8"/>
    <w:rsid w:val="00556146"/>
    <w:rsid w:val="0055614C"/>
    <w:rsid w:val="00556835"/>
    <w:rsid w:val="00571DCD"/>
    <w:rsid w:val="00572D7D"/>
    <w:rsid w:val="005750F2"/>
    <w:rsid w:val="00575630"/>
    <w:rsid w:val="00592CD0"/>
    <w:rsid w:val="005944B4"/>
    <w:rsid w:val="005948B1"/>
    <w:rsid w:val="005A0BBF"/>
    <w:rsid w:val="005A156C"/>
    <w:rsid w:val="005B0525"/>
    <w:rsid w:val="005B57A0"/>
    <w:rsid w:val="005C2547"/>
    <w:rsid w:val="005D0E15"/>
    <w:rsid w:val="005E3358"/>
    <w:rsid w:val="006031EC"/>
    <w:rsid w:val="00607BA5"/>
    <w:rsid w:val="00610FBE"/>
    <w:rsid w:val="006139D1"/>
    <w:rsid w:val="00625859"/>
    <w:rsid w:val="00626EB6"/>
    <w:rsid w:val="006325B6"/>
    <w:rsid w:val="00655D03"/>
    <w:rsid w:val="00665A1D"/>
    <w:rsid w:val="00666519"/>
    <w:rsid w:val="00683F84"/>
    <w:rsid w:val="006909D1"/>
    <w:rsid w:val="00692E3E"/>
    <w:rsid w:val="00693B10"/>
    <w:rsid w:val="006A56D0"/>
    <w:rsid w:val="006A6A81"/>
    <w:rsid w:val="006C0D4A"/>
    <w:rsid w:val="006C1E83"/>
    <w:rsid w:val="006C6754"/>
    <w:rsid w:val="006C67E9"/>
    <w:rsid w:val="006C6CBB"/>
    <w:rsid w:val="006E5694"/>
    <w:rsid w:val="006F0367"/>
    <w:rsid w:val="006F7393"/>
    <w:rsid w:val="0070224F"/>
    <w:rsid w:val="00704D00"/>
    <w:rsid w:val="00710649"/>
    <w:rsid w:val="007115F7"/>
    <w:rsid w:val="007117E0"/>
    <w:rsid w:val="0072597F"/>
    <w:rsid w:val="00736D91"/>
    <w:rsid w:val="007649A6"/>
    <w:rsid w:val="007713FB"/>
    <w:rsid w:val="00771E20"/>
    <w:rsid w:val="00773AF4"/>
    <w:rsid w:val="00785689"/>
    <w:rsid w:val="007865EB"/>
    <w:rsid w:val="00790D0F"/>
    <w:rsid w:val="00792988"/>
    <w:rsid w:val="007940DB"/>
    <w:rsid w:val="007962F0"/>
    <w:rsid w:val="0079754B"/>
    <w:rsid w:val="007A1E6D"/>
    <w:rsid w:val="007B12FE"/>
    <w:rsid w:val="007B52BD"/>
    <w:rsid w:val="007B7606"/>
    <w:rsid w:val="007D12B5"/>
    <w:rsid w:val="007D476D"/>
    <w:rsid w:val="007F1521"/>
    <w:rsid w:val="007F1E0E"/>
    <w:rsid w:val="00800E74"/>
    <w:rsid w:val="00803EDC"/>
    <w:rsid w:val="008058DB"/>
    <w:rsid w:val="00813D50"/>
    <w:rsid w:val="00815AEB"/>
    <w:rsid w:val="00817197"/>
    <w:rsid w:val="00822CE0"/>
    <w:rsid w:val="00837FB6"/>
    <w:rsid w:val="00841AB1"/>
    <w:rsid w:val="0084273E"/>
    <w:rsid w:val="008473D3"/>
    <w:rsid w:val="00850A39"/>
    <w:rsid w:val="00860EF4"/>
    <w:rsid w:val="0086194D"/>
    <w:rsid w:val="00872545"/>
    <w:rsid w:val="00875A7D"/>
    <w:rsid w:val="008770CF"/>
    <w:rsid w:val="00881E2A"/>
    <w:rsid w:val="0088503B"/>
    <w:rsid w:val="00890DC6"/>
    <w:rsid w:val="008A626B"/>
    <w:rsid w:val="008B5EA9"/>
    <w:rsid w:val="008C10BF"/>
    <w:rsid w:val="008C5EA2"/>
    <w:rsid w:val="008C75F7"/>
    <w:rsid w:val="008E3413"/>
    <w:rsid w:val="008E512B"/>
    <w:rsid w:val="00904FD6"/>
    <w:rsid w:val="00905F29"/>
    <w:rsid w:val="00917817"/>
    <w:rsid w:val="00921043"/>
    <w:rsid w:val="00921803"/>
    <w:rsid w:val="0092489B"/>
    <w:rsid w:val="00926503"/>
    <w:rsid w:val="009314C3"/>
    <w:rsid w:val="00931F13"/>
    <w:rsid w:val="009565EE"/>
    <w:rsid w:val="00957C38"/>
    <w:rsid w:val="00965EBE"/>
    <w:rsid w:val="009676D8"/>
    <w:rsid w:val="00973C32"/>
    <w:rsid w:val="009914F4"/>
    <w:rsid w:val="009A32E0"/>
    <w:rsid w:val="009B5CA6"/>
    <w:rsid w:val="009B6ABF"/>
    <w:rsid w:val="009B7750"/>
    <w:rsid w:val="009C00F5"/>
    <w:rsid w:val="009C0830"/>
    <w:rsid w:val="009C1FA8"/>
    <w:rsid w:val="009E35DC"/>
    <w:rsid w:val="009E4664"/>
    <w:rsid w:val="009E5A3D"/>
    <w:rsid w:val="009E6E5F"/>
    <w:rsid w:val="009F355C"/>
    <w:rsid w:val="009F6CE8"/>
    <w:rsid w:val="00A063B1"/>
    <w:rsid w:val="00A0707E"/>
    <w:rsid w:val="00A12BB1"/>
    <w:rsid w:val="00A1641A"/>
    <w:rsid w:val="00A16DFF"/>
    <w:rsid w:val="00A16E59"/>
    <w:rsid w:val="00A22500"/>
    <w:rsid w:val="00A246EC"/>
    <w:rsid w:val="00A43F7F"/>
    <w:rsid w:val="00A45F4F"/>
    <w:rsid w:val="00A52FD2"/>
    <w:rsid w:val="00A565CC"/>
    <w:rsid w:val="00A600A9"/>
    <w:rsid w:val="00A60620"/>
    <w:rsid w:val="00A60687"/>
    <w:rsid w:val="00A613AE"/>
    <w:rsid w:val="00A752FC"/>
    <w:rsid w:val="00AA0758"/>
    <w:rsid w:val="00AA0902"/>
    <w:rsid w:val="00AA2AA3"/>
    <w:rsid w:val="00AA55B7"/>
    <w:rsid w:val="00AA5B9E"/>
    <w:rsid w:val="00AB2407"/>
    <w:rsid w:val="00AB3E33"/>
    <w:rsid w:val="00AB53DF"/>
    <w:rsid w:val="00AC37BB"/>
    <w:rsid w:val="00AC5875"/>
    <w:rsid w:val="00AD1CBE"/>
    <w:rsid w:val="00AD383C"/>
    <w:rsid w:val="00AE1531"/>
    <w:rsid w:val="00AE1722"/>
    <w:rsid w:val="00AE44B1"/>
    <w:rsid w:val="00AE565A"/>
    <w:rsid w:val="00AF6227"/>
    <w:rsid w:val="00AF76FC"/>
    <w:rsid w:val="00B035E7"/>
    <w:rsid w:val="00B04A99"/>
    <w:rsid w:val="00B07E5C"/>
    <w:rsid w:val="00B16C46"/>
    <w:rsid w:val="00B22FAE"/>
    <w:rsid w:val="00B26F80"/>
    <w:rsid w:val="00B31A0F"/>
    <w:rsid w:val="00B329E2"/>
    <w:rsid w:val="00B32B0B"/>
    <w:rsid w:val="00B36CE1"/>
    <w:rsid w:val="00B54753"/>
    <w:rsid w:val="00B6404A"/>
    <w:rsid w:val="00B65A75"/>
    <w:rsid w:val="00B73C5F"/>
    <w:rsid w:val="00B73F44"/>
    <w:rsid w:val="00B80D26"/>
    <w:rsid w:val="00B811F7"/>
    <w:rsid w:val="00B85929"/>
    <w:rsid w:val="00B93654"/>
    <w:rsid w:val="00BA3740"/>
    <w:rsid w:val="00BA5DC6"/>
    <w:rsid w:val="00BA6196"/>
    <w:rsid w:val="00BB3A38"/>
    <w:rsid w:val="00BB4CD3"/>
    <w:rsid w:val="00BC4EC1"/>
    <w:rsid w:val="00BC6D8C"/>
    <w:rsid w:val="00BD4BF7"/>
    <w:rsid w:val="00BE0F52"/>
    <w:rsid w:val="00BF2F3B"/>
    <w:rsid w:val="00C01D88"/>
    <w:rsid w:val="00C223DF"/>
    <w:rsid w:val="00C25494"/>
    <w:rsid w:val="00C26956"/>
    <w:rsid w:val="00C27108"/>
    <w:rsid w:val="00C34006"/>
    <w:rsid w:val="00C4086E"/>
    <w:rsid w:val="00C426B1"/>
    <w:rsid w:val="00C54ACA"/>
    <w:rsid w:val="00C55B62"/>
    <w:rsid w:val="00C60ED8"/>
    <w:rsid w:val="00C62562"/>
    <w:rsid w:val="00C71060"/>
    <w:rsid w:val="00C80856"/>
    <w:rsid w:val="00C83964"/>
    <w:rsid w:val="00C85A80"/>
    <w:rsid w:val="00C90D6A"/>
    <w:rsid w:val="00C91EE8"/>
    <w:rsid w:val="00C9702B"/>
    <w:rsid w:val="00CA247E"/>
    <w:rsid w:val="00CA341D"/>
    <w:rsid w:val="00CA6A41"/>
    <w:rsid w:val="00CC72B6"/>
    <w:rsid w:val="00CD0706"/>
    <w:rsid w:val="00CE047C"/>
    <w:rsid w:val="00CE246D"/>
    <w:rsid w:val="00CE3691"/>
    <w:rsid w:val="00CF0085"/>
    <w:rsid w:val="00D0218D"/>
    <w:rsid w:val="00D401B5"/>
    <w:rsid w:val="00D51B91"/>
    <w:rsid w:val="00D61C60"/>
    <w:rsid w:val="00D64829"/>
    <w:rsid w:val="00D76D4C"/>
    <w:rsid w:val="00D85DAF"/>
    <w:rsid w:val="00D870EB"/>
    <w:rsid w:val="00D96E8B"/>
    <w:rsid w:val="00D97C41"/>
    <w:rsid w:val="00DA2529"/>
    <w:rsid w:val="00DA4979"/>
    <w:rsid w:val="00DB06D5"/>
    <w:rsid w:val="00DB130A"/>
    <w:rsid w:val="00DB3543"/>
    <w:rsid w:val="00DB5E84"/>
    <w:rsid w:val="00DC10A1"/>
    <w:rsid w:val="00DC5CB2"/>
    <w:rsid w:val="00DC5EC5"/>
    <w:rsid w:val="00DC655F"/>
    <w:rsid w:val="00DD0B59"/>
    <w:rsid w:val="00DD3EFE"/>
    <w:rsid w:val="00DD6344"/>
    <w:rsid w:val="00DD6C68"/>
    <w:rsid w:val="00DD7B04"/>
    <w:rsid w:val="00DD7EBD"/>
    <w:rsid w:val="00DE581A"/>
    <w:rsid w:val="00DF28F1"/>
    <w:rsid w:val="00DF62B6"/>
    <w:rsid w:val="00E02782"/>
    <w:rsid w:val="00E07225"/>
    <w:rsid w:val="00E206B0"/>
    <w:rsid w:val="00E27CF1"/>
    <w:rsid w:val="00E34B60"/>
    <w:rsid w:val="00E5409F"/>
    <w:rsid w:val="00E56313"/>
    <w:rsid w:val="00E62A47"/>
    <w:rsid w:val="00E6319B"/>
    <w:rsid w:val="00E665C3"/>
    <w:rsid w:val="00E761ED"/>
    <w:rsid w:val="00E80871"/>
    <w:rsid w:val="00E90BAC"/>
    <w:rsid w:val="00E937C0"/>
    <w:rsid w:val="00EA05B9"/>
    <w:rsid w:val="00EA1873"/>
    <w:rsid w:val="00EA4807"/>
    <w:rsid w:val="00ED4625"/>
    <w:rsid w:val="00EE4913"/>
    <w:rsid w:val="00EE6488"/>
    <w:rsid w:val="00EF5681"/>
    <w:rsid w:val="00F021FA"/>
    <w:rsid w:val="00F0222D"/>
    <w:rsid w:val="00F2267B"/>
    <w:rsid w:val="00F350F8"/>
    <w:rsid w:val="00F3654C"/>
    <w:rsid w:val="00F37E27"/>
    <w:rsid w:val="00F41042"/>
    <w:rsid w:val="00F41DCC"/>
    <w:rsid w:val="00F426D7"/>
    <w:rsid w:val="00F4603D"/>
    <w:rsid w:val="00F471BA"/>
    <w:rsid w:val="00F513F7"/>
    <w:rsid w:val="00F52FDA"/>
    <w:rsid w:val="00F539A4"/>
    <w:rsid w:val="00F5757B"/>
    <w:rsid w:val="00F60E0B"/>
    <w:rsid w:val="00F62E97"/>
    <w:rsid w:val="00F64209"/>
    <w:rsid w:val="00F666E7"/>
    <w:rsid w:val="00F70B2F"/>
    <w:rsid w:val="00F733D3"/>
    <w:rsid w:val="00F84471"/>
    <w:rsid w:val="00F87740"/>
    <w:rsid w:val="00F93BF5"/>
    <w:rsid w:val="00F9514C"/>
    <w:rsid w:val="00FB2EA9"/>
    <w:rsid w:val="00FB2EE5"/>
    <w:rsid w:val="00FB7E95"/>
    <w:rsid w:val="00FC383B"/>
    <w:rsid w:val="00FC44B8"/>
    <w:rsid w:val="00FC5E14"/>
    <w:rsid w:val="00FD1E8C"/>
    <w:rsid w:val="00FF190F"/>
    <w:rsid w:val="00FF1C30"/>
    <w:rsid w:val="00FF5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1545E"/>
    <w:rPr>
      <w:rFonts w:ascii="Tahoma" w:hAnsi="Tahoma" w:cs="Tahoma"/>
      <w:sz w:val="16"/>
      <w:szCs w:val="16"/>
    </w:rPr>
  </w:style>
  <w:style w:type="character" w:customStyle="1" w:styleId="BalloonTextChar">
    <w:name w:val="Balloon Text Char"/>
    <w:basedOn w:val="DefaultParagraphFont"/>
    <w:uiPriority w:val="99"/>
    <w:semiHidden/>
    <w:rsid w:val="008F56DC"/>
    <w:rPr>
      <w:rFonts w:ascii="Lucida Grande" w:hAnsi="Lucida Grande"/>
      <w:sz w:val="18"/>
      <w:szCs w:val="18"/>
    </w:rPr>
  </w:style>
  <w:style w:type="character" w:customStyle="1" w:styleId="BalloonTextChar0">
    <w:name w:val="Balloon Text Char"/>
    <w:basedOn w:val="DefaultParagraphFont"/>
    <w:uiPriority w:val="99"/>
    <w:semiHidden/>
    <w:rsid w:val="008F56DC"/>
    <w:rPr>
      <w:rFonts w:ascii="Lucida Grande" w:hAnsi="Lucida Grande"/>
      <w:sz w:val="18"/>
      <w:szCs w:val="18"/>
    </w:rPr>
  </w:style>
  <w:style w:type="paragraph" w:customStyle="1" w:styleId="ParaNum">
    <w:name w:val="ParaNum"/>
    <w:basedOn w:val="Normal"/>
    <w:link w:val="ParaNumChar"/>
    <w:rsid w:val="00E07225"/>
    <w:pPr>
      <w:numPr>
        <w:numId w:val="2"/>
      </w:numPr>
      <w:tabs>
        <w:tab w:val="clear" w:pos="1530"/>
        <w:tab w:val="num" w:pos="1080"/>
      </w:tabs>
      <w:spacing w:after="120"/>
      <w:ind w:left="0"/>
    </w:pPr>
  </w:style>
  <w:style w:type="paragraph" w:styleId="EndnoteText">
    <w:name w:val="endnote text"/>
    <w:basedOn w:val="Normal"/>
    <w:semiHidden/>
    <w:rsid w:val="009914F4"/>
    <w:rPr>
      <w:sz w:val="20"/>
    </w:rPr>
  </w:style>
  <w:style w:type="character" w:styleId="EndnoteReference">
    <w:name w:val="endnote reference"/>
    <w:semiHidden/>
    <w:rsid w:val="009914F4"/>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semiHidden/>
    <w:rsid w:val="000E3D42"/>
    <w:pPr>
      <w:spacing w:after="120"/>
    </w:pPr>
  </w:style>
  <w:style w:type="character" w:styleId="FootnoteReference">
    <w:name w:val="footnote reference"/>
    <w:aliases w:val="Appel note de bas de p,Style 12,(NECG) Footnote Reference,Style 124,o,fr,Style 3"/>
    <w:semiHidden/>
    <w:rsid w:val="009914F4"/>
    <w:rPr>
      <w:rFonts w:ascii="Times New Roman" w:hAnsi="Times New Roman"/>
      <w:dstrike w:val="0"/>
      <w:color w:val="auto"/>
      <w:sz w:val="22"/>
      <w:vertAlign w:val="superscript"/>
    </w:rPr>
  </w:style>
  <w:style w:type="paragraph" w:styleId="TOC1">
    <w:name w:val="toc 1"/>
    <w:basedOn w:val="Normal"/>
    <w:next w:val="Normal"/>
    <w:semiHidden/>
    <w:rsid w:val="009914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14F4"/>
    <w:pPr>
      <w:tabs>
        <w:tab w:val="left" w:pos="720"/>
        <w:tab w:val="right" w:leader="dot" w:pos="9360"/>
      </w:tabs>
      <w:suppressAutoHyphens/>
      <w:ind w:left="720" w:right="720" w:hanging="360"/>
    </w:pPr>
    <w:rPr>
      <w:noProof/>
    </w:rPr>
  </w:style>
  <w:style w:type="paragraph" w:styleId="TOC3">
    <w:name w:val="toc 3"/>
    <w:basedOn w:val="Normal"/>
    <w:next w:val="Normal"/>
    <w:semiHidden/>
    <w:rsid w:val="009914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14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14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14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14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14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14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14F4"/>
    <w:pPr>
      <w:tabs>
        <w:tab w:val="right" w:pos="9360"/>
      </w:tabs>
      <w:suppressAutoHyphens/>
    </w:pPr>
  </w:style>
  <w:style w:type="character" w:customStyle="1" w:styleId="EquationCaption">
    <w:name w:val="_Equation Caption"/>
    <w:rsid w:val="009914F4"/>
  </w:style>
  <w:style w:type="paragraph" w:styleId="Header">
    <w:name w:val="header"/>
    <w:basedOn w:val="Normal"/>
    <w:autoRedefine/>
    <w:rsid w:val="009914F4"/>
    <w:pPr>
      <w:tabs>
        <w:tab w:val="center" w:pos="4680"/>
        <w:tab w:val="right" w:pos="9360"/>
      </w:tabs>
    </w:pPr>
    <w:rPr>
      <w:b/>
    </w:rPr>
  </w:style>
  <w:style w:type="paragraph" w:styleId="Footer">
    <w:name w:val="footer"/>
    <w:basedOn w:val="Normal"/>
    <w:rsid w:val="009914F4"/>
    <w:pPr>
      <w:tabs>
        <w:tab w:val="center" w:pos="4320"/>
        <w:tab w:val="right" w:pos="8640"/>
      </w:tabs>
    </w:pPr>
  </w:style>
  <w:style w:type="character" w:styleId="PageNumber">
    <w:name w:val="page number"/>
    <w:basedOn w:val="DefaultParagraphFont"/>
    <w:rsid w:val="009914F4"/>
  </w:style>
  <w:style w:type="paragraph" w:styleId="BlockText">
    <w:name w:val="Block Text"/>
    <w:basedOn w:val="Normal"/>
    <w:rsid w:val="009914F4"/>
    <w:pPr>
      <w:spacing w:after="240"/>
      <w:ind w:left="1440" w:right="1440"/>
    </w:pPr>
  </w:style>
  <w:style w:type="paragraph" w:customStyle="1" w:styleId="Paratitle">
    <w:name w:val="Para title"/>
    <w:basedOn w:val="Normal"/>
    <w:rsid w:val="009914F4"/>
    <w:pPr>
      <w:tabs>
        <w:tab w:val="center" w:pos="9270"/>
      </w:tabs>
      <w:spacing w:after="240"/>
    </w:pPr>
    <w:rPr>
      <w:spacing w:val="-2"/>
    </w:rPr>
  </w:style>
  <w:style w:type="paragraph" w:customStyle="1" w:styleId="Bullet">
    <w:name w:val="Bullet"/>
    <w:basedOn w:val="Normal"/>
    <w:rsid w:val="009914F4"/>
    <w:pPr>
      <w:numPr>
        <w:numId w:val="1"/>
      </w:numPr>
      <w:tabs>
        <w:tab w:val="clear" w:pos="360"/>
        <w:tab w:val="left" w:pos="2160"/>
      </w:tabs>
      <w:spacing w:after="220"/>
      <w:ind w:left="2160" w:hanging="720"/>
    </w:pPr>
  </w:style>
  <w:style w:type="paragraph" w:customStyle="1" w:styleId="TableFormat">
    <w:name w:val="TableFormat"/>
    <w:basedOn w:val="Bullet"/>
    <w:rsid w:val="009914F4"/>
    <w:pPr>
      <w:numPr>
        <w:numId w:val="0"/>
      </w:numPr>
      <w:tabs>
        <w:tab w:val="clear" w:pos="2160"/>
        <w:tab w:val="left" w:pos="5040"/>
      </w:tabs>
      <w:ind w:left="5040" w:hanging="3600"/>
    </w:pPr>
  </w:style>
  <w:style w:type="paragraph" w:customStyle="1" w:styleId="TOCTitle">
    <w:name w:val="TOC Title"/>
    <w:basedOn w:val="Normal"/>
    <w:rsid w:val="009914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2917D2"/>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2917D2"/>
  </w:style>
  <w:style w:type="character" w:styleId="CommentReference">
    <w:name w:val="annotation reference"/>
    <w:rsid w:val="0051545E"/>
    <w:rPr>
      <w:sz w:val="16"/>
      <w:szCs w:val="16"/>
    </w:rPr>
  </w:style>
  <w:style w:type="paragraph" w:styleId="CommentText">
    <w:name w:val="annotation text"/>
    <w:basedOn w:val="Normal"/>
    <w:link w:val="CommentTextChar"/>
    <w:rsid w:val="0051545E"/>
    <w:rPr>
      <w:sz w:val="20"/>
    </w:rPr>
  </w:style>
  <w:style w:type="character" w:customStyle="1" w:styleId="CommentTextChar">
    <w:name w:val="Comment Text Char"/>
    <w:link w:val="CommentText"/>
    <w:rsid w:val="0051545E"/>
    <w:rPr>
      <w:snapToGrid w:val="0"/>
      <w:kern w:val="28"/>
    </w:rPr>
  </w:style>
  <w:style w:type="paragraph" w:styleId="CommentSubject">
    <w:name w:val="annotation subject"/>
    <w:basedOn w:val="CommentText"/>
    <w:next w:val="CommentText"/>
    <w:link w:val="CommentSubjectChar"/>
    <w:rsid w:val="0051545E"/>
    <w:rPr>
      <w:b/>
      <w:bCs/>
    </w:rPr>
  </w:style>
  <w:style w:type="character" w:customStyle="1" w:styleId="CommentSubjectChar">
    <w:name w:val="Comment Subject Char"/>
    <w:link w:val="CommentSubject"/>
    <w:rsid w:val="0051545E"/>
    <w:rPr>
      <w:b/>
      <w:bCs/>
      <w:snapToGrid w:val="0"/>
      <w:kern w:val="28"/>
    </w:rPr>
  </w:style>
  <w:style w:type="character" w:customStyle="1" w:styleId="BalloonTextChar1">
    <w:name w:val="Balloon Text Char1"/>
    <w:link w:val="BalloonText"/>
    <w:rsid w:val="0051545E"/>
    <w:rPr>
      <w:rFonts w:ascii="Tahoma" w:hAnsi="Tahoma" w:cs="Tahoma"/>
      <w:snapToGrid w:val="0"/>
      <w:kern w:val="28"/>
      <w:sz w:val="16"/>
      <w:szCs w:val="16"/>
    </w:rPr>
  </w:style>
  <w:style w:type="character" w:styleId="Emphasis">
    <w:name w:val="Emphasis"/>
    <w:basedOn w:val="DefaultParagraphFont"/>
    <w:qFormat/>
    <w:rsid w:val="00CE04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1545E"/>
    <w:rPr>
      <w:rFonts w:ascii="Tahoma" w:hAnsi="Tahoma" w:cs="Tahoma"/>
      <w:sz w:val="16"/>
      <w:szCs w:val="16"/>
    </w:rPr>
  </w:style>
  <w:style w:type="character" w:customStyle="1" w:styleId="BalloonTextChar">
    <w:name w:val="Balloon Text Char"/>
    <w:basedOn w:val="DefaultParagraphFont"/>
    <w:uiPriority w:val="99"/>
    <w:semiHidden/>
    <w:rsid w:val="008F56DC"/>
    <w:rPr>
      <w:rFonts w:ascii="Lucida Grande" w:hAnsi="Lucida Grande"/>
      <w:sz w:val="18"/>
      <w:szCs w:val="18"/>
    </w:rPr>
  </w:style>
  <w:style w:type="character" w:customStyle="1" w:styleId="BalloonTextChar0">
    <w:name w:val="Balloon Text Char"/>
    <w:basedOn w:val="DefaultParagraphFont"/>
    <w:uiPriority w:val="99"/>
    <w:semiHidden/>
    <w:rsid w:val="008F56DC"/>
    <w:rPr>
      <w:rFonts w:ascii="Lucida Grande" w:hAnsi="Lucida Grande"/>
      <w:sz w:val="18"/>
      <w:szCs w:val="18"/>
    </w:rPr>
  </w:style>
  <w:style w:type="paragraph" w:customStyle="1" w:styleId="ParaNum">
    <w:name w:val="ParaNum"/>
    <w:basedOn w:val="Normal"/>
    <w:link w:val="ParaNumChar"/>
    <w:rsid w:val="00E07225"/>
    <w:pPr>
      <w:numPr>
        <w:numId w:val="2"/>
      </w:numPr>
      <w:tabs>
        <w:tab w:val="clear" w:pos="1530"/>
        <w:tab w:val="num" w:pos="1080"/>
      </w:tabs>
      <w:spacing w:after="120"/>
      <w:ind w:left="0"/>
    </w:pPr>
  </w:style>
  <w:style w:type="paragraph" w:styleId="EndnoteText">
    <w:name w:val="endnote text"/>
    <w:basedOn w:val="Normal"/>
    <w:semiHidden/>
    <w:rsid w:val="009914F4"/>
    <w:rPr>
      <w:sz w:val="20"/>
    </w:rPr>
  </w:style>
  <w:style w:type="character" w:styleId="EndnoteReference">
    <w:name w:val="endnote reference"/>
    <w:semiHidden/>
    <w:rsid w:val="009914F4"/>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semiHidden/>
    <w:rsid w:val="000E3D42"/>
    <w:pPr>
      <w:spacing w:after="120"/>
    </w:pPr>
  </w:style>
  <w:style w:type="character" w:styleId="FootnoteReference">
    <w:name w:val="footnote reference"/>
    <w:aliases w:val="Appel note de bas de p,Style 12,(NECG) Footnote Reference,Style 124,o,fr,Style 3"/>
    <w:semiHidden/>
    <w:rsid w:val="009914F4"/>
    <w:rPr>
      <w:rFonts w:ascii="Times New Roman" w:hAnsi="Times New Roman"/>
      <w:dstrike w:val="0"/>
      <w:color w:val="auto"/>
      <w:sz w:val="22"/>
      <w:vertAlign w:val="superscript"/>
    </w:rPr>
  </w:style>
  <w:style w:type="paragraph" w:styleId="TOC1">
    <w:name w:val="toc 1"/>
    <w:basedOn w:val="Normal"/>
    <w:next w:val="Normal"/>
    <w:semiHidden/>
    <w:rsid w:val="009914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14F4"/>
    <w:pPr>
      <w:tabs>
        <w:tab w:val="left" w:pos="720"/>
        <w:tab w:val="right" w:leader="dot" w:pos="9360"/>
      </w:tabs>
      <w:suppressAutoHyphens/>
      <w:ind w:left="720" w:right="720" w:hanging="360"/>
    </w:pPr>
    <w:rPr>
      <w:noProof/>
    </w:rPr>
  </w:style>
  <w:style w:type="paragraph" w:styleId="TOC3">
    <w:name w:val="toc 3"/>
    <w:basedOn w:val="Normal"/>
    <w:next w:val="Normal"/>
    <w:semiHidden/>
    <w:rsid w:val="009914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14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14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14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14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14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14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14F4"/>
    <w:pPr>
      <w:tabs>
        <w:tab w:val="right" w:pos="9360"/>
      </w:tabs>
      <w:suppressAutoHyphens/>
    </w:pPr>
  </w:style>
  <w:style w:type="character" w:customStyle="1" w:styleId="EquationCaption">
    <w:name w:val="_Equation Caption"/>
    <w:rsid w:val="009914F4"/>
  </w:style>
  <w:style w:type="paragraph" w:styleId="Header">
    <w:name w:val="header"/>
    <w:basedOn w:val="Normal"/>
    <w:autoRedefine/>
    <w:rsid w:val="009914F4"/>
    <w:pPr>
      <w:tabs>
        <w:tab w:val="center" w:pos="4680"/>
        <w:tab w:val="right" w:pos="9360"/>
      </w:tabs>
    </w:pPr>
    <w:rPr>
      <w:b/>
    </w:rPr>
  </w:style>
  <w:style w:type="paragraph" w:styleId="Footer">
    <w:name w:val="footer"/>
    <w:basedOn w:val="Normal"/>
    <w:rsid w:val="009914F4"/>
    <w:pPr>
      <w:tabs>
        <w:tab w:val="center" w:pos="4320"/>
        <w:tab w:val="right" w:pos="8640"/>
      </w:tabs>
    </w:pPr>
  </w:style>
  <w:style w:type="character" w:styleId="PageNumber">
    <w:name w:val="page number"/>
    <w:basedOn w:val="DefaultParagraphFont"/>
    <w:rsid w:val="009914F4"/>
  </w:style>
  <w:style w:type="paragraph" w:styleId="BlockText">
    <w:name w:val="Block Text"/>
    <w:basedOn w:val="Normal"/>
    <w:rsid w:val="009914F4"/>
    <w:pPr>
      <w:spacing w:after="240"/>
      <w:ind w:left="1440" w:right="1440"/>
    </w:pPr>
  </w:style>
  <w:style w:type="paragraph" w:customStyle="1" w:styleId="Paratitle">
    <w:name w:val="Para title"/>
    <w:basedOn w:val="Normal"/>
    <w:rsid w:val="009914F4"/>
    <w:pPr>
      <w:tabs>
        <w:tab w:val="center" w:pos="9270"/>
      </w:tabs>
      <w:spacing w:after="240"/>
    </w:pPr>
    <w:rPr>
      <w:spacing w:val="-2"/>
    </w:rPr>
  </w:style>
  <w:style w:type="paragraph" w:customStyle="1" w:styleId="Bullet">
    <w:name w:val="Bullet"/>
    <w:basedOn w:val="Normal"/>
    <w:rsid w:val="009914F4"/>
    <w:pPr>
      <w:numPr>
        <w:numId w:val="1"/>
      </w:numPr>
      <w:tabs>
        <w:tab w:val="clear" w:pos="360"/>
        <w:tab w:val="left" w:pos="2160"/>
      </w:tabs>
      <w:spacing w:after="220"/>
      <w:ind w:left="2160" w:hanging="720"/>
    </w:pPr>
  </w:style>
  <w:style w:type="paragraph" w:customStyle="1" w:styleId="TableFormat">
    <w:name w:val="TableFormat"/>
    <w:basedOn w:val="Bullet"/>
    <w:rsid w:val="009914F4"/>
    <w:pPr>
      <w:numPr>
        <w:numId w:val="0"/>
      </w:numPr>
      <w:tabs>
        <w:tab w:val="clear" w:pos="2160"/>
        <w:tab w:val="left" w:pos="5040"/>
      </w:tabs>
      <w:ind w:left="5040" w:hanging="3600"/>
    </w:pPr>
  </w:style>
  <w:style w:type="paragraph" w:customStyle="1" w:styleId="TOCTitle">
    <w:name w:val="TOC Title"/>
    <w:basedOn w:val="Normal"/>
    <w:rsid w:val="009914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2917D2"/>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2917D2"/>
  </w:style>
  <w:style w:type="character" w:styleId="CommentReference">
    <w:name w:val="annotation reference"/>
    <w:rsid w:val="0051545E"/>
    <w:rPr>
      <w:sz w:val="16"/>
      <w:szCs w:val="16"/>
    </w:rPr>
  </w:style>
  <w:style w:type="paragraph" w:styleId="CommentText">
    <w:name w:val="annotation text"/>
    <w:basedOn w:val="Normal"/>
    <w:link w:val="CommentTextChar"/>
    <w:rsid w:val="0051545E"/>
    <w:rPr>
      <w:sz w:val="20"/>
    </w:rPr>
  </w:style>
  <w:style w:type="character" w:customStyle="1" w:styleId="CommentTextChar">
    <w:name w:val="Comment Text Char"/>
    <w:link w:val="CommentText"/>
    <w:rsid w:val="0051545E"/>
    <w:rPr>
      <w:snapToGrid w:val="0"/>
      <w:kern w:val="28"/>
    </w:rPr>
  </w:style>
  <w:style w:type="paragraph" w:styleId="CommentSubject">
    <w:name w:val="annotation subject"/>
    <w:basedOn w:val="CommentText"/>
    <w:next w:val="CommentText"/>
    <w:link w:val="CommentSubjectChar"/>
    <w:rsid w:val="0051545E"/>
    <w:rPr>
      <w:b/>
      <w:bCs/>
    </w:rPr>
  </w:style>
  <w:style w:type="character" w:customStyle="1" w:styleId="CommentSubjectChar">
    <w:name w:val="Comment Subject Char"/>
    <w:link w:val="CommentSubject"/>
    <w:rsid w:val="0051545E"/>
    <w:rPr>
      <w:b/>
      <w:bCs/>
      <w:snapToGrid w:val="0"/>
      <w:kern w:val="28"/>
    </w:rPr>
  </w:style>
  <w:style w:type="character" w:customStyle="1" w:styleId="BalloonTextChar1">
    <w:name w:val="Balloon Text Char1"/>
    <w:link w:val="BalloonText"/>
    <w:rsid w:val="0051545E"/>
    <w:rPr>
      <w:rFonts w:ascii="Tahoma" w:hAnsi="Tahoma" w:cs="Tahoma"/>
      <w:snapToGrid w:val="0"/>
      <w:kern w:val="28"/>
      <w:sz w:val="16"/>
      <w:szCs w:val="16"/>
    </w:rPr>
  </w:style>
  <w:style w:type="character" w:styleId="Emphasis">
    <w:name w:val="Emphasis"/>
    <w:basedOn w:val="DefaultParagraphFont"/>
    <w:qFormat/>
    <w:rsid w:val="00CE0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9645">
      <w:bodyDiv w:val="1"/>
      <w:marLeft w:val="0"/>
      <w:marRight w:val="0"/>
      <w:marTop w:val="0"/>
      <w:marBottom w:val="0"/>
      <w:divBdr>
        <w:top w:val="none" w:sz="0" w:space="0" w:color="auto"/>
        <w:left w:val="none" w:sz="0" w:space="0" w:color="auto"/>
        <w:bottom w:val="none" w:sz="0" w:space="0" w:color="auto"/>
        <w:right w:val="none" w:sz="0" w:space="0" w:color="auto"/>
      </w:divBdr>
    </w:div>
    <w:div w:id="20164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8944</Characters>
  <Application>Microsoft Office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10588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2014-06-20T18:07:00Z</cp:lastPrinted>
  <dcterms:created xsi:type="dcterms:W3CDTF">2014-06-20T21:34:00Z</dcterms:created>
  <dcterms:modified xsi:type="dcterms:W3CDTF">2014-06-20T21:34:00Z</dcterms:modified>
  <cp:category> </cp:category>
  <cp:contentStatus> </cp:contentStatus>
</cp:coreProperties>
</file>