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C6" w:rsidRDefault="00861DC6" w:rsidP="0018561D">
      <w:pPr>
        <w:widowControl/>
        <w:jc w:val="center"/>
        <w:rPr>
          <w:b/>
        </w:rPr>
      </w:pPr>
      <w:bookmarkStart w:id="0" w:name="_GoBack"/>
      <w:bookmarkEnd w:id="0"/>
      <w:r>
        <w:rPr>
          <w:rFonts w:ascii="Times New Roman Bold" w:hAnsi="Times New Roman Bold"/>
          <w:b/>
          <w:kern w:val="0"/>
        </w:rPr>
        <w:t>Before</w:t>
      </w:r>
      <w:r>
        <w:rPr>
          <w:b/>
        </w:rPr>
        <w:t xml:space="preserve"> the</w:t>
      </w:r>
    </w:p>
    <w:p w:rsidR="00861DC6" w:rsidRDefault="00861DC6" w:rsidP="0018561D">
      <w:pPr>
        <w:pStyle w:val="StyleBoldCentered"/>
        <w:widowControl/>
        <w:rPr>
          <w:caps w:val="0"/>
        </w:rPr>
      </w:pPr>
      <w:r>
        <w:t>F</w:t>
      </w:r>
      <w:r>
        <w:rPr>
          <w:caps w:val="0"/>
        </w:rPr>
        <w:t>ederal Communications Commission</w:t>
      </w:r>
    </w:p>
    <w:p w:rsidR="00861DC6" w:rsidRDefault="00861DC6" w:rsidP="0018561D">
      <w:pPr>
        <w:pStyle w:val="StyleBoldCentered"/>
        <w:widowControl/>
      </w:pPr>
      <w:r>
        <w:rPr>
          <w:caps w:val="0"/>
        </w:rPr>
        <w:t>Washington, D.C.</w:t>
      </w:r>
      <w:r>
        <w:t xml:space="preserve"> 20554</w:t>
      </w:r>
    </w:p>
    <w:p w:rsidR="00861DC6" w:rsidRDefault="00861DC6" w:rsidP="0018561D">
      <w:pPr>
        <w:widowControl/>
      </w:pPr>
    </w:p>
    <w:p w:rsidR="00861DC6" w:rsidRDefault="00861DC6" w:rsidP="0018561D">
      <w:pPr>
        <w:widowControl/>
      </w:pPr>
    </w:p>
    <w:tbl>
      <w:tblPr>
        <w:tblW w:w="0" w:type="auto"/>
        <w:tblLayout w:type="fixed"/>
        <w:tblLook w:val="0000" w:firstRow="0" w:lastRow="0" w:firstColumn="0" w:lastColumn="0" w:noHBand="0" w:noVBand="0"/>
      </w:tblPr>
      <w:tblGrid>
        <w:gridCol w:w="4698"/>
        <w:gridCol w:w="630"/>
        <w:gridCol w:w="4248"/>
      </w:tblGrid>
      <w:tr w:rsidR="00861DC6">
        <w:tc>
          <w:tcPr>
            <w:tcW w:w="4698" w:type="dxa"/>
          </w:tcPr>
          <w:p w:rsidR="00861DC6" w:rsidRDefault="00861DC6" w:rsidP="0018561D">
            <w:pPr>
              <w:widowControl/>
              <w:tabs>
                <w:tab w:val="center" w:pos="4680"/>
              </w:tabs>
              <w:suppressAutoHyphens/>
              <w:rPr>
                <w:spacing w:val="-2"/>
              </w:rPr>
            </w:pPr>
            <w:r>
              <w:rPr>
                <w:spacing w:val="-2"/>
              </w:rPr>
              <w:t>In the Matter of</w:t>
            </w:r>
          </w:p>
          <w:p w:rsidR="00861DC6" w:rsidRDefault="00861DC6" w:rsidP="0018561D">
            <w:pPr>
              <w:widowControl/>
              <w:tabs>
                <w:tab w:val="center" w:pos="4680"/>
              </w:tabs>
              <w:suppressAutoHyphens/>
              <w:rPr>
                <w:spacing w:val="-2"/>
              </w:rPr>
            </w:pPr>
          </w:p>
          <w:p w:rsidR="00861DC6" w:rsidRDefault="00861DC6" w:rsidP="0018561D">
            <w:pPr>
              <w:widowControl/>
            </w:pPr>
            <w:r>
              <w:t xml:space="preserve">STATE OF MAINE – </w:t>
            </w:r>
          </w:p>
          <w:p w:rsidR="00861DC6" w:rsidRDefault="00861DC6" w:rsidP="0018561D">
            <w:pPr>
              <w:widowControl/>
            </w:pPr>
            <w:r>
              <w:t>MSCOMMNET PROJECT</w:t>
            </w:r>
          </w:p>
          <w:p w:rsidR="00861DC6" w:rsidRDefault="00861DC6" w:rsidP="0018561D">
            <w:pPr>
              <w:widowControl/>
            </w:pPr>
          </w:p>
          <w:p w:rsidR="00861DC6" w:rsidRDefault="00861DC6" w:rsidP="0018561D">
            <w:pPr>
              <w:widowControl/>
            </w:pPr>
            <w:r>
              <w:t>Request For Waiver of Sections 90.35(</w:t>
            </w:r>
            <w:r w:rsidR="00F04E18">
              <w:t>b</w:t>
            </w:r>
            <w:r>
              <w:t>)</w:t>
            </w:r>
            <w:r w:rsidR="00F04E18">
              <w:t>(2)(ii)</w:t>
            </w:r>
            <w:r>
              <w:t xml:space="preserve"> </w:t>
            </w:r>
          </w:p>
          <w:p w:rsidR="00861DC6" w:rsidRDefault="00861DC6" w:rsidP="0018561D">
            <w:pPr>
              <w:widowControl/>
            </w:pPr>
            <w:r>
              <w:t xml:space="preserve">and </w:t>
            </w:r>
            <w:r w:rsidR="00F04E18">
              <w:t>90.187(d)</w:t>
            </w:r>
            <w:r>
              <w:t xml:space="preserve"> of the Commission’s Rules</w:t>
            </w:r>
          </w:p>
        </w:tc>
        <w:tc>
          <w:tcPr>
            <w:tcW w:w="630" w:type="dxa"/>
          </w:tcPr>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tc>
        <w:tc>
          <w:tcPr>
            <w:tcW w:w="4248" w:type="dxa"/>
          </w:tcPr>
          <w:p w:rsidR="00861DC6" w:rsidRDefault="00861DC6" w:rsidP="0018561D">
            <w:pPr>
              <w:widowControl/>
              <w:tabs>
                <w:tab w:val="center" w:pos="4680"/>
              </w:tabs>
              <w:suppressAutoHyphens/>
              <w:rPr>
                <w:spacing w:val="-2"/>
              </w:rPr>
            </w:pPr>
          </w:p>
          <w:p w:rsidR="00861DC6" w:rsidRDefault="00861DC6" w:rsidP="0018561D">
            <w:pPr>
              <w:pStyle w:val="TOAHeading"/>
              <w:widowControl/>
              <w:tabs>
                <w:tab w:val="clear" w:pos="9360"/>
                <w:tab w:val="center" w:pos="4680"/>
              </w:tabs>
              <w:rPr>
                <w:spacing w:val="-2"/>
              </w:rPr>
            </w:pPr>
          </w:p>
          <w:p w:rsidR="00861DC6" w:rsidRDefault="00F04E18" w:rsidP="0018561D">
            <w:pPr>
              <w:widowControl/>
              <w:tabs>
                <w:tab w:val="center" w:pos="4680"/>
              </w:tabs>
              <w:suppressAutoHyphens/>
              <w:rPr>
                <w:spacing w:val="-2"/>
              </w:rPr>
            </w:pPr>
            <w:r>
              <w:rPr>
                <w:spacing w:val="-2"/>
              </w:rPr>
              <w:t xml:space="preserve">ULS </w:t>
            </w:r>
            <w:r w:rsidR="00861DC6">
              <w:rPr>
                <w:spacing w:val="-2"/>
              </w:rPr>
              <w:t xml:space="preserve">File No. </w:t>
            </w:r>
            <w:r w:rsidRPr="00F04E18">
              <w:rPr>
                <w:spacing w:val="-2"/>
              </w:rPr>
              <w:t>0006183738</w:t>
            </w:r>
          </w:p>
        </w:tc>
      </w:tr>
    </w:tbl>
    <w:p w:rsidR="00861DC6" w:rsidRDefault="00861DC6" w:rsidP="0018561D">
      <w:pPr>
        <w:widowControl/>
      </w:pPr>
    </w:p>
    <w:p w:rsidR="00861DC6" w:rsidRDefault="00861DC6" w:rsidP="0018561D">
      <w:pPr>
        <w:pStyle w:val="StyleBoldCentered"/>
        <w:widowControl/>
      </w:pPr>
      <w:r>
        <w:t>Order</w:t>
      </w:r>
    </w:p>
    <w:p w:rsidR="00861DC6" w:rsidRDefault="00861DC6" w:rsidP="0018561D">
      <w:pPr>
        <w:widowControl/>
        <w:tabs>
          <w:tab w:val="left" w:pos="-720"/>
        </w:tabs>
        <w:suppressAutoHyphens/>
        <w:spacing w:line="227" w:lineRule="auto"/>
        <w:rPr>
          <w:spacing w:val="-2"/>
        </w:rPr>
      </w:pPr>
    </w:p>
    <w:p w:rsidR="00861DC6" w:rsidRDefault="00861DC6" w:rsidP="0018561D">
      <w:pPr>
        <w:widowControl/>
        <w:tabs>
          <w:tab w:val="left" w:pos="720"/>
          <w:tab w:val="left" w:pos="6480"/>
          <w:tab w:val="right" w:pos="9360"/>
        </w:tabs>
        <w:suppressAutoHyphens/>
        <w:spacing w:line="227" w:lineRule="auto"/>
        <w:rPr>
          <w:b/>
          <w:spacing w:val="-2"/>
        </w:rPr>
      </w:pPr>
      <w:r>
        <w:rPr>
          <w:b/>
          <w:spacing w:val="-2"/>
        </w:rPr>
        <w:t xml:space="preserve">Adopted:  </w:t>
      </w:r>
      <w:r w:rsidR="008A4A9D">
        <w:rPr>
          <w:b/>
          <w:spacing w:val="-2"/>
        </w:rPr>
        <w:t>June</w:t>
      </w:r>
      <w:r w:rsidR="00F04E18">
        <w:rPr>
          <w:b/>
          <w:spacing w:val="-2"/>
        </w:rPr>
        <w:t xml:space="preserve"> </w:t>
      </w:r>
      <w:r w:rsidR="00A84D3D">
        <w:rPr>
          <w:b/>
          <w:spacing w:val="-2"/>
        </w:rPr>
        <w:t>20</w:t>
      </w:r>
      <w:r>
        <w:rPr>
          <w:b/>
          <w:spacing w:val="-2"/>
        </w:rPr>
        <w:t>, 201</w:t>
      </w:r>
      <w:r w:rsidR="00F04E18">
        <w:rPr>
          <w:b/>
          <w:spacing w:val="-2"/>
        </w:rPr>
        <w:t>4</w:t>
      </w:r>
      <w:r>
        <w:rPr>
          <w:b/>
          <w:spacing w:val="-2"/>
        </w:rPr>
        <w:tab/>
        <w:t xml:space="preserve">Released:  </w:t>
      </w:r>
      <w:r w:rsidR="008A4A9D">
        <w:rPr>
          <w:b/>
          <w:spacing w:val="-2"/>
        </w:rPr>
        <w:t>June</w:t>
      </w:r>
      <w:r>
        <w:rPr>
          <w:b/>
          <w:spacing w:val="-2"/>
        </w:rPr>
        <w:t xml:space="preserve"> </w:t>
      </w:r>
      <w:r w:rsidR="00A84D3D">
        <w:rPr>
          <w:b/>
          <w:spacing w:val="-2"/>
        </w:rPr>
        <w:t>20</w:t>
      </w:r>
      <w:r>
        <w:rPr>
          <w:b/>
          <w:spacing w:val="-2"/>
        </w:rPr>
        <w:t>, 201</w:t>
      </w:r>
      <w:r w:rsidR="00F04E18">
        <w:rPr>
          <w:b/>
          <w:spacing w:val="-2"/>
        </w:rPr>
        <w:t>4</w:t>
      </w:r>
    </w:p>
    <w:p w:rsidR="00861DC6" w:rsidRDefault="00861DC6" w:rsidP="0018561D">
      <w:pPr>
        <w:widowControl/>
      </w:pPr>
    </w:p>
    <w:p w:rsidR="00861DC6" w:rsidRDefault="00861DC6" w:rsidP="0018561D">
      <w:pPr>
        <w:widowControl/>
        <w:rPr>
          <w:spacing w:val="-2"/>
        </w:rPr>
      </w:pPr>
      <w:r>
        <w:t xml:space="preserve">By the </w:t>
      </w:r>
      <w:r w:rsidR="008845DA">
        <w:t xml:space="preserve">Deputy </w:t>
      </w:r>
      <w:r>
        <w:rPr>
          <w:spacing w:val="-2"/>
        </w:rPr>
        <w:t>Chief, Policy and Licensing Division, Public Safety and Homeland Security Bureau:</w:t>
      </w:r>
    </w:p>
    <w:p w:rsidR="00861DC6" w:rsidRDefault="00861DC6" w:rsidP="0018561D">
      <w:pPr>
        <w:widowControl/>
      </w:pPr>
    </w:p>
    <w:p w:rsidR="00861DC6" w:rsidRDefault="00861DC6" w:rsidP="0018561D">
      <w:pPr>
        <w:pStyle w:val="Heading1"/>
        <w:widowControl/>
      </w:pPr>
      <w:r>
        <w:t>introduction</w:t>
      </w:r>
    </w:p>
    <w:p w:rsidR="0089281F" w:rsidRDefault="001E1CFF" w:rsidP="0018561D">
      <w:pPr>
        <w:pStyle w:val="ParaNum"/>
        <w:numPr>
          <w:ilvl w:val="0"/>
          <w:numId w:val="9"/>
        </w:numPr>
        <w:tabs>
          <w:tab w:val="clear" w:pos="360"/>
          <w:tab w:val="clear" w:pos="1440"/>
          <w:tab w:val="num" w:pos="1100"/>
        </w:tabs>
        <w:spacing w:after="120"/>
        <w:ind w:left="0" w:firstLine="440"/>
      </w:pPr>
      <w:r>
        <w:t>On, March 14, 2014, t</w:t>
      </w:r>
      <w:r w:rsidR="00861DC6">
        <w:t xml:space="preserve">he State of Maine – MSCommNet Project (Maine) filed </w:t>
      </w:r>
      <w:r w:rsidR="00F04E18">
        <w:t xml:space="preserve">an </w:t>
      </w:r>
      <w:r w:rsidR="00861DC6">
        <w:t>application to</w:t>
      </w:r>
      <w:r w:rsidR="00F04E18">
        <w:t xml:space="preserve"> modify its </w:t>
      </w:r>
      <w:r>
        <w:t xml:space="preserve">existing authorization for private land mobile radio (PLMR) station </w:t>
      </w:r>
      <w:r w:rsidRPr="0047038A">
        <w:t>WQRI384</w:t>
      </w:r>
      <w:r w:rsidR="00425EA9">
        <w:t xml:space="preserve">, operating </w:t>
      </w:r>
      <w:r>
        <w:t xml:space="preserve">on </w:t>
      </w:r>
      <w:r w:rsidR="00BF1CC0">
        <w:t xml:space="preserve">frequency </w:t>
      </w:r>
      <w:r>
        <w:t xml:space="preserve">153.1775 MHz at </w:t>
      </w:r>
      <w:r w:rsidR="0047038A" w:rsidRPr="0047038A">
        <w:t>Mt. Agamenticus</w:t>
      </w:r>
      <w:r w:rsidR="00BC5F4A">
        <w:t>, in York County, Maine</w:t>
      </w:r>
      <w:r w:rsidR="00861DC6">
        <w:t>.</w:t>
      </w:r>
      <w:r w:rsidR="00861DC6">
        <w:rPr>
          <w:rStyle w:val="FootnoteReference"/>
        </w:rPr>
        <w:footnoteReference w:id="2"/>
      </w:r>
      <w:r w:rsidR="00861DC6">
        <w:t xml:space="preserve">  In connection with </w:t>
      </w:r>
      <w:r w:rsidR="00B07316">
        <w:t xml:space="preserve">its </w:t>
      </w:r>
      <w:r w:rsidR="00EE2709">
        <w:t xml:space="preserve">application, </w:t>
      </w:r>
      <w:r w:rsidR="00861DC6">
        <w:t xml:space="preserve">Maine seeks a waiver of </w:t>
      </w:r>
      <w:r>
        <w:t>two Commission rules that require it to seek consent for its application from third parties:</w:t>
      </w:r>
      <w:r w:rsidR="0089281F">
        <w:rPr>
          <w:rStyle w:val="FootnoteReference"/>
        </w:rPr>
        <w:footnoteReference w:id="3"/>
      </w:r>
      <w:r>
        <w:t xml:space="preserve">  </w:t>
      </w:r>
      <w:r w:rsidR="00861DC6">
        <w:t xml:space="preserve">Section </w:t>
      </w:r>
      <w:r w:rsidR="00EE2709" w:rsidRPr="00EE2709">
        <w:t>90.35(b)(2)(ii)</w:t>
      </w:r>
      <w:r>
        <w:t>,</w:t>
      </w:r>
      <w:r w:rsidR="0089281F" w:rsidRPr="0089281F">
        <w:rPr>
          <w:rStyle w:val="FootnoteReference"/>
        </w:rPr>
        <w:t xml:space="preserve"> </w:t>
      </w:r>
      <w:r>
        <w:t xml:space="preserve">which requires Maine </w:t>
      </w:r>
      <w:r w:rsidR="004B4A60">
        <w:t xml:space="preserve">to obtain </w:t>
      </w:r>
      <w:r w:rsidR="00EE2709">
        <w:t xml:space="preserve">consent from the </w:t>
      </w:r>
      <w:r w:rsidR="00B07316" w:rsidRPr="00B07316">
        <w:t>certified frequency coordinator</w:t>
      </w:r>
      <w:r w:rsidR="00B07316">
        <w:t xml:space="preserve"> for frequency</w:t>
      </w:r>
      <w:r w:rsidR="00B10F8D">
        <w:t xml:space="preserve"> 153.1775 MHz</w:t>
      </w:r>
      <w:r>
        <w:t>;</w:t>
      </w:r>
      <w:r w:rsidR="0089281F">
        <w:rPr>
          <w:rStyle w:val="FootnoteReference"/>
        </w:rPr>
        <w:footnoteReference w:id="4"/>
      </w:r>
      <w:r w:rsidR="00DC5B9C">
        <w:t xml:space="preserve"> </w:t>
      </w:r>
      <w:r>
        <w:t xml:space="preserve">and </w:t>
      </w:r>
      <w:r w:rsidR="00B07316">
        <w:t xml:space="preserve">Section </w:t>
      </w:r>
      <w:r w:rsidR="00DC5B9C">
        <w:t>90.187(</w:t>
      </w:r>
      <w:r w:rsidR="0089281F">
        <w:t>d</w:t>
      </w:r>
      <w:r w:rsidR="00DC5B9C">
        <w:t>)</w:t>
      </w:r>
      <w:r>
        <w:t xml:space="preserve"> which </w:t>
      </w:r>
      <w:r w:rsidR="003809FA">
        <w:t xml:space="preserve">requires an applicant for a trunked station whose interference contour intersects the service contour of another station </w:t>
      </w:r>
      <w:r w:rsidR="00BF1CC0">
        <w:t xml:space="preserve">to </w:t>
      </w:r>
      <w:r w:rsidR="003809FA">
        <w:t xml:space="preserve">obtain the consent of the </w:t>
      </w:r>
      <w:r w:rsidR="00BF1CC0">
        <w:t xml:space="preserve">licensee </w:t>
      </w:r>
      <w:r w:rsidR="003809FA">
        <w:t>that would be affected by the interference.</w:t>
      </w:r>
      <w:r w:rsidR="0089281F">
        <w:rPr>
          <w:rStyle w:val="FootnoteReference"/>
        </w:rPr>
        <w:footnoteReference w:id="5"/>
      </w:r>
      <w:r w:rsidR="003809FA">
        <w:t xml:space="preserve">  </w:t>
      </w:r>
    </w:p>
    <w:p w:rsidR="00861DC6" w:rsidRDefault="00132F30" w:rsidP="0018561D">
      <w:pPr>
        <w:pStyle w:val="ParaNum"/>
        <w:numPr>
          <w:ilvl w:val="0"/>
          <w:numId w:val="9"/>
        </w:numPr>
        <w:tabs>
          <w:tab w:val="clear" w:pos="360"/>
          <w:tab w:val="clear" w:pos="1440"/>
          <w:tab w:val="num" w:pos="1100"/>
        </w:tabs>
        <w:spacing w:after="120"/>
        <w:ind w:left="0" w:firstLine="440"/>
      </w:pPr>
      <w:r>
        <w:t xml:space="preserve">The interference contour of Maine’s existing station intersects the service contour of a neighboring co-channel licensee whose license was granted after Maine’s </w:t>
      </w:r>
      <w:r w:rsidR="00755B4B">
        <w:t xml:space="preserve">current </w:t>
      </w:r>
      <w:r>
        <w:t xml:space="preserve">authorization.  Under the modification proposed by Maine, there would be no increase in Maine’s interference contour.  Accordingly, and for the </w:t>
      </w:r>
      <w:r w:rsidR="00861DC6">
        <w:t xml:space="preserve">reasons detailed below, we grant Maine’s waiver requests.  </w:t>
      </w:r>
    </w:p>
    <w:p w:rsidR="00861DC6" w:rsidRDefault="00861DC6" w:rsidP="0018561D">
      <w:pPr>
        <w:pStyle w:val="Heading1"/>
        <w:widowControl/>
      </w:pPr>
      <w:r>
        <w:lastRenderedPageBreak/>
        <w:t>background</w:t>
      </w:r>
    </w:p>
    <w:p w:rsidR="009126A1" w:rsidRPr="009126A1" w:rsidRDefault="00861DC6" w:rsidP="0018561D">
      <w:pPr>
        <w:pStyle w:val="ParaNum"/>
        <w:numPr>
          <w:ilvl w:val="0"/>
          <w:numId w:val="9"/>
        </w:numPr>
        <w:tabs>
          <w:tab w:val="clear" w:pos="360"/>
          <w:tab w:val="clear" w:pos="1440"/>
          <w:tab w:val="num" w:pos="1100"/>
        </w:tabs>
        <w:spacing w:after="120"/>
        <w:ind w:left="0" w:firstLine="440"/>
      </w:pPr>
      <w:r w:rsidRPr="009126A1">
        <w:rPr>
          <w:snapToGrid/>
          <w:kern w:val="0"/>
          <w:szCs w:val="22"/>
        </w:rPr>
        <w:t>Maine is upgrading its statewide public safety radio communications network</w:t>
      </w:r>
      <w:r w:rsidR="001E1CFF">
        <w:rPr>
          <w:snapToGrid/>
          <w:kern w:val="0"/>
          <w:szCs w:val="22"/>
        </w:rPr>
        <w:t xml:space="preserve"> from a series of </w:t>
      </w:r>
      <w:r w:rsidRPr="009126A1">
        <w:rPr>
          <w:snapToGrid/>
          <w:kern w:val="0"/>
          <w:szCs w:val="22"/>
        </w:rPr>
        <w:t xml:space="preserve">multiple independent PLMR systems, which Maine describes as “outdated, </w:t>
      </w:r>
      <w:r w:rsidR="0018561D">
        <w:rPr>
          <w:snapToGrid/>
          <w:kern w:val="0"/>
          <w:szCs w:val="22"/>
        </w:rPr>
        <w:t>d</w:t>
      </w:r>
      <w:r w:rsidRPr="009126A1">
        <w:rPr>
          <w:snapToGrid/>
          <w:kern w:val="0"/>
          <w:szCs w:val="22"/>
        </w:rPr>
        <w:t>ifficult to maintain, and no longer adequate to serve respective departments’ critical needs</w:t>
      </w:r>
      <w:r w:rsidR="001E1CFF">
        <w:rPr>
          <w:snapToGrid/>
          <w:kern w:val="0"/>
          <w:szCs w:val="22"/>
        </w:rPr>
        <w:t>,</w:t>
      </w:r>
      <w:r w:rsidRPr="009126A1">
        <w:rPr>
          <w:snapToGrid/>
          <w:kern w:val="0"/>
          <w:szCs w:val="22"/>
        </w:rPr>
        <w:t>”</w:t>
      </w:r>
      <w:r>
        <w:rPr>
          <w:rStyle w:val="FootnoteReference"/>
          <w:snapToGrid/>
          <w:kern w:val="0"/>
          <w:szCs w:val="22"/>
        </w:rPr>
        <w:footnoteReference w:id="6"/>
      </w:r>
      <w:r w:rsidRPr="009126A1">
        <w:rPr>
          <w:snapToGrid/>
          <w:kern w:val="0"/>
          <w:szCs w:val="22"/>
        </w:rPr>
        <w:t xml:space="preserve"> </w:t>
      </w:r>
      <w:r w:rsidR="001E1CFF">
        <w:rPr>
          <w:snapToGrid/>
          <w:kern w:val="0"/>
          <w:szCs w:val="22"/>
        </w:rPr>
        <w:t>to</w:t>
      </w:r>
      <w:r w:rsidRPr="009126A1">
        <w:rPr>
          <w:snapToGrid/>
          <w:kern w:val="0"/>
          <w:szCs w:val="22"/>
        </w:rPr>
        <w:t xml:space="preserve"> a new statewide radio system.</w:t>
      </w:r>
      <w:r>
        <w:rPr>
          <w:rStyle w:val="FootnoteReference"/>
          <w:snapToGrid/>
          <w:kern w:val="0"/>
          <w:szCs w:val="22"/>
        </w:rPr>
        <w:footnoteReference w:id="7"/>
      </w:r>
      <w:r w:rsidRPr="009126A1">
        <w:rPr>
          <w:snapToGrid/>
          <w:kern w:val="0"/>
          <w:szCs w:val="22"/>
        </w:rPr>
        <w:t xml:space="preserve">  </w:t>
      </w:r>
    </w:p>
    <w:p w:rsidR="008845DA" w:rsidRDefault="005B7797" w:rsidP="00BF1CC0">
      <w:pPr>
        <w:pStyle w:val="ParaNum"/>
        <w:numPr>
          <w:ilvl w:val="0"/>
          <w:numId w:val="9"/>
        </w:numPr>
        <w:tabs>
          <w:tab w:val="clear" w:pos="360"/>
          <w:tab w:val="clear" w:pos="1440"/>
          <w:tab w:val="num" w:pos="1100"/>
        </w:tabs>
        <w:spacing w:after="120"/>
        <w:ind w:left="0" w:firstLine="440"/>
      </w:pPr>
      <w:r>
        <w:t>As part of this system upgrade, o</w:t>
      </w:r>
      <w:r w:rsidR="00BC5F4A">
        <w:t xml:space="preserve">n May, 20, 2013, the Commission granted </w:t>
      </w:r>
      <w:r w:rsidR="009126A1">
        <w:t xml:space="preserve">Maine </w:t>
      </w:r>
      <w:r w:rsidR="00B027CB">
        <w:t xml:space="preserve">an </w:t>
      </w:r>
      <w:r w:rsidR="00BC5F4A">
        <w:t xml:space="preserve">authorization </w:t>
      </w:r>
      <w:r w:rsidR="00B027CB">
        <w:t xml:space="preserve">for WQRI384, </w:t>
      </w:r>
      <w:r w:rsidR="008107C8">
        <w:t>a</w:t>
      </w:r>
      <w:r w:rsidR="00B027CB">
        <w:t xml:space="preserve">llowing Maine </w:t>
      </w:r>
      <w:r w:rsidR="009126A1">
        <w:t xml:space="preserve">to operate </w:t>
      </w:r>
      <w:r w:rsidR="007E3AA4">
        <w:t>a</w:t>
      </w:r>
      <w:r w:rsidR="00E6146B">
        <w:t>n “FB8”</w:t>
      </w:r>
      <w:r w:rsidR="007E3AA4">
        <w:t xml:space="preserve"> trunked base station </w:t>
      </w:r>
      <w:r w:rsidR="009126A1">
        <w:t xml:space="preserve">on Industrial/Business </w:t>
      </w:r>
      <w:r w:rsidR="007E3AA4">
        <w:t xml:space="preserve">Pool </w:t>
      </w:r>
      <w:r w:rsidR="009126A1">
        <w:t xml:space="preserve">frequency </w:t>
      </w:r>
      <w:r w:rsidR="007E3AA4" w:rsidRPr="007E3AA4">
        <w:t>153.1775 MHz</w:t>
      </w:r>
      <w:r w:rsidR="007E3AA4">
        <w:t xml:space="preserve"> at </w:t>
      </w:r>
      <w:r w:rsidR="00B027CB">
        <w:t xml:space="preserve">the </w:t>
      </w:r>
      <w:r w:rsidR="007E3AA4" w:rsidRPr="007E3AA4">
        <w:t>Mt. Agamenticus</w:t>
      </w:r>
      <w:r w:rsidR="007E3AA4">
        <w:t xml:space="preserve"> </w:t>
      </w:r>
      <w:r w:rsidR="00B027CB">
        <w:t>location</w:t>
      </w:r>
      <w:r w:rsidR="007E3AA4">
        <w:t>.</w:t>
      </w:r>
      <w:r w:rsidR="00DF2614">
        <w:rPr>
          <w:rStyle w:val="FootnoteReference"/>
        </w:rPr>
        <w:footnoteReference w:id="8"/>
      </w:r>
      <w:r w:rsidR="0073466B">
        <w:t xml:space="preserve">  </w:t>
      </w:r>
      <w:r w:rsidR="008107C8">
        <w:t>D</w:t>
      </w:r>
      <w:r w:rsidR="00630A8F">
        <w:t xml:space="preserve">uring coverage testing </w:t>
      </w:r>
      <w:r w:rsidR="008107C8">
        <w:t xml:space="preserve">for the new </w:t>
      </w:r>
      <w:r w:rsidR="004231D2">
        <w:t xml:space="preserve">statewide </w:t>
      </w:r>
      <w:r w:rsidR="008107C8">
        <w:t xml:space="preserve">VHF trunked radio system, Maine </w:t>
      </w:r>
      <w:r w:rsidR="00B027CB">
        <w:t xml:space="preserve">discovered </w:t>
      </w:r>
      <w:r w:rsidR="00C424A1">
        <w:t xml:space="preserve">that </w:t>
      </w:r>
      <w:r w:rsidR="00B027CB">
        <w:t xml:space="preserve">the top of </w:t>
      </w:r>
      <w:r w:rsidR="00B027CB" w:rsidRPr="008107C8">
        <w:t>Mt. Agamenticus</w:t>
      </w:r>
      <w:r w:rsidR="00B027CB">
        <w:t xml:space="preserve"> shields the </w:t>
      </w:r>
      <w:r w:rsidR="00D46D10">
        <w:t>signal from its base station</w:t>
      </w:r>
      <w:r w:rsidR="00B027CB">
        <w:t xml:space="preserve">, degrading </w:t>
      </w:r>
      <w:r w:rsidR="00AF1B39">
        <w:t xml:space="preserve">radio </w:t>
      </w:r>
      <w:r w:rsidR="008845DA">
        <w:t xml:space="preserve">coverage </w:t>
      </w:r>
      <w:r w:rsidR="00755B4B">
        <w:t>at</w:t>
      </w:r>
      <w:r w:rsidR="005F011C">
        <w:t xml:space="preserve"> </w:t>
      </w:r>
      <w:r w:rsidR="00D46D10">
        <w:t>the base of the mountain.</w:t>
      </w:r>
      <w:r w:rsidR="007A7FCE">
        <w:rPr>
          <w:rStyle w:val="FootnoteReference"/>
        </w:rPr>
        <w:footnoteReference w:id="9"/>
      </w:r>
      <w:r w:rsidR="00D46D10">
        <w:t xml:space="preserve">  Maine states that </w:t>
      </w:r>
      <w:r w:rsidR="008845DA">
        <w:t xml:space="preserve">further testing revealed it could </w:t>
      </w:r>
      <w:r w:rsidR="00D46D10">
        <w:t>overcome th</w:t>
      </w:r>
      <w:r w:rsidR="005F011C">
        <w:t xml:space="preserve">e </w:t>
      </w:r>
      <w:r w:rsidR="00D46D10">
        <w:t xml:space="preserve">shielding </w:t>
      </w:r>
      <w:r w:rsidR="00935E5B">
        <w:t xml:space="preserve">issue </w:t>
      </w:r>
      <w:r w:rsidR="00D46D10">
        <w:t>by raising the antenna height</w:t>
      </w:r>
      <w:r w:rsidR="00E6146B">
        <w:t xml:space="preserve"> of the base station </w:t>
      </w:r>
      <w:r w:rsidR="00702AA3">
        <w:t>by</w:t>
      </w:r>
      <w:r w:rsidR="00D46D10">
        <w:t>13 meters.</w:t>
      </w:r>
      <w:r w:rsidR="007A7FCE">
        <w:rPr>
          <w:rStyle w:val="FootnoteReference"/>
        </w:rPr>
        <w:footnoteReference w:id="10"/>
      </w:r>
    </w:p>
    <w:p w:rsidR="005F011C" w:rsidRDefault="008845DA" w:rsidP="0018561D">
      <w:pPr>
        <w:pStyle w:val="ParaNum"/>
        <w:numPr>
          <w:ilvl w:val="0"/>
          <w:numId w:val="9"/>
        </w:numPr>
        <w:tabs>
          <w:tab w:val="clear" w:pos="360"/>
          <w:tab w:val="clear" w:pos="1440"/>
          <w:tab w:val="num" w:pos="1100"/>
        </w:tabs>
        <w:spacing w:after="120"/>
        <w:ind w:left="0" w:firstLine="440"/>
      </w:pPr>
      <w:r>
        <w:t>Consequently, Maine prepar</w:t>
      </w:r>
      <w:r w:rsidR="00590D11">
        <w:t xml:space="preserve">ed </w:t>
      </w:r>
      <w:r w:rsidR="00702AA3">
        <w:t xml:space="preserve">the instant </w:t>
      </w:r>
      <w:r>
        <w:t xml:space="preserve">modification application </w:t>
      </w:r>
      <w:r w:rsidR="00137970">
        <w:t>seek</w:t>
      </w:r>
      <w:r w:rsidR="0010788D">
        <w:t>ing</w:t>
      </w:r>
      <w:r w:rsidR="00137970">
        <w:t xml:space="preserve"> authority to </w:t>
      </w:r>
      <w:r>
        <w:t xml:space="preserve">raise the antenna height at Mt. </w:t>
      </w:r>
      <w:r w:rsidRPr="008107C8">
        <w:t>Agamenticus</w:t>
      </w:r>
      <w:r w:rsidR="005F011C">
        <w:t xml:space="preserve">.  </w:t>
      </w:r>
      <w:r w:rsidR="008B1F57">
        <w:t>B</w:t>
      </w:r>
      <w:r w:rsidR="00B027CB">
        <w:t>ecause the application involve</w:t>
      </w:r>
      <w:r w:rsidR="008B1F57">
        <w:t>s</w:t>
      </w:r>
      <w:r w:rsidR="00B027CB">
        <w:t xml:space="preserve"> frequency </w:t>
      </w:r>
      <w:r w:rsidR="00B027CB" w:rsidRPr="007E3AA4">
        <w:t>153.1775 MHz</w:t>
      </w:r>
      <w:r w:rsidR="00B027CB">
        <w:t xml:space="preserve">, </w:t>
      </w:r>
      <w:r w:rsidR="00935E5B">
        <w:t xml:space="preserve">Section </w:t>
      </w:r>
      <w:r w:rsidR="00935E5B" w:rsidRPr="00EE2709">
        <w:t xml:space="preserve">90.35(b)(2)(ii) </w:t>
      </w:r>
      <w:r w:rsidR="00935E5B">
        <w:t xml:space="preserve">of the Commission’s rules </w:t>
      </w:r>
      <w:r w:rsidR="00B027CB">
        <w:t>require</w:t>
      </w:r>
      <w:r w:rsidR="008B1F57">
        <w:t>s</w:t>
      </w:r>
      <w:r w:rsidR="00935E5B">
        <w:t xml:space="preserve"> Maine </w:t>
      </w:r>
      <w:r w:rsidR="00B027CB">
        <w:t xml:space="preserve">to </w:t>
      </w:r>
      <w:r w:rsidR="00935E5B">
        <w:t xml:space="preserve">obtain consent from the </w:t>
      </w:r>
      <w:r w:rsidR="001641B4">
        <w:t>Enterprise Wireless A</w:t>
      </w:r>
      <w:r w:rsidR="00003CD5">
        <w:t xml:space="preserve">lliance </w:t>
      </w:r>
      <w:r w:rsidR="001641B4">
        <w:t xml:space="preserve">(EWA), the Commission’s designated </w:t>
      </w:r>
      <w:r w:rsidR="00935E5B">
        <w:t>Petroleum Frequency Coordinator</w:t>
      </w:r>
      <w:r w:rsidR="001641B4">
        <w:t>,</w:t>
      </w:r>
      <w:r w:rsidR="00935E5B">
        <w:t xml:space="preserve"> before filing </w:t>
      </w:r>
      <w:r w:rsidR="00B027CB">
        <w:t xml:space="preserve">the modification </w:t>
      </w:r>
      <w:r w:rsidR="00935E5B">
        <w:t>application</w:t>
      </w:r>
      <w:r w:rsidR="001641B4">
        <w:t>.</w:t>
      </w:r>
      <w:r w:rsidR="00421EB3">
        <w:rPr>
          <w:rStyle w:val="FootnoteReference"/>
        </w:rPr>
        <w:footnoteReference w:id="11"/>
      </w:r>
      <w:r w:rsidR="001641B4">
        <w:t xml:space="preserve">   </w:t>
      </w:r>
    </w:p>
    <w:p w:rsidR="00CE0411" w:rsidRDefault="000E40DD" w:rsidP="0018561D">
      <w:pPr>
        <w:pStyle w:val="ParaNum"/>
        <w:numPr>
          <w:ilvl w:val="0"/>
          <w:numId w:val="9"/>
        </w:numPr>
        <w:tabs>
          <w:tab w:val="clear" w:pos="360"/>
          <w:tab w:val="clear" w:pos="1440"/>
          <w:tab w:val="num" w:pos="1100"/>
        </w:tabs>
        <w:spacing w:after="120"/>
        <w:ind w:left="0" w:firstLine="440"/>
      </w:pPr>
      <w:r>
        <w:t>O</w:t>
      </w:r>
      <w:r w:rsidR="00CE0411">
        <w:t>n December 1</w:t>
      </w:r>
      <w:r w:rsidR="008459D6">
        <w:t>7</w:t>
      </w:r>
      <w:r w:rsidR="00CE0411">
        <w:t xml:space="preserve">, 2013, </w:t>
      </w:r>
      <w:r w:rsidR="00E76D88">
        <w:t xml:space="preserve">Maine’s frequency coordinator, </w:t>
      </w:r>
      <w:r w:rsidR="00893888">
        <w:t>the American Association of State Highway and Transportation Officials (AASHTO),</w:t>
      </w:r>
      <w:r w:rsidR="00773544">
        <w:t xml:space="preserve"> </w:t>
      </w:r>
      <w:r w:rsidR="00CE0411">
        <w:t xml:space="preserve">attempted to obtain </w:t>
      </w:r>
      <w:r w:rsidR="00B027CB">
        <w:t xml:space="preserve">EWA’s </w:t>
      </w:r>
      <w:r w:rsidR="00CE0411">
        <w:t xml:space="preserve">consent </w:t>
      </w:r>
      <w:r w:rsidR="00B027CB">
        <w:t>for the modification application</w:t>
      </w:r>
      <w:r w:rsidR="00CE0411">
        <w:t>.</w:t>
      </w:r>
      <w:r w:rsidR="008459D6">
        <w:rPr>
          <w:rStyle w:val="FootnoteReference"/>
        </w:rPr>
        <w:footnoteReference w:id="12"/>
      </w:r>
      <w:r w:rsidR="00D231E3">
        <w:t xml:space="preserve">  </w:t>
      </w:r>
      <w:r w:rsidR="00B027CB">
        <w:t xml:space="preserve">On December 31, 2013, </w:t>
      </w:r>
      <w:r w:rsidR="00D231E3">
        <w:t xml:space="preserve">EWA </w:t>
      </w:r>
      <w:r>
        <w:t xml:space="preserve">responded </w:t>
      </w:r>
      <w:r w:rsidR="001044DB">
        <w:t xml:space="preserve">to AASHTO </w:t>
      </w:r>
      <w:r w:rsidR="00B027CB">
        <w:t xml:space="preserve">declining concurrence </w:t>
      </w:r>
      <w:r>
        <w:t xml:space="preserve"> because Maine’s application “fails FB8 analysis” </w:t>
      </w:r>
      <w:r w:rsidR="00A8713F">
        <w:t>with respect to</w:t>
      </w:r>
      <w:r w:rsidR="00CC43C5">
        <w:t xml:space="preserve"> an application filed on December 5, 2013 by </w:t>
      </w:r>
      <w:r>
        <w:t xml:space="preserve">the South Maine Community College </w:t>
      </w:r>
      <w:r w:rsidR="007773B5">
        <w:t>(SMCC)</w:t>
      </w:r>
      <w:r w:rsidR="00B027CB">
        <w:t>,</w:t>
      </w:r>
      <w:r w:rsidR="00CD390B">
        <w:rPr>
          <w:rStyle w:val="FootnoteReference"/>
        </w:rPr>
        <w:footnoteReference w:id="13"/>
      </w:r>
      <w:r w:rsidR="007773B5">
        <w:t xml:space="preserve"> </w:t>
      </w:r>
      <w:r w:rsidR="00B027CB">
        <w:t>in which</w:t>
      </w:r>
      <w:r w:rsidR="00CD390B">
        <w:t xml:space="preserve">  SMCC s</w:t>
      </w:r>
      <w:r w:rsidR="00006B0F">
        <w:t xml:space="preserve">ought </w:t>
      </w:r>
      <w:r w:rsidR="00CD390B">
        <w:t xml:space="preserve">to add </w:t>
      </w:r>
      <w:r w:rsidR="00B027CB">
        <w:t xml:space="preserve">153.1775 MHz </w:t>
      </w:r>
      <w:r w:rsidR="00CD390B">
        <w:t xml:space="preserve">to its </w:t>
      </w:r>
      <w:r w:rsidR="00B027CB">
        <w:t xml:space="preserve">existing </w:t>
      </w:r>
      <w:r w:rsidR="00CD390B">
        <w:t xml:space="preserve">license call sign </w:t>
      </w:r>
      <w:r w:rsidR="00CD390B" w:rsidRPr="00101520">
        <w:t>WNSU834</w:t>
      </w:r>
      <w:r w:rsidR="00CC43C5">
        <w:t>.</w:t>
      </w:r>
      <w:r w:rsidR="00101520">
        <w:rPr>
          <w:rStyle w:val="FootnoteReference"/>
        </w:rPr>
        <w:footnoteReference w:id="14"/>
      </w:r>
      <w:r w:rsidR="00CC43C5">
        <w:t xml:space="preserve">  </w:t>
      </w:r>
      <w:r w:rsidR="007E782D">
        <w:t xml:space="preserve">  </w:t>
      </w:r>
    </w:p>
    <w:p w:rsidR="00B92BAC" w:rsidRDefault="00101520" w:rsidP="0018561D">
      <w:pPr>
        <w:pStyle w:val="ParaNum"/>
        <w:numPr>
          <w:ilvl w:val="0"/>
          <w:numId w:val="9"/>
        </w:numPr>
        <w:tabs>
          <w:tab w:val="clear" w:pos="360"/>
          <w:tab w:val="clear" w:pos="1440"/>
          <w:tab w:val="num" w:pos="1100"/>
        </w:tabs>
        <w:spacing w:after="120"/>
        <w:ind w:left="0" w:firstLine="440"/>
      </w:pPr>
      <w:r>
        <w:t>Under Section 90.187(</w:t>
      </w:r>
      <w:r w:rsidR="00397099">
        <w:t>b</w:t>
      </w:r>
      <w:r>
        <w:t>)</w:t>
      </w:r>
      <w:r w:rsidR="00B92BAC">
        <w:t>(</w:t>
      </w:r>
      <w:r w:rsidR="00397099">
        <w:t>2</w:t>
      </w:r>
      <w:r w:rsidR="00B92BAC">
        <w:t>)</w:t>
      </w:r>
      <w:r w:rsidR="00397099">
        <w:t>(iii)</w:t>
      </w:r>
      <w:r>
        <w:t xml:space="preserve"> of the Commission’s rules, </w:t>
      </w:r>
      <w:r w:rsidR="006516DD">
        <w:t xml:space="preserve">SMCC is considered an “affected” licensee </w:t>
      </w:r>
      <w:r w:rsidR="00397099">
        <w:t xml:space="preserve">since both licensees are operating on the same frequency and </w:t>
      </w:r>
      <w:r w:rsidR="008B5B02">
        <w:t>Maine’s interfering contour (19 dBu) overlaps SMCC’s service contour (37 dBu).</w:t>
      </w:r>
      <w:r w:rsidR="008B5B02">
        <w:rPr>
          <w:rStyle w:val="FootnoteReference"/>
        </w:rPr>
        <w:footnoteReference w:id="15"/>
      </w:r>
      <w:r w:rsidR="008B5B02">
        <w:t xml:space="preserve">  </w:t>
      </w:r>
      <w:r>
        <w:t xml:space="preserve">Maine </w:t>
      </w:r>
      <w:r w:rsidR="00397099">
        <w:t xml:space="preserve">did not need to seek concurrence from SMCC for its original authorization to operate on this frequency with </w:t>
      </w:r>
      <w:r>
        <w:t>a station class code of “FB8</w:t>
      </w:r>
      <w:r w:rsidR="00FE6164">
        <w:t>,</w:t>
      </w:r>
      <w:r>
        <w:t>”</w:t>
      </w:r>
      <w:r w:rsidR="00FE6164">
        <w:t xml:space="preserve"> </w:t>
      </w:r>
      <w:r w:rsidR="00397099">
        <w:t xml:space="preserve">because SMCC had not </w:t>
      </w:r>
      <w:r w:rsidR="00702AA3">
        <w:t xml:space="preserve">yet </w:t>
      </w:r>
      <w:r w:rsidR="00397099">
        <w:t xml:space="preserve">filed its application.  </w:t>
      </w:r>
      <w:r w:rsidR="00424B65">
        <w:t xml:space="preserve">But because SMCC now has an authorization to operate on frequency 153.1775 MHz, </w:t>
      </w:r>
      <w:r w:rsidR="00006B0F">
        <w:t xml:space="preserve">the </w:t>
      </w:r>
      <w:r w:rsidR="00397099">
        <w:t xml:space="preserve">Commission’s rules require Maine to seek SMCC’s </w:t>
      </w:r>
      <w:r w:rsidR="00424B65">
        <w:t xml:space="preserve">written </w:t>
      </w:r>
      <w:r w:rsidR="00397099">
        <w:t xml:space="preserve">concurrence </w:t>
      </w:r>
      <w:r w:rsidR="00424B65">
        <w:t xml:space="preserve">for any subsequent modifications </w:t>
      </w:r>
      <w:r w:rsidR="00397099">
        <w:t xml:space="preserve">if Maine seeks </w:t>
      </w:r>
      <w:r w:rsidR="00424B65">
        <w:t xml:space="preserve">to maintain its </w:t>
      </w:r>
      <w:r w:rsidR="00397099">
        <w:t>FB8 status</w:t>
      </w:r>
      <w:r w:rsidR="0014350C">
        <w:t>,</w:t>
      </w:r>
      <w:r w:rsidR="00424B65">
        <w:t xml:space="preserve"> </w:t>
      </w:r>
      <w:r w:rsidR="00D75B7E">
        <w:t>thus</w:t>
      </w:r>
      <w:r w:rsidR="0014350C">
        <w:t xml:space="preserve"> </w:t>
      </w:r>
      <w:r w:rsidR="00397099">
        <w:t>avoid</w:t>
      </w:r>
      <w:r w:rsidR="00D75B7E">
        <w:t>ing</w:t>
      </w:r>
      <w:r w:rsidR="00397099">
        <w:t xml:space="preserve"> </w:t>
      </w:r>
      <w:r>
        <w:t>all monitoring requirements</w:t>
      </w:r>
      <w:r w:rsidR="0014350C">
        <w:t>,</w:t>
      </w:r>
      <w:r w:rsidR="00397099">
        <w:t xml:space="preserve"> </w:t>
      </w:r>
      <w:r w:rsidR="00424B65">
        <w:t xml:space="preserve">at </w:t>
      </w:r>
      <w:r w:rsidR="00397099">
        <w:t>the Mt. Agamenticus facility</w:t>
      </w:r>
      <w:r>
        <w:t>.</w:t>
      </w:r>
      <w:r w:rsidR="00BD0A3D">
        <w:rPr>
          <w:rStyle w:val="FootnoteReference"/>
        </w:rPr>
        <w:footnoteReference w:id="16"/>
      </w:r>
    </w:p>
    <w:p w:rsidR="00974F91" w:rsidRDefault="00FC14B0" w:rsidP="0018561D">
      <w:pPr>
        <w:pStyle w:val="ParaNum"/>
        <w:numPr>
          <w:ilvl w:val="0"/>
          <w:numId w:val="9"/>
        </w:numPr>
        <w:tabs>
          <w:tab w:val="clear" w:pos="360"/>
          <w:tab w:val="clear" w:pos="1440"/>
          <w:tab w:val="num" w:pos="1100"/>
        </w:tabs>
        <w:spacing w:after="120"/>
        <w:ind w:left="0" w:firstLine="440"/>
      </w:pPr>
      <w:r>
        <w:t xml:space="preserve">In response to EWA’s letter, </w:t>
      </w:r>
      <w:r w:rsidR="009A4A59">
        <w:t>Maine</w:t>
      </w:r>
      <w:r w:rsidR="005343BB">
        <w:t>, through its frequency coordinator,</w:t>
      </w:r>
      <w:r w:rsidR="006D7083">
        <w:t xml:space="preserve"> </w:t>
      </w:r>
      <w:r w:rsidR="009A4A59">
        <w:t>offer</w:t>
      </w:r>
      <w:r>
        <w:t xml:space="preserve">ed </w:t>
      </w:r>
      <w:r w:rsidR="009A4A59">
        <w:t>to reduce the effective radiated power (ERP) of its Mt. Agamenticus base station from 25 to 22 watts to avoid expanding the coverage or interference contours from the site despite the 13 meter increase in antenna height.</w:t>
      </w:r>
      <w:r w:rsidR="00BC01AA">
        <w:rPr>
          <w:rStyle w:val="FootnoteReference"/>
        </w:rPr>
        <w:footnoteReference w:id="17"/>
      </w:r>
      <w:r w:rsidR="009A4A59">
        <w:t xml:space="preserve">  EWA responded that it would only concur if Maine reduced its ERP at Mt. Agamenticus to 5 watts.</w:t>
      </w:r>
      <w:r w:rsidR="00BC01AA">
        <w:rPr>
          <w:rStyle w:val="FootnoteReference"/>
        </w:rPr>
        <w:footnoteReference w:id="18"/>
      </w:r>
      <w:r w:rsidR="005343BB">
        <w:t xml:space="preserve">  At the same time, </w:t>
      </w:r>
      <w:r w:rsidR="005A2F35">
        <w:t xml:space="preserve">Maine attempted to obtain written consent from SMCC for </w:t>
      </w:r>
      <w:r w:rsidR="00B405A4">
        <w:t xml:space="preserve">Maine’s </w:t>
      </w:r>
      <w:r w:rsidR="005A2F35">
        <w:t xml:space="preserve">proposal to raise the antenna height at </w:t>
      </w:r>
      <w:r w:rsidR="009A4A59">
        <w:t xml:space="preserve">Mt. Agamenticus </w:t>
      </w:r>
      <w:r w:rsidR="005A2F35">
        <w:t>by 13 meters.</w:t>
      </w:r>
      <w:r w:rsidR="00293F33">
        <w:rPr>
          <w:rStyle w:val="FootnoteReference"/>
        </w:rPr>
        <w:footnoteReference w:id="19"/>
      </w:r>
      <w:r w:rsidR="005A2F35">
        <w:t xml:space="preserve">  SMCC, however, refused to </w:t>
      </w:r>
      <w:r w:rsidR="001244FC">
        <w:t xml:space="preserve">provide </w:t>
      </w:r>
      <w:r w:rsidR="005A2F35">
        <w:t>consent.</w:t>
      </w:r>
      <w:r w:rsidR="009E5A1A">
        <w:rPr>
          <w:rStyle w:val="FootnoteReference"/>
        </w:rPr>
        <w:footnoteReference w:id="20"/>
      </w:r>
      <w:r w:rsidR="005A2F35">
        <w:t xml:space="preserve">  </w:t>
      </w:r>
    </w:p>
    <w:p w:rsidR="00861DC6" w:rsidRPr="002B541F" w:rsidRDefault="00334B27" w:rsidP="0018561D">
      <w:pPr>
        <w:pStyle w:val="ParaNum"/>
        <w:numPr>
          <w:ilvl w:val="0"/>
          <w:numId w:val="9"/>
        </w:numPr>
        <w:tabs>
          <w:tab w:val="clear" w:pos="360"/>
          <w:tab w:val="clear" w:pos="1440"/>
          <w:tab w:val="num" w:pos="1100"/>
        </w:tabs>
        <w:spacing w:after="120"/>
        <w:ind w:left="0" w:firstLine="440"/>
      </w:pPr>
      <w:r>
        <w:t xml:space="preserve">Consequently, </w:t>
      </w:r>
      <w:r w:rsidR="00C3047E">
        <w:t xml:space="preserve">on March 4, 2014, Maine filed its application seeking to raise the antenna height at </w:t>
      </w:r>
      <w:r w:rsidR="004137AB">
        <w:t xml:space="preserve">Mt. Agamenticus </w:t>
      </w:r>
      <w:r w:rsidR="00B405A4">
        <w:t xml:space="preserve">without </w:t>
      </w:r>
      <w:r w:rsidR="00C3138F">
        <w:t xml:space="preserve">written consent from either </w:t>
      </w:r>
      <w:r w:rsidR="004137AB">
        <w:t>EWA or SMCC.</w:t>
      </w:r>
      <w:r w:rsidR="00DA1711">
        <w:rPr>
          <w:rStyle w:val="FootnoteReference"/>
        </w:rPr>
        <w:footnoteReference w:id="21"/>
      </w:r>
      <w:r w:rsidR="004137AB">
        <w:t xml:space="preserve">  </w:t>
      </w:r>
      <w:r w:rsidR="005343BB">
        <w:t xml:space="preserve">To offset </w:t>
      </w:r>
      <w:r w:rsidR="00C3138F">
        <w:t>it</w:t>
      </w:r>
      <w:r w:rsidR="005343BB">
        <w:t>s inability</w:t>
      </w:r>
      <w:r w:rsidR="00C3138F">
        <w:t xml:space="preserve"> to obtain </w:t>
      </w:r>
      <w:r w:rsidR="008F1640">
        <w:t xml:space="preserve">consent from </w:t>
      </w:r>
      <w:r w:rsidR="005343BB">
        <w:t>EWA</w:t>
      </w:r>
      <w:r w:rsidR="008F1640">
        <w:t xml:space="preserve">, Maine </w:t>
      </w:r>
      <w:r w:rsidR="00AF2372">
        <w:t xml:space="preserve">seeks a </w:t>
      </w:r>
      <w:r w:rsidR="008F1640">
        <w:t>waiver of Section</w:t>
      </w:r>
      <w:r w:rsidR="00DA1711">
        <w:t>s</w:t>
      </w:r>
      <w:r w:rsidR="008F1640">
        <w:t xml:space="preserve"> </w:t>
      </w:r>
      <w:r w:rsidR="008F1640" w:rsidRPr="00EE2709">
        <w:t>90.35(b)(2)(ii)</w:t>
      </w:r>
      <w:r w:rsidR="005343BB">
        <w:t xml:space="preserve">; and to offset its inability to obtain SMCC’s consent, Maine seeks a waiver of </w:t>
      </w:r>
      <w:r w:rsidR="008F1640">
        <w:t>90.187(d).</w:t>
      </w:r>
      <w:r w:rsidR="009A0EA4">
        <w:rPr>
          <w:rStyle w:val="FootnoteReference"/>
        </w:rPr>
        <w:footnoteReference w:id="22"/>
      </w:r>
      <w:r w:rsidR="008F1640">
        <w:t xml:space="preserve">  In support of its waiver request</w:t>
      </w:r>
      <w:r w:rsidR="005343BB">
        <w:t>s</w:t>
      </w:r>
      <w:r w:rsidR="008F1640">
        <w:t>, Maine includes a</w:t>
      </w:r>
      <w:r w:rsidR="007D3E47">
        <w:t xml:space="preserve"> plot showing </w:t>
      </w:r>
      <w:r w:rsidR="005343BB">
        <w:t xml:space="preserve">that its proposed modifications will </w:t>
      </w:r>
      <w:r w:rsidR="00B405A4">
        <w:t xml:space="preserve">not </w:t>
      </w:r>
      <w:r w:rsidR="00571DD8">
        <w:t xml:space="preserve">result in expansion of its </w:t>
      </w:r>
      <w:r w:rsidR="009959F0">
        <w:t xml:space="preserve">currently authorized </w:t>
      </w:r>
      <w:r w:rsidR="007D3E47">
        <w:t>interfering</w:t>
      </w:r>
      <w:r w:rsidR="009B5BB0">
        <w:t xml:space="preserve"> contour</w:t>
      </w:r>
      <w:r w:rsidR="008F1640">
        <w:t>.</w:t>
      </w:r>
      <w:r w:rsidR="009A0EA4">
        <w:rPr>
          <w:rStyle w:val="FootnoteReference"/>
        </w:rPr>
        <w:footnoteReference w:id="23"/>
      </w:r>
      <w:r w:rsidR="008F1640">
        <w:t xml:space="preserve">  </w:t>
      </w:r>
      <w:r w:rsidR="00861DC6">
        <w:t xml:space="preserve">     </w:t>
      </w:r>
      <w:r w:rsidR="00861DC6" w:rsidRPr="002B541F">
        <w:rPr>
          <w:b/>
          <w:szCs w:val="22"/>
        </w:rPr>
        <w:t xml:space="preserve">  </w:t>
      </w:r>
      <w:r w:rsidR="00861DC6" w:rsidRPr="002B541F">
        <w:rPr>
          <w:szCs w:val="22"/>
        </w:rPr>
        <w:t xml:space="preserve">     </w:t>
      </w:r>
    </w:p>
    <w:p w:rsidR="00861DC6" w:rsidRDefault="00861DC6" w:rsidP="0018561D">
      <w:pPr>
        <w:pStyle w:val="Heading1"/>
        <w:widowControl/>
      </w:pPr>
      <w:r>
        <w:t>discussion</w:t>
      </w:r>
    </w:p>
    <w:p w:rsidR="00861DC6" w:rsidRPr="00CE6161" w:rsidRDefault="00861DC6" w:rsidP="0018561D">
      <w:pPr>
        <w:pStyle w:val="ParaNum"/>
        <w:numPr>
          <w:ilvl w:val="0"/>
          <w:numId w:val="9"/>
        </w:numPr>
        <w:tabs>
          <w:tab w:val="clear" w:pos="360"/>
          <w:tab w:val="clear" w:pos="1440"/>
          <w:tab w:val="num" w:pos="1100"/>
        </w:tabs>
        <w:spacing w:after="120"/>
        <w:ind w:left="0" w:firstLine="440"/>
      </w:pPr>
      <w:r>
        <w:t>Section 1.925 states that 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rPr>
        <w:footnoteReference w:id="24"/>
      </w:r>
      <w:r>
        <w:t xml:space="preserve"> or (ii) in view of unique or unusual factual circumstances of the instant case, application of the rule(s) would be inequitable, unduly burdensome, or contrary to the public interest, or the applicant has no reasonable alternative</w:t>
      </w:r>
      <w:r>
        <w:rPr>
          <w:color w:val="000000"/>
          <w:szCs w:val="22"/>
        </w:rPr>
        <w:t>.</w:t>
      </w:r>
      <w:bookmarkStart w:id="1" w:name="FN[FN21]"/>
      <w:bookmarkEnd w:id="1"/>
      <w:r>
        <w:rPr>
          <w:rStyle w:val="FootnoteReference"/>
          <w:bCs/>
          <w:color w:val="000000"/>
          <w:szCs w:val="22"/>
        </w:rPr>
        <w:footnoteReference w:id="25"/>
      </w:r>
      <w:r>
        <w:rPr>
          <w:color w:val="000000"/>
          <w:szCs w:val="22"/>
        </w:rPr>
        <w:t xml:space="preserve">  We find that Maine satisfies the </w:t>
      </w:r>
      <w:r w:rsidR="00407555">
        <w:rPr>
          <w:color w:val="000000"/>
          <w:szCs w:val="22"/>
        </w:rPr>
        <w:t xml:space="preserve">first </w:t>
      </w:r>
      <w:r>
        <w:rPr>
          <w:color w:val="000000"/>
          <w:szCs w:val="22"/>
        </w:rPr>
        <w:t xml:space="preserve">prong of the waiver standard for </w:t>
      </w:r>
      <w:r w:rsidR="00CE6161">
        <w:rPr>
          <w:color w:val="000000"/>
          <w:szCs w:val="22"/>
        </w:rPr>
        <w:t xml:space="preserve">both </w:t>
      </w:r>
      <w:r>
        <w:rPr>
          <w:color w:val="000000"/>
          <w:szCs w:val="22"/>
        </w:rPr>
        <w:t>of its waiver requests as detailed below.</w:t>
      </w:r>
    </w:p>
    <w:p w:rsidR="00890515" w:rsidRDefault="00B12ACA" w:rsidP="0018561D">
      <w:pPr>
        <w:pStyle w:val="ParaNum"/>
        <w:numPr>
          <w:ilvl w:val="0"/>
          <w:numId w:val="9"/>
        </w:numPr>
        <w:tabs>
          <w:tab w:val="clear" w:pos="360"/>
          <w:tab w:val="clear" w:pos="1440"/>
          <w:tab w:val="num" w:pos="1100"/>
        </w:tabs>
        <w:spacing w:after="120"/>
        <w:ind w:left="0" w:firstLine="440"/>
      </w:pPr>
      <w:r>
        <w:rPr>
          <w:color w:val="000000"/>
          <w:szCs w:val="22"/>
        </w:rPr>
        <w:t xml:space="preserve">Public Safety and Homeland Security Bureau </w:t>
      </w:r>
      <w:r w:rsidR="00D60383">
        <w:rPr>
          <w:color w:val="000000"/>
          <w:szCs w:val="22"/>
        </w:rPr>
        <w:t xml:space="preserve">(Bureau) </w:t>
      </w:r>
      <w:r w:rsidR="00890515">
        <w:rPr>
          <w:color w:val="000000"/>
          <w:szCs w:val="22"/>
        </w:rPr>
        <w:t xml:space="preserve">staff </w:t>
      </w:r>
      <w:r w:rsidR="00F83564">
        <w:rPr>
          <w:color w:val="000000"/>
          <w:szCs w:val="22"/>
        </w:rPr>
        <w:t xml:space="preserve">independently </w:t>
      </w:r>
      <w:r w:rsidR="00890515">
        <w:rPr>
          <w:color w:val="000000"/>
          <w:szCs w:val="22"/>
        </w:rPr>
        <w:t xml:space="preserve">plotted both Maine’s current and </w:t>
      </w:r>
      <w:r w:rsidR="00890515">
        <w:t>proposed interfering contour</w:t>
      </w:r>
      <w:r w:rsidR="004D262C">
        <w:t>s</w:t>
      </w:r>
      <w:r w:rsidR="00890515">
        <w:t>.</w:t>
      </w:r>
      <w:r w:rsidR="00A4253C">
        <w:rPr>
          <w:rStyle w:val="FootnoteReference"/>
        </w:rPr>
        <w:footnoteReference w:id="26"/>
      </w:r>
      <w:r w:rsidR="00890515">
        <w:t xml:space="preserve">  </w:t>
      </w:r>
      <w:r w:rsidR="00F83564">
        <w:t>Upon review of these contours, s</w:t>
      </w:r>
      <w:r w:rsidR="00890515">
        <w:t xml:space="preserve">taff agrees with Maine </w:t>
      </w:r>
      <w:r w:rsidR="00571DD8">
        <w:t xml:space="preserve">that </w:t>
      </w:r>
      <w:r w:rsidR="00F83564">
        <w:t xml:space="preserve">its proposal to raise </w:t>
      </w:r>
      <w:r w:rsidR="00F924D9">
        <w:t xml:space="preserve">the antenna height 13 meters while </w:t>
      </w:r>
      <w:r>
        <w:t xml:space="preserve">also </w:t>
      </w:r>
      <w:r w:rsidR="00F924D9">
        <w:t xml:space="preserve">reducing ERP from 25 to 22 watts </w:t>
      </w:r>
      <w:r w:rsidR="00D51822">
        <w:t>replicate</w:t>
      </w:r>
      <w:r w:rsidR="00F83564">
        <w:t>s</w:t>
      </w:r>
      <w:r w:rsidR="00D51822">
        <w:t xml:space="preserve"> its existing </w:t>
      </w:r>
      <w:r w:rsidR="00890515">
        <w:t xml:space="preserve">interfering </w:t>
      </w:r>
      <w:r w:rsidR="00F924D9">
        <w:t>contour</w:t>
      </w:r>
      <w:r w:rsidR="00F83564">
        <w:t xml:space="preserve">, and thus </w:t>
      </w:r>
      <w:r>
        <w:t xml:space="preserve">that </w:t>
      </w:r>
      <w:r w:rsidR="00F83564">
        <w:t xml:space="preserve">Maine’s proposed </w:t>
      </w:r>
      <w:r w:rsidR="00571DD8">
        <w:t xml:space="preserve">modification </w:t>
      </w:r>
      <w:r w:rsidR="00F83564">
        <w:t xml:space="preserve">has the exact spectral footprint as its currently authorized </w:t>
      </w:r>
      <w:r>
        <w:t>facilities</w:t>
      </w:r>
      <w:r w:rsidR="00F924D9">
        <w:t>.</w:t>
      </w:r>
      <w:r w:rsidR="00C8106C">
        <w:rPr>
          <w:rStyle w:val="FootnoteReference"/>
        </w:rPr>
        <w:footnoteReference w:id="27"/>
      </w:r>
      <w:r w:rsidR="00F924D9">
        <w:t xml:space="preserve">  </w:t>
      </w:r>
      <w:r w:rsidR="00890515">
        <w:t xml:space="preserve">  </w:t>
      </w:r>
    </w:p>
    <w:p w:rsidR="000258C6" w:rsidRDefault="00D32F9A" w:rsidP="0018561D">
      <w:pPr>
        <w:pStyle w:val="ParaNum"/>
        <w:numPr>
          <w:ilvl w:val="0"/>
          <w:numId w:val="9"/>
        </w:numPr>
        <w:tabs>
          <w:tab w:val="clear" w:pos="360"/>
          <w:tab w:val="clear" w:pos="1440"/>
          <w:tab w:val="num" w:pos="1100"/>
        </w:tabs>
        <w:spacing w:after="120"/>
        <w:ind w:left="0" w:firstLine="440"/>
      </w:pPr>
      <w:r>
        <w:rPr>
          <w:i/>
        </w:rPr>
        <w:t xml:space="preserve">Section 90.35(b)(2)(ii) </w:t>
      </w:r>
      <w:r w:rsidR="00EA0C83">
        <w:rPr>
          <w:i/>
        </w:rPr>
        <w:t xml:space="preserve">Frequency Coordinator </w:t>
      </w:r>
      <w:r>
        <w:rPr>
          <w:i/>
        </w:rPr>
        <w:t>Consent Requirements.</w:t>
      </w:r>
      <w:r>
        <w:t xml:space="preserve">  </w:t>
      </w:r>
      <w:r w:rsidR="000C1187">
        <w:t xml:space="preserve">The </w:t>
      </w:r>
      <w:r>
        <w:t xml:space="preserve">Commission established frequency coordinator consent requirements for certain frequencies in the Industrial/Business Pool </w:t>
      </w:r>
      <w:r w:rsidR="00C07244">
        <w:t xml:space="preserve">because it recognized </w:t>
      </w:r>
      <w:r w:rsidR="000258C6">
        <w:t xml:space="preserve">that </w:t>
      </w:r>
      <w:r w:rsidR="009C38B2">
        <w:t xml:space="preserve">these frequencies, such as </w:t>
      </w:r>
      <w:r w:rsidR="00C07244">
        <w:t xml:space="preserve">those from the former Petroleum radio service, </w:t>
      </w:r>
      <w:r w:rsidR="009C38B2">
        <w:t xml:space="preserve">were primarily </w:t>
      </w:r>
      <w:r w:rsidR="000258C6">
        <w:t>use</w:t>
      </w:r>
      <w:r w:rsidR="009C38B2">
        <w:t>d</w:t>
      </w:r>
      <w:r w:rsidR="000258C6">
        <w:t xml:space="preserve"> </w:t>
      </w:r>
      <w:r w:rsidR="009C38B2">
        <w:t>by licensees who might have to use the</w:t>
      </w:r>
      <w:r w:rsidR="00B12ACA">
        <w:t xml:space="preserve">m </w:t>
      </w:r>
      <w:r w:rsidR="00571DD8">
        <w:t xml:space="preserve">to </w:t>
      </w:r>
      <w:r w:rsidR="000258C6">
        <w:t>respond to emergencies which could be “extremely dangerous to the general public.”</w:t>
      </w:r>
      <w:r w:rsidR="00C8106C">
        <w:rPr>
          <w:rStyle w:val="FootnoteReference"/>
        </w:rPr>
        <w:footnoteReference w:id="28"/>
      </w:r>
      <w:r w:rsidR="000258C6">
        <w:t xml:space="preserve">  </w:t>
      </w:r>
      <w:r w:rsidR="009C38B2">
        <w:t xml:space="preserve">The Commission </w:t>
      </w:r>
      <w:r w:rsidR="000258C6">
        <w:t xml:space="preserve">therefore concluded it </w:t>
      </w:r>
      <w:r w:rsidR="00302125">
        <w:t xml:space="preserve">was </w:t>
      </w:r>
      <w:r w:rsidR="000258C6">
        <w:t xml:space="preserve">important </w:t>
      </w:r>
      <w:r w:rsidR="0039752C">
        <w:t xml:space="preserve">for </w:t>
      </w:r>
      <w:r w:rsidR="000258C6">
        <w:t xml:space="preserve">coordinators </w:t>
      </w:r>
      <w:r w:rsidR="0039752C">
        <w:t xml:space="preserve">of </w:t>
      </w:r>
      <w:r w:rsidR="00835C48">
        <w:t xml:space="preserve">these frequencies </w:t>
      </w:r>
      <w:r w:rsidR="0039752C">
        <w:t xml:space="preserve">to be </w:t>
      </w:r>
      <w:r w:rsidR="000258C6">
        <w:t xml:space="preserve">“knowledgeable with such special communication needs” in order to maintain </w:t>
      </w:r>
      <w:r w:rsidR="00302125">
        <w:t xml:space="preserve">the </w:t>
      </w:r>
      <w:r w:rsidR="000258C6">
        <w:t>“integrity of the spectrum.”</w:t>
      </w:r>
      <w:r w:rsidR="00C8106C">
        <w:rPr>
          <w:rStyle w:val="FootnoteReference"/>
        </w:rPr>
        <w:footnoteReference w:id="29"/>
      </w:r>
      <w:r w:rsidR="000258C6">
        <w:t xml:space="preserve">  </w:t>
      </w:r>
    </w:p>
    <w:p w:rsidR="001410A1" w:rsidRDefault="00835C48" w:rsidP="0018561D">
      <w:pPr>
        <w:pStyle w:val="ParaNum"/>
        <w:numPr>
          <w:ilvl w:val="0"/>
          <w:numId w:val="9"/>
        </w:numPr>
        <w:tabs>
          <w:tab w:val="clear" w:pos="360"/>
          <w:tab w:val="clear" w:pos="1440"/>
          <w:tab w:val="num" w:pos="1100"/>
        </w:tabs>
        <w:spacing w:after="120"/>
        <w:ind w:left="0" w:firstLine="440"/>
      </w:pPr>
      <w:r>
        <w:t xml:space="preserve">EWA </w:t>
      </w:r>
      <w:r w:rsidR="003A6395">
        <w:t xml:space="preserve">provided </w:t>
      </w:r>
      <w:r>
        <w:t xml:space="preserve">Maine </w:t>
      </w:r>
      <w:r w:rsidR="003A6395">
        <w:t xml:space="preserve">consent </w:t>
      </w:r>
      <w:r w:rsidR="001410A1">
        <w:t xml:space="preserve">in August 2012 for </w:t>
      </w:r>
      <w:r w:rsidR="00F924D9">
        <w:t xml:space="preserve">its original authorization </w:t>
      </w:r>
      <w:r>
        <w:t xml:space="preserve">on frequency </w:t>
      </w:r>
      <w:r w:rsidRPr="007E3AA4">
        <w:t>153.1775 MHz</w:t>
      </w:r>
      <w:r>
        <w:t xml:space="preserve"> at </w:t>
      </w:r>
      <w:r w:rsidRPr="007E3AA4">
        <w:t>Mt. Agamenticus</w:t>
      </w:r>
      <w:r>
        <w:t xml:space="preserve"> under call sign </w:t>
      </w:r>
      <w:r w:rsidR="00F12A05" w:rsidRPr="007E3AA4">
        <w:t>WQRI384</w:t>
      </w:r>
      <w:r w:rsidR="00F12A05">
        <w:t>.</w:t>
      </w:r>
      <w:r w:rsidR="00003CD5">
        <w:rPr>
          <w:rStyle w:val="FootnoteReference"/>
        </w:rPr>
        <w:footnoteReference w:id="30"/>
      </w:r>
      <w:r w:rsidR="001410A1">
        <w:t xml:space="preserve">  </w:t>
      </w:r>
      <w:r w:rsidR="00B12ACA">
        <w:t xml:space="preserve">Although </w:t>
      </w:r>
      <w:r w:rsidR="001410A1">
        <w:t xml:space="preserve">Maine seeks to modify the technical parameters of </w:t>
      </w:r>
      <w:r w:rsidR="0039752C">
        <w:t xml:space="preserve">its </w:t>
      </w:r>
      <w:r w:rsidR="001410A1">
        <w:t>facility</w:t>
      </w:r>
      <w:r w:rsidR="009C38B2">
        <w:t xml:space="preserve">, these modifications do not affect </w:t>
      </w:r>
      <w:r w:rsidR="001410A1">
        <w:t xml:space="preserve">its currently licensed footprint.  Therefore, </w:t>
      </w:r>
      <w:r w:rsidR="005A786C">
        <w:t xml:space="preserve">granting </w:t>
      </w:r>
      <w:r w:rsidR="001410A1">
        <w:t>Maine</w:t>
      </w:r>
      <w:r w:rsidR="005A786C">
        <w:t xml:space="preserve"> a</w:t>
      </w:r>
      <w:r w:rsidR="001410A1">
        <w:t xml:space="preserve"> waiver of the requirement </w:t>
      </w:r>
      <w:r w:rsidR="005A786C">
        <w:t>to</w:t>
      </w:r>
      <w:r w:rsidR="00215D7A">
        <w:t xml:space="preserve"> </w:t>
      </w:r>
      <w:r w:rsidR="001410A1">
        <w:t>obtain EWA</w:t>
      </w:r>
      <w:r w:rsidR="0039752C">
        <w:t>’s</w:t>
      </w:r>
      <w:r w:rsidR="001410A1">
        <w:t xml:space="preserve"> consent </w:t>
      </w:r>
      <w:r w:rsidR="009C38B2">
        <w:t xml:space="preserve">to modify </w:t>
      </w:r>
      <w:r w:rsidR="005A786C">
        <w:t xml:space="preserve">Maine’s </w:t>
      </w:r>
      <w:r w:rsidR="009C38B2">
        <w:t xml:space="preserve">authorization </w:t>
      </w:r>
      <w:r w:rsidR="005A786C">
        <w:t xml:space="preserve">does not </w:t>
      </w:r>
      <w:r w:rsidR="001410A1">
        <w:t xml:space="preserve">frustrate the underlying purpose of the </w:t>
      </w:r>
      <w:r w:rsidR="005A786C">
        <w:t xml:space="preserve">consent </w:t>
      </w:r>
      <w:r w:rsidR="001410A1">
        <w:t>rule</w:t>
      </w:r>
      <w:r w:rsidR="00EA0C83">
        <w:t xml:space="preserve"> </w:t>
      </w:r>
      <w:r w:rsidR="005A786C">
        <w:t xml:space="preserve">– avoidance of objectionable interference </w:t>
      </w:r>
      <w:r w:rsidR="00270DE5">
        <w:t>–</w:t>
      </w:r>
      <w:r w:rsidR="005A786C">
        <w:t xml:space="preserve"> </w:t>
      </w:r>
      <w:r w:rsidR="00EA0C83">
        <w:t>because</w:t>
      </w:r>
      <w:r w:rsidR="00270DE5">
        <w:t xml:space="preserve"> </w:t>
      </w:r>
      <w:r w:rsidR="00B575C5">
        <w:t xml:space="preserve">Maine’s </w:t>
      </w:r>
      <w:r w:rsidR="001410A1">
        <w:t xml:space="preserve">modification </w:t>
      </w:r>
      <w:r w:rsidR="005A786C">
        <w:t xml:space="preserve">has no effect </w:t>
      </w:r>
      <w:r w:rsidR="009C38B2">
        <w:t>on the spectral footprint to which EWA already consented</w:t>
      </w:r>
      <w:r w:rsidR="00350FCC">
        <w:t xml:space="preserve">, and hence poses no greater interference potential </w:t>
      </w:r>
      <w:r w:rsidR="00BF1CC0">
        <w:t xml:space="preserve">to any other licensee on the frequency including </w:t>
      </w:r>
      <w:r w:rsidR="00350FCC">
        <w:t>SMCC</w:t>
      </w:r>
      <w:r w:rsidR="00571DD8">
        <w:t xml:space="preserve">.  </w:t>
      </w:r>
    </w:p>
    <w:p w:rsidR="00CF491A" w:rsidRDefault="00CF491A" w:rsidP="0018561D">
      <w:pPr>
        <w:pStyle w:val="ParaNum"/>
        <w:numPr>
          <w:ilvl w:val="0"/>
          <w:numId w:val="9"/>
        </w:numPr>
        <w:tabs>
          <w:tab w:val="clear" w:pos="360"/>
          <w:tab w:val="clear" w:pos="1440"/>
          <w:tab w:val="num" w:pos="1100"/>
        </w:tabs>
        <w:spacing w:after="120"/>
        <w:ind w:left="0" w:firstLine="440"/>
      </w:pPr>
      <w:r>
        <w:t xml:space="preserve">Furthermore, EWA offers no justification for its demand that Maine significantly </w:t>
      </w:r>
      <w:r w:rsidR="00340062">
        <w:t xml:space="preserve">shrink </w:t>
      </w:r>
      <w:r>
        <w:t xml:space="preserve">its </w:t>
      </w:r>
      <w:r w:rsidR="008E15C7">
        <w:t xml:space="preserve">spectral </w:t>
      </w:r>
      <w:r>
        <w:t xml:space="preserve">footprint on the frequency </w:t>
      </w:r>
      <w:r w:rsidR="00340062">
        <w:t xml:space="preserve">by reducing the ERP of the base station to 5 watts </w:t>
      </w:r>
      <w:r>
        <w:t>to obtain EWA’s consent</w:t>
      </w:r>
      <w:r w:rsidR="0039752C">
        <w:t xml:space="preserve"> for </w:t>
      </w:r>
      <w:r w:rsidR="00215D7A">
        <w:t xml:space="preserve">the proposed </w:t>
      </w:r>
      <w:r w:rsidR="0039752C">
        <w:t>modification</w:t>
      </w:r>
      <w:r>
        <w:t>.</w:t>
      </w:r>
      <w:r w:rsidR="00500D84">
        <w:rPr>
          <w:rStyle w:val="FootnoteReference"/>
        </w:rPr>
        <w:footnoteReference w:id="31"/>
      </w:r>
      <w:r>
        <w:t xml:space="preserve">  We </w:t>
      </w:r>
      <w:r w:rsidR="00ED0CFF">
        <w:t xml:space="preserve">remind EWA that the </w:t>
      </w:r>
      <w:r w:rsidR="00EC2DFF">
        <w:t xml:space="preserve">Commission did not impose </w:t>
      </w:r>
      <w:r w:rsidR="00ED0CFF">
        <w:t xml:space="preserve">consent requirements </w:t>
      </w:r>
      <w:r w:rsidR="00EC2DFF">
        <w:t xml:space="preserve">to </w:t>
      </w:r>
      <w:r w:rsidR="00ED0CFF">
        <w:t xml:space="preserve">give </w:t>
      </w:r>
      <w:r w:rsidR="00EC2DFF">
        <w:t xml:space="preserve">coordinators </w:t>
      </w:r>
      <w:r w:rsidR="00ED0CFF">
        <w:t xml:space="preserve">a </w:t>
      </w:r>
      <w:r w:rsidR="00ED0CFF" w:rsidRPr="00ED0CFF">
        <w:rPr>
          <w:i/>
        </w:rPr>
        <w:t>de facto</w:t>
      </w:r>
      <w:r w:rsidR="00ED0CFF">
        <w:t xml:space="preserve"> veto over applications.  To the contrary, </w:t>
      </w:r>
      <w:r w:rsidR="00EC2DFF">
        <w:t xml:space="preserve">when it </w:t>
      </w:r>
      <w:r>
        <w:t>establish</w:t>
      </w:r>
      <w:r w:rsidR="00EC2DFF">
        <w:t xml:space="preserve">ed the </w:t>
      </w:r>
      <w:r>
        <w:t>consent requirements</w:t>
      </w:r>
      <w:r w:rsidR="00ED0CFF">
        <w:t xml:space="preserve">, the Commission noted that </w:t>
      </w:r>
      <w:r>
        <w:t>it expect</w:t>
      </w:r>
      <w:r w:rsidR="00FA656D">
        <w:t xml:space="preserve">s </w:t>
      </w:r>
      <w:r>
        <w:t>coordinators to “make every effort to accommodate all applicants on these frequencies, regardless of the type of business they conduct.”</w:t>
      </w:r>
      <w:r w:rsidR="000919D7">
        <w:rPr>
          <w:rStyle w:val="FootnoteReference"/>
        </w:rPr>
        <w:footnoteReference w:id="32"/>
      </w:r>
      <w:r w:rsidR="008878C9">
        <w:t xml:space="preserve">  We believe EWA failed to make every effort in this instance to accommodate Maine’s request to modify </w:t>
      </w:r>
      <w:r w:rsidR="00302125">
        <w:t xml:space="preserve">the operating parameters of its </w:t>
      </w:r>
      <w:r w:rsidR="008878C9">
        <w:t xml:space="preserve">Mt. </w:t>
      </w:r>
      <w:r w:rsidR="008878C9" w:rsidRPr="007E3AA4">
        <w:t>Agamenticus</w:t>
      </w:r>
      <w:r w:rsidR="00302125">
        <w:t xml:space="preserve"> site</w:t>
      </w:r>
      <w:r w:rsidR="008878C9">
        <w:t>.</w:t>
      </w:r>
      <w:r w:rsidR="00F3484A">
        <w:t xml:space="preserve">  </w:t>
      </w:r>
    </w:p>
    <w:p w:rsidR="00350FCC" w:rsidRDefault="00EA0C83" w:rsidP="0018561D">
      <w:pPr>
        <w:pStyle w:val="ParaNum"/>
        <w:numPr>
          <w:ilvl w:val="0"/>
          <w:numId w:val="9"/>
        </w:numPr>
        <w:tabs>
          <w:tab w:val="clear" w:pos="360"/>
          <w:tab w:val="clear" w:pos="1440"/>
          <w:tab w:val="num" w:pos="1100"/>
        </w:tabs>
        <w:spacing w:after="120"/>
        <w:ind w:left="0" w:firstLine="440"/>
      </w:pPr>
      <w:r w:rsidRPr="00EA0C83">
        <w:rPr>
          <w:i/>
        </w:rPr>
        <w:t>Section 90.187(</w:t>
      </w:r>
      <w:r>
        <w:rPr>
          <w:i/>
        </w:rPr>
        <w:t>d) C</w:t>
      </w:r>
      <w:r w:rsidRPr="00EA0C83">
        <w:rPr>
          <w:i/>
        </w:rPr>
        <w:t xml:space="preserve">onsent from </w:t>
      </w:r>
      <w:r>
        <w:rPr>
          <w:i/>
        </w:rPr>
        <w:t>A</w:t>
      </w:r>
      <w:r w:rsidRPr="00EA0C83">
        <w:rPr>
          <w:i/>
        </w:rPr>
        <w:t xml:space="preserve">ffected </w:t>
      </w:r>
      <w:r>
        <w:rPr>
          <w:i/>
        </w:rPr>
        <w:t>L</w:t>
      </w:r>
      <w:r w:rsidRPr="00EA0C83">
        <w:rPr>
          <w:i/>
        </w:rPr>
        <w:t>icensees</w:t>
      </w:r>
      <w:r w:rsidRPr="00003CD5">
        <w:t xml:space="preserve">.  </w:t>
      </w:r>
      <w:r w:rsidR="003963FD" w:rsidRPr="003963FD">
        <w:t>Section 90.187</w:t>
      </w:r>
      <w:r w:rsidR="00E80875">
        <w:t>(</w:t>
      </w:r>
      <w:r w:rsidR="006D7083">
        <w:t>d</w:t>
      </w:r>
      <w:r w:rsidR="00E80875">
        <w:t>)</w:t>
      </w:r>
      <w:r w:rsidR="003963FD" w:rsidRPr="003963FD">
        <w:t xml:space="preserve"> </w:t>
      </w:r>
      <w:r w:rsidR="00552FB3">
        <w:t xml:space="preserve">specifies </w:t>
      </w:r>
      <w:r w:rsidR="003963FD" w:rsidRPr="003963FD">
        <w:t xml:space="preserve">that a trunked </w:t>
      </w:r>
      <w:r w:rsidR="00362234">
        <w:t xml:space="preserve">licensee is exempt from monitoring </w:t>
      </w:r>
      <w:r w:rsidR="00C256C6">
        <w:t xml:space="preserve">requirements </w:t>
      </w:r>
      <w:r w:rsidR="00362234">
        <w:t xml:space="preserve">if it </w:t>
      </w:r>
      <w:r w:rsidR="003C33ED">
        <w:t xml:space="preserve">obtains </w:t>
      </w:r>
      <w:r w:rsidR="00362234">
        <w:t>written consent from all “affected licensees.”</w:t>
      </w:r>
      <w:r w:rsidR="00E80875">
        <w:rPr>
          <w:rStyle w:val="FootnoteReference"/>
        </w:rPr>
        <w:footnoteReference w:id="33"/>
      </w:r>
      <w:r w:rsidR="00362234">
        <w:t xml:space="preserve"> </w:t>
      </w:r>
      <w:r w:rsidR="00E80875">
        <w:t xml:space="preserve"> </w:t>
      </w:r>
      <w:r w:rsidR="00C137D7">
        <w:t>Unless exempt, a trunked licensee must monitor its frequencies before transmitting to avoid causing interference to other licensees.</w:t>
      </w:r>
      <w:r w:rsidR="00C137D7">
        <w:rPr>
          <w:rStyle w:val="FootnoteReference"/>
        </w:rPr>
        <w:footnoteReference w:id="34"/>
      </w:r>
      <w:r w:rsidR="00C137D7">
        <w:t xml:space="preserve">  Therefore, written consent from </w:t>
      </w:r>
      <w:r w:rsidR="00350FCC">
        <w:t xml:space="preserve">an </w:t>
      </w:r>
      <w:r w:rsidR="00C137D7">
        <w:t>“affected licensee”</w:t>
      </w:r>
      <w:r w:rsidR="00350FCC" w:rsidRPr="00350FCC">
        <w:rPr>
          <w:vertAlign w:val="superscript"/>
        </w:rPr>
        <w:footnoteReference w:id="35"/>
      </w:r>
      <w:r w:rsidR="00C137D7">
        <w:t xml:space="preserve"> </w:t>
      </w:r>
      <w:r w:rsidR="008017D1">
        <w:t xml:space="preserve">is an agreement by the affected licensee to accept interference, if it occurs, from a </w:t>
      </w:r>
      <w:r w:rsidR="00C137D7">
        <w:t xml:space="preserve">trunking licensee </w:t>
      </w:r>
      <w:r w:rsidR="008017D1">
        <w:t xml:space="preserve">that </w:t>
      </w:r>
      <w:r w:rsidR="00927174">
        <w:t>transmits without monitoring beforehand</w:t>
      </w:r>
      <w:r w:rsidR="008017D1">
        <w:t>.</w:t>
      </w:r>
      <w:r w:rsidR="00350FCC">
        <w:t xml:space="preserve"> </w:t>
      </w:r>
    </w:p>
    <w:p w:rsidR="00530382" w:rsidRDefault="00E12397" w:rsidP="0018561D">
      <w:pPr>
        <w:pStyle w:val="ParaNum"/>
        <w:numPr>
          <w:ilvl w:val="0"/>
          <w:numId w:val="9"/>
        </w:numPr>
        <w:tabs>
          <w:tab w:val="clear" w:pos="360"/>
          <w:tab w:val="clear" w:pos="1440"/>
          <w:tab w:val="num" w:pos="1100"/>
        </w:tabs>
        <w:spacing w:after="120"/>
        <w:ind w:left="0" w:firstLine="440"/>
      </w:pPr>
      <w:r>
        <w:t>Maine was licensed as a</w:t>
      </w:r>
      <w:r w:rsidR="005963BA">
        <w:t xml:space="preserve"> </w:t>
      </w:r>
      <w:r>
        <w:t xml:space="preserve">trunked </w:t>
      </w:r>
      <w:r w:rsidR="00E00913">
        <w:t xml:space="preserve">“FB8” </w:t>
      </w:r>
      <w:r>
        <w:t>licensee</w:t>
      </w:r>
      <w:r w:rsidR="005F1D36">
        <w:t xml:space="preserve"> </w:t>
      </w:r>
      <w:r w:rsidR="005963BA">
        <w:t xml:space="preserve">exempt from monitoring requirements </w:t>
      </w:r>
      <w:r w:rsidR="005F1D36">
        <w:t xml:space="preserve">at </w:t>
      </w:r>
      <w:r w:rsidR="005F1D36" w:rsidRPr="007E3AA4">
        <w:t>Mt. Agamenticus</w:t>
      </w:r>
      <w:r>
        <w:t xml:space="preserve"> when it received its authorization </w:t>
      </w:r>
      <w:r w:rsidR="005F1D36">
        <w:t xml:space="preserve">in May 2013 under call sign </w:t>
      </w:r>
      <w:r w:rsidR="005F1D36" w:rsidRPr="007E3AA4">
        <w:t>WQRI384</w:t>
      </w:r>
      <w:r w:rsidR="005F1D36">
        <w:t xml:space="preserve">.  </w:t>
      </w:r>
      <w:r w:rsidR="00E00913">
        <w:t xml:space="preserve">SMCC </w:t>
      </w:r>
      <w:r w:rsidR="0027606D">
        <w:t>did not become a</w:t>
      </w:r>
      <w:r w:rsidR="008017D1">
        <w:t xml:space="preserve">n </w:t>
      </w:r>
      <w:r w:rsidR="00E00913">
        <w:t xml:space="preserve">“affected licensee” </w:t>
      </w:r>
      <w:r w:rsidR="0027606D">
        <w:t xml:space="preserve">until </w:t>
      </w:r>
      <w:r w:rsidR="00E00913" w:rsidRPr="00101520">
        <w:t xml:space="preserve">February 2014 </w:t>
      </w:r>
      <w:r w:rsidR="00E00913">
        <w:t xml:space="preserve">when it </w:t>
      </w:r>
      <w:r w:rsidR="0027606D">
        <w:t xml:space="preserve">chose to license the </w:t>
      </w:r>
      <w:r w:rsidR="00E00913">
        <w:t xml:space="preserve">same frequency </w:t>
      </w:r>
      <w:r w:rsidR="0027606D">
        <w:t xml:space="preserve">at a location where </w:t>
      </w:r>
      <w:r w:rsidR="00E00913">
        <w:t xml:space="preserve">Maine’s </w:t>
      </w:r>
      <w:r w:rsidR="00773E81" w:rsidRPr="007E3AA4">
        <w:t>Mt. Agamenticus</w:t>
      </w:r>
      <w:r w:rsidR="00773E81">
        <w:t xml:space="preserve"> </w:t>
      </w:r>
      <w:r w:rsidR="00E00913">
        <w:t xml:space="preserve">interfering contour (19 dBu) </w:t>
      </w:r>
      <w:r w:rsidR="0027606D">
        <w:t xml:space="preserve">would overlap </w:t>
      </w:r>
      <w:r w:rsidR="00E00913">
        <w:t>SMCC’s service contour (37 dBu).</w:t>
      </w:r>
      <w:r w:rsidR="005F75E5">
        <w:rPr>
          <w:rStyle w:val="FootnoteReference"/>
        </w:rPr>
        <w:footnoteReference w:id="36"/>
      </w:r>
      <w:r w:rsidR="00E00913">
        <w:t xml:space="preserve">  </w:t>
      </w:r>
      <w:r w:rsidR="00773E81">
        <w:t xml:space="preserve">Thus, SMCC </w:t>
      </w:r>
      <w:r w:rsidR="008017D1">
        <w:t xml:space="preserve">was on notice that it could receive </w:t>
      </w:r>
      <w:r w:rsidR="00773E81">
        <w:t xml:space="preserve">a certain level of interference </w:t>
      </w:r>
      <w:r w:rsidR="0027606D">
        <w:t xml:space="preserve">from Maine </w:t>
      </w:r>
      <w:r w:rsidR="00773E81">
        <w:t xml:space="preserve">when </w:t>
      </w:r>
      <w:r w:rsidR="008017D1">
        <w:t>SMCC</w:t>
      </w:r>
      <w:r w:rsidR="00162C12">
        <w:t xml:space="preserve"> </w:t>
      </w:r>
      <w:r w:rsidR="00EA75A2">
        <w:t xml:space="preserve">sought to add frequency </w:t>
      </w:r>
      <w:r w:rsidR="00EA75A2" w:rsidRPr="007E3AA4">
        <w:t>153.1775 MHz</w:t>
      </w:r>
      <w:r w:rsidR="00EA75A2">
        <w:t xml:space="preserve"> to its </w:t>
      </w:r>
      <w:r w:rsidR="0027606D">
        <w:t>license</w:t>
      </w:r>
      <w:r w:rsidR="00773E81">
        <w:t>.</w:t>
      </w:r>
      <w:r w:rsidR="00530382">
        <w:t xml:space="preserve">  </w:t>
      </w:r>
      <w:r w:rsidR="0027606D">
        <w:t xml:space="preserve">  </w:t>
      </w:r>
    </w:p>
    <w:p w:rsidR="001F02F1" w:rsidRDefault="00511B90" w:rsidP="0018561D">
      <w:pPr>
        <w:pStyle w:val="ParaNum"/>
        <w:numPr>
          <w:ilvl w:val="0"/>
          <w:numId w:val="9"/>
        </w:numPr>
        <w:tabs>
          <w:tab w:val="clear" w:pos="360"/>
          <w:tab w:val="clear" w:pos="1440"/>
          <w:tab w:val="num" w:pos="1100"/>
        </w:tabs>
        <w:spacing w:after="120"/>
        <w:ind w:left="0" w:firstLine="440"/>
      </w:pPr>
      <w:r>
        <w:t>We find</w:t>
      </w:r>
      <w:r w:rsidR="00C1762D">
        <w:t>,</w:t>
      </w:r>
      <w:r>
        <w:t xml:space="preserve"> in this instance</w:t>
      </w:r>
      <w:r w:rsidR="00C1762D">
        <w:t>,</w:t>
      </w:r>
      <w:r>
        <w:t xml:space="preserve"> that Maine’s request </w:t>
      </w:r>
      <w:r w:rsidR="00C137D7">
        <w:t xml:space="preserve">for a waiver </w:t>
      </w:r>
      <w:r>
        <w:t xml:space="preserve">would not frustrate the underlying purpose of </w:t>
      </w:r>
      <w:r w:rsidR="00A766AA" w:rsidRPr="00A766AA">
        <w:t>Section 90.187(d)</w:t>
      </w:r>
      <w:r>
        <w:t xml:space="preserve"> because </w:t>
      </w:r>
      <w:r w:rsidR="00EB042B">
        <w:t xml:space="preserve">Maine </w:t>
      </w:r>
      <w:r w:rsidR="00A766AA">
        <w:t xml:space="preserve">does no more than maintain the </w:t>
      </w:r>
      <w:r w:rsidR="00A766AA" w:rsidRPr="00BF1CC0">
        <w:rPr>
          <w:i/>
        </w:rPr>
        <w:t>status quo</w:t>
      </w:r>
      <w:r w:rsidR="00A766AA">
        <w:t xml:space="preserve"> by not </w:t>
      </w:r>
      <w:r w:rsidR="00603585">
        <w:t>extending its interference contour toward SMCC</w:t>
      </w:r>
      <w:r w:rsidR="005F75E5">
        <w:t>.  T</w:t>
      </w:r>
      <w:r w:rsidR="00603585">
        <w:t>hus</w:t>
      </w:r>
      <w:r w:rsidR="009169BA">
        <w:t>,</w:t>
      </w:r>
      <w:r w:rsidR="00603585">
        <w:t xml:space="preserve"> </w:t>
      </w:r>
      <w:r w:rsidR="005F75E5">
        <w:t xml:space="preserve">it </w:t>
      </w:r>
      <w:r w:rsidR="009169BA">
        <w:t>avoid</w:t>
      </w:r>
      <w:r w:rsidR="005F75E5">
        <w:t>s</w:t>
      </w:r>
      <w:r w:rsidR="009169BA">
        <w:t xml:space="preserve"> </w:t>
      </w:r>
      <w:r>
        <w:t>causing additional interference</w:t>
      </w:r>
      <w:r w:rsidR="00603585">
        <w:t xml:space="preserve"> </w:t>
      </w:r>
      <w:r w:rsidR="009169BA">
        <w:t xml:space="preserve">to SMCC </w:t>
      </w:r>
      <w:r>
        <w:t xml:space="preserve">beyond the level which </w:t>
      </w:r>
      <w:r w:rsidR="00603585">
        <w:t xml:space="preserve">SMCC </w:t>
      </w:r>
      <w:r w:rsidR="00A766AA">
        <w:t xml:space="preserve">was required </w:t>
      </w:r>
      <w:r w:rsidR="00C1762D">
        <w:t xml:space="preserve">to accept when it </w:t>
      </w:r>
      <w:r w:rsidR="005F0B0B">
        <w:t xml:space="preserve">added frequency </w:t>
      </w:r>
      <w:r w:rsidR="005F0B0B" w:rsidRPr="007E3AA4">
        <w:t>153.1775 MHz</w:t>
      </w:r>
      <w:r w:rsidR="005F0B0B">
        <w:t xml:space="preserve"> to its license</w:t>
      </w:r>
      <w:r w:rsidR="00C1762D">
        <w:t xml:space="preserve">.  </w:t>
      </w:r>
    </w:p>
    <w:p w:rsidR="00861DC6" w:rsidRDefault="001F02F1" w:rsidP="0018561D">
      <w:pPr>
        <w:pStyle w:val="ParaNum"/>
        <w:numPr>
          <w:ilvl w:val="0"/>
          <w:numId w:val="9"/>
        </w:numPr>
        <w:tabs>
          <w:tab w:val="clear" w:pos="360"/>
          <w:tab w:val="clear" w:pos="1440"/>
          <w:tab w:val="num" w:pos="1100"/>
        </w:tabs>
        <w:spacing w:after="120"/>
        <w:ind w:left="0" w:firstLine="440"/>
      </w:pPr>
      <w:r>
        <w:rPr>
          <w:i/>
        </w:rPr>
        <w:t>Public Interest.</w:t>
      </w:r>
      <w:r>
        <w:t xml:space="preserve">  We find granting Maine’s waiver requests </w:t>
      </w:r>
      <w:r w:rsidR="00006B0F">
        <w:t xml:space="preserve">is </w:t>
      </w:r>
      <w:r>
        <w:t xml:space="preserve">in the public interest.  The Bureau has </w:t>
      </w:r>
      <w:r w:rsidR="00C90F9D">
        <w:t xml:space="preserve">previously stated it finds </w:t>
      </w:r>
      <w:r w:rsidR="00D329C7">
        <w:t xml:space="preserve">Maine’s </w:t>
      </w:r>
      <w:r w:rsidR="00D329C7" w:rsidRPr="00C90F9D">
        <w:t>upgrad</w:t>
      </w:r>
      <w:r w:rsidR="00D329C7">
        <w:t xml:space="preserve">e to </w:t>
      </w:r>
      <w:r w:rsidR="00D329C7" w:rsidRPr="00C90F9D">
        <w:t>its statewide public safety radio communications network</w:t>
      </w:r>
      <w:r w:rsidR="00D329C7">
        <w:t xml:space="preserve"> </w:t>
      </w:r>
      <w:r w:rsidR="00C90F9D">
        <w:t xml:space="preserve">in the public interest </w:t>
      </w:r>
      <w:r w:rsidR="00D329C7">
        <w:t>because it will</w:t>
      </w:r>
      <w:r w:rsidR="00C90F9D" w:rsidRPr="00C90F9D">
        <w:t xml:space="preserve"> facilitat</w:t>
      </w:r>
      <w:r w:rsidR="00D329C7">
        <w:t xml:space="preserve">e </w:t>
      </w:r>
      <w:r w:rsidR="00C90F9D" w:rsidRPr="00C90F9D">
        <w:t xml:space="preserve">interoperability </w:t>
      </w:r>
      <w:r w:rsidR="00C90F9D">
        <w:t xml:space="preserve">between </w:t>
      </w:r>
      <w:r w:rsidR="00C90F9D" w:rsidRPr="00C90F9D">
        <w:t>federal, state an</w:t>
      </w:r>
      <w:r w:rsidR="00C90F9D">
        <w:t>d local public safety officials.</w:t>
      </w:r>
      <w:r w:rsidR="00613E02">
        <w:rPr>
          <w:rStyle w:val="FootnoteReference"/>
        </w:rPr>
        <w:footnoteReference w:id="37"/>
      </w:r>
      <w:r w:rsidR="00C90F9D">
        <w:t xml:space="preserve">  Furthermore, we find it in the public interest for Maine to modify its </w:t>
      </w:r>
      <w:r w:rsidR="00BE5B47">
        <w:t xml:space="preserve">Mt. </w:t>
      </w:r>
      <w:r w:rsidR="00BE5B47" w:rsidRPr="007E3AA4">
        <w:t>Agamenticus</w:t>
      </w:r>
      <w:r w:rsidR="00BE5B47">
        <w:t xml:space="preserve"> site in order to </w:t>
      </w:r>
      <w:r w:rsidR="00613E02">
        <w:t xml:space="preserve">improve </w:t>
      </w:r>
      <w:r w:rsidR="00D329C7">
        <w:t xml:space="preserve">radio coverage for the </w:t>
      </w:r>
      <w:r w:rsidR="00613E02">
        <w:t>statewide system at this site</w:t>
      </w:r>
      <w:r w:rsidR="00BE5B47">
        <w:t xml:space="preserve">.       </w:t>
      </w:r>
      <w:bookmarkStart w:id="2" w:name="_Ref153355489"/>
      <w:r w:rsidR="00861DC6" w:rsidRPr="000F39EA">
        <w:rPr>
          <w:color w:val="000000"/>
          <w:szCs w:val="22"/>
        </w:rPr>
        <w:t xml:space="preserve">  </w:t>
      </w:r>
    </w:p>
    <w:bookmarkEnd w:id="2"/>
    <w:p w:rsidR="00861DC6" w:rsidRDefault="00861DC6" w:rsidP="0018561D">
      <w:pPr>
        <w:pStyle w:val="Heading1"/>
        <w:widowControl/>
      </w:pPr>
      <w:r>
        <w:t>ordering clauses</w:t>
      </w:r>
    </w:p>
    <w:p w:rsidR="0018561D" w:rsidRDefault="00861DC6" w:rsidP="00BF1CC0">
      <w:pPr>
        <w:pStyle w:val="ParaNum"/>
        <w:numPr>
          <w:ilvl w:val="0"/>
          <w:numId w:val="9"/>
        </w:numPr>
        <w:tabs>
          <w:tab w:val="clear" w:pos="360"/>
          <w:tab w:val="clear" w:pos="1440"/>
          <w:tab w:val="num" w:pos="1100"/>
        </w:tabs>
        <w:spacing w:after="120"/>
        <w:ind w:left="0" w:firstLine="440"/>
      </w:pPr>
      <w:r>
        <w:t xml:space="preserve">Accordingly, </w:t>
      </w:r>
      <w:r w:rsidR="00A766AA">
        <w:t xml:space="preserve">IT IS ORDERED that </w:t>
      </w:r>
      <w:r>
        <w:t xml:space="preserve">the waiver requests associated with </w:t>
      </w:r>
      <w:r w:rsidR="00C6523A">
        <w:t xml:space="preserve">ULS </w:t>
      </w:r>
      <w:r w:rsidR="00C6523A" w:rsidRPr="00C6523A">
        <w:t>File No. 0006183738</w:t>
      </w:r>
      <w:r>
        <w:t xml:space="preserve"> filed by State of Maine – MSCommNet Project, pursuant to Section 1.925 of the Commission’s rules, 47 C.F.R. § 1.925, </w:t>
      </w:r>
      <w:r w:rsidR="002A57C3">
        <w:t xml:space="preserve">ARE GRANTED </w:t>
      </w:r>
      <w:r>
        <w:t xml:space="preserve">and the associated application </w:t>
      </w:r>
      <w:r w:rsidR="00367CC7">
        <w:t xml:space="preserve">SHALL BE PROCESSED </w:t>
      </w:r>
      <w:r>
        <w:t>accordingly</w:t>
      </w:r>
      <w:r w:rsidRPr="00367CC7">
        <w:rPr>
          <w:spacing w:val="-2"/>
        </w:rPr>
        <w:t>.</w:t>
      </w:r>
    </w:p>
    <w:p w:rsidR="00861DC6" w:rsidRDefault="001564F1" w:rsidP="0018561D">
      <w:pPr>
        <w:pStyle w:val="ParaNum"/>
        <w:numPr>
          <w:ilvl w:val="0"/>
          <w:numId w:val="9"/>
        </w:numPr>
        <w:tabs>
          <w:tab w:val="clear" w:pos="360"/>
          <w:tab w:val="clear" w:pos="1440"/>
          <w:tab w:val="num" w:pos="1100"/>
        </w:tabs>
        <w:spacing w:after="120"/>
        <w:ind w:left="0" w:firstLine="440"/>
      </w:pPr>
      <w:r>
        <w:t xml:space="preserve">This action is taken </w:t>
      </w:r>
      <w:r w:rsidR="00861DC6">
        <w:t xml:space="preserve">under delegated authority pursuant to Sections 0.131, 0.191, 0.331 and 0.392 of the Commission’s rules, 47 C.F.R. §§ 0.131, 0.191, 0.331, 0.392.  </w:t>
      </w:r>
    </w:p>
    <w:p w:rsidR="00861DC6" w:rsidRDefault="00861DC6" w:rsidP="0018561D">
      <w:pPr>
        <w:widowControl/>
        <w:ind w:left="4320"/>
      </w:pPr>
    </w:p>
    <w:p w:rsidR="00861DC6" w:rsidRDefault="00861DC6" w:rsidP="0018561D">
      <w:pPr>
        <w:widowControl/>
        <w:ind w:left="4320"/>
      </w:pPr>
    </w:p>
    <w:p w:rsidR="00861DC6" w:rsidRDefault="00861DC6" w:rsidP="0018561D">
      <w:pPr>
        <w:widowControl/>
        <w:ind w:left="4320"/>
      </w:pPr>
      <w:r>
        <w:t>FEDERAL COMMUNICATIONS COMMISSION</w:t>
      </w:r>
    </w:p>
    <w:p w:rsidR="00861DC6" w:rsidRDefault="00861DC6" w:rsidP="0018561D">
      <w:pPr>
        <w:widowControl/>
        <w:ind w:left="4320"/>
      </w:pPr>
    </w:p>
    <w:p w:rsidR="00861DC6" w:rsidRDefault="00861DC6" w:rsidP="0018561D">
      <w:pPr>
        <w:widowControl/>
        <w:ind w:left="4320"/>
      </w:pPr>
    </w:p>
    <w:p w:rsidR="00861DC6" w:rsidRDefault="00861DC6" w:rsidP="0018561D">
      <w:pPr>
        <w:widowControl/>
        <w:ind w:left="4320"/>
      </w:pPr>
    </w:p>
    <w:p w:rsidR="00861DC6" w:rsidRDefault="00861DC6" w:rsidP="0018561D">
      <w:pPr>
        <w:widowControl/>
        <w:ind w:left="4320"/>
      </w:pPr>
    </w:p>
    <w:p w:rsidR="000C1A48" w:rsidRDefault="000C1A48" w:rsidP="0018561D">
      <w:pPr>
        <w:widowControl/>
        <w:ind w:left="4320"/>
      </w:pPr>
      <w:r w:rsidRPr="000C1A48">
        <w:t xml:space="preserve">Michael J. Wilhelm </w:t>
      </w:r>
    </w:p>
    <w:p w:rsidR="00861DC6" w:rsidRDefault="000C1A48" w:rsidP="0018561D">
      <w:pPr>
        <w:widowControl/>
        <w:ind w:left="4320"/>
      </w:pPr>
      <w:r>
        <w:t xml:space="preserve">Deputy </w:t>
      </w:r>
      <w:r w:rsidR="00861DC6">
        <w:t xml:space="preserve">Chief, Policy and Licensing Division </w:t>
      </w:r>
    </w:p>
    <w:p w:rsidR="00861DC6" w:rsidRDefault="00861DC6" w:rsidP="0018561D">
      <w:pPr>
        <w:widowControl/>
        <w:ind w:left="4320"/>
      </w:pPr>
      <w:r>
        <w:t>Public Saf</w:t>
      </w:r>
      <w:r w:rsidR="00807AAB">
        <w:t>ety and Homeland Security Bureau</w:t>
      </w:r>
    </w:p>
    <w:sectPr w:rsidR="00861D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C0" w:rsidRDefault="00BF1CC0">
      <w:pPr>
        <w:spacing w:line="20" w:lineRule="exact"/>
      </w:pPr>
    </w:p>
  </w:endnote>
  <w:endnote w:type="continuationSeparator" w:id="0">
    <w:p w:rsidR="00BF1CC0" w:rsidRDefault="00BF1CC0">
      <w:r>
        <w:t xml:space="preserve"> </w:t>
      </w:r>
    </w:p>
  </w:endnote>
  <w:endnote w:type="continuationNotice" w:id="1">
    <w:p w:rsidR="00BF1CC0" w:rsidRDefault="00BF1C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C0" w:rsidRDefault="00BF1CC0">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BF1CC0" w:rsidRDefault="00BF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C0" w:rsidRDefault="00BF1CC0">
    <w:pPr>
      <w:pStyle w:val="Footer"/>
      <w:framePr w:wrap="around" w:vAnchor="text" w:hAnchor="margin" w:xAlign="center" w:y="1"/>
    </w:pPr>
    <w:r>
      <w:fldChar w:fldCharType="begin"/>
    </w:r>
    <w:r>
      <w:instrText xml:space="preserve">PAGE  </w:instrText>
    </w:r>
    <w:r>
      <w:fldChar w:fldCharType="separate"/>
    </w:r>
    <w:r w:rsidR="00171ADB">
      <w:rPr>
        <w:noProof/>
      </w:rPr>
      <w:t>2</w:t>
    </w:r>
    <w:r>
      <w:fldChar w:fldCharType="end"/>
    </w:r>
  </w:p>
  <w:p w:rsidR="00BF1CC0" w:rsidRDefault="00BF1CC0">
    <w:pPr>
      <w:spacing w:before="140" w:line="100" w:lineRule="exact"/>
      <w:rPr>
        <w:sz w:val="10"/>
      </w:rPr>
    </w:pPr>
  </w:p>
  <w:p w:rsidR="00BF1CC0" w:rsidRDefault="00BF1CC0">
    <w:pPr>
      <w:suppressAutoHyphens/>
      <w:spacing w:line="227" w:lineRule="auto"/>
    </w:pPr>
  </w:p>
  <w:p w:rsidR="00BF1CC0" w:rsidRDefault="00BF1C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C0" w:rsidRDefault="00BF1CC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C0" w:rsidRDefault="00BF1CC0">
      <w:r>
        <w:separator/>
      </w:r>
    </w:p>
  </w:footnote>
  <w:footnote w:type="continuationSeparator" w:id="0">
    <w:p w:rsidR="00BF1CC0" w:rsidRDefault="00BF1CC0">
      <w:pPr>
        <w:rPr>
          <w:sz w:val="20"/>
        </w:rPr>
      </w:pPr>
      <w:r>
        <w:rPr>
          <w:sz w:val="20"/>
        </w:rPr>
        <w:t xml:space="preserve">(Continued from previous page)  </w:t>
      </w:r>
      <w:r>
        <w:rPr>
          <w:sz w:val="20"/>
        </w:rPr>
        <w:separator/>
      </w:r>
    </w:p>
  </w:footnote>
  <w:footnote w:type="continuationNotice" w:id="1">
    <w:p w:rsidR="00BF1CC0" w:rsidRDefault="00BF1CC0">
      <w:pPr>
        <w:rPr>
          <w:sz w:val="20"/>
        </w:rPr>
      </w:pPr>
      <w:r>
        <w:rPr>
          <w:sz w:val="20"/>
        </w:rPr>
        <w:t>(continued….)</w:t>
      </w:r>
    </w:p>
  </w:footnote>
  <w:footnote w:id="2">
    <w:p w:rsidR="00BF1CC0" w:rsidRDefault="00BF1CC0">
      <w:pPr>
        <w:pStyle w:val="FootnoteText"/>
      </w:pPr>
      <w:r>
        <w:rPr>
          <w:rStyle w:val="FootnoteReference"/>
        </w:rPr>
        <w:footnoteRef/>
      </w:r>
      <w:r>
        <w:t xml:space="preserve"> </w:t>
      </w:r>
      <w:r>
        <w:rPr>
          <w:i/>
        </w:rPr>
        <w:t xml:space="preserve">See </w:t>
      </w:r>
      <w:r>
        <w:t>ULS application</w:t>
      </w:r>
      <w:r w:rsidRPr="00137970">
        <w:t xml:space="preserve"> number 0006183738, filed March 4, 2014 (Mt. Agamenticus Application).</w:t>
      </w:r>
      <w:r>
        <w:t xml:space="preserve">  </w:t>
      </w:r>
    </w:p>
  </w:footnote>
  <w:footnote w:id="3">
    <w:p w:rsidR="0089281F" w:rsidRDefault="0089281F">
      <w:pPr>
        <w:pStyle w:val="FootnoteText"/>
      </w:pPr>
      <w:r>
        <w:rPr>
          <w:rStyle w:val="FootnoteReference"/>
        </w:rPr>
        <w:footnoteRef/>
      </w:r>
      <w:r>
        <w:t xml:space="preserve"> </w:t>
      </w:r>
      <w:r>
        <w:rPr>
          <w:i/>
        </w:rPr>
        <w:t>See</w:t>
      </w:r>
      <w:r>
        <w:t xml:space="preserve"> Letter from Craig Hitchings, Radio Project Office Manager, Maine Statewide Communications Network to Federal Communications Commission, Public Safety and Homeland Security Bureau (May 7, 2014) (attached to </w:t>
      </w:r>
      <w:r w:rsidRPr="00137970">
        <w:t>Mt. Agamenticus Application</w:t>
      </w:r>
      <w:r>
        <w:t>) (Maine May 2014 Letter).</w:t>
      </w:r>
    </w:p>
  </w:footnote>
  <w:footnote w:id="4">
    <w:p w:rsidR="0089281F" w:rsidRPr="00D538A7" w:rsidRDefault="0089281F" w:rsidP="0089281F">
      <w:pPr>
        <w:pStyle w:val="FootnoteText"/>
      </w:pPr>
      <w:r>
        <w:rPr>
          <w:rStyle w:val="FootnoteReference"/>
        </w:rPr>
        <w:footnoteRef/>
      </w:r>
      <w:r>
        <w:t xml:space="preserve">    </w:t>
      </w:r>
      <w:r>
        <w:rPr>
          <w:i/>
        </w:rPr>
        <w:t xml:space="preserve">See </w:t>
      </w:r>
      <w:r w:rsidRPr="001E1CFF">
        <w:t xml:space="preserve">47 C.F.R. § 90.35(b)(2)(ii) (indicating that a letter symbol in the “Coordinator” column of the frequency table designates the mandatory certified frequency coordinator for the associated frequency but noting that any certified frequency coordinator may coordinate the frequency provided it obtains a consent letter from the mandatory frequency coordinator).  </w:t>
      </w:r>
    </w:p>
  </w:footnote>
  <w:footnote w:id="5">
    <w:p w:rsidR="0089281F" w:rsidRPr="0089281F" w:rsidRDefault="0089281F" w:rsidP="0089281F">
      <w:pPr>
        <w:pStyle w:val="FootnoteText"/>
      </w:pPr>
      <w:r>
        <w:rPr>
          <w:rStyle w:val="FootnoteReference"/>
        </w:rPr>
        <w:footnoteRef/>
      </w:r>
      <w:r>
        <w:t xml:space="preserve"> </w:t>
      </w:r>
      <w:r>
        <w:rPr>
          <w:i/>
        </w:rPr>
        <w:t xml:space="preserve">See </w:t>
      </w:r>
      <w:r>
        <w:t xml:space="preserve">47 C.F.R. </w:t>
      </w:r>
      <w:r w:rsidRPr="001E1CFF">
        <w:t>§</w:t>
      </w:r>
      <w:r>
        <w:t xml:space="preserve"> </w:t>
      </w:r>
      <w:r w:rsidR="005B7797">
        <w:t>90.187(d).</w:t>
      </w:r>
    </w:p>
  </w:footnote>
  <w:footnote w:id="6">
    <w:p w:rsidR="00BF1CC0" w:rsidRDefault="00BF1CC0">
      <w:pPr>
        <w:pStyle w:val="FootnoteText"/>
      </w:pPr>
      <w:r>
        <w:rPr>
          <w:rStyle w:val="FootnoteReference"/>
        </w:rPr>
        <w:footnoteRef/>
      </w:r>
      <w:r>
        <w:t xml:space="preserve"> </w:t>
      </w:r>
      <w:r>
        <w:rPr>
          <w:i/>
        </w:rPr>
        <w:t xml:space="preserve">See </w:t>
      </w:r>
      <w:r w:rsidRPr="00D90630">
        <w:t>State of Maine – M</w:t>
      </w:r>
      <w:r>
        <w:t>SC</w:t>
      </w:r>
      <w:r w:rsidRPr="00D90630">
        <w:t>omm</w:t>
      </w:r>
      <w:r>
        <w:t>N</w:t>
      </w:r>
      <w:r w:rsidRPr="00D90630">
        <w:t>et Project, Request for Waiver of Sections 90.35(a), 20.9(a)(6), 22.377, and 22.565(f) of the Commission’s Rules</w:t>
      </w:r>
      <w:r>
        <w:t xml:space="preserve">, </w:t>
      </w:r>
      <w:r w:rsidRPr="00D90630">
        <w:rPr>
          <w:i/>
        </w:rPr>
        <w:t>Order</w:t>
      </w:r>
      <w:r>
        <w:t xml:space="preserve">, </w:t>
      </w:r>
      <w:r w:rsidRPr="00D90630">
        <w:t>27 FCC Rcd 8891</w:t>
      </w:r>
      <w:r>
        <w:t xml:space="preserve"> at ¶ 2 (citing the Maine waiver request associated with the applications listed in </w:t>
      </w:r>
      <w:r w:rsidRPr="00DF2614">
        <w:t xml:space="preserve">Tables 1 and 2 </w:t>
      </w:r>
      <w:r>
        <w:t>of the appendix)(</w:t>
      </w:r>
      <w:r w:rsidRPr="00D90630">
        <w:rPr>
          <w:i/>
        </w:rPr>
        <w:t>Maine I/B Waiver Order</w:t>
      </w:r>
      <w:r>
        <w:t>).</w:t>
      </w:r>
    </w:p>
  </w:footnote>
  <w:footnote w:id="7">
    <w:p w:rsidR="00BF1CC0" w:rsidRDefault="00BF1CC0">
      <w:pPr>
        <w:pStyle w:val="FootnoteText"/>
      </w:pPr>
      <w:r>
        <w:rPr>
          <w:rStyle w:val="FootnoteReference"/>
        </w:rPr>
        <w:footnoteRef/>
      </w:r>
      <w:r>
        <w:t xml:space="preserve"> </w:t>
      </w:r>
      <w:r w:rsidRPr="00D90630">
        <w:rPr>
          <w:i/>
        </w:rPr>
        <w:t>Maine I/B Waiver Order</w:t>
      </w:r>
      <w:r>
        <w:t xml:space="preserve">, 27 FCC 8892 at ¶ 3.  </w:t>
      </w:r>
    </w:p>
  </w:footnote>
  <w:footnote w:id="8">
    <w:p w:rsidR="00BF1CC0" w:rsidRPr="00DF2614" w:rsidRDefault="00BF1CC0" w:rsidP="000C58ED">
      <w:pPr>
        <w:pStyle w:val="FootnoteText"/>
      </w:pPr>
      <w:r>
        <w:rPr>
          <w:rStyle w:val="FootnoteReference"/>
        </w:rPr>
        <w:footnoteRef/>
      </w:r>
      <w:r>
        <w:t xml:space="preserve"> </w:t>
      </w:r>
      <w:r>
        <w:rPr>
          <w:i/>
        </w:rPr>
        <w:t xml:space="preserve">See </w:t>
      </w:r>
      <w:r>
        <w:t xml:space="preserve">call sign </w:t>
      </w:r>
      <w:r w:rsidRPr="00DF2614">
        <w:t>WQRI384</w:t>
      </w:r>
      <w:r>
        <w:t xml:space="preserve">.  The FB8 Station Class Code indicates that Maine is operating its base station as a centralized trunked relay station and is exempt from monitoring its channel before transmitting.  </w:t>
      </w:r>
      <w:r>
        <w:rPr>
          <w:i/>
        </w:rPr>
        <w:t>See</w:t>
      </w:r>
      <w:r>
        <w:t xml:space="preserve"> </w:t>
      </w:r>
      <w:r w:rsidRPr="00FC6E27">
        <w:t>Private Land Mobile Radio – Monitoring Levels for Non-Exempt Trunked Systems on Channels Between 150-512 MHz</w:t>
      </w:r>
      <w:r>
        <w:t xml:space="preserve">, </w:t>
      </w:r>
      <w:r w:rsidRPr="00FC6E27">
        <w:rPr>
          <w:i/>
        </w:rPr>
        <w:t>Public Notice</w:t>
      </w:r>
      <w:r>
        <w:t xml:space="preserve">, 16 FCC Rcd 21421 (WTB 2001).   </w:t>
      </w:r>
    </w:p>
  </w:footnote>
  <w:footnote w:id="9">
    <w:p w:rsidR="00BF1CC0" w:rsidRPr="007A7FCE" w:rsidRDefault="00BF1CC0">
      <w:pPr>
        <w:pStyle w:val="FootnoteText"/>
      </w:pPr>
      <w:r>
        <w:rPr>
          <w:rStyle w:val="FootnoteReference"/>
        </w:rPr>
        <w:footnoteRef/>
      </w:r>
      <w:r>
        <w:t xml:space="preserve"> </w:t>
      </w:r>
      <w:r>
        <w:rPr>
          <w:i/>
        </w:rPr>
        <w:t xml:space="preserve">See </w:t>
      </w:r>
      <w:r w:rsidRPr="007A7FCE">
        <w:t>letter from Craig Hitchings, Radio Project Office Manager, Maine Statewide Communications Network to Federal Communications Commission (Feb. 18, 2014) (attached to the Mt. Agamenticus Application) (Maine Feb</w:t>
      </w:r>
      <w:r>
        <w:t>.</w:t>
      </w:r>
      <w:r w:rsidRPr="007A7FCE">
        <w:t xml:space="preserve"> 2014 Letter).</w:t>
      </w:r>
    </w:p>
  </w:footnote>
  <w:footnote w:id="10">
    <w:p w:rsidR="00BF1CC0" w:rsidRPr="007A7FCE" w:rsidRDefault="00BF1CC0">
      <w:pPr>
        <w:pStyle w:val="FootnoteText"/>
        <w:rPr>
          <w:i/>
        </w:rPr>
      </w:pPr>
      <w:r>
        <w:rPr>
          <w:rStyle w:val="FootnoteReference"/>
        </w:rPr>
        <w:footnoteRef/>
      </w:r>
      <w:r>
        <w:t xml:space="preserve"> </w:t>
      </w:r>
      <w:r>
        <w:rPr>
          <w:i/>
        </w:rPr>
        <w:t>Id.</w:t>
      </w:r>
    </w:p>
  </w:footnote>
  <w:footnote w:id="11">
    <w:p w:rsidR="00BF1CC0" w:rsidRPr="00421EB3" w:rsidRDefault="00BF1CC0">
      <w:pPr>
        <w:pStyle w:val="FootnoteText"/>
      </w:pPr>
      <w:r>
        <w:rPr>
          <w:rStyle w:val="FootnoteReference"/>
        </w:rPr>
        <w:footnoteRef/>
      </w:r>
      <w:r>
        <w:t xml:space="preserve"> 47 C.F.R. § 90.35(b)(2)(ii) (indicating that a letter symbol in the “Coordinator” column of the frequency table designates the mandatory certified frequency coordinator for the associated frequency but noting that any certified frequency coordinator may coordinate the frequency provided it obtains a consent letter from the mandatory frequency coordinator).  EWA is the mandatory frequency coordinator for any frequency containing an “IP” symbol in the coordinator frequency column.  </w:t>
      </w:r>
      <w:r>
        <w:rPr>
          <w:i/>
        </w:rPr>
        <w:t xml:space="preserve">See </w:t>
      </w:r>
      <w:r>
        <w:t xml:space="preserve">the Commission’s website at </w:t>
      </w:r>
      <w:hyperlink r:id="rId1" w:history="1">
        <w:r w:rsidRPr="00DF3BE8">
          <w:rPr>
            <w:rStyle w:val="Hyperlink"/>
          </w:rPr>
          <w:t>http://wireless.fcc.gov/services/index.htm?job=licensing_3&amp;id=industrial_business</w:t>
        </w:r>
      </w:hyperlink>
      <w:r>
        <w:t>.</w:t>
      </w:r>
    </w:p>
  </w:footnote>
  <w:footnote w:id="12">
    <w:p w:rsidR="00BF1CC0" w:rsidRPr="008459D6" w:rsidRDefault="00BF1CC0">
      <w:pPr>
        <w:pStyle w:val="FootnoteText"/>
      </w:pPr>
      <w:r>
        <w:rPr>
          <w:rStyle w:val="FootnoteReference"/>
        </w:rPr>
        <w:footnoteRef/>
      </w:r>
      <w:r>
        <w:t xml:space="preserve"> </w:t>
      </w:r>
      <w:r>
        <w:rPr>
          <w:i/>
        </w:rPr>
        <w:t xml:space="preserve">See </w:t>
      </w:r>
      <w:r>
        <w:t xml:space="preserve">email from Diane M. Tosoni, Radiosoft to Customer Service, Enterprise Wireless Association (Dec 17, 2013) (included in attachment to Mt. </w:t>
      </w:r>
      <w:r w:rsidRPr="007A7FCE">
        <w:t>Agamenticus Application</w:t>
      </w:r>
      <w:r>
        <w:t xml:space="preserve"> labeled “E-mail Correspondence”).</w:t>
      </w:r>
    </w:p>
  </w:footnote>
  <w:footnote w:id="13">
    <w:p w:rsidR="00BF1CC0" w:rsidRDefault="00BF1CC0">
      <w:pPr>
        <w:pStyle w:val="FootnoteText"/>
      </w:pPr>
      <w:r>
        <w:rPr>
          <w:rStyle w:val="FootnoteReference"/>
        </w:rPr>
        <w:footnoteRef/>
      </w:r>
      <w:r>
        <w:t xml:space="preserve"> </w:t>
      </w:r>
      <w:r w:rsidRPr="009A0EA4">
        <w:rPr>
          <w:i/>
        </w:rPr>
        <w:t xml:space="preserve">See </w:t>
      </w:r>
      <w:r>
        <w:t>l</w:t>
      </w:r>
      <w:r w:rsidRPr="007A7FCE">
        <w:t xml:space="preserve">etter from </w:t>
      </w:r>
      <w:r>
        <w:t xml:space="preserve">Julia Biggs, Spectrum Manager, Enterprise Wireless Association to Diane M. Tosoni, Radiosoft (Dec 31, 2013) (attached to Mt. </w:t>
      </w:r>
      <w:r w:rsidRPr="007A7FCE">
        <w:t>Agamenticus Application</w:t>
      </w:r>
      <w:r>
        <w:t xml:space="preserve"> labeled “EWA Objection Letter”).</w:t>
      </w:r>
    </w:p>
  </w:footnote>
  <w:footnote w:id="14">
    <w:p w:rsidR="00BF1CC0" w:rsidRDefault="00BF1CC0">
      <w:pPr>
        <w:pStyle w:val="FootnoteText"/>
      </w:pPr>
      <w:r>
        <w:rPr>
          <w:rStyle w:val="FootnoteReference"/>
        </w:rPr>
        <w:footnoteRef/>
      </w:r>
      <w:r>
        <w:t xml:space="preserve">  </w:t>
      </w:r>
      <w:r>
        <w:rPr>
          <w:i/>
        </w:rPr>
        <w:t xml:space="preserve">See </w:t>
      </w:r>
      <w:r>
        <w:t xml:space="preserve">ULS File No. </w:t>
      </w:r>
      <w:r w:rsidRPr="007620BA">
        <w:t>0006043859</w:t>
      </w:r>
      <w:r>
        <w:t xml:space="preserve"> (seeking to add frequency </w:t>
      </w:r>
      <w:r w:rsidRPr="007E3AA4">
        <w:t>153.1775 MHz</w:t>
      </w:r>
      <w:r>
        <w:t xml:space="preserve"> to call sign </w:t>
      </w:r>
      <w:r w:rsidRPr="00101520">
        <w:t>WNSU834</w:t>
      </w:r>
      <w:r>
        <w:t xml:space="preserve">).  </w:t>
      </w:r>
      <w:r w:rsidRPr="00101520">
        <w:t>SMCC’s application was granted on February 24, 2014.</w:t>
      </w:r>
    </w:p>
  </w:footnote>
  <w:footnote w:id="15">
    <w:p w:rsidR="00BF1CC0" w:rsidRDefault="00BF1CC0">
      <w:pPr>
        <w:pStyle w:val="FootnoteText"/>
      </w:pPr>
      <w:r>
        <w:rPr>
          <w:rStyle w:val="FootnoteReference"/>
        </w:rPr>
        <w:footnoteRef/>
      </w:r>
      <w:r>
        <w:t xml:space="preserve"> 47 C.F.R. § 90.187(d)(1).</w:t>
      </w:r>
    </w:p>
  </w:footnote>
  <w:footnote w:id="16">
    <w:p w:rsidR="00BF1CC0" w:rsidRDefault="00BF1CC0">
      <w:pPr>
        <w:pStyle w:val="FootnoteText"/>
      </w:pPr>
      <w:r>
        <w:rPr>
          <w:rStyle w:val="FootnoteReference"/>
        </w:rPr>
        <w:footnoteRef/>
      </w:r>
      <w:r>
        <w:t xml:space="preserve"> 47 C.F.R. § 90.187(d).</w:t>
      </w:r>
    </w:p>
  </w:footnote>
  <w:footnote w:id="17">
    <w:p w:rsidR="00BF1CC0" w:rsidRPr="00BC01AA" w:rsidRDefault="00BF1CC0">
      <w:pPr>
        <w:pStyle w:val="FootnoteText"/>
      </w:pPr>
      <w:r>
        <w:rPr>
          <w:rStyle w:val="FootnoteReference"/>
        </w:rPr>
        <w:footnoteRef/>
      </w:r>
      <w:r>
        <w:t xml:space="preserve"> </w:t>
      </w:r>
      <w:r>
        <w:rPr>
          <w:i/>
        </w:rPr>
        <w:t>See</w:t>
      </w:r>
      <w:r>
        <w:t xml:space="preserve"> statement from Peter Moncure, CEO Radiosoft (attached to Mt. </w:t>
      </w:r>
      <w:r w:rsidRPr="007A7FCE">
        <w:t>Agamenticus Application</w:t>
      </w:r>
      <w:r>
        <w:t xml:space="preserve"> labeled “Statement Over Unresolved Objection</w:t>
      </w:r>
      <w:r w:rsidR="00006B0F">
        <w:t>”</w:t>
      </w:r>
      <w:r>
        <w:t>).</w:t>
      </w:r>
    </w:p>
  </w:footnote>
  <w:footnote w:id="18">
    <w:p w:rsidR="00BF1CC0" w:rsidRPr="00BC01AA" w:rsidRDefault="00BF1CC0">
      <w:pPr>
        <w:pStyle w:val="FootnoteText"/>
      </w:pPr>
      <w:r>
        <w:rPr>
          <w:rStyle w:val="FootnoteReference"/>
        </w:rPr>
        <w:footnoteRef/>
      </w:r>
      <w:r>
        <w:t xml:space="preserve"> </w:t>
      </w:r>
      <w:r>
        <w:rPr>
          <w:i/>
        </w:rPr>
        <w:t>See</w:t>
      </w:r>
      <w:r>
        <w:t xml:space="preserve"> email from Diane Tosoni to Julia Biggs (Jan 31, 2014) (included in attachment to Mt. </w:t>
      </w:r>
      <w:r w:rsidRPr="007A7FCE">
        <w:t>Agamenticus Application</w:t>
      </w:r>
      <w:r>
        <w:t xml:space="preserve"> labeled “E-mail Correspondence”).  </w:t>
      </w:r>
      <w:r>
        <w:rPr>
          <w:i/>
        </w:rPr>
        <w:t xml:space="preserve">See also </w:t>
      </w:r>
      <w:r>
        <w:t xml:space="preserve">email from Julia Biggs, Spectrum Manager to Diane Tosoni (Feb 10, 2014) (included in attachment to Mt. </w:t>
      </w:r>
      <w:r w:rsidRPr="007A7FCE">
        <w:t>Agamenticus Application</w:t>
      </w:r>
      <w:r>
        <w:t xml:space="preserve"> labeled “E-mail Correspondence”) (EWA Feb. 2014 Letter).</w:t>
      </w:r>
    </w:p>
  </w:footnote>
  <w:footnote w:id="19">
    <w:p w:rsidR="00BF1CC0" w:rsidRPr="00293F33" w:rsidRDefault="00BF1CC0">
      <w:pPr>
        <w:pStyle w:val="FootnoteText"/>
      </w:pPr>
      <w:r>
        <w:rPr>
          <w:rStyle w:val="FootnoteReference"/>
        </w:rPr>
        <w:footnoteRef/>
      </w:r>
      <w:r>
        <w:t xml:space="preserve"> </w:t>
      </w:r>
      <w:r>
        <w:rPr>
          <w:i/>
        </w:rPr>
        <w:t>See</w:t>
      </w:r>
      <w:r>
        <w:t xml:space="preserve"> email from Tom Driscoll, Outreach Coordinator, MSCommNet Radio Project Office to </w:t>
      </w:r>
      <w:r w:rsidRPr="00DF6F90">
        <w:t>Joseph (Jay) Manhardt, Director of Public Safety &amp; Contract Services, Southern Maine Community College</w:t>
      </w:r>
      <w:r>
        <w:t xml:space="preserve"> (Feb 10, 2014) (included in attachment to Mt. </w:t>
      </w:r>
      <w:r w:rsidRPr="007A7FCE">
        <w:t>Agamenticus Application</w:t>
      </w:r>
      <w:r>
        <w:t xml:space="preserve"> labeled “</w:t>
      </w:r>
      <w:r w:rsidRPr="00DF6F90">
        <w:t>E-Mail Exchanges SoME &amp; SMCC re: LOC</w:t>
      </w:r>
      <w:r>
        <w:t>”).</w:t>
      </w:r>
    </w:p>
  </w:footnote>
  <w:footnote w:id="20">
    <w:p w:rsidR="00BF1CC0" w:rsidRDefault="00BF1CC0">
      <w:pPr>
        <w:pStyle w:val="FootnoteText"/>
      </w:pPr>
      <w:r>
        <w:rPr>
          <w:rStyle w:val="FootnoteReference"/>
        </w:rPr>
        <w:footnoteRef/>
      </w:r>
      <w:r>
        <w:t xml:space="preserve"> </w:t>
      </w:r>
      <w:r>
        <w:rPr>
          <w:i/>
        </w:rPr>
        <w:t>See</w:t>
      </w:r>
      <w:r>
        <w:t xml:space="preserve"> email from </w:t>
      </w:r>
      <w:r w:rsidRPr="00E816C9">
        <w:t>Tom Driscoll, Outreach Coordinator, MSCommNet Radio Project Office</w:t>
      </w:r>
      <w:r>
        <w:t xml:space="preserve"> to Craig Hitchings, </w:t>
      </w:r>
      <w:r w:rsidRPr="007A7FCE">
        <w:t xml:space="preserve">Radio Project Office Manager, Maine Statewide Communications Network </w:t>
      </w:r>
      <w:r>
        <w:t xml:space="preserve">(Feb 12, 2014) (included in attachment to Mt. </w:t>
      </w:r>
      <w:r w:rsidRPr="007A7FCE">
        <w:t>Agamenticus Application</w:t>
      </w:r>
      <w:r>
        <w:t xml:space="preserve"> labeled “</w:t>
      </w:r>
      <w:r w:rsidRPr="00DF6F90">
        <w:t>E-Mail Exchanges SoME &amp; SMCC re: LOC</w:t>
      </w:r>
      <w:r>
        <w:t>”).</w:t>
      </w:r>
    </w:p>
  </w:footnote>
  <w:footnote w:id="21">
    <w:p w:rsidR="00BF1CC0" w:rsidRPr="00DA1711" w:rsidRDefault="00BF1CC0">
      <w:pPr>
        <w:pStyle w:val="FootnoteText"/>
      </w:pPr>
      <w:r>
        <w:rPr>
          <w:rStyle w:val="FootnoteReference"/>
        </w:rPr>
        <w:footnoteRef/>
      </w:r>
      <w:r>
        <w:t xml:space="preserve"> </w:t>
      </w:r>
      <w:r>
        <w:rPr>
          <w:i/>
        </w:rPr>
        <w:t xml:space="preserve">See </w:t>
      </w:r>
      <w:r w:rsidRPr="00137970">
        <w:t>Mt. Agamenticus Application</w:t>
      </w:r>
      <w:r>
        <w:t>.</w:t>
      </w:r>
    </w:p>
  </w:footnote>
  <w:footnote w:id="22">
    <w:p w:rsidR="00BF1CC0" w:rsidRDefault="00BF1CC0">
      <w:pPr>
        <w:pStyle w:val="FootnoteText"/>
      </w:pPr>
      <w:r>
        <w:rPr>
          <w:rStyle w:val="FootnoteReference"/>
        </w:rPr>
        <w:footnoteRef/>
      </w:r>
      <w:r>
        <w:t xml:space="preserve"> Maine May 2014 Letter at 1-2.</w:t>
      </w:r>
    </w:p>
  </w:footnote>
  <w:footnote w:id="23">
    <w:p w:rsidR="00BF1CC0" w:rsidRDefault="00BF1CC0">
      <w:pPr>
        <w:pStyle w:val="FootnoteText"/>
      </w:pPr>
      <w:r>
        <w:rPr>
          <w:rStyle w:val="FootnoteReference"/>
        </w:rPr>
        <w:footnoteRef/>
      </w:r>
      <w:r>
        <w:t xml:space="preserve"> </w:t>
      </w:r>
      <w:r w:rsidRPr="007A7FCE">
        <w:t>Maine Feb</w:t>
      </w:r>
      <w:r>
        <w:t>.</w:t>
      </w:r>
      <w:r w:rsidRPr="007A7FCE">
        <w:t xml:space="preserve"> 2014 Letter</w:t>
      </w:r>
      <w:r>
        <w:t xml:space="preserve"> at 3-4.</w:t>
      </w:r>
    </w:p>
  </w:footnote>
  <w:footnote w:id="24">
    <w:p w:rsidR="00BF1CC0" w:rsidRDefault="00BF1CC0">
      <w:pPr>
        <w:pStyle w:val="FootnoteText"/>
      </w:pPr>
      <w:r>
        <w:rPr>
          <w:rStyle w:val="FootnoteReference"/>
        </w:rPr>
        <w:footnoteRef/>
      </w:r>
      <w:r>
        <w:t xml:space="preserve"> 47 C.F.R. § 1.925(b)(3)(i).</w:t>
      </w:r>
    </w:p>
  </w:footnote>
  <w:footnote w:id="25">
    <w:p w:rsidR="00BF1CC0" w:rsidRDefault="00BF1CC0">
      <w:pPr>
        <w:pStyle w:val="FootnoteText"/>
      </w:pPr>
      <w:r>
        <w:rPr>
          <w:rStyle w:val="FootnoteReference"/>
        </w:rPr>
        <w:footnoteRef/>
      </w:r>
      <w:r>
        <w:t xml:space="preserve"> 47 C.F.R. § 1.925(b)(3)(ii).</w:t>
      </w:r>
    </w:p>
  </w:footnote>
  <w:footnote w:id="26">
    <w:p w:rsidR="00BF1CC0" w:rsidRDefault="00BF1CC0">
      <w:pPr>
        <w:pStyle w:val="FootnoteText"/>
      </w:pPr>
      <w:r>
        <w:rPr>
          <w:rStyle w:val="FootnoteReference"/>
        </w:rPr>
        <w:footnoteRef/>
      </w:r>
      <w:r>
        <w:t xml:space="preserve"> Staff plotted the 19 dBu F(50,10) contours for Maine’s authorized facilities under call sign </w:t>
      </w:r>
      <w:r w:rsidRPr="007E3AA4">
        <w:t>WQRI384</w:t>
      </w:r>
      <w:r>
        <w:t xml:space="preserve"> and for the facilities it proposes in the Mt. </w:t>
      </w:r>
      <w:r w:rsidRPr="007A7FCE">
        <w:t>Agamenticus Application</w:t>
      </w:r>
      <w:r>
        <w:t>.</w:t>
      </w:r>
    </w:p>
  </w:footnote>
  <w:footnote w:id="27">
    <w:p w:rsidR="00BF1CC0" w:rsidRPr="00C8106C" w:rsidRDefault="00BF1CC0">
      <w:pPr>
        <w:pStyle w:val="FootnoteText"/>
      </w:pPr>
      <w:r>
        <w:rPr>
          <w:rStyle w:val="FootnoteReference"/>
        </w:rPr>
        <w:footnoteRef/>
      </w:r>
      <w:r>
        <w:t xml:space="preserve"> </w:t>
      </w:r>
      <w:r>
        <w:rPr>
          <w:i/>
        </w:rPr>
        <w:t xml:space="preserve">See </w:t>
      </w:r>
      <w:r w:rsidRPr="007A7FCE">
        <w:t>Maine Feb</w:t>
      </w:r>
      <w:r>
        <w:t>.</w:t>
      </w:r>
      <w:r w:rsidRPr="007A7FCE">
        <w:t xml:space="preserve"> 2014 Letter</w:t>
      </w:r>
      <w:r>
        <w:t xml:space="preserve"> at 3-4.</w:t>
      </w:r>
    </w:p>
  </w:footnote>
  <w:footnote w:id="28">
    <w:p w:rsidR="00BF1CC0" w:rsidRPr="00C8106C" w:rsidRDefault="00BF1CC0" w:rsidP="00C8106C">
      <w:pPr>
        <w:pStyle w:val="FootnoteText"/>
      </w:pPr>
      <w:r>
        <w:rPr>
          <w:rStyle w:val="FootnoteReference"/>
        </w:rPr>
        <w:footnoteRef/>
      </w:r>
      <w:r>
        <w:t xml:space="preserve"> </w:t>
      </w:r>
      <w:r>
        <w:rPr>
          <w:i/>
        </w:rPr>
        <w:t xml:space="preserve">See </w:t>
      </w:r>
      <w:r>
        <w:t xml:space="preserve">Replacement of Part 90 by Part 88 to Revise the Private Land Mobile Radio Services and Modify the Policies Governing Them, PR Docket No. 92-235, </w:t>
      </w:r>
      <w:r>
        <w:rPr>
          <w:i/>
        </w:rPr>
        <w:t>Second Report and Order</w:t>
      </w:r>
      <w:r>
        <w:t xml:space="preserve">, </w:t>
      </w:r>
      <w:r w:rsidRPr="00C8106C">
        <w:t>12 FCC Rcd 14307</w:t>
      </w:r>
      <w:r>
        <w:t>, 14329 at ¶ 41 (1997) (</w:t>
      </w:r>
      <w:r w:rsidRPr="00C8106C">
        <w:rPr>
          <w:i/>
        </w:rPr>
        <w:t>Refarming Second R&amp;O</w:t>
      </w:r>
      <w:r>
        <w:t>).</w:t>
      </w:r>
    </w:p>
  </w:footnote>
  <w:footnote w:id="29">
    <w:p w:rsidR="00BF1CC0" w:rsidRPr="00C8106C" w:rsidRDefault="00BF1CC0">
      <w:pPr>
        <w:pStyle w:val="FootnoteText"/>
        <w:rPr>
          <w:i/>
        </w:rPr>
      </w:pPr>
      <w:r>
        <w:rPr>
          <w:rStyle w:val="FootnoteReference"/>
        </w:rPr>
        <w:footnoteRef/>
      </w:r>
      <w:r>
        <w:t xml:space="preserve"> </w:t>
      </w:r>
      <w:r>
        <w:rPr>
          <w:i/>
        </w:rPr>
        <w:t>Id.</w:t>
      </w:r>
    </w:p>
  </w:footnote>
  <w:footnote w:id="30">
    <w:p w:rsidR="00BF1CC0" w:rsidRDefault="00BF1CC0">
      <w:pPr>
        <w:pStyle w:val="FootnoteText"/>
      </w:pPr>
      <w:r>
        <w:rPr>
          <w:rStyle w:val="FootnoteReference"/>
        </w:rPr>
        <w:footnoteRef/>
      </w:r>
      <w:r>
        <w:t xml:space="preserve"> </w:t>
      </w:r>
      <w:r>
        <w:rPr>
          <w:i/>
        </w:rPr>
        <w:t xml:space="preserve">See </w:t>
      </w:r>
      <w:r>
        <w:t xml:space="preserve">letter from </w:t>
      </w:r>
      <w:r w:rsidRPr="00003CD5">
        <w:t>Mark E. Crosby</w:t>
      </w:r>
      <w:r>
        <w:t xml:space="preserve">, </w:t>
      </w:r>
      <w:r w:rsidRPr="00003CD5">
        <w:t>President/CEO</w:t>
      </w:r>
      <w:r>
        <w:t xml:space="preserve">, </w:t>
      </w:r>
      <w:r w:rsidRPr="00003CD5">
        <w:t>Enterprise Wireless Alliance</w:t>
      </w:r>
      <w:r>
        <w:t xml:space="preserve"> to </w:t>
      </w:r>
      <w:r w:rsidRPr="00FB1863">
        <w:t>Peter Moncure</w:t>
      </w:r>
      <w:r>
        <w:t xml:space="preserve">, AASHTO (Aug. 2, 2012) (attached to ULS application </w:t>
      </w:r>
      <w:r w:rsidRPr="00FB1863">
        <w:t>0005342117</w:t>
      </w:r>
      <w:r>
        <w:t>).</w:t>
      </w:r>
    </w:p>
  </w:footnote>
  <w:footnote w:id="31">
    <w:p w:rsidR="00BF1CC0" w:rsidRPr="00500D84" w:rsidRDefault="00BF1CC0" w:rsidP="00FB1863">
      <w:pPr>
        <w:pStyle w:val="FootnoteText"/>
      </w:pPr>
      <w:r>
        <w:rPr>
          <w:rStyle w:val="FootnoteReference"/>
        </w:rPr>
        <w:footnoteRef/>
      </w:r>
      <w:r>
        <w:t xml:space="preserve"> EWA Feb. 2014 Letter.</w:t>
      </w:r>
    </w:p>
  </w:footnote>
  <w:footnote w:id="32">
    <w:p w:rsidR="00BF1CC0" w:rsidRPr="000919D7" w:rsidRDefault="00BF1CC0">
      <w:pPr>
        <w:pStyle w:val="FootnoteText"/>
      </w:pPr>
      <w:r>
        <w:rPr>
          <w:rStyle w:val="FootnoteReference"/>
        </w:rPr>
        <w:footnoteRef/>
      </w:r>
      <w:r>
        <w:t xml:space="preserve"> </w:t>
      </w:r>
      <w:r w:rsidRPr="00C8106C">
        <w:rPr>
          <w:i/>
        </w:rPr>
        <w:t>Refarming Second R&amp;O</w:t>
      </w:r>
      <w:r>
        <w:t xml:space="preserve">, 12 </w:t>
      </w:r>
      <w:r w:rsidRPr="00C8106C">
        <w:t>FCC Rcd</w:t>
      </w:r>
      <w:r>
        <w:t xml:space="preserve"> 14330 at ¶ 42.</w:t>
      </w:r>
    </w:p>
  </w:footnote>
  <w:footnote w:id="33">
    <w:p w:rsidR="00BF1CC0" w:rsidRPr="00E80875" w:rsidRDefault="00BF1CC0">
      <w:pPr>
        <w:pStyle w:val="FootnoteText"/>
      </w:pPr>
      <w:r>
        <w:rPr>
          <w:rStyle w:val="FootnoteReference"/>
        </w:rPr>
        <w:footnoteRef/>
      </w:r>
      <w:r>
        <w:t xml:space="preserve"> </w:t>
      </w:r>
      <w:r>
        <w:rPr>
          <w:i/>
        </w:rPr>
        <w:t xml:space="preserve">See </w:t>
      </w:r>
      <w:r>
        <w:t>47 C.F.R. § 90.187(d).</w:t>
      </w:r>
    </w:p>
  </w:footnote>
  <w:footnote w:id="34">
    <w:p w:rsidR="00BF1CC0" w:rsidRPr="00E80875" w:rsidRDefault="00BF1CC0" w:rsidP="00C137D7">
      <w:pPr>
        <w:pStyle w:val="FootnoteText"/>
      </w:pPr>
      <w:r>
        <w:rPr>
          <w:rStyle w:val="FootnoteReference"/>
        </w:rPr>
        <w:footnoteRef/>
      </w:r>
      <w:r w:rsidRPr="00350FCC">
        <w:t>Whether or not an incumbent is an “affected licensee” is determined based upon contour overlap and the incumbent’s spectral proximity to the trunked licensee</w:t>
      </w:r>
      <w:r>
        <w:t xml:space="preserve">. </w:t>
      </w:r>
      <w:r>
        <w:rPr>
          <w:i/>
        </w:rPr>
        <w:t xml:space="preserve">See </w:t>
      </w:r>
      <w:r>
        <w:t>47 C.F.R. § 90.187(b).</w:t>
      </w:r>
    </w:p>
  </w:footnote>
  <w:footnote w:id="35">
    <w:p w:rsidR="00BF1CC0" w:rsidRDefault="00BF1CC0" w:rsidP="00350FCC">
      <w:pPr>
        <w:pStyle w:val="FootnoteText"/>
      </w:pPr>
      <w:r>
        <w:rPr>
          <w:rStyle w:val="FootnoteReference"/>
        </w:rPr>
        <w:footnoteRef/>
      </w:r>
      <w:r>
        <w:t xml:space="preserve"> </w:t>
      </w:r>
      <w:r>
        <w:rPr>
          <w:i/>
        </w:rPr>
        <w:t xml:space="preserve">See </w:t>
      </w:r>
      <w:r>
        <w:t>47 C.F.R. § 90.187(d)(1).</w:t>
      </w:r>
    </w:p>
  </w:footnote>
  <w:footnote w:id="36">
    <w:p w:rsidR="00BF1CC0" w:rsidRDefault="00BF1CC0">
      <w:pPr>
        <w:pStyle w:val="FootnoteText"/>
      </w:pPr>
      <w:r>
        <w:rPr>
          <w:rStyle w:val="FootnoteReference"/>
        </w:rPr>
        <w:footnoteRef/>
      </w:r>
      <w:r>
        <w:t xml:space="preserve"> </w:t>
      </w:r>
      <w:r>
        <w:rPr>
          <w:i/>
        </w:rPr>
        <w:t xml:space="preserve">See </w:t>
      </w:r>
      <w:r>
        <w:t xml:space="preserve">ULS File No. </w:t>
      </w:r>
      <w:r w:rsidRPr="007620BA">
        <w:t>0006043859</w:t>
      </w:r>
      <w:r>
        <w:t>.</w:t>
      </w:r>
    </w:p>
  </w:footnote>
  <w:footnote w:id="37">
    <w:p w:rsidR="00BF1CC0" w:rsidRPr="00613E02" w:rsidRDefault="00BF1CC0">
      <w:pPr>
        <w:pStyle w:val="FootnoteText"/>
      </w:pPr>
      <w:r>
        <w:rPr>
          <w:rStyle w:val="FootnoteReference"/>
        </w:rPr>
        <w:footnoteRef/>
      </w:r>
      <w:r>
        <w:t xml:space="preserve"> </w:t>
      </w:r>
      <w:r>
        <w:rPr>
          <w:i/>
        </w:rPr>
        <w:t>See</w:t>
      </w:r>
      <w:r>
        <w:t xml:space="preserve"> State o</w:t>
      </w:r>
      <w:r w:rsidRPr="00613E02">
        <w:t>f Maine – M</w:t>
      </w:r>
      <w:r>
        <w:t>SC</w:t>
      </w:r>
      <w:r w:rsidRPr="00613E02">
        <w:t>omm</w:t>
      </w:r>
      <w:r>
        <w:t>N</w:t>
      </w:r>
      <w:r w:rsidRPr="00613E02">
        <w:t>et Project, Request For Waiver of Section 90.35(a) of the Commission’s Rules</w:t>
      </w:r>
      <w:r>
        <w:t xml:space="preserve">, </w:t>
      </w:r>
      <w:r>
        <w:rPr>
          <w:i/>
        </w:rPr>
        <w:t>Order</w:t>
      </w:r>
      <w:r>
        <w:t xml:space="preserve">, </w:t>
      </w:r>
      <w:r w:rsidRPr="00613E02">
        <w:t>28 FCC Rcd 988</w:t>
      </w:r>
      <w:r>
        <w:t>, 991 at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3F" w:rsidRDefault="00865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C0" w:rsidRDefault="00BF1CC0">
    <w:pPr>
      <w:pStyle w:val="Header"/>
    </w:pPr>
    <w:r>
      <w:tab/>
      <w:t xml:space="preserve">Federal Communications Commission </w:t>
    </w:r>
    <w:r>
      <w:tab/>
      <w:t xml:space="preserve">DA </w:t>
    </w:r>
    <w:r w:rsidR="00171ADB" w:rsidRPr="00171ADB">
      <w:t>14-848</w:t>
    </w:r>
    <w:r>
      <w:tab/>
    </w:r>
  </w:p>
  <w:p w:rsidR="00BF1CC0" w:rsidRDefault="00BF1CC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6D1FCA19" wp14:editId="77992028">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BF1CC0" w:rsidRDefault="00BF1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90529D" w:rsidRDefault="0090529D"/>
                </w:txbxContent>
              </v:textbox>
              <w10:wrap anchorx="margin"/>
            </v:rect>
          </w:pict>
        </mc:Fallback>
      </mc:AlternateContent>
    </w:r>
  </w:p>
  <w:p w:rsidR="00BF1CC0" w:rsidRDefault="00BF1CC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C0" w:rsidRDefault="00BF1CC0">
    <w:pPr>
      <w:pStyle w:val="Header"/>
    </w:pPr>
    <w:r>
      <w:tab/>
      <w:t>Federal Communications Commission</w:t>
    </w:r>
    <w:r>
      <w:tab/>
      <w:t xml:space="preserve">DA </w:t>
    </w:r>
    <w:r w:rsidR="00171ADB" w:rsidRPr="00171ADB">
      <w:t>14-848</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925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3CE7CEF"/>
    <w:multiLevelType w:val="hybridMultilevel"/>
    <w:tmpl w:val="64C2CB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66165"/>
    <w:multiLevelType w:val="hybridMultilevel"/>
    <w:tmpl w:val="764EF95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14F2880"/>
    <w:multiLevelType w:val="hybridMultilevel"/>
    <w:tmpl w:val="7AA6C52E"/>
    <w:lvl w:ilvl="0" w:tplc="AEB610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8"/>
  </w:num>
  <w:num w:numId="5">
    <w:abstractNumId w:val="4"/>
  </w:num>
  <w:num w:numId="6">
    <w:abstractNumId w:val="2"/>
  </w:num>
  <w:num w:numId="7">
    <w:abstractNumId w:val="9"/>
  </w:num>
  <w:num w:numId="8">
    <w:abstractNumId w:val="7"/>
  </w:num>
  <w:num w:numId="9">
    <w:abstractNumId w:val="1"/>
  </w:num>
  <w:num w:numId="10">
    <w:abstractNumId w:val="10"/>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35"/>
    <w:rsid w:val="00003CD5"/>
    <w:rsid w:val="00004B63"/>
    <w:rsid w:val="00006B0F"/>
    <w:rsid w:val="00024435"/>
    <w:rsid w:val="000258C6"/>
    <w:rsid w:val="000919D7"/>
    <w:rsid w:val="000A65F7"/>
    <w:rsid w:val="000C1187"/>
    <w:rsid w:val="000C1A48"/>
    <w:rsid w:val="000C58ED"/>
    <w:rsid w:val="000E40DD"/>
    <w:rsid w:val="000F39EA"/>
    <w:rsid w:val="00101520"/>
    <w:rsid w:val="001044DB"/>
    <w:rsid w:val="00104FE3"/>
    <w:rsid w:val="0010788D"/>
    <w:rsid w:val="001244FC"/>
    <w:rsid w:val="00126004"/>
    <w:rsid w:val="00132F30"/>
    <w:rsid w:val="00137970"/>
    <w:rsid w:val="001410A1"/>
    <w:rsid w:val="0014350C"/>
    <w:rsid w:val="00143EC6"/>
    <w:rsid w:val="001564F1"/>
    <w:rsid w:val="00162C12"/>
    <w:rsid w:val="001641B4"/>
    <w:rsid w:val="00171ADB"/>
    <w:rsid w:val="0018561D"/>
    <w:rsid w:val="001B242D"/>
    <w:rsid w:val="001E1CFF"/>
    <w:rsid w:val="001E1FFF"/>
    <w:rsid w:val="001F02F1"/>
    <w:rsid w:val="00202255"/>
    <w:rsid w:val="00215D7A"/>
    <w:rsid w:val="00240F1E"/>
    <w:rsid w:val="00270DE5"/>
    <w:rsid w:val="0027606D"/>
    <w:rsid w:val="00293F33"/>
    <w:rsid w:val="002A57C3"/>
    <w:rsid w:val="002B541F"/>
    <w:rsid w:val="002C0E23"/>
    <w:rsid w:val="00302125"/>
    <w:rsid w:val="00334B27"/>
    <w:rsid w:val="00340062"/>
    <w:rsid w:val="00350FCC"/>
    <w:rsid w:val="00362234"/>
    <w:rsid w:val="00366FF3"/>
    <w:rsid w:val="00367CC7"/>
    <w:rsid w:val="003809FA"/>
    <w:rsid w:val="003924B5"/>
    <w:rsid w:val="003963FD"/>
    <w:rsid w:val="00397099"/>
    <w:rsid w:val="0039752C"/>
    <w:rsid w:val="00397CFE"/>
    <w:rsid w:val="003A5E89"/>
    <w:rsid w:val="003A6395"/>
    <w:rsid w:val="003A7119"/>
    <w:rsid w:val="003C33ED"/>
    <w:rsid w:val="003F57FD"/>
    <w:rsid w:val="00407555"/>
    <w:rsid w:val="004137AB"/>
    <w:rsid w:val="00421EB3"/>
    <w:rsid w:val="004231D2"/>
    <w:rsid w:val="00424B65"/>
    <w:rsid w:val="00425EA9"/>
    <w:rsid w:val="00427D64"/>
    <w:rsid w:val="00432EB3"/>
    <w:rsid w:val="00437134"/>
    <w:rsid w:val="00454E58"/>
    <w:rsid w:val="0047038A"/>
    <w:rsid w:val="004900FB"/>
    <w:rsid w:val="004B4A60"/>
    <w:rsid w:val="004C088A"/>
    <w:rsid w:val="004D262C"/>
    <w:rsid w:val="004F09D8"/>
    <w:rsid w:val="00500D84"/>
    <w:rsid w:val="00504D76"/>
    <w:rsid w:val="00511B90"/>
    <w:rsid w:val="00530382"/>
    <w:rsid w:val="005343BB"/>
    <w:rsid w:val="00552FB3"/>
    <w:rsid w:val="00571DD8"/>
    <w:rsid w:val="00584496"/>
    <w:rsid w:val="005864DE"/>
    <w:rsid w:val="00590D11"/>
    <w:rsid w:val="005963BA"/>
    <w:rsid w:val="005A2F35"/>
    <w:rsid w:val="005A786C"/>
    <w:rsid w:val="005B7797"/>
    <w:rsid w:val="005C69A0"/>
    <w:rsid w:val="005F011C"/>
    <w:rsid w:val="005F0B0B"/>
    <w:rsid w:val="005F1D36"/>
    <w:rsid w:val="005F75E5"/>
    <w:rsid w:val="00603585"/>
    <w:rsid w:val="00606249"/>
    <w:rsid w:val="00607CF9"/>
    <w:rsid w:val="006110F6"/>
    <w:rsid w:val="00613E02"/>
    <w:rsid w:val="00630A8F"/>
    <w:rsid w:val="006516DD"/>
    <w:rsid w:val="006860E1"/>
    <w:rsid w:val="006B0E4C"/>
    <w:rsid w:val="006C2CF2"/>
    <w:rsid w:val="006C7D96"/>
    <w:rsid w:val="006D7083"/>
    <w:rsid w:val="00702AA3"/>
    <w:rsid w:val="0073466B"/>
    <w:rsid w:val="007353A8"/>
    <w:rsid w:val="00755B4B"/>
    <w:rsid w:val="007620BA"/>
    <w:rsid w:val="00773544"/>
    <w:rsid w:val="00773E81"/>
    <w:rsid w:val="007773B5"/>
    <w:rsid w:val="007A7FCE"/>
    <w:rsid w:val="007C4A69"/>
    <w:rsid w:val="007C6799"/>
    <w:rsid w:val="007D3E47"/>
    <w:rsid w:val="007E3AA4"/>
    <w:rsid w:val="007E782D"/>
    <w:rsid w:val="007F553E"/>
    <w:rsid w:val="008017D1"/>
    <w:rsid w:val="00807AAB"/>
    <w:rsid w:val="008107C8"/>
    <w:rsid w:val="008175BA"/>
    <w:rsid w:val="00825241"/>
    <w:rsid w:val="00835C48"/>
    <w:rsid w:val="008459D6"/>
    <w:rsid w:val="00850BDC"/>
    <w:rsid w:val="00861DC6"/>
    <w:rsid w:val="0086533F"/>
    <w:rsid w:val="008845DA"/>
    <w:rsid w:val="008878C9"/>
    <w:rsid w:val="00887C96"/>
    <w:rsid w:val="00890515"/>
    <w:rsid w:val="0089281F"/>
    <w:rsid w:val="00893888"/>
    <w:rsid w:val="00896D9F"/>
    <w:rsid w:val="008A4A9D"/>
    <w:rsid w:val="008B1F57"/>
    <w:rsid w:val="008B5B02"/>
    <w:rsid w:val="008E15C7"/>
    <w:rsid w:val="008F1640"/>
    <w:rsid w:val="00902577"/>
    <w:rsid w:val="0090529D"/>
    <w:rsid w:val="00907025"/>
    <w:rsid w:val="009126A1"/>
    <w:rsid w:val="009169BA"/>
    <w:rsid w:val="00927174"/>
    <w:rsid w:val="00935E5B"/>
    <w:rsid w:val="00940063"/>
    <w:rsid w:val="00974F91"/>
    <w:rsid w:val="009959F0"/>
    <w:rsid w:val="009A0EA4"/>
    <w:rsid w:val="009A2207"/>
    <w:rsid w:val="009A32A8"/>
    <w:rsid w:val="009A4A59"/>
    <w:rsid w:val="009B5BB0"/>
    <w:rsid w:val="009C21EE"/>
    <w:rsid w:val="009C38B2"/>
    <w:rsid w:val="009E5A1A"/>
    <w:rsid w:val="009F0655"/>
    <w:rsid w:val="009F108F"/>
    <w:rsid w:val="00A1032C"/>
    <w:rsid w:val="00A10C61"/>
    <w:rsid w:val="00A32408"/>
    <w:rsid w:val="00A3306F"/>
    <w:rsid w:val="00A4253C"/>
    <w:rsid w:val="00A674EC"/>
    <w:rsid w:val="00A766AA"/>
    <w:rsid w:val="00A84D3D"/>
    <w:rsid w:val="00A8713F"/>
    <w:rsid w:val="00AC75E1"/>
    <w:rsid w:val="00AF1B39"/>
    <w:rsid w:val="00AF2372"/>
    <w:rsid w:val="00B027CB"/>
    <w:rsid w:val="00B0425E"/>
    <w:rsid w:val="00B07316"/>
    <w:rsid w:val="00B10F8D"/>
    <w:rsid w:val="00B12ACA"/>
    <w:rsid w:val="00B26336"/>
    <w:rsid w:val="00B405A4"/>
    <w:rsid w:val="00B575C5"/>
    <w:rsid w:val="00B92BAC"/>
    <w:rsid w:val="00BA6833"/>
    <w:rsid w:val="00BC01AA"/>
    <w:rsid w:val="00BC5F4A"/>
    <w:rsid w:val="00BD0A3D"/>
    <w:rsid w:val="00BE1D5A"/>
    <w:rsid w:val="00BE5B47"/>
    <w:rsid w:val="00BF1CC0"/>
    <w:rsid w:val="00C07244"/>
    <w:rsid w:val="00C137D7"/>
    <w:rsid w:val="00C1762D"/>
    <w:rsid w:val="00C256C6"/>
    <w:rsid w:val="00C3047E"/>
    <w:rsid w:val="00C3138F"/>
    <w:rsid w:val="00C40C31"/>
    <w:rsid w:val="00C424A1"/>
    <w:rsid w:val="00C606B3"/>
    <w:rsid w:val="00C6523A"/>
    <w:rsid w:val="00C80BEE"/>
    <w:rsid w:val="00C8106C"/>
    <w:rsid w:val="00C81889"/>
    <w:rsid w:val="00C90F9D"/>
    <w:rsid w:val="00CC43C5"/>
    <w:rsid w:val="00CC57F0"/>
    <w:rsid w:val="00CD390B"/>
    <w:rsid w:val="00CE0411"/>
    <w:rsid w:val="00CE2BF0"/>
    <w:rsid w:val="00CE6161"/>
    <w:rsid w:val="00CF491A"/>
    <w:rsid w:val="00D006B8"/>
    <w:rsid w:val="00D05825"/>
    <w:rsid w:val="00D11F74"/>
    <w:rsid w:val="00D151BC"/>
    <w:rsid w:val="00D231E3"/>
    <w:rsid w:val="00D329C7"/>
    <w:rsid w:val="00D32F9A"/>
    <w:rsid w:val="00D46D10"/>
    <w:rsid w:val="00D51822"/>
    <w:rsid w:val="00D538A7"/>
    <w:rsid w:val="00D5463D"/>
    <w:rsid w:val="00D60383"/>
    <w:rsid w:val="00D75B7E"/>
    <w:rsid w:val="00D90630"/>
    <w:rsid w:val="00D9175A"/>
    <w:rsid w:val="00DA0C00"/>
    <w:rsid w:val="00DA1711"/>
    <w:rsid w:val="00DC22A8"/>
    <w:rsid w:val="00DC4F5F"/>
    <w:rsid w:val="00DC5B9C"/>
    <w:rsid w:val="00DD1C63"/>
    <w:rsid w:val="00DD3323"/>
    <w:rsid w:val="00DF2614"/>
    <w:rsid w:val="00DF6F90"/>
    <w:rsid w:val="00E00913"/>
    <w:rsid w:val="00E11D7D"/>
    <w:rsid w:val="00E12397"/>
    <w:rsid w:val="00E1410C"/>
    <w:rsid w:val="00E14EAF"/>
    <w:rsid w:val="00E4595E"/>
    <w:rsid w:val="00E6146B"/>
    <w:rsid w:val="00E76D88"/>
    <w:rsid w:val="00E80875"/>
    <w:rsid w:val="00E816C9"/>
    <w:rsid w:val="00EA0C83"/>
    <w:rsid w:val="00EA75A2"/>
    <w:rsid w:val="00EB042B"/>
    <w:rsid w:val="00EB4AAC"/>
    <w:rsid w:val="00EC2DFF"/>
    <w:rsid w:val="00ED0CFF"/>
    <w:rsid w:val="00EE2709"/>
    <w:rsid w:val="00EE563A"/>
    <w:rsid w:val="00F04E18"/>
    <w:rsid w:val="00F12A05"/>
    <w:rsid w:val="00F3484A"/>
    <w:rsid w:val="00F357D6"/>
    <w:rsid w:val="00F53306"/>
    <w:rsid w:val="00F54695"/>
    <w:rsid w:val="00F8319A"/>
    <w:rsid w:val="00F83564"/>
    <w:rsid w:val="00F924D9"/>
    <w:rsid w:val="00FA656D"/>
    <w:rsid w:val="00FB1863"/>
    <w:rsid w:val="00FC14B0"/>
    <w:rsid w:val="00FC23B5"/>
    <w:rsid w:val="00FC6E27"/>
    <w:rsid w:val="00FE57DC"/>
    <w:rsid w:val="00FE6164"/>
    <w:rsid w:val="00FF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2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numPr>
        <w:numId w:val="2"/>
      </w:numPr>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n Char1 Char,fn"/>
    <w:link w:val="FootnoteTextChar"/>
    <w:semiHidden/>
    <w:pPr>
      <w:spacing w:after="120"/>
    </w:pPr>
  </w:style>
  <w:style w:type="character" w:styleId="FootnoteReference">
    <w:name w:val="footnote reference"/>
    <w:aliases w:val="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Char">
    <w:name w:val="Footnote Text Char2 Char"/>
    <w:aliases w:val="Footnote Text Char Char Char,Footnote Text Char1 Char Char Char,Footnote Text Char Char Char Char Char,Footnote Text Char1 Char Char Char Char Char,Footnote Text Char Char Char Char Char Char Char,Footnote Text Char1 Char"/>
    <w:rPr>
      <w:noProof w:val="0"/>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noProof w:val="0"/>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
    <w:name w:val="Footnote Text Char"/>
    <w:aliases w:val="Footnote Text Char2 Char2,Footnote Text Char Char Char2,Footnote Text Char1 Char Char Char2,Footnote Text Char Char Char Char Char2,Footnote Text Char1 Char Char Char Char Char2,Footnote Text Char Char Char Char Char Char Char2"/>
    <w:link w:val="FootnoteText"/>
    <w:rPr>
      <w:lang w:val="en-US" w:eastAsia="en-US" w:bidi="ar-SA"/>
    </w:rPr>
  </w:style>
  <w:style w:type="character" w:customStyle="1" w:styleId="bestsection1">
    <w:name w:val="bestsection1"/>
    <w:rPr>
      <w:color w:val="FF0000"/>
    </w:rPr>
  </w:style>
  <w:style w:type="character" w:customStyle="1" w:styleId="documentbody1">
    <w:name w:val="documentbody1"/>
    <w:rPr>
      <w:rFonts w:ascii="Verdana" w:hAnsi="Verdana" w:hint="default"/>
      <w:sz w:val="19"/>
      <w:szCs w:val="19"/>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2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numPr>
        <w:numId w:val="2"/>
      </w:numPr>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n Char1 Char,fn"/>
    <w:link w:val="FootnoteTextChar"/>
    <w:semiHidden/>
    <w:pPr>
      <w:spacing w:after="120"/>
    </w:pPr>
  </w:style>
  <w:style w:type="character" w:styleId="FootnoteReference">
    <w:name w:val="footnote reference"/>
    <w:aliases w:val="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Char">
    <w:name w:val="Footnote Text Char2 Char"/>
    <w:aliases w:val="Footnote Text Char Char Char,Footnote Text Char1 Char Char Char,Footnote Text Char Char Char Char Char,Footnote Text Char1 Char Char Char Char Char,Footnote Text Char Char Char Char Char Char Char,Footnote Text Char1 Char"/>
    <w:rPr>
      <w:noProof w:val="0"/>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noProof w:val="0"/>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
    <w:name w:val="Footnote Text Char"/>
    <w:aliases w:val="Footnote Text Char2 Char2,Footnote Text Char Char Char2,Footnote Text Char1 Char Char Char2,Footnote Text Char Char Char Char Char2,Footnote Text Char1 Char Char Char Char Char2,Footnote Text Char Char Char Char Char Char Char2"/>
    <w:link w:val="FootnoteText"/>
    <w:rPr>
      <w:lang w:val="en-US" w:eastAsia="en-US" w:bidi="ar-SA"/>
    </w:rPr>
  </w:style>
  <w:style w:type="character" w:customStyle="1" w:styleId="bestsection1">
    <w:name w:val="bestsection1"/>
    <w:rPr>
      <w:color w:val="FF0000"/>
    </w:rPr>
  </w:style>
  <w:style w:type="character" w:customStyle="1" w:styleId="documentbody1">
    <w:name w:val="documentbody1"/>
    <w:rPr>
      <w:rFonts w:ascii="Verdana" w:hAnsi="Verdana" w:hint="default"/>
      <w:sz w:val="19"/>
      <w:szCs w:val="19"/>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services/index.htm?job=licensing_3&amp;id=industrial_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1690</Words>
  <Characters>9489</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2012-07-30T18:49:00Z</cp:lastPrinted>
  <dcterms:created xsi:type="dcterms:W3CDTF">2014-06-19T19:37:00Z</dcterms:created>
  <dcterms:modified xsi:type="dcterms:W3CDTF">2014-06-19T19:37:00Z</dcterms:modified>
  <cp:category> </cp:category>
  <cp:contentStatus> </cp:contentStatus>
</cp:coreProperties>
</file>