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79E" w:rsidRPr="001E3CCF" w:rsidRDefault="003544BC" w:rsidP="007A5F0C">
      <w:pPr>
        <w:spacing w:after="120"/>
        <w:jc w:val="right"/>
        <w:rPr>
          <w:b/>
          <w:sz w:val="22"/>
          <w:szCs w:val="22"/>
          <w:lang w:val="de-DE"/>
        </w:rPr>
      </w:pPr>
      <w:bookmarkStart w:id="0" w:name="_GoBack"/>
      <w:bookmarkEnd w:id="0"/>
      <w:r>
        <w:rPr>
          <w:b/>
          <w:sz w:val="22"/>
          <w:szCs w:val="22"/>
          <w:lang w:val="de-DE"/>
        </w:rPr>
        <w:t>DA 14-871</w:t>
      </w:r>
    </w:p>
    <w:p w:rsidR="00C9779E" w:rsidRPr="001E3CCF" w:rsidRDefault="00C9779E" w:rsidP="007A5F0C">
      <w:pPr>
        <w:rPr>
          <w:sz w:val="22"/>
          <w:szCs w:val="22"/>
          <w:lang w:val="de-DE"/>
        </w:rPr>
      </w:pPr>
    </w:p>
    <w:p w:rsidR="000F029C" w:rsidRPr="001E3CCF" w:rsidRDefault="002E057C" w:rsidP="007A5F0C">
      <w:pPr>
        <w:rPr>
          <w:sz w:val="22"/>
          <w:szCs w:val="22"/>
          <w:lang w:val="de-DE"/>
        </w:rPr>
      </w:pPr>
      <w:r w:rsidRPr="001E3CCF">
        <w:rPr>
          <w:sz w:val="22"/>
          <w:szCs w:val="22"/>
          <w:lang w:val="de-DE"/>
        </w:rPr>
        <w:t>Mitchell Lazarus</w:t>
      </w:r>
      <w:r w:rsidR="0013261F" w:rsidRPr="001E3CCF">
        <w:rPr>
          <w:sz w:val="22"/>
          <w:szCs w:val="22"/>
          <w:lang w:val="de-DE"/>
        </w:rPr>
        <w:t>, Esq.</w:t>
      </w:r>
    </w:p>
    <w:p w:rsidR="007321E9" w:rsidRPr="001E3CCF" w:rsidRDefault="002E057C" w:rsidP="007A5F0C">
      <w:pPr>
        <w:rPr>
          <w:sz w:val="22"/>
          <w:szCs w:val="22"/>
          <w:lang w:val="de-DE"/>
        </w:rPr>
      </w:pPr>
      <w:r w:rsidRPr="001E3CCF">
        <w:rPr>
          <w:sz w:val="22"/>
          <w:szCs w:val="22"/>
          <w:lang w:val="de-DE"/>
        </w:rPr>
        <w:t>Fletcher, Heald &amp; Hildreth, PLC</w:t>
      </w:r>
    </w:p>
    <w:p w:rsidR="007321E9" w:rsidRPr="001E3CCF" w:rsidRDefault="002E057C" w:rsidP="007A5F0C">
      <w:pPr>
        <w:rPr>
          <w:sz w:val="22"/>
          <w:szCs w:val="22"/>
          <w:lang w:val="de-DE"/>
        </w:rPr>
      </w:pPr>
      <w:r w:rsidRPr="001E3CCF">
        <w:rPr>
          <w:sz w:val="22"/>
          <w:szCs w:val="22"/>
          <w:lang w:val="de-DE"/>
        </w:rPr>
        <w:t>1300 North 17th Street, 11th Floor</w:t>
      </w:r>
    </w:p>
    <w:p w:rsidR="007321E9" w:rsidRPr="001E3CCF" w:rsidRDefault="002E057C" w:rsidP="007A5F0C">
      <w:pPr>
        <w:rPr>
          <w:sz w:val="22"/>
          <w:szCs w:val="22"/>
          <w:lang w:val="de-DE"/>
        </w:rPr>
      </w:pPr>
      <w:r w:rsidRPr="001E3CCF">
        <w:rPr>
          <w:sz w:val="22"/>
          <w:szCs w:val="22"/>
          <w:lang w:val="de-DE"/>
        </w:rPr>
        <w:t>Washington, DC 22209</w:t>
      </w:r>
    </w:p>
    <w:p w:rsidR="007321E9" w:rsidRPr="001E3CCF" w:rsidRDefault="007321E9" w:rsidP="007A5F0C">
      <w:pPr>
        <w:spacing w:after="120"/>
        <w:rPr>
          <w:sz w:val="22"/>
          <w:szCs w:val="22"/>
          <w:lang w:val="de-DE"/>
        </w:rPr>
      </w:pPr>
    </w:p>
    <w:p w:rsidR="0013261F" w:rsidRPr="001E3CCF" w:rsidRDefault="0013261F" w:rsidP="007A5F0C">
      <w:pPr>
        <w:rPr>
          <w:sz w:val="22"/>
          <w:szCs w:val="22"/>
        </w:rPr>
      </w:pPr>
      <w:r w:rsidRPr="001E3CCF">
        <w:rPr>
          <w:sz w:val="22"/>
          <w:szCs w:val="22"/>
        </w:rPr>
        <w:tab/>
      </w:r>
      <w:r w:rsidRPr="001E3CCF">
        <w:rPr>
          <w:sz w:val="22"/>
          <w:szCs w:val="22"/>
        </w:rPr>
        <w:tab/>
      </w:r>
      <w:r w:rsidRPr="001E3CCF">
        <w:rPr>
          <w:sz w:val="22"/>
          <w:szCs w:val="22"/>
        </w:rPr>
        <w:tab/>
      </w:r>
      <w:r w:rsidRPr="001E3CCF">
        <w:rPr>
          <w:sz w:val="22"/>
          <w:szCs w:val="22"/>
        </w:rPr>
        <w:tab/>
      </w:r>
      <w:r w:rsidRPr="001E3CCF">
        <w:rPr>
          <w:sz w:val="22"/>
          <w:szCs w:val="22"/>
        </w:rPr>
        <w:tab/>
        <w:t>Re:  Fixed Wireless Communications Coalition</w:t>
      </w:r>
    </w:p>
    <w:p w:rsidR="0013261F" w:rsidRPr="001E3CCF" w:rsidRDefault="0013261F" w:rsidP="007A5F0C">
      <w:pPr>
        <w:spacing w:after="120"/>
        <w:rPr>
          <w:sz w:val="22"/>
          <w:szCs w:val="22"/>
        </w:rPr>
      </w:pPr>
      <w:r w:rsidRPr="001E3CCF">
        <w:rPr>
          <w:sz w:val="22"/>
          <w:szCs w:val="22"/>
        </w:rPr>
        <w:tab/>
      </w:r>
      <w:r w:rsidRPr="001E3CCF">
        <w:rPr>
          <w:sz w:val="22"/>
          <w:szCs w:val="22"/>
        </w:rPr>
        <w:tab/>
      </w:r>
      <w:r w:rsidRPr="001E3CCF">
        <w:rPr>
          <w:sz w:val="22"/>
          <w:szCs w:val="22"/>
        </w:rPr>
        <w:tab/>
      </w:r>
      <w:r w:rsidRPr="001E3CCF">
        <w:rPr>
          <w:sz w:val="22"/>
          <w:szCs w:val="22"/>
        </w:rPr>
        <w:tab/>
      </w:r>
      <w:r w:rsidRPr="001E3CCF">
        <w:rPr>
          <w:sz w:val="22"/>
          <w:szCs w:val="22"/>
        </w:rPr>
        <w:tab/>
        <w:t>Petition for Rulemaking, RM-11604</w:t>
      </w:r>
    </w:p>
    <w:p w:rsidR="000F029C" w:rsidRPr="001E3CCF" w:rsidRDefault="00BE501E" w:rsidP="007A5F0C">
      <w:pPr>
        <w:spacing w:after="120"/>
        <w:rPr>
          <w:sz w:val="22"/>
          <w:szCs w:val="22"/>
        </w:rPr>
      </w:pPr>
      <w:r w:rsidRPr="001E3CCF">
        <w:rPr>
          <w:sz w:val="22"/>
          <w:szCs w:val="22"/>
        </w:rPr>
        <w:t>Dear</w:t>
      </w:r>
      <w:r w:rsidR="007321E9" w:rsidRPr="001E3CCF">
        <w:rPr>
          <w:sz w:val="22"/>
          <w:szCs w:val="22"/>
        </w:rPr>
        <w:t xml:space="preserve"> Counsel</w:t>
      </w:r>
      <w:r w:rsidR="000F029C" w:rsidRPr="001E3CCF">
        <w:rPr>
          <w:sz w:val="22"/>
          <w:szCs w:val="22"/>
        </w:rPr>
        <w:t>:</w:t>
      </w:r>
    </w:p>
    <w:p w:rsidR="0013261F" w:rsidRPr="001E3CCF" w:rsidRDefault="00A5152E" w:rsidP="007A5F0C">
      <w:pPr>
        <w:spacing w:after="120"/>
        <w:ind w:firstLine="720"/>
        <w:rPr>
          <w:sz w:val="22"/>
          <w:szCs w:val="22"/>
        </w:rPr>
      </w:pPr>
      <w:r w:rsidRPr="001E3CCF">
        <w:rPr>
          <w:sz w:val="22"/>
          <w:szCs w:val="22"/>
        </w:rPr>
        <w:t>By this let</w:t>
      </w:r>
      <w:r w:rsidR="000510FF" w:rsidRPr="001E3CCF">
        <w:rPr>
          <w:sz w:val="22"/>
          <w:szCs w:val="22"/>
        </w:rPr>
        <w:t xml:space="preserve">ter, we dismiss </w:t>
      </w:r>
      <w:r w:rsidR="00A519AD" w:rsidRPr="001E3CCF">
        <w:rPr>
          <w:sz w:val="22"/>
          <w:szCs w:val="22"/>
        </w:rPr>
        <w:t xml:space="preserve">without prejudice </w:t>
      </w:r>
      <w:r w:rsidR="000510FF" w:rsidRPr="001E3CCF">
        <w:rPr>
          <w:sz w:val="22"/>
          <w:szCs w:val="22"/>
        </w:rPr>
        <w:t>a petition filed by Fixed Wireless Communications Coalition (</w:t>
      </w:r>
      <w:r w:rsidR="000523F6" w:rsidRPr="001E3CCF">
        <w:rPr>
          <w:sz w:val="22"/>
          <w:szCs w:val="22"/>
        </w:rPr>
        <w:t>“</w:t>
      </w:r>
      <w:r w:rsidR="000510FF" w:rsidRPr="001E3CCF">
        <w:rPr>
          <w:sz w:val="22"/>
          <w:szCs w:val="22"/>
        </w:rPr>
        <w:t>FWCC</w:t>
      </w:r>
      <w:r w:rsidR="000523F6" w:rsidRPr="001E3CCF">
        <w:rPr>
          <w:sz w:val="22"/>
          <w:szCs w:val="22"/>
        </w:rPr>
        <w:t>”</w:t>
      </w:r>
      <w:r w:rsidR="000510FF" w:rsidRPr="001E3CCF">
        <w:rPr>
          <w:sz w:val="22"/>
          <w:szCs w:val="22"/>
        </w:rPr>
        <w:t>) seeking to amend certain language in the rules governing the 3650–3700 MHz band</w:t>
      </w:r>
      <w:r w:rsidR="00A00CC7" w:rsidRPr="001E3CCF">
        <w:rPr>
          <w:sz w:val="22"/>
          <w:szCs w:val="22"/>
        </w:rPr>
        <w:t xml:space="preserve"> (“3650 MHz band”)</w:t>
      </w:r>
      <w:r w:rsidR="000510FF" w:rsidRPr="001E3CCF">
        <w:rPr>
          <w:sz w:val="22"/>
          <w:szCs w:val="22"/>
        </w:rPr>
        <w:t>.</w:t>
      </w:r>
      <w:r w:rsidR="00B14782" w:rsidRPr="001E3CCF">
        <w:rPr>
          <w:rStyle w:val="FootnoteReference"/>
          <w:sz w:val="22"/>
          <w:szCs w:val="22"/>
        </w:rPr>
        <w:footnoteReference w:id="1"/>
      </w:r>
    </w:p>
    <w:p w:rsidR="00E327E7" w:rsidRPr="001E3CCF" w:rsidRDefault="00543999" w:rsidP="007A5F0C">
      <w:pPr>
        <w:spacing w:after="120"/>
        <w:ind w:firstLine="720"/>
        <w:rPr>
          <w:sz w:val="22"/>
          <w:szCs w:val="22"/>
        </w:rPr>
      </w:pPr>
      <w:r w:rsidRPr="001E3CCF">
        <w:rPr>
          <w:sz w:val="22"/>
          <w:szCs w:val="22"/>
        </w:rPr>
        <w:t xml:space="preserve">In March 2005, the Commission issued an order that adopted </w:t>
      </w:r>
      <w:r w:rsidR="007A5F0C">
        <w:rPr>
          <w:sz w:val="22"/>
          <w:szCs w:val="22"/>
        </w:rPr>
        <w:t xml:space="preserve">service rules authorizing </w:t>
      </w:r>
      <w:r w:rsidR="00756154" w:rsidRPr="001E3CCF">
        <w:rPr>
          <w:sz w:val="22"/>
          <w:szCs w:val="22"/>
        </w:rPr>
        <w:t>nationwide, non-exclusive licensing of terrestrial operations, utilizing contention-based</w:t>
      </w:r>
      <w:r w:rsidR="008256F9" w:rsidRPr="001E3CCF">
        <w:rPr>
          <w:sz w:val="22"/>
          <w:szCs w:val="22"/>
        </w:rPr>
        <w:t xml:space="preserve"> technologies, in the </w:t>
      </w:r>
      <w:r w:rsidR="00A00CC7" w:rsidRPr="001E3CCF">
        <w:rPr>
          <w:sz w:val="22"/>
          <w:szCs w:val="22"/>
        </w:rPr>
        <w:t>3650</w:t>
      </w:r>
      <w:r w:rsidR="008256F9" w:rsidRPr="001E3CCF">
        <w:rPr>
          <w:sz w:val="22"/>
          <w:szCs w:val="22"/>
        </w:rPr>
        <w:t xml:space="preserve"> MHz band</w:t>
      </w:r>
      <w:r w:rsidR="00756154" w:rsidRPr="001E3CCF">
        <w:rPr>
          <w:sz w:val="22"/>
          <w:szCs w:val="22"/>
        </w:rPr>
        <w:t>.</w:t>
      </w:r>
      <w:r w:rsidR="00756154" w:rsidRPr="001E3CCF">
        <w:rPr>
          <w:rStyle w:val="FootnoteReference"/>
          <w:sz w:val="22"/>
          <w:szCs w:val="22"/>
        </w:rPr>
        <w:footnoteReference w:id="2"/>
      </w:r>
      <w:r w:rsidR="00756154" w:rsidRPr="001E3CCF">
        <w:rPr>
          <w:sz w:val="22"/>
          <w:szCs w:val="22"/>
        </w:rPr>
        <w:t xml:space="preserve"> </w:t>
      </w:r>
      <w:r w:rsidR="008332F3" w:rsidRPr="001E3CCF">
        <w:rPr>
          <w:sz w:val="22"/>
          <w:szCs w:val="22"/>
        </w:rPr>
        <w:t xml:space="preserve"> In response to petitions for reconsideration</w:t>
      </w:r>
      <w:r w:rsidRPr="001E3CCF">
        <w:rPr>
          <w:sz w:val="22"/>
          <w:szCs w:val="22"/>
        </w:rPr>
        <w:t xml:space="preserve"> of the </w:t>
      </w:r>
      <w:r w:rsidRPr="001E3CCF">
        <w:rPr>
          <w:i/>
          <w:sz w:val="22"/>
          <w:szCs w:val="22"/>
        </w:rPr>
        <w:t>2005 Order</w:t>
      </w:r>
      <w:r w:rsidR="008332F3" w:rsidRPr="001E3CCF">
        <w:rPr>
          <w:sz w:val="22"/>
          <w:szCs w:val="22"/>
        </w:rPr>
        <w:t>, the Commission issued an order in June 2007 that generally affirmed the licensing sch</w:t>
      </w:r>
      <w:r w:rsidR="008256F9" w:rsidRPr="001E3CCF">
        <w:rPr>
          <w:sz w:val="22"/>
          <w:szCs w:val="22"/>
        </w:rPr>
        <w:t>eme it had adopted for the</w:t>
      </w:r>
      <w:r w:rsidR="008332F3" w:rsidRPr="001E3CCF">
        <w:rPr>
          <w:sz w:val="22"/>
          <w:szCs w:val="22"/>
        </w:rPr>
        <w:t xml:space="preserve"> </w:t>
      </w:r>
      <w:r w:rsidR="00A00CC7" w:rsidRPr="001E3CCF">
        <w:rPr>
          <w:sz w:val="22"/>
          <w:szCs w:val="22"/>
        </w:rPr>
        <w:t>3650 MHz</w:t>
      </w:r>
      <w:r w:rsidRPr="001E3CCF">
        <w:rPr>
          <w:sz w:val="22"/>
          <w:szCs w:val="22"/>
        </w:rPr>
        <w:t xml:space="preserve"> band</w:t>
      </w:r>
      <w:r w:rsidR="00DD7A81" w:rsidRPr="001E3CCF">
        <w:rPr>
          <w:sz w:val="22"/>
          <w:szCs w:val="22"/>
        </w:rPr>
        <w:t>.</w:t>
      </w:r>
      <w:r w:rsidR="00DD7A81" w:rsidRPr="001E3CCF">
        <w:rPr>
          <w:rStyle w:val="FootnoteReference"/>
          <w:sz w:val="22"/>
          <w:szCs w:val="22"/>
        </w:rPr>
        <w:footnoteReference w:id="3"/>
      </w:r>
      <w:r w:rsidR="00DD7A81" w:rsidRPr="001E3CCF">
        <w:rPr>
          <w:sz w:val="22"/>
          <w:szCs w:val="22"/>
        </w:rPr>
        <w:t xml:space="preserve">  </w:t>
      </w:r>
      <w:r w:rsidR="00756154" w:rsidRPr="001E3CCF">
        <w:rPr>
          <w:sz w:val="22"/>
          <w:szCs w:val="22"/>
        </w:rPr>
        <w:t>As of</w:t>
      </w:r>
      <w:r w:rsidR="006968B1">
        <w:rPr>
          <w:sz w:val="22"/>
          <w:szCs w:val="22"/>
        </w:rPr>
        <w:t xml:space="preserve"> June 19</w:t>
      </w:r>
      <w:r w:rsidR="0013261F" w:rsidRPr="001E3CCF">
        <w:rPr>
          <w:sz w:val="22"/>
          <w:szCs w:val="22"/>
        </w:rPr>
        <w:t>, 2014</w:t>
      </w:r>
      <w:r w:rsidR="00756154" w:rsidRPr="001E3CCF">
        <w:rPr>
          <w:sz w:val="22"/>
          <w:szCs w:val="22"/>
        </w:rPr>
        <w:t xml:space="preserve">, </w:t>
      </w:r>
      <w:r w:rsidR="0013261F" w:rsidRPr="001E3CCF">
        <w:rPr>
          <w:sz w:val="22"/>
          <w:szCs w:val="22"/>
        </w:rPr>
        <w:t>there were 2,59</w:t>
      </w:r>
      <w:r w:rsidR="006968B1">
        <w:rPr>
          <w:sz w:val="22"/>
          <w:szCs w:val="22"/>
        </w:rPr>
        <w:t>8</w:t>
      </w:r>
      <w:r w:rsidR="0013261F" w:rsidRPr="001E3CCF">
        <w:rPr>
          <w:sz w:val="22"/>
          <w:szCs w:val="22"/>
        </w:rPr>
        <w:t xml:space="preserve"> active nationwide, non-exclusive </w:t>
      </w:r>
      <w:r w:rsidR="00756154" w:rsidRPr="001E3CCF">
        <w:rPr>
          <w:sz w:val="22"/>
          <w:szCs w:val="22"/>
        </w:rPr>
        <w:t>lice</w:t>
      </w:r>
      <w:r w:rsidR="000B634B" w:rsidRPr="001E3CCF">
        <w:rPr>
          <w:sz w:val="22"/>
          <w:szCs w:val="22"/>
        </w:rPr>
        <w:t>nses</w:t>
      </w:r>
      <w:r w:rsidR="0013261F" w:rsidRPr="001E3CCF">
        <w:rPr>
          <w:sz w:val="22"/>
          <w:szCs w:val="22"/>
        </w:rPr>
        <w:t>,</w:t>
      </w:r>
      <w:r w:rsidR="000B634B" w:rsidRPr="001E3CCF">
        <w:rPr>
          <w:sz w:val="22"/>
          <w:szCs w:val="22"/>
        </w:rPr>
        <w:t xml:space="preserve"> </w:t>
      </w:r>
      <w:r w:rsidR="00756154" w:rsidRPr="001E3CCF">
        <w:rPr>
          <w:sz w:val="22"/>
          <w:szCs w:val="22"/>
        </w:rPr>
        <w:t>an</w:t>
      </w:r>
      <w:r w:rsidR="000B634B" w:rsidRPr="001E3CCF">
        <w:rPr>
          <w:sz w:val="22"/>
          <w:szCs w:val="22"/>
        </w:rPr>
        <w:t>d</w:t>
      </w:r>
      <w:r w:rsidR="006968B1">
        <w:rPr>
          <w:sz w:val="22"/>
          <w:szCs w:val="22"/>
        </w:rPr>
        <w:t xml:space="preserve"> 45,184</w:t>
      </w:r>
      <w:r w:rsidR="007A5F0C">
        <w:rPr>
          <w:sz w:val="22"/>
          <w:szCs w:val="22"/>
        </w:rPr>
        <w:t xml:space="preserve"> </w:t>
      </w:r>
      <w:r w:rsidR="006968B1">
        <w:rPr>
          <w:sz w:val="22"/>
          <w:szCs w:val="22"/>
        </w:rPr>
        <w:t xml:space="preserve">locations </w:t>
      </w:r>
      <w:r w:rsidR="000B634B" w:rsidRPr="001E3CCF">
        <w:rPr>
          <w:sz w:val="22"/>
          <w:szCs w:val="22"/>
        </w:rPr>
        <w:t>were</w:t>
      </w:r>
      <w:r w:rsidR="00756154" w:rsidRPr="001E3CCF">
        <w:rPr>
          <w:sz w:val="22"/>
          <w:szCs w:val="22"/>
        </w:rPr>
        <w:t xml:space="preserve"> registered</w:t>
      </w:r>
      <w:r w:rsidR="000B634B" w:rsidRPr="001E3CCF">
        <w:rPr>
          <w:sz w:val="22"/>
          <w:szCs w:val="22"/>
        </w:rPr>
        <w:t xml:space="preserve"> in the 3650 MHz band</w:t>
      </w:r>
      <w:r w:rsidR="00756154" w:rsidRPr="001E3CCF">
        <w:rPr>
          <w:sz w:val="22"/>
          <w:szCs w:val="22"/>
        </w:rPr>
        <w:t>.</w:t>
      </w:r>
    </w:p>
    <w:p w:rsidR="007B24B9" w:rsidRPr="001E3CCF" w:rsidRDefault="008256F9" w:rsidP="007A5F0C">
      <w:pPr>
        <w:spacing w:after="120"/>
        <w:ind w:firstLine="720"/>
        <w:rPr>
          <w:sz w:val="22"/>
          <w:szCs w:val="22"/>
        </w:rPr>
      </w:pPr>
      <w:r w:rsidRPr="001E3CCF">
        <w:rPr>
          <w:sz w:val="22"/>
          <w:szCs w:val="22"/>
        </w:rPr>
        <w:t xml:space="preserve">On April 15, 2010, </w:t>
      </w:r>
      <w:r w:rsidR="000523F6" w:rsidRPr="001E3CCF">
        <w:rPr>
          <w:sz w:val="22"/>
          <w:szCs w:val="22"/>
        </w:rPr>
        <w:t xml:space="preserve">FWCC </w:t>
      </w:r>
      <w:r w:rsidR="00A00CC7" w:rsidRPr="001E3CCF">
        <w:rPr>
          <w:sz w:val="22"/>
          <w:szCs w:val="22"/>
        </w:rPr>
        <w:t>filed a petition</w:t>
      </w:r>
      <w:r w:rsidR="000B634B" w:rsidRPr="001E3CCF">
        <w:rPr>
          <w:sz w:val="22"/>
          <w:szCs w:val="22"/>
        </w:rPr>
        <w:t xml:space="preserve"> for rulemaking.</w:t>
      </w:r>
      <w:r w:rsidR="007167F9" w:rsidRPr="001E3CCF">
        <w:rPr>
          <w:rStyle w:val="FootnoteReference"/>
          <w:sz w:val="22"/>
          <w:szCs w:val="22"/>
        </w:rPr>
        <w:footnoteReference w:id="4"/>
      </w:r>
      <w:r w:rsidR="000B634B" w:rsidRPr="001E3CCF">
        <w:rPr>
          <w:sz w:val="22"/>
          <w:szCs w:val="22"/>
        </w:rPr>
        <w:t xml:space="preserve">  Th</w:t>
      </w:r>
      <w:r w:rsidR="007A5F0C">
        <w:rPr>
          <w:sz w:val="22"/>
          <w:szCs w:val="22"/>
        </w:rPr>
        <w:t xml:space="preserve">e Petition for Rulemaking </w:t>
      </w:r>
      <w:r w:rsidR="000B634B" w:rsidRPr="001E3CCF">
        <w:rPr>
          <w:sz w:val="22"/>
          <w:szCs w:val="22"/>
        </w:rPr>
        <w:t xml:space="preserve">requested that the Commission amend </w:t>
      </w:r>
      <w:r w:rsidR="007B24B9" w:rsidRPr="001E3CCF">
        <w:rPr>
          <w:sz w:val="22"/>
          <w:szCs w:val="22"/>
        </w:rPr>
        <w:t>the</w:t>
      </w:r>
      <w:r w:rsidR="00515F40" w:rsidRPr="001E3CCF">
        <w:rPr>
          <w:sz w:val="22"/>
          <w:szCs w:val="22"/>
        </w:rPr>
        <w:t xml:space="preserve"> last two sentences</w:t>
      </w:r>
      <w:r w:rsidR="00994AF5" w:rsidRPr="001E3CCF">
        <w:rPr>
          <w:sz w:val="22"/>
          <w:szCs w:val="22"/>
        </w:rPr>
        <w:t xml:space="preserve"> in section 90.13</w:t>
      </w:r>
      <w:r w:rsidR="007B24B9" w:rsidRPr="001E3CCF">
        <w:rPr>
          <w:sz w:val="22"/>
          <w:szCs w:val="22"/>
        </w:rPr>
        <w:t>19(d)</w:t>
      </w:r>
      <w:r w:rsidR="001E3CCF">
        <w:rPr>
          <w:sz w:val="22"/>
          <w:szCs w:val="22"/>
        </w:rPr>
        <w:t xml:space="preserve"> of the Commission’s rules</w:t>
      </w:r>
      <w:r w:rsidR="007B24B9" w:rsidRPr="001E3CCF">
        <w:rPr>
          <w:sz w:val="22"/>
          <w:szCs w:val="22"/>
        </w:rPr>
        <w:t xml:space="preserve">, which articulate policies to prevent and resolve </w:t>
      </w:r>
      <w:r w:rsidR="00994AF5" w:rsidRPr="001E3CCF">
        <w:rPr>
          <w:sz w:val="22"/>
          <w:szCs w:val="22"/>
        </w:rPr>
        <w:t>interference</w:t>
      </w:r>
      <w:r w:rsidR="00515F40" w:rsidRPr="001E3CCF">
        <w:rPr>
          <w:sz w:val="22"/>
          <w:szCs w:val="22"/>
        </w:rPr>
        <w:t xml:space="preserve"> issues</w:t>
      </w:r>
      <w:r w:rsidR="007B24B9" w:rsidRPr="001E3CCF">
        <w:rPr>
          <w:sz w:val="22"/>
          <w:szCs w:val="22"/>
        </w:rPr>
        <w:t xml:space="preserve"> in the 3650 MHz band</w:t>
      </w:r>
      <w:r w:rsidR="00515F40" w:rsidRPr="001E3CCF">
        <w:rPr>
          <w:sz w:val="22"/>
          <w:szCs w:val="22"/>
        </w:rPr>
        <w:t>.</w:t>
      </w:r>
      <w:r w:rsidR="00A3250B" w:rsidRPr="001E3CCF">
        <w:rPr>
          <w:rStyle w:val="FootnoteReference"/>
          <w:sz w:val="22"/>
          <w:szCs w:val="22"/>
        </w:rPr>
        <w:footnoteReference w:id="5"/>
      </w:r>
      <w:r w:rsidR="00515F40" w:rsidRPr="001E3CCF">
        <w:rPr>
          <w:sz w:val="22"/>
          <w:szCs w:val="22"/>
        </w:rPr>
        <w:t xml:space="preserve">  According to FWCC, the </w:t>
      </w:r>
      <w:r w:rsidR="000E01B1" w:rsidRPr="001E3CCF">
        <w:rPr>
          <w:sz w:val="22"/>
          <w:szCs w:val="22"/>
        </w:rPr>
        <w:t>language of these policies was</w:t>
      </w:r>
      <w:r w:rsidR="00994AF5" w:rsidRPr="001E3CCF">
        <w:rPr>
          <w:sz w:val="22"/>
          <w:szCs w:val="22"/>
        </w:rPr>
        <w:t xml:space="preserve"> framed</w:t>
      </w:r>
      <w:r w:rsidR="007A5F0C">
        <w:rPr>
          <w:sz w:val="22"/>
          <w:szCs w:val="22"/>
        </w:rPr>
        <w:t xml:space="preserve"> </w:t>
      </w:r>
      <w:r w:rsidR="00994AF5" w:rsidRPr="001E3CCF">
        <w:rPr>
          <w:sz w:val="22"/>
          <w:szCs w:val="22"/>
        </w:rPr>
        <w:t>in advisory rather than mandatory terms</w:t>
      </w:r>
      <w:r w:rsidR="007B24B9" w:rsidRPr="001E3CCF">
        <w:rPr>
          <w:sz w:val="22"/>
          <w:szCs w:val="22"/>
        </w:rPr>
        <w:t>, which has created uncertainty for users of the band</w:t>
      </w:r>
      <w:r w:rsidR="00994AF5" w:rsidRPr="001E3CCF">
        <w:rPr>
          <w:sz w:val="22"/>
          <w:szCs w:val="22"/>
        </w:rPr>
        <w:t>.</w:t>
      </w:r>
      <w:r w:rsidR="00CC763E" w:rsidRPr="001E3CCF">
        <w:rPr>
          <w:rStyle w:val="FootnoteReference"/>
          <w:sz w:val="22"/>
          <w:szCs w:val="22"/>
        </w:rPr>
        <w:footnoteReference w:id="6"/>
      </w:r>
      <w:r w:rsidR="00515F40" w:rsidRPr="001E3CCF">
        <w:rPr>
          <w:sz w:val="22"/>
          <w:szCs w:val="22"/>
        </w:rPr>
        <w:t xml:space="preserve">  FWCC </w:t>
      </w:r>
      <w:r w:rsidR="00E904A5" w:rsidRPr="001E3CCF">
        <w:rPr>
          <w:sz w:val="22"/>
          <w:szCs w:val="22"/>
        </w:rPr>
        <w:t>stated</w:t>
      </w:r>
      <w:r w:rsidR="000E01B1" w:rsidRPr="001E3CCF">
        <w:rPr>
          <w:sz w:val="22"/>
          <w:szCs w:val="22"/>
        </w:rPr>
        <w:t xml:space="preserve"> that this advisory language may have bee</w:t>
      </w:r>
      <w:r w:rsidR="007B24B9" w:rsidRPr="001E3CCF">
        <w:rPr>
          <w:sz w:val="22"/>
          <w:szCs w:val="22"/>
        </w:rPr>
        <w:t>n responsible for</w:t>
      </w:r>
      <w:r w:rsidR="00C75353">
        <w:rPr>
          <w:sz w:val="22"/>
          <w:szCs w:val="22"/>
        </w:rPr>
        <w:t xml:space="preserve"> a</w:t>
      </w:r>
      <w:r w:rsidR="007B24B9" w:rsidRPr="001E3CCF">
        <w:rPr>
          <w:sz w:val="22"/>
          <w:szCs w:val="22"/>
        </w:rPr>
        <w:t xml:space="preserve"> decision by the Wireless Telecommunications Bureau</w:t>
      </w:r>
      <w:r w:rsidR="000E01B1" w:rsidRPr="001E3CCF">
        <w:rPr>
          <w:sz w:val="22"/>
          <w:szCs w:val="22"/>
        </w:rPr>
        <w:t xml:space="preserve"> </w:t>
      </w:r>
      <w:r w:rsidR="007B24B9" w:rsidRPr="001E3CCF">
        <w:rPr>
          <w:sz w:val="22"/>
          <w:szCs w:val="22"/>
        </w:rPr>
        <w:t xml:space="preserve">(“Bureau”), which (according to FWCC) interpreted </w:t>
      </w:r>
      <w:r w:rsidR="008E133B" w:rsidRPr="001E3CCF">
        <w:rPr>
          <w:sz w:val="22"/>
          <w:szCs w:val="22"/>
        </w:rPr>
        <w:t xml:space="preserve">section </w:t>
      </w:r>
      <w:r w:rsidR="007B24B9" w:rsidRPr="001E3CCF">
        <w:rPr>
          <w:sz w:val="22"/>
          <w:szCs w:val="22"/>
        </w:rPr>
        <w:t xml:space="preserve">90.1319(d) in a way that “allows a newcomer to cause harmful </w:t>
      </w:r>
      <w:r w:rsidR="007B24B9" w:rsidRPr="001E3CCF">
        <w:rPr>
          <w:sz w:val="22"/>
          <w:szCs w:val="22"/>
        </w:rPr>
        <w:lastRenderedPageBreak/>
        <w:t>interference to an incumbent, and then demand that the incumbent make adjustments to alleviate the interference.”</w:t>
      </w:r>
      <w:r w:rsidR="00B11022" w:rsidRPr="001E3CCF">
        <w:rPr>
          <w:rStyle w:val="FootnoteReference"/>
          <w:sz w:val="22"/>
          <w:szCs w:val="22"/>
        </w:rPr>
        <w:footnoteReference w:id="7"/>
      </w:r>
      <w:r w:rsidR="00E904A5" w:rsidRPr="001E3CCF">
        <w:rPr>
          <w:sz w:val="22"/>
          <w:szCs w:val="22"/>
        </w:rPr>
        <w:t xml:space="preserve">  </w:t>
      </w:r>
      <w:r w:rsidR="009E1C72" w:rsidRPr="001E3CCF">
        <w:rPr>
          <w:sz w:val="22"/>
          <w:szCs w:val="22"/>
        </w:rPr>
        <w:t>FWCC requested</w:t>
      </w:r>
      <w:r w:rsidR="00715A0D" w:rsidRPr="001E3CCF">
        <w:rPr>
          <w:sz w:val="22"/>
          <w:szCs w:val="22"/>
        </w:rPr>
        <w:t xml:space="preserve"> that the Commission </w:t>
      </w:r>
      <w:r w:rsidR="00E904A5" w:rsidRPr="001E3CCF">
        <w:rPr>
          <w:sz w:val="22"/>
          <w:szCs w:val="22"/>
        </w:rPr>
        <w:t xml:space="preserve">amend this rule so as to make </w:t>
      </w:r>
      <w:r w:rsidR="00E82F82">
        <w:rPr>
          <w:sz w:val="22"/>
          <w:szCs w:val="22"/>
        </w:rPr>
        <w:t xml:space="preserve">the policies concerning interference resolution </w:t>
      </w:r>
      <w:r w:rsidR="00E904A5" w:rsidRPr="001E3CCF">
        <w:rPr>
          <w:sz w:val="22"/>
          <w:szCs w:val="22"/>
        </w:rPr>
        <w:t>mandatory</w:t>
      </w:r>
      <w:r w:rsidR="0014296D" w:rsidRPr="001E3CCF">
        <w:rPr>
          <w:sz w:val="22"/>
          <w:szCs w:val="22"/>
        </w:rPr>
        <w:t xml:space="preserve"> for 3650 MHz band licensees</w:t>
      </w:r>
      <w:r w:rsidR="00E904A5" w:rsidRPr="001E3CCF">
        <w:rPr>
          <w:sz w:val="22"/>
          <w:szCs w:val="22"/>
        </w:rPr>
        <w:t>.</w:t>
      </w:r>
      <w:r w:rsidR="00B11022" w:rsidRPr="001E3CCF">
        <w:rPr>
          <w:rStyle w:val="FootnoteReference"/>
          <w:sz w:val="22"/>
          <w:szCs w:val="22"/>
        </w:rPr>
        <w:footnoteReference w:id="8"/>
      </w:r>
    </w:p>
    <w:p w:rsidR="00F52438" w:rsidRPr="001E3CCF" w:rsidRDefault="0014296D" w:rsidP="007A5F0C">
      <w:pPr>
        <w:spacing w:after="120"/>
        <w:ind w:firstLine="720"/>
        <w:rPr>
          <w:sz w:val="22"/>
          <w:szCs w:val="22"/>
        </w:rPr>
      </w:pPr>
      <w:r w:rsidRPr="001E3CCF">
        <w:rPr>
          <w:sz w:val="22"/>
          <w:szCs w:val="22"/>
        </w:rPr>
        <w:t xml:space="preserve">Five </w:t>
      </w:r>
      <w:r w:rsidR="00C872D3" w:rsidRPr="001E3CCF">
        <w:rPr>
          <w:sz w:val="22"/>
          <w:szCs w:val="22"/>
        </w:rPr>
        <w:t>comments</w:t>
      </w:r>
      <w:r w:rsidRPr="001E3CCF">
        <w:rPr>
          <w:sz w:val="22"/>
          <w:szCs w:val="22"/>
        </w:rPr>
        <w:t xml:space="preserve"> and one reply comment were filed</w:t>
      </w:r>
      <w:r w:rsidR="000E7EB1" w:rsidRPr="001E3CCF">
        <w:rPr>
          <w:sz w:val="22"/>
          <w:szCs w:val="22"/>
        </w:rPr>
        <w:t xml:space="preserve"> in response to the petition</w:t>
      </w:r>
      <w:r w:rsidR="001F7D6E">
        <w:rPr>
          <w:sz w:val="22"/>
          <w:szCs w:val="22"/>
        </w:rPr>
        <w:t>.</w:t>
      </w:r>
      <w:r w:rsidRPr="001E3CCF">
        <w:rPr>
          <w:rStyle w:val="FootnoteReference"/>
          <w:sz w:val="22"/>
          <w:szCs w:val="22"/>
        </w:rPr>
        <w:footnoteReference w:id="9"/>
      </w:r>
      <w:r w:rsidR="00C872D3" w:rsidRPr="001E3CCF">
        <w:rPr>
          <w:sz w:val="22"/>
          <w:szCs w:val="22"/>
        </w:rPr>
        <w:t xml:space="preserve">  FWCC filed comments and reply comments in favor of its petition,</w:t>
      </w:r>
      <w:r w:rsidR="001D34C0" w:rsidRPr="001E3CCF">
        <w:rPr>
          <w:rStyle w:val="FootnoteReference"/>
          <w:sz w:val="22"/>
          <w:szCs w:val="22"/>
        </w:rPr>
        <w:footnoteReference w:id="10"/>
      </w:r>
      <w:r w:rsidR="00C872D3" w:rsidRPr="001E3CCF">
        <w:rPr>
          <w:sz w:val="22"/>
          <w:szCs w:val="22"/>
        </w:rPr>
        <w:t xml:space="preserve"> f</w:t>
      </w:r>
      <w:r w:rsidR="00F51BC2" w:rsidRPr="001E3CCF">
        <w:rPr>
          <w:sz w:val="22"/>
          <w:szCs w:val="22"/>
        </w:rPr>
        <w:t xml:space="preserve">our </w:t>
      </w:r>
      <w:r w:rsidR="001D34C0" w:rsidRPr="001E3CCF">
        <w:rPr>
          <w:sz w:val="22"/>
          <w:szCs w:val="22"/>
        </w:rPr>
        <w:t xml:space="preserve">other </w:t>
      </w:r>
      <w:r w:rsidR="00F51BC2" w:rsidRPr="001E3CCF">
        <w:rPr>
          <w:sz w:val="22"/>
          <w:szCs w:val="22"/>
        </w:rPr>
        <w:t xml:space="preserve">commenters </w:t>
      </w:r>
      <w:r w:rsidR="006C674C" w:rsidRPr="001E3CCF">
        <w:rPr>
          <w:sz w:val="22"/>
          <w:szCs w:val="22"/>
        </w:rPr>
        <w:t>filed comments</w:t>
      </w:r>
      <w:r w:rsidR="00F51BC2" w:rsidRPr="001E3CCF">
        <w:rPr>
          <w:sz w:val="22"/>
          <w:szCs w:val="22"/>
        </w:rPr>
        <w:t xml:space="preserve"> sup</w:t>
      </w:r>
      <w:r w:rsidR="000E7EB1" w:rsidRPr="001E3CCF">
        <w:rPr>
          <w:sz w:val="22"/>
          <w:szCs w:val="22"/>
        </w:rPr>
        <w:t>porting it</w:t>
      </w:r>
      <w:r w:rsidR="006C674C" w:rsidRPr="001E3CCF">
        <w:rPr>
          <w:sz w:val="22"/>
          <w:szCs w:val="22"/>
        </w:rPr>
        <w:t>,</w:t>
      </w:r>
      <w:r w:rsidR="006C674C" w:rsidRPr="001E3CCF">
        <w:rPr>
          <w:rStyle w:val="FootnoteReference"/>
          <w:sz w:val="22"/>
          <w:szCs w:val="22"/>
        </w:rPr>
        <w:footnoteReference w:id="11"/>
      </w:r>
      <w:r w:rsidR="006C674C" w:rsidRPr="001E3CCF">
        <w:rPr>
          <w:sz w:val="22"/>
          <w:szCs w:val="22"/>
        </w:rPr>
        <w:t xml:space="preserve"> </w:t>
      </w:r>
      <w:r w:rsidR="001D34C0" w:rsidRPr="001E3CCF">
        <w:rPr>
          <w:sz w:val="22"/>
          <w:szCs w:val="22"/>
        </w:rPr>
        <w:t xml:space="preserve">and </w:t>
      </w:r>
      <w:r w:rsidR="0032500C" w:rsidRPr="001E3CCF">
        <w:rPr>
          <w:sz w:val="22"/>
          <w:szCs w:val="22"/>
        </w:rPr>
        <w:t xml:space="preserve">one commenter did not oppose the proposed </w:t>
      </w:r>
      <w:r w:rsidR="001D34C0" w:rsidRPr="001E3CCF">
        <w:rPr>
          <w:sz w:val="22"/>
          <w:szCs w:val="22"/>
        </w:rPr>
        <w:t>amendatory language</w:t>
      </w:r>
      <w:r w:rsidR="00F51BC2" w:rsidRPr="001E3CCF">
        <w:rPr>
          <w:sz w:val="22"/>
          <w:szCs w:val="22"/>
        </w:rPr>
        <w:t xml:space="preserve"> i</w:t>
      </w:r>
      <w:r w:rsidR="001D34C0" w:rsidRPr="001E3CCF">
        <w:rPr>
          <w:sz w:val="22"/>
          <w:szCs w:val="22"/>
        </w:rPr>
        <w:t>f the C</w:t>
      </w:r>
      <w:r w:rsidR="008E133B" w:rsidRPr="001E3CCF">
        <w:rPr>
          <w:sz w:val="22"/>
          <w:szCs w:val="22"/>
        </w:rPr>
        <w:t>ommission made clear the change had no</w:t>
      </w:r>
      <w:r w:rsidR="00F51BC2" w:rsidRPr="001E3CCF">
        <w:rPr>
          <w:sz w:val="22"/>
          <w:szCs w:val="22"/>
        </w:rPr>
        <w:t xml:space="preserve"> substantive</w:t>
      </w:r>
      <w:r w:rsidR="008E133B" w:rsidRPr="001E3CCF">
        <w:rPr>
          <w:sz w:val="22"/>
          <w:szCs w:val="22"/>
        </w:rPr>
        <w:t xml:space="preserve"> effect</w:t>
      </w:r>
      <w:r w:rsidR="001D34C0" w:rsidRPr="001E3CCF">
        <w:rPr>
          <w:sz w:val="22"/>
          <w:szCs w:val="22"/>
        </w:rPr>
        <w:t>.</w:t>
      </w:r>
      <w:r w:rsidR="0032500C" w:rsidRPr="001E3CCF">
        <w:rPr>
          <w:rStyle w:val="FootnoteReference"/>
          <w:sz w:val="22"/>
          <w:szCs w:val="22"/>
        </w:rPr>
        <w:footnoteReference w:id="12"/>
      </w:r>
      <w:r w:rsidR="00F51BC2" w:rsidRPr="001E3CCF">
        <w:rPr>
          <w:sz w:val="22"/>
          <w:szCs w:val="22"/>
        </w:rPr>
        <w:t xml:space="preserve"> </w:t>
      </w:r>
    </w:p>
    <w:p w:rsidR="00A519AD" w:rsidRPr="001E3CCF" w:rsidRDefault="00D63853" w:rsidP="007A5F0C">
      <w:pPr>
        <w:spacing w:after="120"/>
        <w:ind w:firstLine="720"/>
        <w:rPr>
          <w:sz w:val="22"/>
          <w:szCs w:val="22"/>
        </w:rPr>
      </w:pPr>
      <w:r w:rsidRPr="001E3CCF">
        <w:rPr>
          <w:sz w:val="22"/>
          <w:szCs w:val="22"/>
        </w:rPr>
        <w:t>Subsequent to the filing of FWCC’s petition</w:t>
      </w:r>
      <w:r w:rsidR="007B24B9" w:rsidRPr="001E3CCF">
        <w:rPr>
          <w:sz w:val="22"/>
          <w:szCs w:val="22"/>
        </w:rPr>
        <w:t xml:space="preserve">, </w:t>
      </w:r>
      <w:r w:rsidR="00A519AD" w:rsidRPr="001E3CCF">
        <w:rPr>
          <w:sz w:val="22"/>
          <w:szCs w:val="22"/>
        </w:rPr>
        <w:t>the Commission proposed to amend the rules govern</w:t>
      </w:r>
      <w:r w:rsidR="008971EB" w:rsidRPr="001E3CCF">
        <w:rPr>
          <w:sz w:val="22"/>
          <w:szCs w:val="22"/>
        </w:rPr>
        <w:t>ing the 3650 MHz band in a separate</w:t>
      </w:r>
      <w:r w:rsidR="00A519AD" w:rsidRPr="001E3CCF">
        <w:rPr>
          <w:sz w:val="22"/>
          <w:szCs w:val="22"/>
        </w:rPr>
        <w:t xml:space="preserve"> proceeding.</w:t>
      </w:r>
      <w:r w:rsidRPr="001E3CCF">
        <w:rPr>
          <w:rStyle w:val="FootnoteReference"/>
          <w:sz w:val="22"/>
          <w:szCs w:val="22"/>
        </w:rPr>
        <w:footnoteReference w:id="13"/>
      </w:r>
      <w:r w:rsidR="00A519AD" w:rsidRPr="001E3CCF">
        <w:rPr>
          <w:sz w:val="22"/>
          <w:szCs w:val="22"/>
        </w:rPr>
        <w:t xml:space="preserve">  Specifically</w:t>
      </w:r>
      <w:r w:rsidR="0073159F" w:rsidRPr="001E3CCF">
        <w:rPr>
          <w:sz w:val="22"/>
          <w:szCs w:val="22"/>
        </w:rPr>
        <w:t xml:space="preserve">, in </w:t>
      </w:r>
      <w:r w:rsidR="007365D4" w:rsidRPr="001E3CCF">
        <w:rPr>
          <w:sz w:val="22"/>
          <w:szCs w:val="22"/>
        </w:rPr>
        <w:t>April</w:t>
      </w:r>
      <w:r w:rsidR="009E487E" w:rsidRPr="001E3CCF">
        <w:rPr>
          <w:sz w:val="22"/>
          <w:szCs w:val="22"/>
        </w:rPr>
        <w:t xml:space="preserve"> 2014, the Commission released a</w:t>
      </w:r>
      <w:r w:rsidR="0073159F" w:rsidRPr="001E3CCF">
        <w:rPr>
          <w:sz w:val="22"/>
          <w:szCs w:val="22"/>
        </w:rPr>
        <w:t xml:space="preserve"> </w:t>
      </w:r>
      <w:r w:rsidR="0073159F" w:rsidRPr="001E3CCF">
        <w:rPr>
          <w:i/>
          <w:sz w:val="22"/>
          <w:szCs w:val="22"/>
        </w:rPr>
        <w:t xml:space="preserve">Further Notice of Proposed Rulemaking </w:t>
      </w:r>
      <w:r w:rsidR="007365D4" w:rsidRPr="001E3CCF">
        <w:rPr>
          <w:sz w:val="22"/>
          <w:szCs w:val="22"/>
        </w:rPr>
        <w:t>(“</w:t>
      </w:r>
      <w:r w:rsidR="007365D4" w:rsidRPr="001E3CCF">
        <w:rPr>
          <w:i/>
          <w:sz w:val="22"/>
          <w:szCs w:val="22"/>
        </w:rPr>
        <w:t>3.5 GHz FNPRM</w:t>
      </w:r>
      <w:r w:rsidR="007365D4" w:rsidRPr="001E3CCF">
        <w:rPr>
          <w:sz w:val="22"/>
          <w:szCs w:val="22"/>
        </w:rPr>
        <w:t xml:space="preserve">”) </w:t>
      </w:r>
      <w:r w:rsidR="005D5CDD" w:rsidRPr="001E3CCF">
        <w:rPr>
          <w:sz w:val="22"/>
          <w:szCs w:val="22"/>
        </w:rPr>
        <w:t xml:space="preserve">that sought comment on </w:t>
      </w:r>
      <w:r w:rsidR="009E487E" w:rsidRPr="001E3CCF">
        <w:rPr>
          <w:sz w:val="22"/>
          <w:szCs w:val="22"/>
        </w:rPr>
        <w:t>rule</w:t>
      </w:r>
      <w:r w:rsidR="00BC2DA6" w:rsidRPr="001E3CCF">
        <w:rPr>
          <w:sz w:val="22"/>
          <w:szCs w:val="22"/>
        </w:rPr>
        <w:t>s</w:t>
      </w:r>
      <w:r w:rsidR="009E487E" w:rsidRPr="001E3CCF">
        <w:rPr>
          <w:sz w:val="22"/>
          <w:szCs w:val="22"/>
        </w:rPr>
        <w:t xml:space="preserve"> </w:t>
      </w:r>
      <w:r w:rsidR="00BC2DA6" w:rsidRPr="001E3CCF">
        <w:rPr>
          <w:sz w:val="22"/>
          <w:szCs w:val="22"/>
        </w:rPr>
        <w:t xml:space="preserve">to govern the proposed </w:t>
      </w:r>
      <w:r w:rsidR="009E487E" w:rsidRPr="001E3CCF">
        <w:rPr>
          <w:sz w:val="22"/>
          <w:szCs w:val="22"/>
        </w:rPr>
        <w:t>Citizens Broadband Radio Service</w:t>
      </w:r>
      <w:r w:rsidR="00BC2DA6" w:rsidRPr="001E3CCF">
        <w:rPr>
          <w:sz w:val="22"/>
          <w:szCs w:val="22"/>
        </w:rPr>
        <w:t>, which would be codified</w:t>
      </w:r>
      <w:r w:rsidR="009E487E" w:rsidRPr="001E3CCF">
        <w:rPr>
          <w:sz w:val="22"/>
          <w:szCs w:val="22"/>
        </w:rPr>
        <w:t xml:space="preserve"> in </w:t>
      </w:r>
      <w:r w:rsidR="00952111" w:rsidRPr="001E3CCF">
        <w:rPr>
          <w:sz w:val="22"/>
          <w:szCs w:val="22"/>
        </w:rPr>
        <w:t>a new Part 96 of the Commission’</w:t>
      </w:r>
      <w:r w:rsidR="009E487E" w:rsidRPr="001E3CCF">
        <w:rPr>
          <w:sz w:val="22"/>
          <w:szCs w:val="22"/>
        </w:rPr>
        <w:t>s rule</w:t>
      </w:r>
      <w:r w:rsidR="00952111" w:rsidRPr="001E3CCF">
        <w:rPr>
          <w:sz w:val="22"/>
          <w:szCs w:val="22"/>
        </w:rPr>
        <w:t>s.</w:t>
      </w:r>
      <w:r w:rsidR="007365D4" w:rsidRPr="001E3CCF">
        <w:rPr>
          <w:rStyle w:val="FootnoteReference"/>
          <w:sz w:val="22"/>
          <w:szCs w:val="22"/>
        </w:rPr>
        <w:footnoteReference w:id="14"/>
      </w:r>
      <w:r w:rsidR="00952111" w:rsidRPr="001E3CCF">
        <w:rPr>
          <w:sz w:val="22"/>
          <w:szCs w:val="22"/>
        </w:rPr>
        <w:t xml:space="preserve">  In addition to applying the new Part 96 rules to the 3550-3650 MHz band (“3.5 GHz band”), the </w:t>
      </w:r>
      <w:r w:rsidR="00952111" w:rsidRPr="001E3CCF">
        <w:rPr>
          <w:i/>
          <w:sz w:val="22"/>
          <w:szCs w:val="22"/>
        </w:rPr>
        <w:t>3.5 GHz FNPRM</w:t>
      </w:r>
      <w:r w:rsidR="00952111" w:rsidRPr="001E3CCF">
        <w:rPr>
          <w:sz w:val="22"/>
          <w:szCs w:val="22"/>
        </w:rPr>
        <w:t xml:space="preserve"> proposed to apply these rules to the 3650 MHz band.</w:t>
      </w:r>
      <w:r w:rsidR="00952111" w:rsidRPr="001E3CCF">
        <w:rPr>
          <w:rStyle w:val="FootnoteReference"/>
          <w:sz w:val="22"/>
          <w:szCs w:val="22"/>
        </w:rPr>
        <w:footnoteReference w:id="15"/>
      </w:r>
      <w:r w:rsidR="008971EB" w:rsidRPr="001E3CCF">
        <w:rPr>
          <w:sz w:val="22"/>
          <w:szCs w:val="22"/>
        </w:rPr>
        <w:t xml:space="preserve">  In view of the prospect that the Commission may extend the Part 96 rules to cover the 3650-3700 MHz band, we dismiss without prejudice FWCC’s petition.  </w:t>
      </w:r>
    </w:p>
    <w:p w:rsidR="00E82F82" w:rsidRDefault="008971EB" w:rsidP="007A5F0C">
      <w:pPr>
        <w:pStyle w:val="ParaNum"/>
        <w:numPr>
          <w:ilvl w:val="0"/>
          <w:numId w:val="0"/>
        </w:numPr>
        <w:ind w:firstLine="720"/>
        <w:rPr>
          <w:szCs w:val="22"/>
        </w:rPr>
      </w:pPr>
      <w:r w:rsidRPr="001E3CCF">
        <w:rPr>
          <w:szCs w:val="22"/>
        </w:rPr>
        <w:t>Accordingly, IT IS ORDERED that pursuant to the authority contained in Sections 4(i), 5(c), 301, 302, 303(c), 303(e), 303(f), and 303(r) of the Communications Act of 1934, as amended, 47 U.S.C. §§ 154(i), 155(c), 301, 302a, 303(c), 303(e), 303(f), and 303(r), and Sections 0.51(a), 0.51(c), 0.131, 0.241(e), 0.261(a)(1), 0.331 and 1.401(e) of the Commission’s Rules, 47 C.F.R. §§ 0.51(a), 0.51(c), 0.131, 0.241(e), 0.261(a)(1), 0.331 and 1.401(e), that the petition for rulemaking filed by the Fixed</w:t>
      </w:r>
    </w:p>
    <w:p w:rsidR="00E82F82" w:rsidRDefault="00E82F82">
      <w:pPr>
        <w:rPr>
          <w:snapToGrid w:val="0"/>
          <w:kern w:val="28"/>
          <w:sz w:val="22"/>
          <w:szCs w:val="22"/>
        </w:rPr>
      </w:pPr>
      <w:r>
        <w:rPr>
          <w:szCs w:val="22"/>
        </w:rPr>
        <w:br w:type="page"/>
      </w:r>
    </w:p>
    <w:p w:rsidR="00CB4A68" w:rsidRDefault="008971EB" w:rsidP="00E82F82">
      <w:pPr>
        <w:pStyle w:val="ParaNum"/>
        <w:numPr>
          <w:ilvl w:val="0"/>
          <w:numId w:val="0"/>
        </w:numPr>
        <w:rPr>
          <w:szCs w:val="22"/>
        </w:rPr>
      </w:pPr>
      <w:r w:rsidRPr="001E3CCF">
        <w:rPr>
          <w:szCs w:val="22"/>
        </w:rPr>
        <w:t>Wireless Communications Coali</w:t>
      </w:r>
      <w:r w:rsidR="00500D42" w:rsidRPr="001E3CCF">
        <w:rPr>
          <w:szCs w:val="22"/>
        </w:rPr>
        <w:t>tion on April 15</w:t>
      </w:r>
      <w:r w:rsidR="00CB4A68" w:rsidRPr="001E3CCF">
        <w:rPr>
          <w:szCs w:val="22"/>
        </w:rPr>
        <w:t>, 2010 IS DISMISSED</w:t>
      </w:r>
      <w:r w:rsidR="0014296D" w:rsidRPr="001E3CCF">
        <w:rPr>
          <w:szCs w:val="22"/>
        </w:rPr>
        <w:t xml:space="preserve"> WITHOUT PREJUDICE and RM-11604</w:t>
      </w:r>
      <w:r w:rsidRPr="001E3CCF">
        <w:rPr>
          <w:szCs w:val="22"/>
        </w:rPr>
        <w:t xml:space="preserve"> IS TERMINATED, effective upon issuance of this</w:t>
      </w:r>
      <w:r w:rsidR="007A5F0C">
        <w:rPr>
          <w:szCs w:val="22"/>
        </w:rPr>
        <w:t xml:space="preserve"> letter</w:t>
      </w:r>
      <w:r w:rsidRPr="001E3CCF">
        <w:rPr>
          <w:szCs w:val="22"/>
        </w:rPr>
        <w:t>.</w:t>
      </w:r>
    </w:p>
    <w:p w:rsidR="00E82F82" w:rsidRPr="001E3CCF" w:rsidRDefault="00E82F82" w:rsidP="00E82F82">
      <w:pPr>
        <w:pStyle w:val="ParaNum"/>
        <w:numPr>
          <w:ilvl w:val="0"/>
          <w:numId w:val="0"/>
        </w:numPr>
        <w:ind w:firstLine="720"/>
        <w:rPr>
          <w:szCs w:val="22"/>
        </w:rPr>
      </w:pPr>
      <w:r w:rsidRPr="00B128B5">
        <w:t>Th</w:t>
      </w:r>
      <w:r>
        <w:t>i</w:t>
      </w:r>
      <w:r w:rsidRPr="00B128B5">
        <w:t>s action</w:t>
      </w:r>
      <w:r>
        <w:t xml:space="preserve"> is</w:t>
      </w:r>
      <w:r w:rsidRPr="00B128B5">
        <w:t xml:space="preserve"> taken under delegated authority pursuant to Sections 0.131 and 0.331 of the Commission’s Rules, 47 C.F.R. §§ 0.131, 0.331.</w:t>
      </w:r>
    </w:p>
    <w:p w:rsidR="000F029C" w:rsidRPr="001E3CCF" w:rsidRDefault="000F029C" w:rsidP="007A5F0C">
      <w:pPr>
        <w:tabs>
          <w:tab w:val="left" w:pos="-720"/>
        </w:tabs>
        <w:suppressAutoHyphens/>
        <w:spacing w:after="120"/>
        <w:rPr>
          <w:sz w:val="22"/>
          <w:szCs w:val="22"/>
        </w:rPr>
      </w:pPr>
    </w:p>
    <w:p w:rsidR="000F029C" w:rsidRPr="001E3CCF" w:rsidRDefault="000F029C" w:rsidP="007A5F0C">
      <w:pPr>
        <w:tabs>
          <w:tab w:val="left" w:pos="-720"/>
        </w:tabs>
        <w:suppressAutoHyphens/>
        <w:spacing w:after="120"/>
        <w:rPr>
          <w:sz w:val="22"/>
          <w:szCs w:val="22"/>
        </w:rPr>
      </w:pPr>
      <w:r w:rsidRPr="001E3CCF">
        <w:rPr>
          <w:sz w:val="22"/>
          <w:szCs w:val="22"/>
        </w:rPr>
        <w:tab/>
      </w:r>
      <w:r w:rsidRPr="001E3CCF">
        <w:rPr>
          <w:sz w:val="22"/>
          <w:szCs w:val="22"/>
        </w:rPr>
        <w:tab/>
      </w:r>
      <w:r w:rsidRPr="001E3CCF">
        <w:rPr>
          <w:sz w:val="22"/>
          <w:szCs w:val="22"/>
        </w:rPr>
        <w:tab/>
      </w:r>
      <w:r w:rsidRPr="001E3CCF">
        <w:rPr>
          <w:sz w:val="22"/>
          <w:szCs w:val="22"/>
        </w:rPr>
        <w:tab/>
      </w:r>
      <w:r w:rsidRPr="001E3CCF">
        <w:rPr>
          <w:sz w:val="22"/>
          <w:szCs w:val="22"/>
        </w:rPr>
        <w:tab/>
        <w:t>Sincerely,</w:t>
      </w:r>
    </w:p>
    <w:p w:rsidR="000F029C" w:rsidRPr="001E3CCF" w:rsidRDefault="000F029C" w:rsidP="007A5F0C">
      <w:pPr>
        <w:pStyle w:val="Header"/>
        <w:tabs>
          <w:tab w:val="clear" w:pos="4320"/>
          <w:tab w:val="clear" w:pos="8640"/>
        </w:tabs>
        <w:spacing w:after="120"/>
        <w:rPr>
          <w:sz w:val="22"/>
          <w:szCs w:val="22"/>
        </w:rPr>
      </w:pPr>
    </w:p>
    <w:p w:rsidR="000F029C" w:rsidRPr="001E3CCF" w:rsidRDefault="000F029C" w:rsidP="007A5F0C">
      <w:pPr>
        <w:spacing w:after="120"/>
        <w:rPr>
          <w:sz w:val="22"/>
          <w:szCs w:val="22"/>
        </w:rPr>
      </w:pPr>
    </w:p>
    <w:p w:rsidR="00C549C2" w:rsidRPr="001E3CCF" w:rsidRDefault="00C549C2" w:rsidP="007A5F0C">
      <w:pPr>
        <w:rPr>
          <w:sz w:val="22"/>
          <w:szCs w:val="22"/>
        </w:rPr>
      </w:pPr>
    </w:p>
    <w:p w:rsidR="000F029C" w:rsidRPr="001E3CCF" w:rsidRDefault="00722FFC" w:rsidP="007A5F0C">
      <w:pPr>
        <w:ind w:left="2880" w:firstLine="720"/>
        <w:rPr>
          <w:sz w:val="22"/>
          <w:szCs w:val="22"/>
        </w:rPr>
      </w:pPr>
      <w:r w:rsidRPr="001E3CCF">
        <w:rPr>
          <w:sz w:val="22"/>
          <w:szCs w:val="22"/>
        </w:rPr>
        <w:t xml:space="preserve">John </w:t>
      </w:r>
      <w:r w:rsidR="009E19B7" w:rsidRPr="001E3CCF">
        <w:rPr>
          <w:sz w:val="22"/>
          <w:szCs w:val="22"/>
        </w:rPr>
        <w:t xml:space="preserve">J. </w:t>
      </w:r>
      <w:r w:rsidRPr="001E3CCF">
        <w:rPr>
          <w:sz w:val="22"/>
          <w:szCs w:val="22"/>
        </w:rPr>
        <w:t>Schauble</w:t>
      </w:r>
    </w:p>
    <w:p w:rsidR="000F029C" w:rsidRPr="001E3CCF" w:rsidRDefault="000F029C" w:rsidP="007A5F0C">
      <w:pPr>
        <w:ind w:left="1440"/>
        <w:rPr>
          <w:sz w:val="22"/>
          <w:szCs w:val="22"/>
        </w:rPr>
      </w:pPr>
      <w:r w:rsidRPr="001E3CCF">
        <w:rPr>
          <w:sz w:val="22"/>
          <w:szCs w:val="22"/>
        </w:rPr>
        <w:tab/>
      </w:r>
      <w:r w:rsidRPr="001E3CCF">
        <w:rPr>
          <w:sz w:val="22"/>
          <w:szCs w:val="22"/>
        </w:rPr>
        <w:tab/>
      </w:r>
      <w:r w:rsidRPr="001E3CCF">
        <w:rPr>
          <w:sz w:val="22"/>
          <w:szCs w:val="22"/>
        </w:rPr>
        <w:tab/>
      </w:r>
      <w:r w:rsidR="00722FFC" w:rsidRPr="001E3CCF">
        <w:rPr>
          <w:sz w:val="22"/>
          <w:szCs w:val="22"/>
        </w:rPr>
        <w:t xml:space="preserve">Deputy </w:t>
      </w:r>
      <w:r w:rsidR="003D1BC8" w:rsidRPr="001E3CCF">
        <w:rPr>
          <w:sz w:val="22"/>
          <w:szCs w:val="22"/>
        </w:rPr>
        <w:t>Chief</w:t>
      </w:r>
      <w:r w:rsidR="009E19B7" w:rsidRPr="001E3CCF">
        <w:rPr>
          <w:sz w:val="22"/>
          <w:szCs w:val="22"/>
        </w:rPr>
        <w:t xml:space="preserve">, </w:t>
      </w:r>
      <w:r w:rsidR="003D1BC8" w:rsidRPr="001E3CCF">
        <w:rPr>
          <w:sz w:val="22"/>
          <w:szCs w:val="22"/>
        </w:rPr>
        <w:t>Broadband</w:t>
      </w:r>
      <w:r w:rsidRPr="001E3CCF">
        <w:rPr>
          <w:sz w:val="22"/>
          <w:szCs w:val="22"/>
        </w:rPr>
        <w:t xml:space="preserve"> Division</w:t>
      </w:r>
    </w:p>
    <w:p w:rsidR="00B741A4" w:rsidRPr="001E3CCF" w:rsidRDefault="003D1BC8" w:rsidP="007A5F0C">
      <w:pPr>
        <w:ind w:left="3600"/>
        <w:rPr>
          <w:b/>
          <w:bCs/>
          <w:sz w:val="22"/>
          <w:szCs w:val="22"/>
          <w:lang w:val="de-DE"/>
        </w:rPr>
      </w:pPr>
      <w:r w:rsidRPr="001E3CCF">
        <w:rPr>
          <w:sz w:val="22"/>
          <w:szCs w:val="22"/>
        </w:rPr>
        <w:t>Wireless Telecommunications</w:t>
      </w:r>
      <w:r w:rsidR="000F029C" w:rsidRPr="001E3CCF">
        <w:rPr>
          <w:sz w:val="22"/>
          <w:szCs w:val="22"/>
        </w:rPr>
        <w:t xml:space="preserve"> Bureau</w:t>
      </w:r>
      <w:r w:rsidR="00987A7B" w:rsidRPr="001E3CCF">
        <w:rPr>
          <w:b/>
          <w:bCs/>
          <w:sz w:val="22"/>
          <w:szCs w:val="22"/>
          <w:lang w:val="de-DE"/>
        </w:rPr>
        <w:t xml:space="preserve"> </w:t>
      </w:r>
    </w:p>
    <w:sectPr w:rsidR="00B741A4" w:rsidRPr="001E3CC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021" w:rsidRDefault="00ED5021">
      <w:r>
        <w:separator/>
      </w:r>
    </w:p>
  </w:endnote>
  <w:endnote w:type="continuationSeparator" w:id="0">
    <w:p w:rsidR="00ED5021" w:rsidRDefault="00ED5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EB1" w:rsidRDefault="000E7E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7EB1" w:rsidRDefault="000E7E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EB1" w:rsidRDefault="000E7EB1">
    <w:pPr>
      <w:pStyle w:val="Footer"/>
      <w:framePr w:wrap="around" w:vAnchor="text" w:hAnchor="margin" w:xAlign="center" w:y="1"/>
      <w:rPr>
        <w:rStyle w:val="PageNumber"/>
      </w:rPr>
    </w:pPr>
  </w:p>
  <w:p w:rsidR="000E7EB1" w:rsidRDefault="000E7E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C17" w:rsidRDefault="00E05C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021" w:rsidRDefault="00ED5021">
      <w:r>
        <w:separator/>
      </w:r>
    </w:p>
  </w:footnote>
  <w:footnote w:type="continuationSeparator" w:id="0">
    <w:p w:rsidR="00ED5021" w:rsidRDefault="00ED5021">
      <w:r>
        <w:continuationSeparator/>
      </w:r>
    </w:p>
  </w:footnote>
  <w:footnote w:id="1">
    <w:p w:rsidR="000E7EB1" w:rsidRPr="0017726B" w:rsidRDefault="000E7EB1" w:rsidP="0013261F">
      <w:pPr>
        <w:pStyle w:val="FootnoteText"/>
        <w:spacing w:after="120"/>
      </w:pPr>
      <w:r w:rsidRPr="0017726B">
        <w:rPr>
          <w:rStyle w:val="FootnoteReference"/>
        </w:rPr>
        <w:footnoteRef/>
      </w:r>
      <w:r w:rsidRPr="0017726B">
        <w:t xml:space="preserve"> Petition for Rulemaking of the Fixed Wireless Communications Coalition (filed April 15, 2010) (Petition for Rulemaking).</w:t>
      </w:r>
    </w:p>
  </w:footnote>
  <w:footnote w:id="2">
    <w:p w:rsidR="000E7EB1" w:rsidRPr="0017726B" w:rsidRDefault="000E7EB1" w:rsidP="0013261F">
      <w:pPr>
        <w:pStyle w:val="FootnoteText"/>
        <w:spacing w:after="120"/>
      </w:pPr>
      <w:r w:rsidRPr="0017726B">
        <w:rPr>
          <w:rStyle w:val="FootnoteReference"/>
        </w:rPr>
        <w:footnoteRef/>
      </w:r>
      <w:r w:rsidRPr="0017726B">
        <w:t xml:space="preserve"> </w:t>
      </w:r>
      <w:r>
        <w:rPr>
          <w:i/>
        </w:rPr>
        <w:t xml:space="preserve">See generally </w:t>
      </w:r>
      <w:r w:rsidRPr="0017726B">
        <w:t xml:space="preserve">Wireless Operations in the 3650–3700 MHz Band, </w:t>
      </w:r>
      <w:r w:rsidRPr="0017726B">
        <w:rPr>
          <w:i/>
        </w:rPr>
        <w:t xml:space="preserve">Report and Order and Memorandum Opinion and Order, </w:t>
      </w:r>
      <w:r w:rsidRPr="0017726B">
        <w:t>ET Docket Nos. 04-151, 02-380, 98-237, WT Docket No. 05-96, 20 FCC Rcd 6502 (2005)</w:t>
      </w:r>
      <w:r w:rsidR="00E82F82">
        <w:t xml:space="preserve"> (“</w:t>
      </w:r>
      <w:r w:rsidR="00E82F82">
        <w:rPr>
          <w:i/>
        </w:rPr>
        <w:t>2005 Order</w:t>
      </w:r>
      <w:r w:rsidR="00E82F82">
        <w:t>”)</w:t>
      </w:r>
      <w:r w:rsidRPr="0017726B">
        <w:t xml:space="preserve">.  The service </w:t>
      </w:r>
      <w:r w:rsidR="00E82F82">
        <w:t>rules for the 3650 MHz band are located in Subpart Z of Part 90 of the Commission’s rules</w:t>
      </w:r>
      <w:r w:rsidRPr="0017726B">
        <w:rPr>
          <w:i/>
        </w:rPr>
        <w:t xml:space="preserve"> </w:t>
      </w:r>
      <w:r w:rsidR="00E82F82">
        <w:t>(</w:t>
      </w:r>
      <w:r w:rsidRPr="0017726B">
        <w:t xml:space="preserve">47 C.F.R. § 90.1301 </w:t>
      </w:r>
      <w:r w:rsidRPr="00E82F82">
        <w:rPr>
          <w:i/>
        </w:rPr>
        <w:t>et seq</w:t>
      </w:r>
      <w:r w:rsidRPr="0017726B">
        <w:t>.</w:t>
      </w:r>
      <w:r w:rsidR="00E82F82">
        <w:t>).</w:t>
      </w:r>
    </w:p>
  </w:footnote>
  <w:footnote w:id="3">
    <w:p w:rsidR="000E7EB1" w:rsidRPr="0017726B" w:rsidRDefault="000E7EB1" w:rsidP="0013261F">
      <w:pPr>
        <w:pStyle w:val="FootnoteText"/>
        <w:spacing w:after="120"/>
      </w:pPr>
      <w:r w:rsidRPr="0017726B">
        <w:rPr>
          <w:rStyle w:val="FootnoteReference"/>
        </w:rPr>
        <w:footnoteRef/>
      </w:r>
      <w:r w:rsidRPr="0017726B">
        <w:t xml:space="preserve"> </w:t>
      </w:r>
      <w:r>
        <w:rPr>
          <w:i/>
        </w:rPr>
        <w:t xml:space="preserve">See generally </w:t>
      </w:r>
      <w:r>
        <w:t xml:space="preserve">Wireless Operations in the 3650-3700 MHz Band, </w:t>
      </w:r>
      <w:r w:rsidRPr="0017726B">
        <w:rPr>
          <w:i/>
        </w:rPr>
        <w:t>Memorandum Opinion and Order</w:t>
      </w:r>
      <w:r>
        <w:t xml:space="preserve">, ET Docket Nos. 04-151, 02-380, WT Docket No. 05-96, 22 FCC Rcd 10421 (2007).  </w:t>
      </w:r>
      <w:r w:rsidRPr="0017726B">
        <w:t xml:space="preserve">The 2007 Reconsideration Order clarified the meaning of “contention-based protocol” and modified the Commission’s rules to restrict equipment using certain contention-based protocols to the lower part of the band, but otherwise denied the petitions for reconsideration.  </w:t>
      </w:r>
      <w:r>
        <w:rPr>
          <w:i/>
        </w:rPr>
        <w:t>See generally i</w:t>
      </w:r>
      <w:r w:rsidRPr="0017726B">
        <w:rPr>
          <w:i/>
        </w:rPr>
        <w:t>d.</w:t>
      </w:r>
    </w:p>
  </w:footnote>
  <w:footnote w:id="4">
    <w:p w:rsidR="000E7EB1" w:rsidRPr="0017726B" w:rsidRDefault="000E7EB1" w:rsidP="0013261F">
      <w:pPr>
        <w:pStyle w:val="FootnoteText"/>
        <w:spacing w:after="120"/>
      </w:pPr>
      <w:r w:rsidRPr="0017726B">
        <w:rPr>
          <w:rStyle w:val="FootnoteReference"/>
        </w:rPr>
        <w:footnoteRef/>
      </w:r>
      <w:r w:rsidRPr="0017726B">
        <w:t xml:space="preserve"> </w:t>
      </w:r>
      <w:r w:rsidR="00A72267">
        <w:rPr>
          <w:i/>
        </w:rPr>
        <w:t xml:space="preserve">See generally </w:t>
      </w:r>
      <w:r w:rsidRPr="0017726B">
        <w:t>Petition for Rulemaking.</w:t>
      </w:r>
    </w:p>
  </w:footnote>
  <w:footnote w:id="5">
    <w:p w:rsidR="000E7EB1" w:rsidRPr="0017726B" w:rsidRDefault="000E7EB1" w:rsidP="0013261F">
      <w:pPr>
        <w:pStyle w:val="FootnoteText"/>
        <w:spacing w:after="120"/>
      </w:pPr>
      <w:r w:rsidRPr="0017726B">
        <w:rPr>
          <w:rStyle w:val="FootnoteReference"/>
        </w:rPr>
        <w:footnoteRef/>
      </w:r>
      <w:r w:rsidRPr="0017726B">
        <w:t xml:space="preserve"> </w:t>
      </w:r>
      <w:r w:rsidRPr="0017726B">
        <w:rPr>
          <w:i/>
        </w:rPr>
        <w:t xml:space="preserve">See </w:t>
      </w:r>
      <w:r w:rsidRPr="0017726B">
        <w:t xml:space="preserve">47 CFR § 90.1319(d); </w:t>
      </w:r>
      <w:r w:rsidRPr="0017726B">
        <w:rPr>
          <w:i/>
        </w:rPr>
        <w:t xml:space="preserve">see also </w:t>
      </w:r>
      <w:r w:rsidRPr="0017726B">
        <w:t>Petition for Rulemaking at 6-7.</w:t>
      </w:r>
    </w:p>
  </w:footnote>
  <w:footnote w:id="6">
    <w:p w:rsidR="000E7EB1" w:rsidRPr="0017726B" w:rsidRDefault="000E7EB1" w:rsidP="0013261F">
      <w:pPr>
        <w:pStyle w:val="FootnoteText"/>
        <w:spacing w:after="120"/>
      </w:pPr>
      <w:r w:rsidRPr="0017726B">
        <w:rPr>
          <w:rStyle w:val="FootnoteReference"/>
        </w:rPr>
        <w:footnoteRef/>
      </w:r>
      <w:r w:rsidRPr="0017726B">
        <w:t xml:space="preserve"> </w:t>
      </w:r>
      <w:r w:rsidRPr="0017726B">
        <w:rPr>
          <w:i/>
        </w:rPr>
        <w:t xml:space="preserve">See </w:t>
      </w:r>
      <w:r w:rsidRPr="0017726B">
        <w:t>Petition for Rulemaking at 6-7.</w:t>
      </w:r>
    </w:p>
  </w:footnote>
  <w:footnote w:id="7">
    <w:p w:rsidR="000E7EB1" w:rsidRPr="00C75353" w:rsidRDefault="000E7EB1" w:rsidP="0013261F">
      <w:pPr>
        <w:pStyle w:val="FootnoteText"/>
        <w:spacing w:after="120"/>
      </w:pPr>
      <w:r w:rsidRPr="0017726B">
        <w:rPr>
          <w:rStyle w:val="FootnoteReference"/>
        </w:rPr>
        <w:footnoteRef/>
      </w:r>
      <w:r w:rsidRPr="0017726B">
        <w:t xml:space="preserve"> </w:t>
      </w:r>
      <w:r w:rsidRPr="0017726B">
        <w:rPr>
          <w:i/>
        </w:rPr>
        <w:t>Id.</w:t>
      </w:r>
      <w:r w:rsidRPr="0017726B">
        <w:t xml:space="preserve"> at 5.</w:t>
      </w:r>
      <w:r w:rsidR="00C75353">
        <w:t xml:space="preserve">  </w:t>
      </w:r>
      <w:r w:rsidR="00C75353">
        <w:rPr>
          <w:i/>
        </w:rPr>
        <w:t>See</w:t>
      </w:r>
      <w:r w:rsidR="00C75353">
        <w:t xml:space="preserve"> World Data PR Inc., </w:t>
      </w:r>
      <w:r w:rsidR="00C75353">
        <w:rPr>
          <w:i/>
        </w:rPr>
        <w:t>Memorandum Opinion and Order</w:t>
      </w:r>
      <w:r w:rsidR="00C75353">
        <w:t xml:space="preserve">, 24 FCC Rcd 14648 (WTB BD 2009), </w:t>
      </w:r>
      <w:r w:rsidR="00C75353">
        <w:rPr>
          <w:i/>
        </w:rPr>
        <w:t>affirmed</w:t>
      </w:r>
      <w:r w:rsidR="00C75353">
        <w:t xml:space="preserve"> 26 FCC Rcd 2360 (2011).</w:t>
      </w:r>
    </w:p>
  </w:footnote>
  <w:footnote w:id="8">
    <w:p w:rsidR="000E7EB1" w:rsidRPr="0017726B" w:rsidRDefault="000E7EB1" w:rsidP="0013261F">
      <w:pPr>
        <w:pStyle w:val="FootnoteText"/>
        <w:spacing w:after="120"/>
      </w:pPr>
      <w:r w:rsidRPr="0017726B">
        <w:rPr>
          <w:rStyle w:val="FootnoteReference"/>
        </w:rPr>
        <w:footnoteRef/>
      </w:r>
      <w:r w:rsidRPr="0017726B">
        <w:t xml:space="preserve"> </w:t>
      </w:r>
      <w:r w:rsidR="00C75353">
        <w:t>Petition for Rulemaking</w:t>
      </w:r>
      <w:r w:rsidRPr="0017726B">
        <w:t xml:space="preserve"> at 6-7.</w:t>
      </w:r>
    </w:p>
  </w:footnote>
  <w:footnote w:id="9">
    <w:p w:rsidR="000E7EB1" w:rsidRPr="0017726B" w:rsidRDefault="000E7EB1" w:rsidP="00C75353">
      <w:pPr>
        <w:pStyle w:val="FootnoteText"/>
        <w:spacing w:after="120"/>
      </w:pPr>
      <w:r w:rsidRPr="0017726B">
        <w:rPr>
          <w:rStyle w:val="FootnoteReference"/>
        </w:rPr>
        <w:footnoteRef/>
      </w:r>
      <w:r w:rsidRPr="0017726B">
        <w:t xml:space="preserve"> Additionally, one party filed a letter in favor of the petition. </w:t>
      </w:r>
      <w:r w:rsidR="00C75353">
        <w:t xml:space="preserve"> </w:t>
      </w:r>
      <w:r w:rsidR="00C75353">
        <w:rPr>
          <w:i/>
        </w:rPr>
        <w:t xml:space="preserve">See </w:t>
      </w:r>
      <w:r w:rsidR="00C75353">
        <w:t xml:space="preserve">Letter from Ari Q. </w:t>
      </w:r>
      <w:r w:rsidR="007227C5">
        <w:t>Fitzgerald</w:t>
      </w:r>
      <w:r w:rsidR="00C75353">
        <w:t xml:space="preserve">, Esq. and Christopher J. Termini, Esq., counsel for </w:t>
      </w:r>
      <w:r w:rsidRPr="0017726B">
        <w:t xml:space="preserve">Neptuno Networks </w:t>
      </w:r>
      <w:r w:rsidR="00C75353">
        <w:t>to Marlene H. Dortch, Secretary, Federal Communications Commission</w:t>
      </w:r>
      <w:r w:rsidR="00C75353" w:rsidRPr="0017726B">
        <w:t xml:space="preserve"> </w:t>
      </w:r>
      <w:r w:rsidRPr="0017726B">
        <w:t>(filed June 6, 2012).</w:t>
      </w:r>
    </w:p>
  </w:footnote>
  <w:footnote w:id="10">
    <w:p w:rsidR="000E7EB1" w:rsidRPr="0017726B" w:rsidRDefault="000E7EB1" w:rsidP="0013261F">
      <w:pPr>
        <w:pStyle w:val="FootnoteText"/>
        <w:spacing w:after="120"/>
      </w:pPr>
      <w:r w:rsidRPr="0017726B">
        <w:rPr>
          <w:rStyle w:val="FootnoteReference"/>
        </w:rPr>
        <w:footnoteRef/>
      </w:r>
      <w:r w:rsidRPr="0017726B">
        <w:t xml:space="preserve"> Comments </w:t>
      </w:r>
      <w:r w:rsidR="003C6BF3">
        <w:t xml:space="preserve">of the Fixed Wireless Communications Coalition </w:t>
      </w:r>
      <w:r w:rsidRPr="0017726B">
        <w:t xml:space="preserve">(filed July 6, 2010); </w:t>
      </w:r>
      <w:r w:rsidR="003C6BF3">
        <w:t xml:space="preserve">Reply </w:t>
      </w:r>
      <w:r w:rsidR="003C6BF3" w:rsidRPr="0017726B">
        <w:t xml:space="preserve">Comments </w:t>
      </w:r>
      <w:r w:rsidR="003C6BF3">
        <w:t xml:space="preserve">of the Fixed Wireless Communications Coalition </w:t>
      </w:r>
      <w:r w:rsidRPr="0017726B">
        <w:t>(filed July 21, 2010).</w:t>
      </w:r>
    </w:p>
  </w:footnote>
  <w:footnote w:id="11">
    <w:p w:rsidR="000E7EB1" w:rsidRPr="0017726B" w:rsidRDefault="000E7EB1" w:rsidP="0013261F">
      <w:pPr>
        <w:pStyle w:val="FootnoteText"/>
        <w:spacing w:after="120"/>
      </w:pPr>
      <w:r w:rsidRPr="0017726B">
        <w:rPr>
          <w:rStyle w:val="FootnoteReference"/>
        </w:rPr>
        <w:footnoteRef/>
      </w:r>
      <w:r w:rsidRPr="0017726B">
        <w:t xml:space="preserve"> </w:t>
      </w:r>
      <w:r>
        <w:rPr>
          <w:i/>
        </w:rPr>
        <w:t xml:space="preserve">See </w:t>
      </w:r>
      <w:r w:rsidR="00C75353">
        <w:t xml:space="preserve">Comments, </w:t>
      </w:r>
      <w:r w:rsidRPr="0017726B">
        <w:t>Blooston, Mordkofsky, Dickens, Duffy &amp; Prendergast, LLP Comments (“on behalf of its clients that are existing and prospective licensees in the 3.65-3.70 GHz band”) (filed July 6, 2010)</w:t>
      </w:r>
      <w:r w:rsidR="00C75353">
        <w:t>;</w:t>
      </w:r>
      <w:r w:rsidRPr="0017726B">
        <w:t xml:space="preserve"> </w:t>
      </w:r>
      <w:r w:rsidR="00C75353">
        <w:t xml:space="preserve">Comments of </w:t>
      </w:r>
      <w:r w:rsidRPr="0017726B">
        <w:t xml:space="preserve">Motorola, Inc. (filed July 6, 2010); </w:t>
      </w:r>
      <w:r w:rsidR="00C75353">
        <w:t xml:space="preserve">Comments of the </w:t>
      </w:r>
      <w:r w:rsidRPr="0017726B">
        <w:t>Wireless Internet Service Providers Associatio</w:t>
      </w:r>
      <w:r>
        <w:t>n (filed July 6, 2010).</w:t>
      </w:r>
    </w:p>
  </w:footnote>
  <w:footnote w:id="12">
    <w:p w:rsidR="000E7EB1" w:rsidRPr="0017726B" w:rsidRDefault="000E7EB1" w:rsidP="0013261F">
      <w:pPr>
        <w:pStyle w:val="FootnoteText"/>
        <w:spacing w:after="120"/>
      </w:pPr>
      <w:r w:rsidRPr="0017726B">
        <w:rPr>
          <w:rStyle w:val="FootnoteReference"/>
        </w:rPr>
        <w:footnoteRef/>
      </w:r>
      <w:r w:rsidRPr="0017726B">
        <w:t xml:space="preserve"> </w:t>
      </w:r>
      <w:r>
        <w:rPr>
          <w:i/>
        </w:rPr>
        <w:t xml:space="preserve">See </w:t>
      </w:r>
      <w:r w:rsidR="00C75353">
        <w:t xml:space="preserve">Comments of the </w:t>
      </w:r>
      <w:r w:rsidRPr="0017726B">
        <w:t>Wireless Communications Association International, Inc. (WCAI) (filed July 6, 2010)</w:t>
      </w:r>
      <w:r w:rsidR="00C75353">
        <w:t xml:space="preserve"> at 4</w:t>
      </w:r>
      <w:r w:rsidRPr="0017726B">
        <w:t>.</w:t>
      </w:r>
    </w:p>
  </w:footnote>
  <w:footnote w:id="13">
    <w:p w:rsidR="000E7EB1" w:rsidRPr="0017726B" w:rsidRDefault="000E7EB1" w:rsidP="0013261F">
      <w:pPr>
        <w:pStyle w:val="FootnoteText"/>
        <w:spacing w:after="120"/>
      </w:pPr>
      <w:r w:rsidRPr="0017726B">
        <w:rPr>
          <w:rStyle w:val="FootnoteReference"/>
        </w:rPr>
        <w:footnoteRef/>
      </w:r>
      <w:r w:rsidRPr="0017726B">
        <w:t xml:space="preserve"> </w:t>
      </w:r>
      <w:r w:rsidRPr="0017726B">
        <w:rPr>
          <w:i/>
        </w:rPr>
        <w:t xml:space="preserve">Compare </w:t>
      </w:r>
      <w:r w:rsidRPr="0017726B">
        <w:t xml:space="preserve">Petition for Rulemaking </w:t>
      </w:r>
      <w:r w:rsidRPr="0017726B">
        <w:rPr>
          <w:i/>
        </w:rPr>
        <w:t xml:space="preserve">with </w:t>
      </w:r>
      <w:r w:rsidRPr="0017726B">
        <w:t xml:space="preserve">Amendment of the Commission’s Rules with Regard to Commercial Operations in the 3550-3650 MHz Band, </w:t>
      </w:r>
      <w:r w:rsidRPr="0017726B">
        <w:rPr>
          <w:i/>
        </w:rPr>
        <w:t>Further Notice of Proposed Rulemaking</w:t>
      </w:r>
      <w:r w:rsidRPr="0017726B">
        <w:t xml:space="preserve">, GN Docket </w:t>
      </w:r>
      <w:r>
        <w:t>No. 12-354, 29 FCC Rcd 4273, 4322-</w:t>
      </w:r>
      <w:r w:rsidR="003C6BF3">
        <w:t>43</w:t>
      </w:r>
      <w:r w:rsidRPr="0017726B">
        <w:t xml:space="preserve">24 </w:t>
      </w:r>
      <w:r w:rsidR="003C6BF3">
        <w:t xml:space="preserve">¶¶ 163-169 </w:t>
      </w:r>
      <w:r w:rsidRPr="0017726B">
        <w:t>(2014)</w:t>
      </w:r>
      <w:r>
        <w:t xml:space="preserve"> (</w:t>
      </w:r>
      <w:r w:rsidR="003C6BF3">
        <w:t>“</w:t>
      </w:r>
      <w:r w:rsidRPr="003C6BF3">
        <w:rPr>
          <w:i/>
        </w:rPr>
        <w:t>3.5 GHz FNPRM</w:t>
      </w:r>
      <w:r w:rsidR="003C6BF3">
        <w:t>”</w:t>
      </w:r>
      <w:r>
        <w:t>)</w:t>
      </w:r>
      <w:r w:rsidRPr="0017726B">
        <w:t>.</w:t>
      </w:r>
    </w:p>
  </w:footnote>
  <w:footnote w:id="14">
    <w:p w:rsidR="000E7EB1" w:rsidRPr="0017726B" w:rsidRDefault="000E7EB1" w:rsidP="0013261F">
      <w:pPr>
        <w:pStyle w:val="FootnoteText"/>
        <w:spacing w:after="120"/>
        <w:rPr>
          <w:i/>
        </w:rPr>
      </w:pPr>
      <w:r w:rsidRPr="0017726B">
        <w:rPr>
          <w:rStyle w:val="FootnoteReference"/>
        </w:rPr>
        <w:footnoteRef/>
      </w:r>
      <w:r w:rsidRPr="0017726B">
        <w:t xml:space="preserve"> </w:t>
      </w:r>
      <w:r>
        <w:rPr>
          <w:i/>
        </w:rPr>
        <w:t xml:space="preserve">See </w:t>
      </w:r>
      <w:r w:rsidRPr="003C6BF3">
        <w:rPr>
          <w:i/>
        </w:rPr>
        <w:t>3.5 GHz FNPRM</w:t>
      </w:r>
      <w:r>
        <w:t>, 29 FCC Rcd at 4322-</w:t>
      </w:r>
      <w:r w:rsidR="003C6BF3">
        <w:t>43</w:t>
      </w:r>
      <w:r>
        <w:t>24</w:t>
      </w:r>
      <w:r w:rsidRPr="0017726B">
        <w:t>.</w:t>
      </w:r>
    </w:p>
  </w:footnote>
  <w:footnote w:id="15">
    <w:p w:rsidR="000E7EB1" w:rsidRPr="003E2D35" w:rsidRDefault="000E7EB1" w:rsidP="0013261F">
      <w:pPr>
        <w:pStyle w:val="FootnoteText"/>
        <w:spacing w:after="120"/>
      </w:pPr>
      <w:r w:rsidRPr="0017726B">
        <w:rPr>
          <w:rStyle w:val="FootnoteReference"/>
        </w:rPr>
        <w:footnoteRef/>
      </w:r>
      <w:r>
        <w:t xml:space="preserve"> </w:t>
      </w:r>
      <w:r w:rsidR="003C6BF3">
        <w:rPr>
          <w:i/>
        </w:rPr>
        <w:t xml:space="preserve">See </w:t>
      </w:r>
      <w:r w:rsidR="003C6BF3" w:rsidRPr="003C6BF3">
        <w:rPr>
          <w:i/>
        </w:rPr>
        <w:t>3.5 GHz FNPRM</w:t>
      </w:r>
      <w:r w:rsidR="003C6BF3">
        <w:t xml:space="preserve">, </w:t>
      </w:r>
      <w:r w:rsidRPr="0017726B">
        <w:t xml:space="preserve">29 FCC </w:t>
      </w:r>
      <w:r>
        <w:t>Rcd</w:t>
      </w:r>
      <w:r w:rsidR="003C6BF3">
        <w:t xml:space="preserve"> at </w:t>
      </w:r>
      <w:r>
        <w:t xml:space="preserve">4280-4322 </w:t>
      </w:r>
      <w:r w:rsidR="003C6BF3">
        <w:t xml:space="preserve">¶¶ 17-162 </w:t>
      </w:r>
      <w:r>
        <w:t xml:space="preserve">(proposing and explaining rules to govern the 3.5 GHz band), </w:t>
      </w:r>
      <w:r w:rsidRPr="0017726B">
        <w:t xml:space="preserve">4322-4324 </w:t>
      </w:r>
      <w:r w:rsidR="003C6BF3">
        <w:t xml:space="preserve">¶¶ 163-169 </w:t>
      </w:r>
      <w:r>
        <w:t xml:space="preserve">(proposing to extend that regulatory regime to the 3650 MHz band) </w:t>
      </w:r>
      <w:r w:rsidRPr="0017726B">
        <w:t>(released April 23, 2014).</w:t>
      </w:r>
      <w:r>
        <w:t xml:space="preserve">  The</w:t>
      </w:r>
      <w:r w:rsidRPr="0017726B">
        <w:t xml:space="preserve"> proposal in the </w:t>
      </w:r>
      <w:r w:rsidR="003C6BF3" w:rsidRPr="003C6BF3">
        <w:rPr>
          <w:i/>
        </w:rPr>
        <w:t xml:space="preserve">3.5 GHz </w:t>
      </w:r>
      <w:r w:rsidRPr="003C6BF3">
        <w:rPr>
          <w:i/>
        </w:rPr>
        <w:t>FNPRM</w:t>
      </w:r>
      <w:r>
        <w:t>—to extend the proposed 3.5 GHz band regulatory regime to the 3650 MHz band—was also contained in an</w:t>
      </w:r>
      <w:r w:rsidRPr="0017726B">
        <w:t xml:space="preserve"> earlier </w:t>
      </w:r>
      <w:r w:rsidRPr="0017726B">
        <w:rPr>
          <w:i/>
        </w:rPr>
        <w:t>Notice of Proposed Rulemaking</w:t>
      </w:r>
      <w:r>
        <w:t xml:space="preserve"> in the same proceeding.  </w:t>
      </w:r>
      <w:r>
        <w:rPr>
          <w:i/>
        </w:rPr>
        <w:t xml:space="preserve">See </w:t>
      </w:r>
      <w:r w:rsidRPr="0017726B">
        <w:t xml:space="preserve">Amendment of the Commission’s Rules with Regard to Commercial Operations in the 3550-3650 MHz Band, </w:t>
      </w:r>
      <w:r w:rsidRPr="0017726B">
        <w:rPr>
          <w:i/>
        </w:rPr>
        <w:t>Notice of Proposed Rulemaking</w:t>
      </w:r>
      <w:r>
        <w:rPr>
          <w:i/>
        </w:rPr>
        <w:t xml:space="preserve"> and Order</w:t>
      </w:r>
      <w:r>
        <w:t>, GN Docket No. 12-354, 27 FCC Rcd 15594</w:t>
      </w:r>
      <w:r w:rsidR="00E82F82">
        <w:t>, 15620-15622 ¶¶ 77-82</w:t>
      </w:r>
      <w:r>
        <w:t xml:space="preserve">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C17" w:rsidRDefault="00E05C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EB1" w:rsidRPr="00412FE7" w:rsidRDefault="000E7EB1" w:rsidP="000C4007">
    <w:pPr>
      <w:rPr>
        <w:sz w:val="22"/>
        <w:szCs w:val="22"/>
        <w:lang w:val="de-DE"/>
      </w:rPr>
    </w:pPr>
    <w:r>
      <w:rPr>
        <w:sz w:val="22"/>
        <w:szCs w:val="22"/>
        <w:lang w:val="de-DE"/>
      </w:rPr>
      <w:t>Mitchell Lazarus</w:t>
    </w:r>
    <w:r w:rsidR="007A5F0C">
      <w:rPr>
        <w:sz w:val="22"/>
        <w:szCs w:val="22"/>
        <w:lang w:val="de-DE"/>
      </w:rPr>
      <w:t>, Esq.</w:t>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r>
    <w:r>
      <w:rPr>
        <w:sz w:val="22"/>
        <w:szCs w:val="22"/>
      </w:rPr>
      <w:tab/>
    </w:r>
    <w:r>
      <w:rPr>
        <w:sz w:val="22"/>
        <w:szCs w:val="22"/>
      </w:rPr>
      <w:tab/>
    </w:r>
    <w:r w:rsidRPr="000C4007">
      <w:rPr>
        <w:sz w:val="22"/>
        <w:szCs w:val="22"/>
      </w:rPr>
      <w:fldChar w:fldCharType="begin"/>
    </w:r>
    <w:r w:rsidRPr="000C4007">
      <w:rPr>
        <w:sz w:val="22"/>
        <w:szCs w:val="22"/>
      </w:rPr>
      <w:instrText xml:space="preserve"> PAGE   \* MERGEFORMAT </w:instrText>
    </w:r>
    <w:r w:rsidRPr="000C4007">
      <w:rPr>
        <w:sz w:val="22"/>
        <w:szCs w:val="22"/>
      </w:rPr>
      <w:fldChar w:fldCharType="separate"/>
    </w:r>
    <w:r w:rsidR="003544BC">
      <w:rPr>
        <w:noProof/>
        <w:sz w:val="22"/>
        <w:szCs w:val="22"/>
      </w:rPr>
      <w:t>3</w:t>
    </w:r>
    <w:r w:rsidRPr="000C4007">
      <w:rPr>
        <w:noProof/>
        <w:sz w:val="22"/>
        <w:szCs w:val="22"/>
      </w:rPr>
      <w:fldChar w:fldCharType="end"/>
    </w:r>
  </w:p>
  <w:p w:rsidR="000E7EB1" w:rsidRDefault="000E7EB1">
    <w:pPr>
      <w:pStyle w:val="Header"/>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EB1" w:rsidRDefault="000E7EB1" w:rsidP="00560E13">
    <w:pPr>
      <w:pStyle w:val="Header"/>
      <w:tabs>
        <w:tab w:val="clear" w:pos="4320"/>
        <w:tab w:val="clear" w:pos="8640"/>
      </w:tabs>
      <w:spacing w:before="360" w:line="228" w:lineRule="auto"/>
      <w:jc w:val="center"/>
    </w:pPr>
    <w:r>
      <w:rPr>
        <w:noProof/>
      </w:rPr>
      <w:drawing>
        <wp:anchor distT="0" distB="0" distL="114300" distR="114300" simplePos="0" relativeHeight="251659264" behindDoc="0" locked="0" layoutInCell="0" allowOverlap="1" wp14:anchorId="3E175036" wp14:editId="1F6CF0AD">
          <wp:simplePos x="0" y="0"/>
          <wp:positionH relativeFrom="column">
            <wp:posOffset>-233680</wp:posOffset>
          </wp:positionH>
          <wp:positionV relativeFrom="paragraph">
            <wp:posOffset>0</wp:posOffset>
          </wp:positionV>
          <wp:extent cx="863600" cy="8229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863600" cy="822960"/>
                  </a:xfrm>
                  <a:prstGeom prst="rect">
                    <a:avLst/>
                  </a:prstGeom>
                  <a:solidFill>
                    <a:srgbClr val="33CCCC"/>
                  </a:solidFill>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0E7EB1" w:rsidRDefault="000E7EB1" w:rsidP="00560E13">
    <w:pPr>
      <w:jc w:val="center"/>
    </w:pPr>
    <w:r>
      <w:rPr>
        <w:rFonts w:ascii="CG Times (W1)" w:hAnsi="CG Times (W1)"/>
        <w:sz w:val="28"/>
      </w:rPr>
      <w:t>Washington, D.C. 20554</w:t>
    </w:r>
  </w:p>
  <w:p w:rsidR="000E7EB1" w:rsidRDefault="000E7EB1" w:rsidP="00560E13">
    <w:pPr>
      <w:pStyle w:val="Header"/>
      <w:tabs>
        <w:tab w:val="clear" w:pos="4320"/>
      </w:tabs>
      <w:jc w:val="center"/>
      <w:rPr>
        <w:sz w:val="22"/>
      </w:rPr>
    </w:pPr>
  </w:p>
  <w:p w:rsidR="000E7EB1" w:rsidRDefault="000F7A07" w:rsidP="00560E13">
    <w:pPr>
      <w:pStyle w:val="Header"/>
      <w:tabs>
        <w:tab w:val="clear" w:pos="4320"/>
      </w:tabs>
      <w:jc w:val="center"/>
      <w:rPr>
        <w:sz w:val="22"/>
      </w:rPr>
    </w:pPr>
    <w:r>
      <w:rPr>
        <w:sz w:val="22"/>
      </w:rPr>
      <w:t xml:space="preserve">June </w:t>
    </w:r>
    <w:r w:rsidR="006D7C3B">
      <w:rPr>
        <w:sz w:val="22"/>
      </w:rPr>
      <w:t>23</w:t>
    </w:r>
    <w:r w:rsidR="000E7EB1">
      <w:rPr>
        <w:sz w:val="22"/>
      </w:rPr>
      <w:t>, 2014</w:t>
    </w:r>
  </w:p>
  <w:p w:rsidR="000E7EB1" w:rsidRDefault="000E7EB1">
    <w:pPr>
      <w:pStyle w:val="Header"/>
    </w:pPr>
  </w:p>
  <w:p w:rsidR="000E7EB1" w:rsidRDefault="000E7E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C57CC"/>
    <w:multiLevelType w:val="hybridMultilevel"/>
    <w:tmpl w:val="4DBC7C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1227089"/>
    <w:multiLevelType w:val="hybridMultilevel"/>
    <w:tmpl w:val="97FABE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3A3628B"/>
    <w:multiLevelType w:val="multilevel"/>
    <w:tmpl w:val="4DBC7C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667"/>
    <w:rsid w:val="00013809"/>
    <w:rsid w:val="00014667"/>
    <w:rsid w:val="000178FD"/>
    <w:rsid w:val="000272D4"/>
    <w:rsid w:val="000330A0"/>
    <w:rsid w:val="00034145"/>
    <w:rsid w:val="00041604"/>
    <w:rsid w:val="000510FF"/>
    <w:rsid w:val="000523F6"/>
    <w:rsid w:val="0005273F"/>
    <w:rsid w:val="000543EF"/>
    <w:rsid w:val="00080686"/>
    <w:rsid w:val="0008760E"/>
    <w:rsid w:val="00093AA2"/>
    <w:rsid w:val="000B634B"/>
    <w:rsid w:val="000C4007"/>
    <w:rsid w:val="000E01B1"/>
    <w:rsid w:val="000E7EB1"/>
    <w:rsid w:val="000F029C"/>
    <w:rsid w:val="000F09F0"/>
    <w:rsid w:val="000F7A07"/>
    <w:rsid w:val="0012661C"/>
    <w:rsid w:val="0013261F"/>
    <w:rsid w:val="0014296D"/>
    <w:rsid w:val="001502C1"/>
    <w:rsid w:val="0016051F"/>
    <w:rsid w:val="0017726B"/>
    <w:rsid w:val="001A5682"/>
    <w:rsid w:val="001B0CA8"/>
    <w:rsid w:val="001B12D8"/>
    <w:rsid w:val="001B37AF"/>
    <w:rsid w:val="001C0810"/>
    <w:rsid w:val="001C26ED"/>
    <w:rsid w:val="001C46BF"/>
    <w:rsid w:val="001D34C0"/>
    <w:rsid w:val="001D5907"/>
    <w:rsid w:val="001E3CCF"/>
    <w:rsid w:val="001F317B"/>
    <w:rsid w:val="001F7D6E"/>
    <w:rsid w:val="0020296E"/>
    <w:rsid w:val="00211706"/>
    <w:rsid w:val="00216FA0"/>
    <w:rsid w:val="00224493"/>
    <w:rsid w:val="00227E1F"/>
    <w:rsid w:val="002342F0"/>
    <w:rsid w:val="002563FE"/>
    <w:rsid w:val="002667A5"/>
    <w:rsid w:val="00282944"/>
    <w:rsid w:val="002A4B74"/>
    <w:rsid w:val="002B1FE7"/>
    <w:rsid w:val="002C1A1E"/>
    <w:rsid w:val="002D3694"/>
    <w:rsid w:val="002E057C"/>
    <w:rsid w:val="002F58A0"/>
    <w:rsid w:val="0030629E"/>
    <w:rsid w:val="00311582"/>
    <w:rsid w:val="0032074F"/>
    <w:rsid w:val="003246D7"/>
    <w:rsid w:val="0032500C"/>
    <w:rsid w:val="00335792"/>
    <w:rsid w:val="00345AB3"/>
    <w:rsid w:val="003523DD"/>
    <w:rsid w:val="003544BC"/>
    <w:rsid w:val="003639D4"/>
    <w:rsid w:val="00370E56"/>
    <w:rsid w:val="00383431"/>
    <w:rsid w:val="003C6BF3"/>
    <w:rsid w:val="003D1BC8"/>
    <w:rsid w:val="003E2D35"/>
    <w:rsid w:val="003E3BDF"/>
    <w:rsid w:val="00412FE7"/>
    <w:rsid w:val="00466CB7"/>
    <w:rsid w:val="00472AD1"/>
    <w:rsid w:val="00472BAE"/>
    <w:rsid w:val="00481B6B"/>
    <w:rsid w:val="00492104"/>
    <w:rsid w:val="00493042"/>
    <w:rsid w:val="004935E1"/>
    <w:rsid w:val="004A3455"/>
    <w:rsid w:val="004B152D"/>
    <w:rsid w:val="004B33F1"/>
    <w:rsid w:val="004C21FC"/>
    <w:rsid w:val="004D7ED9"/>
    <w:rsid w:val="004E3891"/>
    <w:rsid w:val="004E657A"/>
    <w:rsid w:val="004E6A91"/>
    <w:rsid w:val="004F2CBE"/>
    <w:rsid w:val="00500D42"/>
    <w:rsid w:val="00515F40"/>
    <w:rsid w:val="00525E86"/>
    <w:rsid w:val="00525FC4"/>
    <w:rsid w:val="00534E8F"/>
    <w:rsid w:val="00535DDF"/>
    <w:rsid w:val="00537DAB"/>
    <w:rsid w:val="00543999"/>
    <w:rsid w:val="00553AB1"/>
    <w:rsid w:val="00560E13"/>
    <w:rsid w:val="005675AC"/>
    <w:rsid w:val="00573FB6"/>
    <w:rsid w:val="00574673"/>
    <w:rsid w:val="00575D58"/>
    <w:rsid w:val="00587D17"/>
    <w:rsid w:val="00592EC7"/>
    <w:rsid w:val="005C3172"/>
    <w:rsid w:val="005D1370"/>
    <w:rsid w:val="005D4606"/>
    <w:rsid w:val="005D5CDD"/>
    <w:rsid w:val="005E52FC"/>
    <w:rsid w:val="005E7C63"/>
    <w:rsid w:val="00651AC6"/>
    <w:rsid w:val="00654DEF"/>
    <w:rsid w:val="00671E3F"/>
    <w:rsid w:val="006968B1"/>
    <w:rsid w:val="0069754C"/>
    <w:rsid w:val="006A6DC4"/>
    <w:rsid w:val="006C674C"/>
    <w:rsid w:val="006D3D4D"/>
    <w:rsid w:val="006D7C3B"/>
    <w:rsid w:val="006F46CE"/>
    <w:rsid w:val="006F57A6"/>
    <w:rsid w:val="00705422"/>
    <w:rsid w:val="00715A0D"/>
    <w:rsid w:val="007167F9"/>
    <w:rsid w:val="007227C5"/>
    <w:rsid w:val="00722FFC"/>
    <w:rsid w:val="00723964"/>
    <w:rsid w:val="0073159F"/>
    <w:rsid w:val="00731FEE"/>
    <w:rsid w:val="007321E9"/>
    <w:rsid w:val="007365D4"/>
    <w:rsid w:val="00736C15"/>
    <w:rsid w:val="00740505"/>
    <w:rsid w:val="00744045"/>
    <w:rsid w:val="00756154"/>
    <w:rsid w:val="007A368F"/>
    <w:rsid w:val="007A5F0C"/>
    <w:rsid w:val="007B24B9"/>
    <w:rsid w:val="007C3156"/>
    <w:rsid w:val="007E0811"/>
    <w:rsid w:val="007E72B8"/>
    <w:rsid w:val="007F22F6"/>
    <w:rsid w:val="00803AEA"/>
    <w:rsid w:val="0082466F"/>
    <w:rsid w:val="008256F9"/>
    <w:rsid w:val="00826089"/>
    <w:rsid w:val="008312CB"/>
    <w:rsid w:val="00832C56"/>
    <w:rsid w:val="008332F3"/>
    <w:rsid w:val="00847BBC"/>
    <w:rsid w:val="00851904"/>
    <w:rsid w:val="00857E3F"/>
    <w:rsid w:val="008853D9"/>
    <w:rsid w:val="00887FB1"/>
    <w:rsid w:val="008971EB"/>
    <w:rsid w:val="008A1A38"/>
    <w:rsid w:val="008D2D43"/>
    <w:rsid w:val="008E133B"/>
    <w:rsid w:val="008E197F"/>
    <w:rsid w:val="008F2FC2"/>
    <w:rsid w:val="008F52D1"/>
    <w:rsid w:val="009010ED"/>
    <w:rsid w:val="009042AD"/>
    <w:rsid w:val="00952111"/>
    <w:rsid w:val="00965C8D"/>
    <w:rsid w:val="00966077"/>
    <w:rsid w:val="00967C6F"/>
    <w:rsid w:val="009855A7"/>
    <w:rsid w:val="00986AD0"/>
    <w:rsid w:val="00987A7B"/>
    <w:rsid w:val="00994AF5"/>
    <w:rsid w:val="009A1200"/>
    <w:rsid w:val="009A70D2"/>
    <w:rsid w:val="009C622A"/>
    <w:rsid w:val="009E19B7"/>
    <w:rsid w:val="009E1C72"/>
    <w:rsid w:val="009E487E"/>
    <w:rsid w:val="00A00CC7"/>
    <w:rsid w:val="00A14636"/>
    <w:rsid w:val="00A259E5"/>
    <w:rsid w:val="00A308CD"/>
    <w:rsid w:val="00A3250B"/>
    <w:rsid w:val="00A32A3A"/>
    <w:rsid w:val="00A34400"/>
    <w:rsid w:val="00A37244"/>
    <w:rsid w:val="00A5152E"/>
    <w:rsid w:val="00A519AD"/>
    <w:rsid w:val="00A546DF"/>
    <w:rsid w:val="00A55989"/>
    <w:rsid w:val="00A56C53"/>
    <w:rsid w:val="00A72267"/>
    <w:rsid w:val="00A824D1"/>
    <w:rsid w:val="00A858B2"/>
    <w:rsid w:val="00A90AD7"/>
    <w:rsid w:val="00A96CC0"/>
    <w:rsid w:val="00AB3527"/>
    <w:rsid w:val="00AC18AE"/>
    <w:rsid w:val="00AD49BC"/>
    <w:rsid w:val="00AE5D96"/>
    <w:rsid w:val="00B02E71"/>
    <w:rsid w:val="00B11022"/>
    <w:rsid w:val="00B13F8D"/>
    <w:rsid w:val="00B14782"/>
    <w:rsid w:val="00B436C5"/>
    <w:rsid w:val="00B43DB7"/>
    <w:rsid w:val="00B725A4"/>
    <w:rsid w:val="00B741A4"/>
    <w:rsid w:val="00BA720F"/>
    <w:rsid w:val="00BB5600"/>
    <w:rsid w:val="00BC2DA6"/>
    <w:rsid w:val="00BC5C18"/>
    <w:rsid w:val="00BC75BB"/>
    <w:rsid w:val="00BE501E"/>
    <w:rsid w:val="00C46443"/>
    <w:rsid w:val="00C549C2"/>
    <w:rsid w:val="00C70009"/>
    <w:rsid w:val="00C75353"/>
    <w:rsid w:val="00C872D3"/>
    <w:rsid w:val="00C906B3"/>
    <w:rsid w:val="00C9779E"/>
    <w:rsid w:val="00C97E2B"/>
    <w:rsid w:val="00CB4A68"/>
    <w:rsid w:val="00CC763E"/>
    <w:rsid w:val="00CD7062"/>
    <w:rsid w:val="00CF57CB"/>
    <w:rsid w:val="00D06A4C"/>
    <w:rsid w:val="00D14DD6"/>
    <w:rsid w:val="00D361B1"/>
    <w:rsid w:val="00D4402A"/>
    <w:rsid w:val="00D476E1"/>
    <w:rsid w:val="00D63853"/>
    <w:rsid w:val="00D9758F"/>
    <w:rsid w:val="00DA619C"/>
    <w:rsid w:val="00DD04BE"/>
    <w:rsid w:val="00DD7A81"/>
    <w:rsid w:val="00DE1C88"/>
    <w:rsid w:val="00E05C17"/>
    <w:rsid w:val="00E122E1"/>
    <w:rsid w:val="00E127B8"/>
    <w:rsid w:val="00E24BDE"/>
    <w:rsid w:val="00E327E7"/>
    <w:rsid w:val="00E45507"/>
    <w:rsid w:val="00E57906"/>
    <w:rsid w:val="00E61518"/>
    <w:rsid w:val="00E64012"/>
    <w:rsid w:val="00E66592"/>
    <w:rsid w:val="00E725E6"/>
    <w:rsid w:val="00E82F82"/>
    <w:rsid w:val="00E904A5"/>
    <w:rsid w:val="00EA3CC4"/>
    <w:rsid w:val="00EA4A39"/>
    <w:rsid w:val="00ED3BF2"/>
    <w:rsid w:val="00ED5021"/>
    <w:rsid w:val="00EE1E53"/>
    <w:rsid w:val="00EE34A9"/>
    <w:rsid w:val="00EF212B"/>
    <w:rsid w:val="00EF6E56"/>
    <w:rsid w:val="00F06E9A"/>
    <w:rsid w:val="00F1465B"/>
    <w:rsid w:val="00F51BC2"/>
    <w:rsid w:val="00F51D07"/>
    <w:rsid w:val="00F52438"/>
    <w:rsid w:val="00F545C3"/>
    <w:rsid w:val="00F63EF5"/>
    <w:rsid w:val="00F77371"/>
    <w:rsid w:val="00F92DDF"/>
    <w:rsid w:val="00F94B66"/>
    <w:rsid w:val="00FA2607"/>
    <w:rsid w:val="00FA5C72"/>
    <w:rsid w:val="00FB0852"/>
    <w:rsid w:val="00FC3ECD"/>
    <w:rsid w:val="00FD6D25"/>
    <w:rsid w:val="00FE5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B741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Footnote Text Char2 Char,Footnote Text Char1 Char Char,Footnote Text Char Char Char Char,Footnote Text Char1 Char2 Char Char Char,Footnote Text Char1 Char Char Char Char Char Char,ALTS FOOTNOTE,fn,Footnote Text Char1,f"/>
    <w:basedOn w:val="Normal"/>
    <w:link w:val="FootnoteTextChar2"/>
    <w:rPr>
      <w:sz w:val="20"/>
    </w:rPr>
  </w:style>
  <w:style w:type="character" w:styleId="FootnoteReference">
    <w:name w:val="footnote reference"/>
    <w:aliases w:val="Appel note de bas de p,Style 12,(NECG) Footnote Reference,Style 13,Style 124,fr,o,Style 3,FR,Style 17,Style 6,Footnote Reference/,Style 4"/>
    <w:rPr>
      <w:vertAlign w:val="superscript"/>
    </w:rPr>
  </w:style>
  <w:style w:type="paragraph" w:styleId="Title">
    <w:name w:val="Title"/>
    <w:basedOn w:val="Normal"/>
    <w:qFormat/>
    <w:pPr>
      <w:jc w:val="center"/>
    </w:pPr>
    <w:rPr>
      <w:b/>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Hyperlink">
    <w:name w:val="Hyperlink"/>
    <w:rsid w:val="00A308CD"/>
    <w:rPr>
      <w:color w:val="0000FF"/>
      <w:u w:val="single"/>
    </w:rPr>
  </w:style>
  <w:style w:type="character" w:customStyle="1" w:styleId="FootnoteTextChar2">
    <w:name w:val="Footnote Text Char2"/>
    <w:aliases w:val="Footnote Text Char Char,Footnote Text Char2 Char Char,Footnote Text Char1 Char Char Char,Footnote Text Char Char Char Char Char,Footnote Text Char1 Char2 Char Char Char Char,Footnote Text Char1 Char Char Char Char Char Char Char"/>
    <w:link w:val="FootnoteText"/>
    <w:semiHidden/>
    <w:locked/>
    <w:rsid w:val="007A368F"/>
  </w:style>
  <w:style w:type="character" w:customStyle="1" w:styleId="HeaderChar">
    <w:name w:val="Header Char"/>
    <w:link w:val="Header"/>
    <w:rsid w:val="000C4007"/>
    <w:rPr>
      <w:sz w:val="24"/>
    </w:rPr>
  </w:style>
  <w:style w:type="character" w:customStyle="1" w:styleId="Heading1Char">
    <w:name w:val="Heading 1 Char"/>
    <w:basedOn w:val="DefaultParagraphFont"/>
    <w:link w:val="Heading1"/>
    <w:rsid w:val="00B741A4"/>
    <w:rPr>
      <w:rFonts w:asciiTheme="majorHAnsi" w:eastAsiaTheme="majorEastAsia" w:hAnsiTheme="majorHAnsi" w:cstheme="majorBidi"/>
      <w:b/>
      <w:bCs/>
      <w:color w:val="365F91" w:themeColor="accent1" w:themeShade="BF"/>
      <w:sz w:val="28"/>
      <w:szCs w:val="28"/>
    </w:rPr>
  </w:style>
  <w:style w:type="character" w:customStyle="1" w:styleId="FootnoteTextChar2Char3Char">
    <w:name w:val="Footnote Text Char2 Char3 Char"/>
    <w:aliases w:val="Footnote Text Char Char6 Char Char,Footnote Text Char6 Char Char Char Char,Footnote Text Char Char6 Char Char1 Char1 Char,Footnote Text Char4 Char2 Char Char Char Char Char,Footnote Text Char6 Char Char"/>
    <w:basedOn w:val="DefaultParagraphFont"/>
    <w:rsid w:val="00B741A4"/>
    <w:rPr>
      <w:rFonts w:eastAsia="Times New Roman"/>
    </w:rPr>
  </w:style>
  <w:style w:type="paragraph" w:customStyle="1" w:styleId="ParaNum">
    <w:name w:val="ParaNum"/>
    <w:basedOn w:val="Normal"/>
    <w:rsid w:val="00B741A4"/>
    <w:pPr>
      <w:widowControl w:val="0"/>
      <w:numPr>
        <w:numId w:val="4"/>
      </w:numPr>
      <w:tabs>
        <w:tab w:val="clear" w:pos="1080"/>
        <w:tab w:val="num" w:pos="1440"/>
      </w:tabs>
      <w:spacing w:after="120"/>
    </w:pPr>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B741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Footnote Text Char2 Char,Footnote Text Char1 Char Char,Footnote Text Char Char Char Char,Footnote Text Char1 Char2 Char Char Char,Footnote Text Char1 Char Char Char Char Char Char,ALTS FOOTNOTE,fn,Footnote Text Char1,f"/>
    <w:basedOn w:val="Normal"/>
    <w:link w:val="FootnoteTextChar2"/>
    <w:rPr>
      <w:sz w:val="20"/>
    </w:rPr>
  </w:style>
  <w:style w:type="character" w:styleId="FootnoteReference">
    <w:name w:val="footnote reference"/>
    <w:aliases w:val="Appel note de bas de p,Style 12,(NECG) Footnote Reference,Style 13,Style 124,fr,o,Style 3,FR,Style 17,Style 6,Footnote Reference/,Style 4"/>
    <w:rPr>
      <w:vertAlign w:val="superscript"/>
    </w:rPr>
  </w:style>
  <w:style w:type="paragraph" w:styleId="Title">
    <w:name w:val="Title"/>
    <w:basedOn w:val="Normal"/>
    <w:qFormat/>
    <w:pPr>
      <w:jc w:val="center"/>
    </w:pPr>
    <w:rPr>
      <w:b/>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Hyperlink">
    <w:name w:val="Hyperlink"/>
    <w:rsid w:val="00A308CD"/>
    <w:rPr>
      <w:color w:val="0000FF"/>
      <w:u w:val="single"/>
    </w:rPr>
  </w:style>
  <w:style w:type="character" w:customStyle="1" w:styleId="FootnoteTextChar2">
    <w:name w:val="Footnote Text Char2"/>
    <w:aliases w:val="Footnote Text Char Char,Footnote Text Char2 Char Char,Footnote Text Char1 Char Char Char,Footnote Text Char Char Char Char Char,Footnote Text Char1 Char2 Char Char Char Char,Footnote Text Char1 Char Char Char Char Char Char Char"/>
    <w:link w:val="FootnoteText"/>
    <w:semiHidden/>
    <w:locked/>
    <w:rsid w:val="007A368F"/>
  </w:style>
  <w:style w:type="character" w:customStyle="1" w:styleId="HeaderChar">
    <w:name w:val="Header Char"/>
    <w:link w:val="Header"/>
    <w:rsid w:val="000C4007"/>
    <w:rPr>
      <w:sz w:val="24"/>
    </w:rPr>
  </w:style>
  <w:style w:type="character" w:customStyle="1" w:styleId="Heading1Char">
    <w:name w:val="Heading 1 Char"/>
    <w:basedOn w:val="DefaultParagraphFont"/>
    <w:link w:val="Heading1"/>
    <w:rsid w:val="00B741A4"/>
    <w:rPr>
      <w:rFonts w:asciiTheme="majorHAnsi" w:eastAsiaTheme="majorEastAsia" w:hAnsiTheme="majorHAnsi" w:cstheme="majorBidi"/>
      <w:b/>
      <w:bCs/>
      <w:color w:val="365F91" w:themeColor="accent1" w:themeShade="BF"/>
      <w:sz w:val="28"/>
      <w:szCs w:val="28"/>
    </w:rPr>
  </w:style>
  <w:style w:type="character" w:customStyle="1" w:styleId="FootnoteTextChar2Char3Char">
    <w:name w:val="Footnote Text Char2 Char3 Char"/>
    <w:aliases w:val="Footnote Text Char Char6 Char Char,Footnote Text Char6 Char Char Char Char,Footnote Text Char Char6 Char Char1 Char1 Char,Footnote Text Char4 Char2 Char Char Char Char Char,Footnote Text Char6 Char Char"/>
    <w:basedOn w:val="DefaultParagraphFont"/>
    <w:rsid w:val="00B741A4"/>
    <w:rPr>
      <w:rFonts w:eastAsia="Times New Roman"/>
    </w:rPr>
  </w:style>
  <w:style w:type="paragraph" w:customStyle="1" w:styleId="ParaNum">
    <w:name w:val="ParaNum"/>
    <w:basedOn w:val="Normal"/>
    <w:rsid w:val="00B741A4"/>
    <w:pPr>
      <w:widowControl w:val="0"/>
      <w:numPr>
        <w:numId w:val="4"/>
      </w:numPr>
      <w:tabs>
        <w:tab w:val="clear" w:pos="1080"/>
        <w:tab w:val="num" w:pos="1440"/>
      </w:tabs>
      <w:spacing w:after="120"/>
    </w:pPr>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74534">
      <w:bodyDiv w:val="1"/>
      <w:marLeft w:val="0"/>
      <w:marRight w:val="0"/>
      <w:marTop w:val="0"/>
      <w:marBottom w:val="0"/>
      <w:divBdr>
        <w:top w:val="none" w:sz="0" w:space="0" w:color="auto"/>
        <w:left w:val="none" w:sz="0" w:space="0" w:color="auto"/>
        <w:bottom w:val="none" w:sz="0" w:space="0" w:color="auto"/>
        <w:right w:val="none" w:sz="0" w:space="0" w:color="auto"/>
      </w:divBdr>
      <w:divsChild>
        <w:div w:id="1003701150">
          <w:marLeft w:val="0"/>
          <w:marRight w:val="0"/>
          <w:marTop w:val="0"/>
          <w:marBottom w:val="79"/>
          <w:divBdr>
            <w:top w:val="none" w:sz="0" w:space="0" w:color="auto"/>
            <w:left w:val="none" w:sz="0" w:space="0" w:color="auto"/>
            <w:bottom w:val="none" w:sz="0" w:space="0" w:color="auto"/>
            <w:right w:val="none" w:sz="0" w:space="0" w:color="auto"/>
          </w:divBdr>
        </w:div>
      </w:divsChild>
    </w:div>
    <w:div w:id="1477645533">
      <w:bodyDiv w:val="1"/>
      <w:marLeft w:val="0"/>
      <w:marRight w:val="0"/>
      <w:marTop w:val="0"/>
      <w:marBottom w:val="0"/>
      <w:divBdr>
        <w:top w:val="none" w:sz="0" w:space="0" w:color="auto"/>
        <w:left w:val="none" w:sz="0" w:space="0" w:color="auto"/>
        <w:bottom w:val="none" w:sz="0" w:space="0" w:color="auto"/>
        <w:right w:val="none" w:sz="0" w:space="0" w:color="auto"/>
      </w:divBdr>
    </w:div>
    <w:div w:id="1680353172">
      <w:bodyDiv w:val="1"/>
      <w:marLeft w:val="0"/>
      <w:marRight w:val="0"/>
      <w:marTop w:val="0"/>
      <w:marBottom w:val="0"/>
      <w:divBdr>
        <w:top w:val="none" w:sz="0" w:space="0" w:color="auto"/>
        <w:left w:val="none" w:sz="0" w:space="0" w:color="auto"/>
        <w:bottom w:val="none" w:sz="0" w:space="0" w:color="auto"/>
        <w:right w:val="none" w:sz="0" w:space="0" w:color="auto"/>
      </w:divBdr>
      <w:divsChild>
        <w:div w:id="284116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3270</Characters>
  <Application>Microsoft Office Word</Application>
  <DocSecurity>0</DocSecurity>
  <Lines>59</Lines>
  <Paragraphs>20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3873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2012-04-23T18:04:00Z</cp:lastPrinted>
  <dcterms:created xsi:type="dcterms:W3CDTF">2014-06-23T16:55:00Z</dcterms:created>
  <dcterms:modified xsi:type="dcterms:W3CDTF">2014-06-23T16:55:00Z</dcterms:modified>
  <cp:category> </cp:category>
  <cp:contentStatus> </cp:contentStatus>
</cp:coreProperties>
</file>