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F69DF" w:rsidRPr="001E68FC" w:rsidRDefault="000F69DF">
      <w:pPr>
        <w:jc w:val="right"/>
        <w:rPr>
          <w:b/>
          <w:sz w:val="24"/>
        </w:rPr>
      </w:pPr>
      <w:r w:rsidRPr="001E68FC">
        <w:rPr>
          <w:b/>
          <w:sz w:val="24"/>
        </w:rPr>
        <w:lastRenderedPageBreak/>
        <w:t>DA</w:t>
      </w:r>
      <w:r w:rsidR="00B26A17">
        <w:rPr>
          <w:b/>
          <w:sz w:val="24"/>
        </w:rPr>
        <w:t xml:space="preserve"> 14-</w:t>
      </w:r>
      <w:r w:rsidR="00482D6F">
        <w:rPr>
          <w:b/>
          <w:sz w:val="24"/>
        </w:rPr>
        <w:t>923</w:t>
      </w:r>
    </w:p>
    <w:p w:rsidR="000F69DF" w:rsidRPr="001E68FC" w:rsidRDefault="00B26A17">
      <w:pPr>
        <w:spacing w:before="60"/>
        <w:jc w:val="right"/>
        <w:rPr>
          <w:b/>
          <w:sz w:val="24"/>
        </w:rPr>
      </w:pPr>
      <w:r>
        <w:rPr>
          <w:b/>
          <w:sz w:val="24"/>
        </w:rPr>
        <w:t>June 27</w:t>
      </w:r>
      <w:r w:rsidR="001E68FC" w:rsidRPr="001E68FC">
        <w:rPr>
          <w:b/>
          <w:sz w:val="24"/>
        </w:rPr>
        <w:t>, 2014</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 xml:space="preserve">PETITION CONCERNING THE cOMMISSION’S RULE ON OPT-OUT NOTICEs ON FAX ADVERTISEMENTS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B26A17">
        <w:rPr>
          <w:szCs w:val="22"/>
        </w:rPr>
        <w:t xml:space="preserve">  July 11</w:t>
      </w:r>
      <w:r>
        <w:rPr>
          <w:szCs w:val="22"/>
        </w:rPr>
        <w:t>, 2014</w:t>
      </w:r>
    </w:p>
    <w:p w:rsidR="000F69DF" w:rsidRPr="00997FAC" w:rsidRDefault="001E68FC" w:rsidP="00997FAC">
      <w:pPr>
        <w:rPr>
          <w:b/>
        </w:rPr>
      </w:pPr>
      <w:r>
        <w:rPr>
          <w:b/>
        </w:rPr>
        <w:t>Reply Comment Date</w:t>
      </w:r>
      <w:r>
        <w:t xml:space="preserve">:  </w:t>
      </w:r>
      <w:r w:rsidR="00621993">
        <w:rPr>
          <w:b/>
        </w:rPr>
        <w:t>July 18</w:t>
      </w:r>
      <w:r>
        <w:t xml:space="preserve">, </w:t>
      </w:r>
      <w:r>
        <w:rPr>
          <w:b/>
        </w:rPr>
        <w:t>2014</w:t>
      </w:r>
    </w:p>
    <w:p w:rsidR="001E68FC" w:rsidRDefault="001E68FC">
      <w:pPr>
        <w:spacing w:before="120" w:after="240"/>
        <w:rPr>
          <w:szCs w:val="22"/>
        </w:rPr>
      </w:pPr>
      <w:r>
        <w:rPr>
          <w:sz w:val="24"/>
        </w:rPr>
        <w:tab/>
      </w:r>
      <w:r w:rsidR="00B261AB">
        <w:rPr>
          <w:szCs w:val="22"/>
        </w:rPr>
        <w:t>On June 6, 2014, Stericycle, Inc. (Petitioner)</w:t>
      </w:r>
      <w:r w:rsidR="00BC51CD" w:rsidRPr="00BC51CD">
        <w:rPr>
          <w:szCs w:val="22"/>
        </w:rPr>
        <w:t xml:space="preserve"> </w:t>
      </w:r>
      <w:r w:rsidR="008675B7">
        <w:rPr>
          <w:szCs w:val="22"/>
        </w:rPr>
        <w:t xml:space="preserve">filed </w:t>
      </w:r>
      <w:r w:rsidRPr="00BC51CD">
        <w:rPr>
          <w:szCs w:val="22"/>
        </w:rPr>
        <w:t xml:space="preserve">a </w:t>
      </w:r>
      <w:r w:rsidR="00B261AB">
        <w:rPr>
          <w:szCs w:val="22"/>
        </w:rPr>
        <w:t xml:space="preserve">petition for </w:t>
      </w:r>
      <w:r w:rsidRPr="00BC51CD">
        <w:rPr>
          <w:szCs w:val="22"/>
        </w:rPr>
        <w:t>declaratory ruling and/or waiver concerning section 64.1200(a)(4)(iv) of the Commission’s rules, which requires fax advertisements sent to a consumer who has provided prior express invitation or permission to include an opt-out notice.</w:t>
      </w:r>
      <w:r w:rsidRPr="00BC51CD">
        <w:rPr>
          <w:rStyle w:val="FootnoteReference"/>
          <w:szCs w:val="22"/>
        </w:rPr>
        <w:footnoteReference w:id="1"/>
      </w:r>
      <w:r w:rsidRPr="00BC51CD">
        <w:rPr>
          <w:szCs w:val="22"/>
        </w:rPr>
        <w:t xml:space="preserve">  With this Public </w:t>
      </w:r>
      <w:r w:rsidR="00B261AB">
        <w:rPr>
          <w:szCs w:val="22"/>
        </w:rPr>
        <w:t>Notice, we seek comment on this petition</w:t>
      </w:r>
      <w:r w:rsidRPr="00BC51CD">
        <w:rPr>
          <w:szCs w:val="22"/>
        </w:rPr>
        <w:t xml:space="preserve"> as described below.  </w:t>
      </w:r>
    </w:p>
    <w:p w:rsidR="00F716C5" w:rsidRPr="00BC51CD" w:rsidRDefault="00BC51CD">
      <w:pPr>
        <w:spacing w:before="120" w:after="240"/>
        <w:rPr>
          <w:szCs w:val="22"/>
        </w:rPr>
      </w:pPr>
      <w:r>
        <w:rPr>
          <w:szCs w:val="22"/>
        </w:rPr>
        <w:tab/>
      </w:r>
      <w:r w:rsidR="00B261AB">
        <w:rPr>
          <w:szCs w:val="22"/>
        </w:rPr>
        <w:t xml:space="preserve">The </w:t>
      </w:r>
      <w:r w:rsidR="005A066E">
        <w:rPr>
          <w:szCs w:val="22"/>
        </w:rPr>
        <w:t>P</w:t>
      </w:r>
      <w:r w:rsidR="00B261AB">
        <w:rPr>
          <w:szCs w:val="22"/>
        </w:rPr>
        <w:t xml:space="preserve">etitioner seeks a declaratory ruling clarifying that section 64.1200(a)(4)(iv) does not apply to faxes sent with express permission because </w:t>
      </w:r>
      <w:r w:rsidR="00A66417">
        <w:rPr>
          <w:szCs w:val="22"/>
        </w:rPr>
        <w:t xml:space="preserve">it contends </w:t>
      </w:r>
      <w:r w:rsidR="00B261AB">
        <w:rPr>
          <w:szCs w:val="22"/>
        </w:rPr>
        <w:t>Congress did not grant the Commission authority to regulate solicited faxes</w:t>
      </w:r>
      <w:r w:rsidR="00DA3FCE">
        <w:rPr>
          <w:szCs w:val="22"/>
        </w:rPr>
        <w:t>.</w:t>
      </w:r>
      <w:r w:rsidR="00DA3FCE">
        <w:rPr>
          <w:rStyle w:val="FootnoteReference"/>
          <w:szCs w:val="22"/>
        </w:rPr>
        <w:footnoteReference w:id="2"/>
      </w:r>
      <w:r w:rsidR="00170DCF">
        <w:rPr>
          <w:szCs w:val="22"/>
        </w:rPr>
        <w:t xml:space="preserve">  </w:t>
      </w:r>
      <w:r w:rsidR="00B25A6F">
        <w:rPr>
          <w:szCs w:val="22"/>
        </w:rPr>
        <w:t>In addition, the Petitioner argues that regulation of solicited faxes raise</w:t>
      </w:r>
      <w:r w:rsidR="0001646B">
        <w:rPr>
          <w:szCs w:val="22"/>
        </w:rPr>
        <w:t>s</w:t>
      </w:r>
      <w:r w:rsidR="00B25A6F">
        <w:rPr>
          <w:szCs w:val="22"/>
        </w:rPr>
        <w:t xml:space="preserve"> substantial First Amendment concerns.</w:t>
      </w:r>
      <w:r w:rsidR="00B25A6F">
        <w:rPr>
          <w:rStyle w:val="FootnoteReference"/>
          <w:szCs w:val="22"/>
        </w:rPr>
        <w:footnoteReference w:id="3"/>
      </w:r>
      <w:r w:rsidR="00B25A6F">
        <w:rPr>
          <w:szCs w:val="22"/>
        </w:rPr>
        <w:t xml:space="preserve">  </w:t>
      </w:r>
      <w:r w:rsidR="008675B7">
        <w:rPr>
          <w:szCs w:val="22"/>
        </w:rPr>
        <w:t>Alternatively, the petitioners</w:t>
      </w:r>
      <w:r w:rsidR="00DA3FCE">
        <w:rPr>
          <w:szCs w:val="22"/>
        </w:rPr>
        <w:t xml:space="preserve"> request that the Commission clarify that the statutory basis for this rule is not section 227</w:t>
      </w:r>
      <w:r w:rsidR="0001646B">
        <w:rPr>
          <w:szCs w:val="22"/>
        </w:rPr>
        <w:t>(b)</w:t>
      </w:r>
      <w:r w:rsidR="00DA3FCE">
        <w:rPr>
          <w:szCs w:val="22"/>
        </w:rPr>
        <w:t xml:space="preserve"> of the Communications Act, as amended.</w:t>
      </w:r>
      <w:r w:rsidR="00DA3FCE">
        <w:rPr>
          <w:rStyle w:val="FootnoteReference"/>
          <w:szCs w:val="22"/>
        </w:rPr>
        <w:footnoteReference w:id="4"/>
      </w:r>
      <w:r w:rsidR="00732B25">
        <w:rPr>
          <w:szCs w:val="22"/>
        </w:rPr>
        <w:t xml:space="preserve">  Should the Commission decline </w:t>
      </w:r>
      <w:r w:rsidR="00FF363A">
        <w:rPr>
          <w:szCs w:val="22"/>
        </w:rPr>
        <w:t>these</w:t>
      </w:r>
      <w:r w:rsidR="00732B25">
        <w:rPr>
          <w:szCs w:val="22"/>
        </w:rPr>
        <w:t xml:space="preserve"> </w:t>
      </w:r>
      <w:r w:rsidR="00DA3FCE">
        <w:rPr>
          <w:szCs w:val="22"/>
        </w:rPr>
        <w:t>request</w:t>
      </w:r>
      <w:r w:rsidR="00997FAC">
        <w:rPr>
          <w:szCs w:val="22"/>
        </w:rPr>
        <w:t>s</w:t>
      </w:r>
      <w:r w:rsidR="00DA3FCE">
        <w:rPr>
          <w:szCs w:val="22"/>
        </w:rPr>
        <w:t xml:space="preserve"> for declaratory ruling,</w:t>
      </w:r>
      <w:r w:rsidR="00170DCF">
        <w:rPr>
          <w:szCs w:val="22"/>
        </w:rPr>
        <w:t xml:space="preserve"> </w:t>
      </w:r>
      <w:r w:rsidR="003C6359">
        <w:rPr>
          <w:szCs w:val="22"/>
        </w:rPr>
        <w:t>the P</w:t>
      </w:r>
      <w:r w:rsidR="008675B7">
        <w:rPr>
          <w:szCs w:val="22"/>
        </w:rPr>
        <w:t>etitioner</w:t>
      </w:r>
      <w:r w:rsidR="00DA3FCE">
        <w:rPr>
          <w:szCs w:val="22"/>
        </w:rPr>
        <w:t xml:space="preserve"> seek</w:t>
      </w:r>
      <w:r w:rsidR="003C6359">
        <w:rPr>
          <w:szCs w:val="22"/>
        </w:rPr>
        <w:t>s</w:t>
      </w:r>
      <w:r w:rsidR="00DA3FCE">
        <w:rPr>
          <w:szCs w:val="22"/>
        </w:rPr>
        <w:t xml:space="preserve"> a retroactive waiver </w:t>
      </w:r>
      <w:r w:rsidR="0001646B">
        <w:rPr>
          <w:szCs w:val="22"/>
        </w:rPr>
        <w:t xml:space="preserve">of the opt-out notice requirement </w:t>
      </w:r>
      <w:r w:rsidR="00DA3FCE">
        <w:rPr>
          <w:szCs w:val="22"/>
        </w:rPr>
        <w:t>for fax advertisements sent where prior express consent has been obtained from the recipient.</w:t>
      </w:r>
      <w:r w:rsidR="00DA3FCE">
        <w:rPr>
          <w:rStyle w:val="FootnoteReference"/>
          <w:szCs w:val="22"/>
        </w:rPr>
        <w:footnoteReference w:id="5"/>
      </w:r>
      <w:r w:rsidR="00170DCF">
        <w:rPr>
          <w:szCs w:val="22"/>
        </w:rPr>
        <w:t xml:space="preserve"> </w:t>
      </w:r>
      <w:r w:rsidR="00DA3FCE">
        <w:rPr>
          <w:szCs w:val="22"/>
        </w:rPr>
        <w:t xml:space="preserve"> </w:t>
      </w:r>
      <w:r w:rsidR="00F716C5">
        <w:rPr>
          <w:szCs w:val="22"/>
        </w:rPr>
        <w:t xml:space="preserve"> </w:t>
      </w:r>
    </w:p>
    <w:p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w:t>
      </w:r>
      <w:r w:rsidRPr="001E68FC">
        <w:rPr>
          <w:szCs w:val="22"/>
        </w:rPr>
        <w:lastRenderedPageBreak/>
        <w:t xml:space="preserve">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6"/>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1E68FC" w:rsidRPr="001E68FC" w:rsidRDefault="001E68FC" w:rsidP="001E68FC">
      <w:pPr>
        <w:rPr>
          <w:szCs w:val="22"/>
        </w:rPr>
      </w:pPr>
      <w:r w:rsidRPr="001E68FC">
        <w:rPr>
          <w:b/>
          <w:szCs w:val="22"/>
        </w:rPr>
        <w:t>FOR FURTHER INFORMATION CONTACT:</w:t>
      </w:r>
      <w:r w:rsidRPr="001E68FC">
        <w:rPr>
          <w:szCs w:val="22"/>
        </w:rPr>
        <w:t xml:space="preserve">  Richard D. Smith, Consumer and Governmental Affairs Bureau, Federal Communications Commission, (717) 338-2797</w:t>
      </w:r>
      <w:r w:rsidR="006D0730">
        <w:rPr>
          <w:szCs w:val="22"/>
        </w:rPr>
        <w:t>;</w:t>
      </w:r>
      <w:r w:rsidRPr="001E68FC">
        <w:rPr>
          <w:szCs w:val="22"/>
        </w:rPr>
        <w:t xml:space="preserve"> or Richard.Smith@fcc.gov.</w:t>
      </w:r>
    </w:p>
    <w:p w:rsidR="006878EA" w:rsidRPr="00801FF6" w:rsidRDefault="001E68FC" w:rsidP="00801FF6">
      <w:pPr>
        <w:jc w:val="center"/>
        <w:rPr>
          <w:b/>
          <w:sz w:val="24"/>
          <w:szCs w:val="24"/>
        </w:rPr>
      </w:pPr>
      <w:r w:rsidRPr="001E68FC">
        <w:rPr>
          <w:b/>
          <w:sz w:val="24"/>
          <w:szCs w:val="24"/>
        </w:rPr>
        <w:t>-FCC-</w:t>
      </w:r>
    </w:p>
    <w:sectPr w:rsidR="006878EA" w:rsidRPr="00801FF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4D" w:rsidRDefault="0008404D">
      <w:r>
        <w:separator/>
      </w:r>
    </w:p>
  </w:endnote>
  <w:endnote w:type="continuationSeparator" w:id="0">
    <w:p w:rsidR="0008404D" w:rsidRDefault="0008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10" w:rsidRDefault="00066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10" w:rsidRDefault="00066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10" w:rsidRDefault="00066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4D" w:rsidRDefault="0008404D">
      <w:r>
        <w:separator/>
      </w:r>
    </w:p>
  </w:footnote>
  <w:footnote w:type="continuationSeparator" w:id="0">
    <w:p w:rsidR="0008404D" w:rsidRDefault="0008404D">
      <w:r>
        <w:continuationSeparator/>
      </w:r>
    </w:p>
  </w:footnote>
  <w:footnote w:id="1">
    <w:p w:rsidR="00A66417" w:rsidRDefault="00A66417" w:rsidP="001E68FC">
      <w:pPr>
        <w:rPr>
          <w:sz w:val="20"/>
        </w:rPr>
      </w:pPr>
      <w:r w:rsidRPr="00D04F67">
        <w:rPr>
          <w:rStyle w:val="FootnoteReference"/>
          <w:sz w:val="20"/>
        </w:rPr>
        <w:footnoteRef/>
      </w:r>
      <w:r w:rsidRPr="00D04F67">
        <w:rPr>
          <w:sz w:val="20"/>
        </w:rPr>
        <w:t xml:space="preserve"> </w:t>
      </w:r>
      <w:r>
        <w:rPr>
          <w:i/>
          <w:sz w:val="20"/>
        </w:rPr>
        <w:t>See Petition of Stericycle, Inc. for Declaratory Ruling and/or Waiver Regarding 47 C.F.R.</w:t>
      </w:r>
      <w:r w:rsidRPr="00D04F67">
        <w:rPr>
          <w:sz w:val="20"/>
        </w:rPr>
        <w:t>§</w:t>
      </w:r>
      <w:r>
        <w:rPr>
          <w:sz w:val="20"/>
        </w:rPr>
        <w:t xml:space="preserve"> </w:t>
      </w:r>
      <w:r>
        <w:rPr>
          <w:i/>
          <w:sz w:val="20"/>
        </w:rPr>
        <w:t>64.1200(a)(4)(iv),</w:t>
      </w:r>
      <w:r>
        <w:rPr>
          <w:sz w:val="20"/>
        </w:rPr>
        <w:t xml:space="preserve"> CG Docket Nos. 02-278, 05-338 (filed June 6, 2014) (Petition). </w:t>
      </w:r>
    </w:p>
    <w:p w:rsidR="00A66417" w:rsidRPr="00D04F67" w:rsidRDefault="00A66417" w:rsidP="001E68FC">
      <w:pPr>
        <w:rPr>
          <w:sz w:val="20"/>
        </w:rPr>
      </w:pPr>
    </w:p>
  </w:footnote>
  <w:footnote w:id="2">
    <w:p w:rsidR="00A66417" w:rsidRPr="00661A3A" w:rsidRDefault="00A66417">
      <w:pPr>
        <w:pStyle w:val="FootnoteText"/>
        <w:rPr>
          <w:sz w:val="20"/>
        </w:rPr>
      </w:pPr>
      <w:r w:rsidRPr="00D04F67">
        <w:rPr>
          <w:rStyle w:val="FootnoteReference"/>
          <w:sz w:val="20"/>
        </w:rPr>
        <w:footnoteRef/>
      </w:r>
      <w:r w:rsidRPr="00D04F67">
        <w:rPr>
          <w:sz w:val="20"/>
        </w:rPr>
        <w:t xml:space="preserve"> </w:t>
      </w:r>
      <w:r>
        <w:rPr>
          <w:i/>
          <w:sz w:val="20"/>
        </w:rPr>
        <w:t xml:space="preserve">See </w:t>
      </w:r>
      <w:r>
        <w:rPr>
          <w:sz w:val="20"/>
        </w:rPr>
        <w:t>Petition at 13-14</w:t>
      </w:r>
      <w:r w:rsidR="006677EF">
        <w:rPr>
          <w:sz w:val="20"/>
        </w:rPr>
        <w:t>;</w:t>
      </w:r>
      <w:r>
        <w:rPr>
          <w:sz w:val="20"/>
        </w:rPr>
        <w:t xml:space="preserve"> </w:t>
      </w:r>
      <w:r w:rsidR="006677EF">
        <w:rPr>
          <w:i/>
          <w:sz w:val="20"/>
        </w:rPr>
        <w:t>i</w:t>
      </w:r>
      <w:r>
        <w:rPr>
          <w:i/>
          <w:sz w:val="20"/>
        </w:rPr>
        <w:t xml:space="preserve">d. </w:t>
      </w:r>
      <w:r>
        <w:rPr>
          <w:sz w:val="20"/>
        </w:rPr>
        <w:t>at 12 (arguing that the rule is “confusing at best and certainly can be interpreted multiple ways by well-informed people”).</w:t>
      </w:r>
    </w:p>
  </w:footnote>
  <w:footnote w:id="3">
    <w:p w:rsidR="00A66417" w:rsidRPr="00B25A6F" w:rsidRDefault="00A66417">
      <w:pPr>
        <w:pStyle w:val="FootnoteText"/>
        <w:rPr>
          <w:sz w:val="20"/>
        </w:rPr>
      </w:pPr>
      <w:r w:rsidRPr="00B25A6F">
        <w:rPr>
          <w:rStyle w:val="FootnoteReference"/>
          <w:sz w:val="20"/>
        </w:rPr>
        <w:footnoteRef/>
      </w:r>
      <w:r w:rsidRPr="00B25A6F">
        <w:rPr>
          <w:sz w:val="20"/>
        </w:rPr>
        <w:t xml:space="preserve"> </w:t>
      </w:r>
      <w:r w:rsidRPr="00B25A6F">
        <w:rPr>
          <w:i/>
          <w:sz w:val="20"/>
        </w:rPr>
        <w:t>Id.</w:t>
      </w:r>
      <w:r w:rsidRPr="00B25A6F">
        <w:rPr>
          <w:sz w:val="20"/>
        </w:rPr>
        <w:t xml:space="preserve"> at 14.</w:t>
      </w:r>
    </w:p>
  </w:footnote>
  <w:footnote w:id="4">
    <w:p w:rsidR="00A66417" w:rsidRPr="00D04F67" w:rsidRDefault="00A66417">
      <w:pPr>
        <w:pStyle w:val="FootnoteText"/>
        <w:rPr>
          <w:sz w:val="20"/>
        </w:rPr>
      </w:pPr>
      <w:r w:rsidRPr="00D04F67">
        <w:rPr>
          <w:rStyle w:val="FootnoteReference"/>
          <w:sz w:val="20"/>
        </w:rPr>
        <w:footnoteRef/>
      </w:r>
      <w:r w:rsidRPr="00D04F67">
        <w:rPr>
          <w:sz w:val="20"/>
        </w:rPr>
        <w:t xml:space="preserve"> </w:t>
      </w:r>
      <w:r>
        <w:rPr>
          <w:i/>
          <w:sz w:val="20"/>
        </w:rPr>
        <w:t xml:space="preserve">Id. </w:t>
      </w:r>
      <w:r>
        <w:rPr>
          <w:sz w:val="20"/>
        </w:rPr>
        <w:t>at 15</w:t>
      </w:r>
      <w:r w:rsidRPr="00D04F67">
        <w:rPr>
          <w:sz w:val="20"/>
        </w:rPr>
        <w:t>.</w:t>
      </w:r>
    </w:p>
  </w:footnote>
  <w:footnote w:id="5">
    <w:p w:rsidR="00A66417" w:rsidRPr="00A66417" w:rsidRDefault="00A66417">
      <w:pPr>
        <w:pStyle w:val="FootnoteText"/>
        <w:rPr>
          <w:sz w:val="20"/>
        </w:rPr>
      </w:pPr>
      <w:r w:rsidRPr="00D04F67">
        <w:rPr>
          <w:rStyle w:val="FootnoteReference"/>
          <w:sz w:val="20"/>
        </w:rPr>
        <w:footnoteRef/>
      </w:r>
      <w:r w:rsidRPr="00D04F67">
        <w:rPr>
          <w:sz w:val="20"/>
        </w:rPr>
        <w:t xml:space="preserve"> </w:t>
      </w:r>
      <w:r>
        <w:rPr>
          <w:i/>
          <w:sz w:val="20"/>
        </w:rPr>
        <w:t>Id</w:t>
      </w:r>
      <w:r w:rsidRPr="00D04F67">
        <w:rPr>
          <w:sz w:val="20"/>
        </w:rPr>
        <w:t>.</w:t>
      </w:r>
      <w:r>
        <w:rPr>
          <w:i/>
          <w:sz w:val="20"/>
        </w:rPr>
        <w:t xml:space="preserve"> </w:t>
      </w:r>
      <w:r>
        <w:rPr>
          <w:sz w:val="20"/>
        </w:rPr>
        <w:t>at 16.</w:t>
      </w:r>
    </w:p>
  </w:footnote>
  <w:footnote w:id="6">
    <w:p w:rsidR="00A66417" w:rsidRPr="00D04F67" w:rsidRDefault="00A66417" w:rsidP="001E68FC">
      <w:pPr>
        <w:pStyle w:val="FootnoteText"/>
        <w:rPr>
          <w:iCs/>
          <w:sz w:val="20"/>
        </w:rPr>
      </w:pPr>
      <w:r w:rsidRPr="00D04F67">
        <w:rPr>
          <w:rStyle w:val="FootnoteReference"/>
          <w:sz w:val="20"/>
        </w:rPr>
        <w:footnoteRef/>
      </w:r>
      <w:r w:rsidRPr="00D04F67">
        <w:rPr>
          <w:sz w:val="20"/>
        </w:rPr>
        <w:t xml:space="preserve"> 47 C.F.R. §§ 1.1200 </w:t>
      </w:r>
      <w:r w:rsidRPr="00D04F67">
        <w:rPr>
          <w:i/>
          <w:iCs/>
          <w:sz w:val="20"/>
        </w:rPr>
        <w:t>et seq</w:t>
      </w:r>
      <w:r w:rsidRPr="00D04F67">
        <w:rPr>
          <w:iCs/>
          <w:sz w:val="20"/>
        </w:rPr>
        <w:t>.</w:t>
      </w:r>
    </w:p>
    <w:p w:rsidR="00A66417" w:rsidRPr="00D04F67" w:rsidRDefault="00A66417" w:rsidP="001E68FC">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10" w:rsidRDefault="00066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10" w:rsidRDefault="00066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17" w:rsidRDefault="00A6641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A54AF7E" wp14:editId="2DDD6431">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1598977" wp14:editId="02FB4FA9">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417" w:rsidRDefault="00A66417">
                          <w:pPr>
                            <w:rPr>
                              <w:rFonts w:ascii="Arial" w:hAnsi="Arial"/>
                              <w:b/>
                            </w:rPr>
                          </w:pPr>
                          <w:r>
                            <w:rPr>
                              <w:rFonts w:ascii="Arial" w:hAnsi="Arial"/>
                              <w:b/>
                            </w:rPr>
                            <w:t>Federal Communications Commission</w:t>
                          </w:r>
                        </w:p>
                        <w:p w:rsidR="00A66417" w:rsidRDefault="00A664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66417" w:rsidRDefault="00A6641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716C5" w:rsidRDefault="00F716C5">
                    <w:pPr>
                      <w:rPr>
                        <w:rFonts w:ascii="Arial" w:hAnsi="Arial"/>
                        <w:b/>
                      </w:rPr>
                    </w:pPr>
                    <w:r>
                      <w:rPr>
                        <w:rFonts w:ascii="Arial" w:hAnsi="Arial"/>
                        <w:b/>
                      </w:rPr>
                      <w:t>Federal Communications Commission</w:t>
                    </w:r>
                  </w:p>
                  <w:p w:rsidR="00F716C5" w:rsidRDefault="00F716C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716C5" w:rsidRDefault="00F716C5">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A66417" w:rsidRDefault="00A6641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E2BA70F" wp14:editId="6BB4F225">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7BA646A" wp14:editId="64AAEA6E">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417" w:rsidRDefault="00A66417">
                          <w:pPr>
                            <w:spacing w:before="40"/>
                            <w:jc w:val="right"/>
                            <w:rPr>
                              <w:rFonts w:ascii="Arial" w:hAnsi="Arial"/>
                              <w:b/>
                              <w:sz w:val="16"/>
                            </w:rPr>
                          </w:pPr>
                          <w:r>
                            <w:rPr>
                              <w:rFonts w:ascii="Arial" w:hAnsi="Arial"/>
                              <w:b/>
                              <w:sz w:val="16"/>
                            </w:rPr>
                            <w:t>News Media Information 202 / 418-0500</w:t>
                          </w:r>
                        </w:p>
                        <w:p w:rsidR="00A66417" w:rsidRDefault="00A6641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66417" w:rsidRDefault="00A66417">
                          <w:pPr>
                            <w:jc w:val="right"/>
                            <w:rPr>
                              <w:rFonts w:ascii="Arial" w:hAnsi="Arial"/>
                              <w:b/>
                              <w:sz w:val="16"/>
                            </w:rPr>
                          </w:pPr>
                          <w:r>
                            <w:rPr>
                              <w:rFonts w:ascii="Arial" w:hAnsi="Arial"/>
                              <w:b/>
                              <w:sz w:val="16"/>
                            </w:rPr>
                            <w:t>TTY: 1-888-835-5322</w:t>
                          </w:r>
                        </w:p>
                        <w:p w:rsidR="00A66417" w:rsidRDefault="00A6641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716C5" w:rsidRDefault="00F716C5">
                    <w:pPr>
                      <w:spacing w:before="40"/>
                      <w:jc w:val="right"/>
                      <w:rPr>
                        <w:rFonts w:ascii="Arial" w:hAnsi="Arial"/>
                        <w:b/>
                        <w:sz w:val="16"/>
                      </w:rPr>
                    </w:pPr>
                    <w:r>
                      <w:rPr>
                        <w:rFonts w:ascii="Arial" w:hAnsi="Arial"/>
                        <w:b/>
                        <w:sz w:val="16"/>
                      </w:rPr>
                      <w:t>News Media Information 202 / 418-0500</w:t>
                    </w:r>
                  </w:p>
                  <w:p w:rsidR="00F716C5" w:rsidRDefault="00F716C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716C5" w:rsidRDefault="00F716C5">
                    <w:pPr>
                      <w:jc w:val="right"/>
                      <w:rPr>
                        <w:rFonts w:ascii="Arial" w:hAnsi="Arial"/>
                        <w:b/>
                        <w:sz w:val="16"/>
                      </w:rPr>
                    </w:pPr>
                    <w:r>
                      <w:rPr>
                        <w:rFonts w:ascii="Arial" w:hAnsi="Arial"/>
                        <w:b/>
                        <w:sz w:val="16"/>
                      </w:rPr>
                      <w:t>TTY: 1-888-835-5322</w:t>
                    </w:r>
                  </w:p>
                  <w:p w:rsidR="00F716C5" w:rsidRDefault="00F716C5">
                    <w:pPr>
                      <w:jc w:val="right"/>
                    </w:pPr>
                  </w:p>
                </w:txbxContent>
              </v:textbox>
            </v:shape>
          </w:pict>
        </mc:Fallback>
      </mc:AlternateContent>
    </w:r>
  </w:p>
  <w:p w:rsidR="00A66417" w:rsidRDefault="00A6641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646B"/>
    <w:rsid w:val="00030150"/>
    <w:rsid w:val="00066E10"/>
    <w:rsid w:val="0008404D"/>
    <w:rsid w:val="000B553F"/>
    <w:rsid w:val="000F69DF"/>
    <w:rsid w:val="0010035E"/>
    <w:rsid w:val="00146E01"/>
    <w:rsid w:val="00170DCF"/>
    <w:rsid w:val="001B4F07"/>
    <w:rsid w:val="001E68FC"/>
    <w:rsid w:val="00257984"/>
    <w:rsid w:val="002A23B4"/>
    <w:rsid w:val="002A58ED"/>
    <w:rsid w:val="003024F2"/>
    <w:rsid w:val="003676CF"/>
    <w:rsid w:val="003967FF"/>
    <w:rsid w:val="003C6359"/>
    <w:rsid w:val="003D49B7"/>
    <w:rsid w:val="00402B54"/>
    <w:rsid w:val="00453BEF"/>
    <w:rsid w:val="0047489A"/>
    <w:rsid w:val="00482D6F"/>
    <w:rsid w:val="005A066E"/>
    <w:rsid w:val="00603053"/>
    <w:rsid w:val="00621993"/>
    <w:rsid w:val="0065159C"/>
    <w:rsid w:val="00661A3A"/>
    <w:rsid w:val="006677EF"/>
    <w:rsid w:val="006823CB"/>
    <w:rsid w:val="006878EA"/>
    <w:rsid w:val="006A39DF"/>
    <w:rsid w:val="006C4D34"/>
    <w:rsid w:val="006D0730"/>
    <w:rsid w:val="00722423"/>
    <w:rsid w:val="007252B4"/>
    <w:rsid w:val="00726E31"/>
    <w:rsid w:val="00732B25"/>
    <w:rsid w:val="00732D4B"/>
    <w:rsid w:val="00752DFE"/>
    <w:rsid w:val="00783A5B"/>
    <w:rsid w:val="0079324D"/>
    <w:rsid w:val="007C4136"/>
    <w:rsid w:val="007C584A"/>
    <w:rsid w:val="00801FF6"/>
    <w:rsid w:val="00806515"/>
    <w:rsid w:val="008069C5"/>
    <w:rsid w:val="008675B7"/>
    <w:rsid w:val="00923ECA"/>
    <w:rsid w:val="00957E98"/>
    <w:rsid w:val="00976015"/>
    <w:rsid w:val="00997FAC"/>
    <w:rsid w:val="009C5DC2"/>
    <w:rsid w:val="00A10E54"/>
    <w:rsid w:val="00A23B89"/>
    <w:rsid w:val="00A27D3A"/>
    <w:rsid w:val="00A57079"/>
    <w:rsid w:val="00A66417"/>
    <w:rsid w:val="00AD561B"/>
    <w:rsid w:val="00B1228D"/>
    <w:rsid w:val="00B25A6F"/>
    <w:rsid w:val="00B261AB"/>
    <w:rsid w:val="00B26A17"/>
    <w:rsid w:val="00BC1AE9"/>
    <w:rsid w:val="00BC491A"/>
    <w:rsid w:val="00BC51CD"/>
    <w:rsid w:val="00C2369C"/>
    <w:rsid w:val="00C92C66"/>
    <w:rsid w:val="00C937A3"/>
    <w:rsid w:val="00CC25D9"/>
    <w:rsid w:val="00D04F67"/>
    <w:rsid w:val="00D474D2"/>
    <w:rsid w:val="00DA3FCE"/>
    <w:rsid w:val="00DB28AF"/>
    <w:rsid w:val="00E34D55"/>
    <w:rsid w:val="00F50E6F"/>
    <w:rsid w:val="00F716C5"/>
    <w:rsid w:val="00F7186E"/>
    <w:rsid w:val="00FB5FDD"/>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2</Pages>
  <Words>774</Words>
  <Characters>4465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5265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2014-05-20T18:13:00Z</cp:lastPrinted>
  <dcterms:created xsi:type="dcterms:W3CDTF">2014-06-26T19:41:00Z</dcterms:created>
  <dcterms:modified xsi:type="dcterms:W3CDTF">2014-06-26T19:41:00Z</dcterms:modified>
  <cp:category> </cp:category>
  <cp:contentStatus> </cp:contentStatus>
</cp:coreProperties>
</file>