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15EB4" w:rsidRPr="00D7236C" w:rsidRDefault="00715EB4" w:rsidP="00715EB4">
            <w:pPr>
              <w:tabs>
                <w:tab w:val="center" w:pos="4680"/>
              </w:tabs>
              <w:rPr>
                <w:spacing w:val="-2"/>
              </w:rPr>
            </w:pPr>
            <w:r w:rsidRPr="00D7236C">
              <w:rPr>
                <w:spacing w:val="-2"/>
              </w:rPr>
              <w:t>2014 Quadrennial Regulatory Review – Review of the Commission’s Broadcast Ownership Rules and Other Rules Adopted Pursuant to Section 202 of the Telecommunications Act of 1996</w:t>
            </w:r>
          </w:p>
          <w:p w:rsidR="00715EB4" w:rsidRDefault="00715EB4" w:rsidP="007115F7">
            <w:pPr>
              <w:tabs>
                <w:tab w:val="center" w:pos="4680"/>
              </w:tabs>
              <w:suppressAutoHyphens/>
              <w:rPr>
                <w:spacing w:val="-2"/>
              </w:rPr>
            </w:pPr>
          </w:p>
          <w:p w:rsidR="004C2EE3" w:rsidRDefault="004D0EC8" w:rsidP="007115F7">
            <w:pPr>
              <w:tabs>
                <w:tab w:val="center" w:pos="4680"/>
              </w:tabs>
              <w:suppressAutoHyphens/>
              <w:rPr>
                <w:spacing w:val="-2"/>
              </w:rPr>
            </w:pPr>
            <w:r>
              <w:rPr>
                <w:spacing w:val="-2"/>
              </w:rPr>
              <w:t>2010 Quadrennial Regulatory Review –Review of</w:t>
            </w:r>
          </w:p>
          <w:p w:rsidR="004D0EC8" w:rsidRDefault="004D0EC8" w:rsidP="004D0EC8">
            <w:pPr>
              <w:tabs>
                <w:tab w:val="center" w:pos="4680"/>
              </w:tabs>
              <w:suppressAutoHyphens/>
              <w:rPr>
                <w:spacing w:val="-2"/>
              </w:rPr>
            </w:pPr>
            <w:r>
              <w:rPr>
                <w:spacing w:val="-2"/>
              </w:rPr>
              <w:t>the Commission’s Broadcast Ownership Rules and</w:t>
            </w:r>
          </w:p>
          <w:p w:rsidR="004D0EC8" w:rsidRDefault="004D0EC8" w:rsidP="004D0EC8">
            <w:pPr>
              <w:tabs>
                <w:tab w:val="center" w:pos="4680"/>
              </w:tabs>
              <w:suppressAutoHyphens/>
              <w:rPr>
                <w:spacing w:val="-2"/>
              </w:rPr>
            </w:pPr>
            <w:r>
              <w:rPr>
                <w:spacing w:val="-2"/>
              </w:rPr>
              <w:t>Other Rules Adopted Pursuant to Section 202 of</w:t>
            </w:r>
          </w:p>
          <w:p w:rsidR="004D0EC8" w:rsidRDefault="004D0EC8" w:rsidP="004D0EC8">
            <w:pPr>
              <w:tabs>
                <w:tab w:val="center" w:pos="4680"/>
              </w:tabs>
              <w:suppressAutoHyphens/>
              <w:rPr>
                <w:spacing w:val="-2"/>
              </w:rPr>
            </w:pPr>
            <w:r>
              <w:rPr>
                <w:spacing w:val="-2"/>
              </w:rPr>
              <w:t>the Telecommunications Act of 1996</w:t>
            </w: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r>
              <w:rPr>
                <w:spacing w:val="-2"/>
              </w:rPr>
              <w:t xml:space="preserve">Promoting Diversification of Ownership </w:t>
            </w:r>
          </w:p>
          <w:p w:rsidR="004D0EC8" w:rsidRDefault="004D0EC8" w:rsidP="004D0EC8">
            <w:pPr>
              <w:tabs>
                <w:tab w:val="center" w:pos="4680"/>
              </w:tabs>
              <w:suppressAutoHyphens/>
              <w:rPr>
                <w:spacing w:val="-2"/>
              </w:rPr>
            </w:pPr>
            <w:r>
              <w:rPr>
                <w:spacing w:val="-2"/>
              </w:rPr>
              <w:t>In the Broadcasting Services</w:t>
            </w:r>
          </w:p>
          <w:p w:rsidR="004D0EC8" w:rsidRDefault="004D0EC8" w:rsidP="004D0EC8">
            <w:pPr>
              <w:tabs>
                <w:tab w:val="center" w:pos="4680"/>
              </w:tabs>
              <w:suppressAutoHyphens/>
              <w:rPr>
                <w:spacing w:val="-2"/>
              </w:rPr>
            </w:pPr>
          </w:p>
          <w:p w:rsidR="004D0EC8" w:rsidRPr="007115F7" w:rsidRDefault="004D0EC8" w:rsidP="004D0EC8">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715EB4" w:rsidRDefault="00715EB4" w:rsidP="004D0EC8">
            <w:pPr>
              <w:tabs>
                <w:tab w:val="center" w:pos="4680"/>
              </w:tabs>
              <w:suppressAutoHyphens/>
              <w:rPr>
                <w:spacing w:val="-2"/>
              </w:rPr>
            </w:pPr>
            <w:r>
              <w:rPr>
                <w:spacing w:val="-2"/>
              </w:rPr>
              <w:t>MB Docket No. 14-50</w:t>
            </w: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4C2EE3" w:rsidRDefault="004D0EC8" w:rsidP="004D0EC8">
            <w:pPr>
              <w:tabs>
                <w:tab w:val="center" w:pos="4680"/>
              </w:tabs>
              <w:suppressAutoHyphens/>
              <w:rPr>
                <w:spacing w:val="-2"/>
              </w:rPr>
            </w:pPr>
            <w:r>
              <w:rPr>
                <w:spacing w:val="-2"/>
              </w:rPr>
              <w:t>MB Docket No. 09-182</w:t>
            </w: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r>
              <w:rPr>
                <w:spacing w:val="-2"/>
              </w:rPr>
              <w:t>MB Docket No. 07-294</w:t>
            </w:r>
          </w:p>
        </w:tc>
      </w:tr>
    </w:tbl>
    <w:p w:rsidR="004C2EE3" w:rsidRDefault="004C2EE3" w:rsidP="0070224F"/>
    <w:p w:rsidR="00841AB1" w:rsidRDefault="004D0EC8" w:rsidP="00F021FA">
      <w:pPr>
        <w:pStyle w:val="StyleBoldCentered"/>
      </w:pPr>
      <w:r>
        <w:t>ORDER</w:t>
      </w:r>
    </w:p>
    <w:p w:rsidR="004D0EC8" w:rsidRDefault="004D0EC8" w:rsidP="00F021FA">
      <w:pPr>
        <w:pStyle w:val="StyleBoldCentered"/>
      </w:pPr>
    </w:p>
    <w:p w:rsidR="004D0EC8" w:rsidRDefault="004D0EC8" w:rsidP="00133F79">
      <w:pPr>
        <w:tabs>
          <w:tab w:val="left" w:pos="720"/>
          <w:tab w:val="right" w:pos="9360"/>
        </w:tabs>
        <w:suppressAutoHyphens/>
        <w:spacing w:line="227" w:lineRule="auto"/>
        <w:rPr>
          <w:b/>
          <w:spacing w:val="-2"/>
        </w:rPr>
      </w:pPr>
      <w:r>
        <w:rPr>
          <w:b/>
          <w:spacing w:val="-2"/>
        </w:rPr>
        <w:t xml:space="preserve">Extended </w:t>
      </w:r>
      <w:r w:rsidR="00362BAA">
        <w:rPr>
          <w:b/>
          <w:spacing w:val="-2"/>
        </w:rPr>
        <w:t xml:space="preserve">Comment </w:t>
      </w:r>
      <w:r w:rsidR="00FC3F3E">
        <w:rPr>
          <w:b/>
          <w:spacing w:val="-2"/>
        </w:rPr>
        <w:t>Date:  August 6, 2014</w:t>
      </w:r>
    </w:p>
    <w:p w:rsidR="004D0EC8" w:rsidRDefault="0049507E" w:rsidP="00133F79">
      <w:pPr>
        <w:tabs>
          <w:tab w:val="left" w:pos="720"/>
          <w:tab w:val="right" w:pos="9360"/>
        </w:tabs>
        <w:suppressAutoHyphens/>
        <w:spacing w:line="227" w:lineRule="auto"/>
        <w:rPr>
          <w:b/>
          <w:spacing w:val="-2"/>
        </w:rPr>
      </w:pPr>
      <w:r>
        <w:rPr>
          <w:b/>
          <w:spacing w:val="-2"/>
        </w:rPr>
        <w:t xml:space="preserve">Extended Reply Comment Date:  </w:t>
      </w:r>
      <w:r w:rsidR="00FC3F3E">
        <w:rPr>
          <w:b/>
          <w:spacing w:val="-2"/>
        </w:rPr>
        <w:t>September 8, 2014</w:t>
      </w:r>
    </w:p>
    <w:p w:rsidR="0049507E" w:rsidRDefault="0049507E" w:rsidP="00133F79">
      <w:pPr>
        <w:tabs>
          <w:tab w:val="left" w:pos="720"/>
          <w:tab w:val="right" w:pos="9360"/>
        </w:tabs>
        <w:suppressAutoHyphens/>
        <w:spacing w:line="227" w:lineRule="auto"/>
        <w:rPr>
          <w:b/>
          <w:spacing w:val="-2"/>
        </w:rPr>
      </w:pPr>
    </w:p>
    <w:p w:rsidR="004C2EE3" w:rsidRDefault="004C2EE3" w:rsidP="00133F79">
      <w:pPr>
        <w:tabs>
          <w:tab w:val="left" w:pos="720"/>
          <w:tab w:val="right" w:pos="9360"/>
        </w:tabs>
        <w:suppressAutoHyphens/>
        <w:spacing w:line="227" w:lineRule="auto"/>
        <w:rPr>
          <w:spacing w:val="-2"/>
        </w:rPr>
      </w:pPr>
      <w:r>
        <w:rPr>
          <w:b/>
          <w:spacing w:val="-2"/>
        </w:rPr>
        <w:t>Adopted:</w:t>
      </w:r>
      <w:r w:rsidR="006F1934">
        <w:rPr>
          <w:b/>
          <w:spacing w:val="-2"/>
        </w:rPr>
        <w:t xml:space="preserve">  June 2</w:t>
      </w:r>
      <w:r w:rsidR="00DC0BD4">
        <w:rPr>
          <w:b/>
          <w:spacing w:val="-2"/>
        </w:rPr>
        <w:t>7</w:t>
      </w:r>
      <w:r w:rsidR="006F1934">
        <w:rPr>
          <w:b/>
          <w:spacing w:val="-2"/>
        </w:rPr>
        <w:t>, 2014</w:t>
      </w:r>
      <w:r>
        <w:rPr>
          <w:b/>
          <w:spacing w:val="-2"/>
        </w:rPr>
        <w:tab/>
      </w:r>
      <w:r w:rsidR="00822CE0">
        <w:rPr>
          <w:b/>
          <w:spacing w:val="-2"/>
        </w:rPr>
        <w:t>Released</w:t>
      </w:r>
      <w:r>
        <w:rPr>
          <w:b/>
          <w:spacing w:val="-2"/>
        </w:rPr>
        <w:t>:</w:t>
      </w:r>
      <w:r w:rsidR="00822CE0">
        <w:rPr>
          <w:b/>
          <w:spacing w:val="-2"/>
        </w:rPr>
        <w:t xml:space="preserve"> </w:t>
      </w:r>
      <w:r w:rsidR="006F1934">
        <w:rPr>
          <w:b/>
          <w:spacing w:val="-2"/>
        </w:rPr>
        <w:t>June 2</w:t>
      </w:r>
      <w:r w:rsidR="00DC0BD4">
        <w:rPr>
          <w:b/>
          <w:spacing w:val="-2"/>
        </w:rPr>
        <w:t>7</w:t>
      </w:r>
      <w:r w:rsidR="006F1934">
        <w:rPr>
          <w:b/>
          <w:spacing w:val="-2"/>
        </w:rPr>
        <w:t>, 2014</w:t>
      </w:r>
    </w:p>
    <w:p w:rsidR="00822CE0" w:rsidRDefault="00822CE0"/>
    <w:p w:rsidR="002C00E8" w:rsidRDefault="004C2EE3" w:rsidP="00362BAA">
      <w:pPr>
        <w:rPr>
          <w:spacing w:val="-2"/>
        </w:rPr>
      </w:pPr>
      <w:r>
        <w:t xml:space="preserve">By </w:t>
      </w:r>
      <w:r w:rsidR="004E4A22">
        <w:t>the</w:t>
      </w:r>
      <w:r w:rsidR="004D0EC8">
        <w:t xml:space="preserve"> Chief, Media Bureau</w:t>
      </w:r>
      <w:r>
        <w:rPr>
          <w:spacing w:val="-2"/>
        </w:rPr>
        <w:t>:</w:t>
      </w:r>
    </w:p>
    <w:p w:rsidR="00362BAA" w:rsidRDefault="00362BAA" w:rsidP="00362BAA"/>
    <w:p w:rsidR="004B664D" w:rsidRDefault="004D0EC8" w:rsidP="004D0EC8">
      <w:pPr>
        <w:pStyle w:val="ParaNum"/>
      </w:pPr>
      <w:r>
        <w:t xml:space="preserve">On April 15, 2014, the Commission released a </w:t>
      </w:r>
      <w:r w:rsidRPr="004B664D">
        <w:rPr>
          <w:i/>
        </w:rPr>
        <w:t xml:space="preserve">Further Notice of Proposed Rulemaking </w:t>
      </w:r>
      <w:r w:rsidRPr="003118E6">
        <w:t>in the</w:t>
      </w:r>
      <w:r w:rsidRPr="004B664D">
        <w:rPr>
          <w:i/>
        </w:rPr>
        <w:t xml:space="preserve"> </w:t>
      </w:r>
      <w:r w:rsidRPr="003118E6">
        <w:t>2014 Quadrennial Regulatory Review</w:t>
      </w:r>
      <w:r w:rsidR="0049507E">
        <w:t xml:space="preserve"> proceeding</w:t>
      </w:r>
      <w:r w:rsidR="004B664D">
        <w:t>.</w:t>
      </w:r>
      <w:r w:rsidR="004B664D">
        <w:rPr>
          <w:rStyle w:val="FootnoteReference"/>
        </w:rPr>
        <w:footnoteReference w:id="2"/>
      </w:r>
      <w:r w:rsidR="004B664D">
        <w:t xml:space="preserve">  The Commission set deadlines for filing comments and reply comments at 45 and 75 days, respectively, after publication of the </w:t>
      </w:r>
      <w:r w:rsidR="004B664D" w:rsidRPr="004A141E">
        <w:rPr>
          <w:i/>
        </w:rPr>
        <w:t>2014 Quadrennial Review FNPRM</w:t>
      </w:r>
      <w:r w:rsidR="004B664D">
        <w:t xml:space="preserve"> in the Federal Register.  The </w:t>
      </w:r>
      <w:r w:rsidR="004B664D" w:rsidRPr="004B70E2">
        <w:rPr>
          <w:i/>
        </w:rPr>
        <w:t>2014 Quadrennial Review FNPRM</w:t>
      </w:r>
      <w:r w:rsidR="004B664D">
        <w:t xml:space="preserve"> was published in the Federal Register on May 20, 2014,</w:t>
      </w:r>
      <w:r w:rsidR="004B664D">
        <w:rPr>
          <w:rStyle w:val="FootnoteReference"/>
        </w:rPr>
        <w:footnoteReference w:id="3"/>
      </w:r>
      <w:r w:rsidR="004B664D">
        <w:t xml:space="preserve"> and the deadlines for submitting comments and reply comments were established by public notice for July 7, and August </w:t>
      </w:r>
      <w:r w:rsidR="00775D50">
        <w:t>4</w:t>
      </w:r>
      <w:r w:rsidR="004B664D">
        <w:t>, respectively.</w:t>
      </w:r>
      <w:r w:rsidR="004B664D">
        <w:rPr>
          <w:rStyle w:val="FootnoteReference"/>
        </w:rPr>
        <w:footnoteReference w:id="4"/>
      </w:r>
    </w:p>
    <w:p w:rsidR="00F76C2B" w:rsidRDefault="00F76C2B" w:rsidP="00F76C2B">
      <w:pPr>
        <w:pStyle w:val="ParaNum"/>
      </w:pPr>
      <w:r>
        <w:t xml:space="preserve">On </w:t>
      </w:r>
      <w:r w:rsidR="006F1934">
        <w:t>June 2</w:t>
      </w:r>
      <w:r w:rsidR="006006E3">
        <w:t>7</w:t>
      </w:r>
      <w:r w:rsidR="006F1934">
        <w:t>, 2014</w:t>
      </w:r>
      <w:r>
        <w:t>, the Media Bureau released a Report on the Ownership of Commercial Broadcast Stations (“</w:t>
      </w:r>
      <w:r w:rsidRPr="0005746C">
        <w:rPr>
          <w:i/>
        </w:rPr>
        <w:t>2014 323 Report</w:t>
      </w:r>
      <w:r>
        <w:t>”).</w:t>
      </w:r>
      <w:r>
        <w:rPr>
          <w:rStyle w:val="FootnoteReference"/>
          <w:szCs w:val="22"/>
        </w:rPr>
        <w:footnoteReference w:id="5"/>
      </w:r>
      <w:r>
        <w:t xml:space="preserve">  This report, which follows the same format as the Bureau’s </w:t>
      </w:r>
      <w:r>
        <w:lastRenderedPageBreak/>
        <w:t>previous Report on the Ownership of Commercial Broadcast Stations (“</w:t>
      </w:r>
      <w:r w:rsidRPr="0005746C">
        <w:rPr>
          <w:i/>
        </w:rPr>
        <w:t>2012 323 Report</w:t>
      </w:r>
      <w:r>
        <w:t>”),</w:t>
      </w:r>
      <w:r>
        <w:rPr>
          <w:rStyle w:val="FootnoteReference"/>
          <w:szCs w:val="22"/>
        </w:rPr>
        <w:footnoteReference w:id="6"/>
      </w:r>
      <w:r>
        <w:t xml:space="preserve"> provides detailed information by race, ethnicity, and gender concerning ownership of commercial television, radio, Class A television, and low-power television stations.  </w:t>
      </w:r>
    </w:p>
    <w:p w:rsidR="00F76C2B" w:rsidRDefault="00F76C2B" w:rsidP="002C5B81">
      <w:pPr>
        <w:pStyle w:val="ParaNum"/>
      </w:pPr>
      <w:r w:rsidRPr="00374125">
        <w:t xml:space="preserve">The </w:t>
      </w:r>
      <w:r w:rsidRPr="0005746C">
        <w:rPr>
          <w:i/>
        </w:rPr>
        <w:t>2014 323 Report</w:t>
      </w:r>
      <w:r>
        <w:t xml:space="preserve"> represents the latest step in the Commission’s ongoing efforts to collect and publicly release information concerning minority and female ownership of broadcast stations.  The Commission has sought actively in recent years to improve its collection and analysis of broadcast ownership information.</w:t>
      </w:r>
      <w:r>
        <w:rPr>
          <w:rStyle w:val="FootnoteReference"/>
        </w:rPr>
        <w:footnoteReference w:id="7"/>
      </w:r>
      <w:r>
        <w:t xml:space="preserve">  These initiatives, which are ongoing, include efforts to improve the reliability, utility, and completeness of the ownership data submitted to the Commission.</w:t>
      </w:r>
      <w:r>
        <w:rPr>
          <w:rStyle w:val="FootnoteReference"/>
        </w:rPr>
        <w:footnoteReference w:id="8"/>
      </w:r>
      <w:r>
        <w:t xml:space="preserve">  We anticipate going forward that the </w:t>
      </w:r>
      <w:r w:rsidRPr="00241088">
        <w:rPr>
          <w:i/>
        </w:rPr>
        <w:t>2012 323 Report</w:t>
      </w:r>
      <w:r>
        <w:t xml:space="preserve">, </w:t>
      </w:r>
      <w:r w:rsidRPr="00241088">
        <w:rPr>
          <w:i/>
        </w:rPr>
        <w:t>2014 323 Report</w:t>
      </w:r>
      <w:r>
        <w:t xml:space="preserve">, and subsequent reports will provide useful periodic “snapshots” of minority and female ownership in the broadcast industry.  We also expect that our continuing efforts to reform and refine our ownership data collection will yield more and better data to support trend analyses in the future. </w:t>
      </w:r>
      <w:r w:rsidR="002C5B81">
        <w:t xml:space="preserve"> </w:t>
      </w:r>
      <w:r w:rsidRPr="00374125">
        <w:t xml:space="preserve">The </w:t>
      </w:r>
      <w:r w:rsidRPr="002C5B81">
        <w:rPr>
          <w:i/>
        </w:rPr>
        <w:t>2014 323 Report</w:t>
      </w:r>
      <w:r>
        <w:t xml:space="preserve"> is part of the record of this proceeding and will be considered in our current quadrennial review and, along with additional information and data from subsequent biennial filings, will be considered in our succeeding quadrennial reviews.</w:t>
      </w:r>
      <w:r>
        <w:rPr>
          <w:rStyle w:val="FootnoteReference"/>
        </w:rPr>
        <w:footnoteReference w:id="9"/>
      </w:r>
      <w:r>
        <w:t xml:space="preserve">      </w:t>
      </w:r>
    </w:p>
    <w:p w:rsidR="00690347" w:rsidRDefault="004D0EC8" w:rsidP="00F904F6">
      <w:pPr>
        <w:pStyle w:val="ParaNum"/>
        <w:widowControl/>
      </w:pPr>
      <w:r>
        <w:t>The Coalition for Smaller Market Television Stations</w:t>
      </w:r>
      <w:r w:rsidR="004B70E2">
        <w:t xml:space="preserve"> </w:t>
      </w:r>
      <w:r w:rsidR="00C97B6F">
        <w:t xml:space="preserve">(“Coalition”) </w:t>
      </w:r>
      <w:r w:rsidR="004B70E2">
        <w:t xml:space="preserve">filed a motion seeking an extension of time for the filing of comments and reply comments </w:t>
      </w:r>
      <w:r w:rsidR="002C5B81">
        <w:t xml:space="preserve">for the </w:t>
      </w:r>
      <w:r w:rsidR="002C5B81" w:rsidRPr="004B70E2">
        <w:rPr>
          <w:i/>
        </w:rPr>
        <w:t>2014 Quadrennial Review FNPRM</w:t>
      </w:r>
      <w:r w:rsidR="002C5B81">
        <w:t xml:space="preserve"> </w:t>
      </w:r>
      <w:r w:rsidR="004B70E2">
        <w:t>on June 5, 2014.</w:t>
      </w:r>
      <w:r w:rsidR="00BE36DF">
        <w:rPr>
          <w:rStyle w:val="FootnoteReference"/>
        </w:rPr>
        <w:footnoteReference w:id="10"/>
      </w:r>
      <w:r w:rsidR="00C97B6F">
        <w:t xml:space="preserve">  In its motion, the Coalition asserts that it needs more time to respond fully to the numerous questions posed in the further notice regarding the </w:t>
      </w:r>
      <w:r w:rsidR="00350864">
        <w:t xml:space="preserve">local broadcast </w:t>
      </w:r>
      <w:r w:rsidR="00C97B6F">
        <w:t>multiple ownership rules and shared service agreements, among other matters.</w:t>
      </w:r>
      <w:r w:rsidR="00BE36DF">
        <w:rPr>
          <w:rStyle w:val="FootnoteReference"/>
        </w:rPr>
        <w:footnoteReference w:id="11"/>
      </w:r>
      <w:r w:rsidR="00EB6288">
        <w:t xml:space="preserve">  The Coalition believes that additional time will allow all interested parties to present more complete information and data, particularly about competition in medium-sized and small television markets.</w:t>
      </w:r>
      <w:r w:rsidR="00EB6288">
        <w:rPr>
          <w:rStyle w:val="FootnoteReference"/>
        </w:rPr>
        <w:footnoteReference w:id="12"/>
      </w:r>
      <w:r w:rsidR="00EB6288">
        <w:t xml:space="preserve">  Further, according to the Coalition, many broadcasters are preparing comments </w:t>
      </w:r>
      <w:r w:rsidR="00B06E2E">
        <w:t>for</w:t>
      </w:r>
      <w:r w:rsidR="00EB6288">
        <w:t xml:space="preserve"> several other ongoing proceedings </w:t>
      </w:r>
      <w:r w:rsidR="000F187F">
        <w:t xml:space="preserve">that </w:t>
      </w:r>
      <w:r w:rsidR="00EB6288">
        <w:t>have comment and reply comment</w:t>
      </w:r>
      <w:r w:rsidR="00C937BA">
        <w:t xml:space="preserve"> deadlines</w:t>
      </w:r>
      <w:r w:rsidR="00EB6288">
        <w:t xml:space="preserve"> </w:t>
      </w:r>
      <w:r w:rsidR="00B83401">
        <w:t xml:space="preserve">in June and July, </w:t>
      </w:r>
      <w:r w:rsidR="00EB6288">
        <w:t xml:space="preserve">near </w:t>
      </w:r>
      <w:r w:rsidR="00B83401">
        <w:t>the current deadline for comments in the media ownership proceeding.</w:t>
      </w:r>
      <w:r w:rsidR="00A947A2">
        <w:rPr>
          <w:rStyle w:val="FootnoteReference"/>
        </w:rPr>
        <w:footnoteReference w:id="13"/>
      </w:r>
      <w:r w:rsidR="00B83401">
        <w:t xml:space="preserve">  The Coalition posits that a 30-day extension of time for filing comments, </w:t>
      </w:r>
      <w:r w:rsidR="00B83401" w:rsidRPr="003118E6">
        <w:rPr>
          <w:i/>
        </w:rPr>
        <w:t>i.e.</w:t>
      </w:r>
      <w:r w:rsidR="00B83401">
        <w:t>, August 6,</w:t>
      </w:r>
      <w:r w:rsidR="000F187F">
        <w:t xml:space="preserve"> 2014,</w:t>
      </w:r>
      <w:r w:rsidR="00B83401">
        <w:t xml:space="preserve"> and a 35-day extension for filing reply comments, </w:t>
      </w:r>
      <w:r w:rsidR="00B83401" w:rsidRPr="003118E6">
        <w:rPr>
          <w:i/>
        </w:rPr>
        <w:t>i.e.</w:t>
      </w:r>
      <w:r w:rsidR="00B83401">
        <w:t>, September 8,</w:t>
      </w:r>
      <w:r w:rsidR="000F187F">
        <w:t xml:space="preserve"> 2014,</w:t>
      </w:r>
      <w:r w:rsidR="00B83401">
        <w:t xml:space="preserve"> will </w:t>
      </w:r>
      <w:r w:rsidR="00B83401">
        <w:lastRenderedPageBreak/>
        <w:t xml:space="preserve">permit its members as well as other broadcasters to participate in each of the </w:t>
      </w:r>
      <w:r w:rsidR="00C257AA">
        <w:t xml:space="preserve">Commission’s </w:t>
      </w:r>
      <w:r w:rsidR="00B83401">
        <w:t>proceeding</w:t>
      </w:r>
      <w:r w:rsidR="00C257AA">
        <w:t>s</w:t>
      </w:r>
      <w:r w:rsidR="00B83401">
        <w:t xml:space="preserve"> impacting television stations.</w:t>
      </w:r>
      <w:r w:rsidR="005A2783">
        <w:rPr>
          <w:rStyle w:val="FootnoteReference"/>
        </w:rPr>
        <w:footnoteReference w:id="14"/>
      </w:r>
      <w:r w:rsidR="00EB6288">
        <w:t xml:space="preserve"> </w:t>
      </w:r>
      <w:r w:rsidR="00C97B6F">
        <w:t xml:space="preserve">  </w:t>
      </w:r>
    </w:p>
    <w:p w:rsidR="00C54BDD" w:rsidRDefault="008B5E06" w:rsidP="004D0EC8">
      <w:pPr>
        <w:pStyle w:val="ParaNum"/>
      </w:pPr>
      <w:r>
        <w:t xml:space="preserve">The </w:t>
      </w:r>
      <w:r w:rsidR="005747D5">
        <w:t xml:space="preserve">Commission </w:t>
      </w:r>
      <w:r>
        <w:t xml:space="preserve">does not </w:t>
      </w:r>
      <w:r w:rsidR="005747D5">
        <w:t>routinely grant</w:t>
      </w:r>
      <w:r>
        <w:t xml:space="preserve"> extensions of time</w:t>
      </w:r>
      <w:r w:rsidR="005747D5">
        <w:t>.</w:t>
      </w:r>
      <w:r w:rsidR="005747D5">
        <w:rPr>
          <w:rStyle w:val="FootnoteReference"/>
        </w:rPr>
        <w:footnoteReference w:id="15"/>
      </w:r>
      <w:r w:rsidR="00040AC9">
        <w:t xml:space="preserve">  Nevertheless, the issues in the </w:t>
      </w:r>
      <w:r w:rsidR="00040AC9" w:rsidRPr="00C15CAE">
        <w:rPr>
          <w:i/>
        </w:rPr>
        <w:t xml:space="preserve">2014 Quadrennial Review </w:t>
      </w:r>
      <w:r w:rsidR="00C15CAE" w:rsidRPr="00C15CAE">
        <w:rPr>
          <w:i/>
        </w:rPr>
        <w:t>FNPRM</w:t>
      </w:r>
      <w:r w:rsidR="00C15CAE">
        <w:t xml:space="preserve"> </w:t>
      </w:r>
      <w:r w:rsidR="00040AC9">
        <w:t>are significant and important to a wide range of interested parties</w:t>
      </w:r>
      <w:r w:rsidR="00DD556E">
        <w:t>,</w:t>
      </w:r>
      <w:r>
        <w:t xml:space="preserve"> and</w:t>
      </w:r>
      <w:r w:rsidR="00FC3F3E">
        <w:t xml:space="preserve"> w</w:t>
      </w:r>
      <w:r w:rsidR="00C15CAE">
        <w:t>e seek to encourage robust partici</w:t>
      </w:r>
      <w:r w:rsidR="00FC3F3E">
        <w:t xml:space="preserve">pation in the </w:t>
      </w:r>
      <w:r w:rsidR="00C54BDD">
        <w:t>proceeding.  We find persuasive</w:t>
      </w:r>
      <w:r>
        <w:t xml:space="preserve"> the Coalitions</w:t>
      </w:r>
      <w:r w:rsidR="00DD556E">
        <w:t>’</w:t>
      </w:r>
      <w:r>
        <w:t xml:space="preserve"> arguments identifying the complexity of the pending issues and the competing deadlines in other proceedings. </w:t>
      </w:r>
      <w:r w:rsidR="00FC3F3E">
        <w:t xml:space="preserve"> </w:t>
      </w:r>
      <w:r>
        <w:t>W</w:t>
      </w:r>
      <w:r w:rsidR="00FC3F3E">
        <w:t>e</w:t>
      </w:r>
      <w:r w:rsidR="00C15CAE">
        <w:t xml:space="preserve"> </w:t>
      </w:r>
      <w:r>
        <w:t xml:space="preserve">must </w:t>
      </w:r>
      <w:r w:rsidR="00C15CAE">
        <w:t>also</w:t>
      </w:r>
      <w:r>
        <w:t xml:space="preserve"> be</w:t>
      </w:r>
      <w:r w:rsidR="00C15CAE">
        <w:t xml:space="preserve"> mindful not</w:t>
      </w:r>
      <w:r>
        <w:t xml:space="preserve"> to</w:t>
      </w:r>
      <w:r w:rsidR="00C15CAE">
        <w:t xml:space="preserve"> unduly extend </w:t>
      </w:r>
      <w:r>
        <w:t>existing deadlines</w:t>
      </w:r>
      <w:r w:rsidR="00C15CAE">
        <w:t xml:space="preserve">.  </w:t>
      </w:r>
      <w:r w:rsidR="00FC3F3E">
        <w:t>W</w:t>
      </w:r>
      <w:r>
        <w:t>hile w</w:t>
      </w:r>
      <w:r w:rsidR="00FC3F3E">
        <w:t xml:space="preserve">e would otherwise be inclined to grant a shorter extension than </w:t>
      </w:r>
      <w:r>
        <w:t>the Coalition</w:t>
      </w:r>
      <w:r w:rsidR="00FC3F3E">
        <w:t xml:space="preserve"> requested, in light of the recent release of the </w:t>
      </w:r>
      <w:r w:rsidR="002C5B81" w:rsidRPr="0005746C">
        <w:rPr>
          <w:i/>
        </w:rPr>
        <w:t>2014 323 Report</w:t>
      </w:r>
      <w:r w:rsidR="00FC3F3E">
        <w:t xml:space="preserve"> we believe that granting the full extension request is appropriate.  Th</w:t>
      </w:r>
      <w:r>
        <w:t>e</w:t>
      </w:r>
      <w:r w:rsidR="00FC3F3E">
        <w:t xml:space="preserve"> </w:t>
      </w:r>
      <w:r>
        <w:t>new deadlines</w:t>
      </w:r>
      <w:r w:rsidR="00FC3F3E">
        <w:t xml:space="preserve"> will </w:t>
      </w:r>
      <w:r>
        <w:t>provide</w:t>
      </w:r>
      <w:r w:rsidR="00FC3F3E">
        <w:t xml:space="preserve"> commenters a sufficient opportunity to fully develop their comments </w:t>
      </w:r>
      <w:r w:rsidR="002C5B81">
        <w:t xml:space="preserve">and reply comments </w:t>
      </w:r>
      <w:r>
        <w:t xml:space="preserve">in </w:t>
      </w:r>
      <w:r w:rsidR="00FC3F3E">
        <w:t xml:space="preserve">the </w:t>
      </w:r>
      <w:r w:rsidR="00FC3F3E" w:rsidRPr="00C15CAE">
        <w:rPr>
          <w:i/>
        </w:rPr>
        <w:t>2014 Quadrennial Review FNPRM</w:t>
      </w:r>
      <w:r w:rsidR="00FC3F3E">
        <w:t xml:space="preserve"> </w:t>
      </w:r>
      <w:r>
        <w:t xml:space="preserve">to include any </w:t>
      </w:r>
      <w:r w:rsidR="00203A7F">
        <w:t xml:space="preserve">facts, information, or </w:t>
      </w:r>
      <w:r>
        <w:t xml:space="preserve">positions that are implicated by </w:t>
      </w:r>
      <w:r w:rsidR="00FC3F3E">
        <w:t>the</w:t>
      </w:r>
      <w:r w:rsidR="00203A7F">
        <w:t xml:space="preserve"> content of the</w:t>
      </w:r>
      <w:r w:rsidR="00FC3F3E">
        <w:t xml:space="preserve"> </w:t>
      </w:r>
      <w:r w:rsidR="002C5B81" w:rsidRPr="0005746C">
        <w:rPr>
          <w:i/>
        </w:rPr>
        <w:t>2014 323 Report</w:t>
      </w:r>
      <w:r w:rsidR="00FC3F3E">
        <w:t>.</w:t>
      </w:r>
      <w:r w:rsidR="00203A7F">
        <w:t xml:space="preserve">  </w:t>
      </w:r>
    </w:p>
    <w:p w:rsidR="00FD6FED" w:rsidRDefault="00203A7F" w:rsidP="004D0EC8">
      <w:pPr>
        <w:pStyle w:val="ParaNum"/>
      </w:pPr>
      <w:r>
        <w:t>This Order also solicits input</w:t>
      </w:r>
      <w:r w:rsidR="00C62746">
        <w:t xml:space="preserve"> in </w:t>
      </w:r>
      <w:r w:rsidR="00582F53">
        <w:t>this</w:t>
      </w:r>
      <w:r w:rsidR="00C62746">
        <w:t xml:space="preserve"> quadrennial review proceeding</w:t>
      </w:r>
      <w:r>
        <w:t xml:space="preserve"> concerning the </w:t>
      </w:r>
      <w:r w:rsidRPr="00E83342">
        <w:rPr>
          <w:i/>
        </w:rPr>
        <w:t>2014 323 Report</w:t>
      </w:r>
      <w:r>
        <w:t>.</w:t>
      </w:r>
      <w:r w:rsidRPr="00E83342">
        <w:t xml:space="preserve">  Parties may address the </w:t>
      </w:r>
      <w:r w:rsidRPr="00C15CAE">
        <w:rPr>
          <w:i/>
        </w:rPr>
        <w:t xml:space="preserve">2014 Quadrennial Review </w:t>
      </w:r>
      <w:r w:rsidRPr="00E83342">
        <w:rPr>
          <w:i/>
        </w:rPr>
        <w:t>FNPRM</w:t>
      </w:r>
      <w:r w:rsidRPr="00E83342">
        <w:t xml:space="preserve"> and the </w:t>
      </w:r>
      <w:r w:rsidRPr="00E83342">
        <w:rPr>
          <w:i/>
        </w:rPr>
        <w:t>2014 323 Report</w:t>
      </w:r>
      <w:r w:rsidRPr="00E83342">
        <w:t xml:space="preserve"> in the same document.</w:t>
      </w:r>
      <w:r w:rsidR="00FC3F3E">
        <w:t xml:space="preserve">  </w:t>
      </w:r>
      <w:r w:rsidR="00C15CAE">
        <w:t xml:space="preserve">Thus, we grant a </w:t>
      </w:r>
      <w:r w:rsidR="00FC3F3E" w:rsidRPr="00FC3F3E">
        <w:t>30</w:t>
      </w:r>
      <w:r w:rsidR="00C15CAE" w:rsidRPr="00FC3F3E">
        <w:t>-d</w:t>
      </w:r>
      <w:r w:rsidR="00C15CAE">
        <w:t>ay extension of time</w:t>
      </w:r>
      <w:r w:rsidR="000F187F">
        <w:t xml:space="preserve"> for comments and a </w:t>
      </w:r>
      <w:r w:rsidR="00FC3F3E" w:rsidRPr="00FC3F3E">
        <w:t>35</w:t>
      </w:r>
      <w:r w:rsidR="000F187F" w:rsidRPr="003118E6">
        <w:rPr>
          <w:b/>
        </w:rPr>
        <w:t>-</w:t>
      </w:r>
      <w:r w:rsidR="000F187F">
        <w:t>day extension of time for reply comments</w:t>
      </w:r>
      <w:r w:rsidR="00C15CAE">
        <w:t>, thereby establishing the new comment and reply comment deadlines as</w:t>
      </w:r>
      <w:r w:rsidR="00FC3F3E">
        <w:t xml:space="preserve"> August 6, 2014, </w:t>
      </w:r>
      <w:r w:rsidR="00C15CAE">
        <w:t>and</w:t>
      </w:r>
      <w:r w:rsidR="00FC3F3E">
        <w:t xml:space="preserve"> September 8, 2014</w:t>
      </w:r>
      <w:r w:rsidR="00C15CAE">
        <w:t>, respectively.</w:t>
      </w:r>
    </w:p>
    <w:p w:rsidR="005A6B05" w:rsidRDefault="00FD6FED" w:rsidP="004D0EC8">
      <w:pPr>
        <w:pStyle w:val="ParaNum"/>
      </w:pPr>
      <w:r>
        <w:t xml:space="preserve">Accordingly, </w:t>
      </w:r>
      <w:r w:rsidRPr="003745B5">
        <w:rPr>
          <w:b/>
        </w:rPr>
        <w:t>IT IS ORDERED</w:t>
      </w:r>
      <w:r>
        <w:t xml:space="preserve"> that, pursuant to Section 4(i) of the Communications </w:t>
      </w:r>
      <w:r w:rsidR="004310AA">
        <w:t>A</w:t>
      </w:r>
      <w:r>
        <w:t>ct of 1934, as amended, 47 U.S.C. § 154(i), and Sections 0.61, 0.283, and 1.46 of the Commission’s rules, 47 C.F.R. §§ 0.61, 0.283, and 1.46, the motion for extension of time filed by the Coalition of Smaller Market Television Stations is granted in part, and the deadline</w:t>
      </w:r>
      <w:r w:rsidR="00A20C1A">
        <w:t>s</w:t>
      </w:r>
      <w:r>
        <w:t xml:space="preserve"> </w:t>
      </w:r>
      <w:r w:rsidR="005A6B05">
        <w:t xml:space="preserve">for submission of comment and reply comments </w:t>
      </w:r>
      <w:r w:rsidR="00A20C1A">
        <w:t>are</w:t>
      </w:r>
      <w:r>
        <w:t xml:space="preserve"> accordingly extended to</w:t>
      </w:r>
      <w:r w:rsidR="005A6B05">
        <w:t xml:space="preserve"> </w:t>
      </w:r>
      <w:r w:rsidR="00FC3F3E">
        <w:t>August 6, 2014, and September 8, 2014, respectively</w:t>
      </w:r>
      <w:r w:rsidR="005A6B05">
        <w:t>.</w:t>
      </w:r>
    </w:p>
    <w:p w:rsidR="005A6B05" w:rsidRDefault="005A6B05" w:rsidP="005A6B05">
      <w:pPr>
        <w:pStyle w:val="ParaNum"/>
        <w:numPr>
          <w:ilvl w:val="0"/>
          <w:numId w:val="0"/>
        </w:numPr>
        <w:ind w:firstLine="720"/>
      </w:pPr>
    </w:p>
    <w:p w:rsidR="005A6B05" w:rsidRDefault="005A6B05" w:rsidP="005A6B05">
      <w:pPr>
        <w:pStyle w:val="ParaNum"/>
        <w:numPr>
          <w:ilvl w:val="0"/>
          <w:numId w:val="0"/>
        </w:numPr>
        <w:ind w:left="3600" w:firstLine="720"/>
      </w:pPr>
      <w:r>
        <w:t>FEDERAL COMMUNICATIONS COMMISSION</w:t>
      </w:r>
    </w:p>
    <w:p w:rsidR="005A6B05" w:rsidRDefault="005A6B05" w:rsidP="005A6B05">
      <w:pPr>
        <w:pStyle w:val="ParaNum"/>
        <w:numPr>
          <w:ilvl w:val="0"/>
          <w:numId w:val="0"/>
        </w:numPr>
        <w:ind w:left="3600" w:firstLine="720"/>
      </w:pPr>
    </w:p>
    <w:p w:rsidR="005A6B05" w:rsidRDefault="005A6B05" w:rsidP="005A6B05">
      <w:pPr>
        <w:pStyle w:val="ParaNum"/>
        <w:numPr>
          <w:ilvl w:val="0"/>
          <w:numId w:val="0"/>
        </w:numPr>
        <w:ind w:left="3600" w:firstLine="720"/>
      </w:pPr>
    </w:p>
    <w:p w:rsidR="005A6B05" w:rsidRDefault="005A6B05" w:rsidP="005A6B05">
      <w:pPr>
        <w:pStyle w:val="ParaNum"/>
        <w:numPr>
          <w:ilvl w:val="0"/>
          <w:numId w:val="0"/>
        </w:numPr>
        <w:ind w:left="3600" w:firstLine="720"/>
      </w:pPr>
    </w:p>
    <w:p w:rsidR="005A6B05" w:rsidRDefault="005A6B05" w:rsidP="00450C8D">
      <w:pPr>
        <w:pStyle w:val="ParaNum"/>
        <w:numPr>
          <w:ilvl w:val="0"/>
          <w:numId w:val="0"/>
        </w:numPr>
        <w:spacing w:after="0"/>
        <w:ind w:left="3600" w:firstLine="720"/>
      </w:pPr>
      <w:r>
        <w:t>William T. Lake</w:t>
      </w:r>
    </w:p>
    <w:p w:rsidR="005A6B05" w:rsidRDefault="005A6B05" w:rsidP="00450C8D">
      <w:pPr>
        <w:pStyle w:val="ParaNum"/>
        <w:numPr>
          <w:ilvl w:val="0"/>
          <w:numId w:val="0"/>
        </w:numPr>
        <w:spacing w:after="0"/>
        <w:ind w:left="3600" w:firstLine="720"/>
      </w:pPr>
      <w:r>
        <w:t>Chief, Media Bureau</w:t>
      </w:r>
    </w:p>
    <w:p w:rsidR="005A6B05" w:rsidRDefault="005A6B05" w:rsidP="005A6B05">
      <w:pPr>
        <w:pStyle w:val="ParaNum"/>
        <w:numPr>
          <w:ilvl w:val="0"/>
          <w:numId w:val="0"/>
        </w:numPr>
        <w:ind w:firstLine="720"/>
      </w:pPr>
    </w:p>
    <w:p w:rsidR="004D0EC8" w:rsidRPr="004D0EC8" w:rsidRDefault="00C15CAE" w:rsidP="005A6B05">
      <w:pPr>
        <w:pStyle w:val="ParaNum"/>
        <w:numPr>
          <w:ilvl w:val="0"/>
          <w:numId w:val="0"/>
        </w:numPr>
        <w:ind w:firstLine="720"/>
      </w:pPr>
      <w:r>
        <w:t xml:space="preserve">  </w:t>
      </w:r>
      <w:r w:rsidR="005747D5">
        <w:t xml:space="preserve">  </w:t>
      </w:r>
    </w:p>
    <w:sectPr w:rsidR="004D0EC8" w:rsidRPr="004D0EC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B4" w:rsidRDefault="003665B4">
      <w:pPr>
        <w:spacing w:line="20" w:lineRule="exact"/>
      </w:pPr>
    </w:p>
  </w:endnote>
  <w:endnote w:type="continuationSeparator" w:id="0">
    <w:p w:rsidR="003665B4" w:rsidRDefault="003665B4">
      <w:r>
        <w:t xml:space="preserve"> </w:t>
      </w:r>
    </w:p>
  </w:endnote>
  <w:endnote w:type="continuationNotice" w:id="1">
    <w:p w:rsidR="003665B4" w:rsidRDefault="003665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33E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B4" w:rsidRDefault="003665B4">
      <w:r>
        <w:separator/>
      </w:r>
    </w:p>
  </w:footnote>
  <w:footnote w:type="continuationSeparator" w:id="0">
    <w:p w:rsidR="003665B4" w:rsidRDefault="003665B4" w:rsidP="00C721AC">
      <w:pPr>
        <w:spacing w:before="120"/>
        <w:rPr>
          <w:sz w:val="20"/>
        </w:rPr>
      </w:pPr>
      <w:r>
        <w:rPr>
          <w:sz w:val="20"/>
        </w:rPr>
        <w:t xml:space="preserve">(Continued from previous page)  </w:t>
      </w:r>
      <w:r>
        <w:rPr>
          <w:sz w:val="20"/>
        </w:rPr>
        <w:separator/>
      </w:r>
    </w:p>
  </w:footnote>
  <w:footnote w:type="continuationNotice" w:id="1">
    <w:p w:rsidR="003665B4" w:rsidRDefault="003665B4" w:rsidP="00C721AC">
      <w:pPr>
        <w:jc w:val="right"/>
        <w:rPr>
          <w:sz w:val="20"/>
        </w:rPr>
      </w:pPr>
      <w:r>
        <w:rPr>
          <w:sz w:val="20"/>
        </w:rPr>
        <w:t>(continued….)</w:t>
      </w:r>
    </w:p>
  </w:footnote>
  <w:footnote w:id="2">
    <w:p w:rsidR="004B664D" w:rsidRDefault="004B664D" w:rsidP="00374125">
      <w:pPr>
        <w:pStyle w:val="FootnoteText"/>
      </w:pPr>
      <w:r>
        <w:rPr>
          <w:rStyle w:val="FootnoteReference"/>
        </w:rPr>
        <w:footnoteRef/>
      </w:r>
      <w:r>
        <w:t xml:space="preserve"> </w:t>
      </w:r>
      <w:r w:rsidR="00F904F6">
        <w:rPr>
          <w:i/>
        </w:rPr>
        <w:t xml:space="preserve">2014 Quadrennial Regulatory Review – </w:t>
      </w:r>
      <w:r w:rsidR="0049507E" w:rsidRPr="004B664D">
        <w:rPr>
          <w:i/>
        </w:rPr>
        <w:t>Review of the Commission’s Broadcast Ownership Rules and Other Rules Adopted Pursuant to Section 202 of the Telecommunications Act of 1996</w:t>
      </w:r>
      <w:r w:rsidR="0049507E" w:rsidRPr="003118E6">
        <w:t>,</w:t>
      </w:r>
      <w:r w:rsidR="0049507E">
        <w:rPr>
          <w:i/>
        </w:rPr>
        <w:t xml:space="preserve"> </w:t>
      </w:r>
      <w:r w:rsidR="000F187F">
        <w:t xml:space="preserve">MB Docket No. 14-50, </w:t>
      </w:r>
      <w:r w:rsidR="007F51FD">
        <w:t xml:space="preserve">Further Notice of Proposed Rule Making and Report and </w:t>
      </w:r>
      <w:r w:rsidR="00FF4C2F">
        <w:t>Order, 29 FCC Rcd 4371 (</w:t>
      </w:r>
      <w:r w:rsidR="007F51FD">
        <w:t>2014) (</w:t>
      </w:r>
      <w:r>
        <w:t>“</w:t>
      </w:r>
      <w:r w:rsidRPr="004B664D">
        <w:rPr>
          <w:i/>
        </w:rPr>
        <w:t>2014 Quadrennial Review</w:t>
      </w:r>
      <w:r w:rsidR="007F51FD">
        <w:rPr>
          <w:i/>
        </w:rPr>
        <w:t xml:space="preserve"> FNPRM</w:t>
      </w:r>
      <w:r w:rsidR="007F51FD">
        <w:t>”).</w:t>
      </w:r>
    </w:p>
  </w:footnote>
  <w:footnote w:id="3">
    <w:p w:rsidR="004B664D" w:rsidRDefault="004B664D" w:rsidP="00374125">
      <w:pPr>
        <w:pStyle w:val="FootnoteText"/>
      </w:pPr>
      <w:r>
        <w:rPr>
          <w:rStyle w:val="FootnoteReference"/>
        </w:rPr>
        <w:footnoteRef/>
      </w:r>
      <w:r>
        <w:t xml:space="preserve"> </w:t>
      </w:r>
      <w:r w:rsidRPr="004B664D">
        <w:rPr>
          <w:i/>
        </w:rPr>
        <w:t>2014 Quadrennial Regulatory Review</w:t>
      </w:r>
      <w:r>
        <w:t>, 79 Fed. Reg. 29009 (May 20, 2014).</w:t>
      </w:r>
    </w:p>
  </w:footnote>
  <w:footnote w:id="4">
    <w:p w:rsidR="004B664D" w:rsidRDefault="004B664D" w:rsidP="00374125">
      <w:pPr>
        <w:pStyle w:val="FootnoteText"/>
      </w:pPr>
      <w:r>
        <w:rPr>
          <w:rStyle w:val="FootnoteReference"/>
        </w:rPr>
        <w:footnoteRef/>
      </w:r>
      <w:r>
        <w:t xml:space="preserve"> </w:t>
      </w:r>
      <w:r w:rsidR="006455B5">
        <w:t xml:space="preserve">Media Bureau Announces </w:t>
      </w:r>
      <w:r w:rsidR="006455B5" w:rsidRPr="006455B5">
        <w:rPr>
          <w:i/>
        </w:rPr>
        <w:t>Further Notice of Proposed Rulemaking in the 2014 Quadrennial Regulatory – Review of the Commission’s Broadcast Ownership Rules and Other Rules Adopted Pursuant to Section 202 of the Telecommunications</w:t>
      </w:r>
      <w:r w:rsidR="00B5522F">
        <w:rPr>
          <w:i/>
        </w:rPr>
        <w:t xml:space="preserve"> A</w:t>
      </w:r>
      <w:r w:rsidR="006455B5" w:rsidRPr="006455B5">
        <w:rPr>
          <w:i/>
        </w:rPr>
        <w:t>ct of 1996</w:t>
      </w:r>
      <w:r w:rsidR="006455B5">
        <w:t xml:space="preserve"> Published in Federal Register May 20, 2014, </w:t>
      </w:r>
      <w:r w:rsidR="00715EB4">
        <w:t xml:space="preserve">Public Notice, </w:t>
      </w:r>
      <w:r w:rsidR="006455B5">
        <w:t>DA 14-691 (</w:t>
      </w:r>
      <w:r w:rsidR="00715EB4">
        <w:t xml:space="preserve">MB, rel. </w:t>
      </w:r>
      <w:r w:rsidR="006455B5">
        <w:t xml:space="preserve">May 21, 2014). </w:t>
      </w:r>
    </w:p>
  </w:footnote>
  <w:footnote w:id="5">
    <w:p w:rsidR="00F76C2B" w:rsidRPr="00850D77" w:rsidRDefault="00F76C2B" w:rsidP="00374125">
      <w:pPr>
        <w:pStyle w:val="FootnoteText"/>
      </w:pPr>
      <w:r w:rsidRPr="00850D77">
        <w:rPr>
          <w:rStyle w:val="FootnoteReference"/>
        </w:rPr>
        <w:footnoteRef/>
      </w:r>
      <w:r w:rsidRPr="00850D77">
        <w:t xml:space="preserve"> </w:t>
      </w:r>
      <w:r w:rsidRPr="00850D77">
        <w:rPr>
          <w:i/>
        </w:rPr>
        <w:t>See 2014 Quadrennial Regulatory Review – Review of the Commission’s Broadcast Ownership Rules and Other Rules Adopted Pursuant to Section 202 of the Telecommunications Act of 1996</w:t>
      </w:r>
      <w:r w:rsidRPr="00850D77">
        <w:t xml:space="preserve">, MB Docket No. </w:t>
      </w:r>
      <w:r w:rsidR="00374125">
        <w:t>14-50</w:t>
      </w:r>
      <w:r w:rsidRPr="00850D77">
        <w:t>, Report on Ownership of Commercial Broadcast Stations, DA 14-</w:t>
      </w:r>
      <w:r w:rsidR="00003640">
        <w:t>924</w:t>
      </w:r>
      <w:r w:rsidRPr="00850D77">
        <w:t xml:space="preserve"> (MB, rel. </w:t>
      </w:r>
      <w:r w:rsidR="006F1934">
        <w:t>June 2</w:t>
      </w:r>
      <w:r w:rsidR="000950E3">
        <w:t>7</w:t>
      </w:r>
      <w:r w:rsidR="006F1934">
        <w:t>, 2014</w:t>
      </w:r>
      <w:r w:rsidRPr="00850D77">
        <w:t xml:space="preserve">).  The </w:t>
      </w:r>
      <w:r w:rsidRPr="00850D77">
        <w:rPr>
          <w:i/>
        </w:rPr>
        <w:t>2014 323 Report</w:t>
      </w:r>
      <w:r w:rsidRPr="00850D77">
        <w:t xml:space="preserve"> is based on ownership information, as of </w:t>
      </w:r>
      <w:r>
        <w:t>October</w:t>
      </w:r>
      <w:r w:rsidRPr="00850D77">
        <w:t xml:space="preserve"> 1, 2013, submitted by broadcasters in their biennial Form 323 filings.  </w:t>
      </w:r>
      <w:r w:rsidRPr="00850D77">
        <w:rPr>
          <w:i/>
        </w:rPr>
        <w:t xml:space="preserve">See </w:t>
      </w:r>
      <w:r w:rsidRPr="00850D77">
        <w:t xml:space="preserve">FCC Form 323, Ownership Report for Commercial Broadcast Stations, </w:t>
      </w:r>
      <w:r w:rsidRPr="00850D77">
        <w:rPr>
          <w:i/>
        </w:rPr>
        <w:t>available at</w:t>
      </w:r>
      <w:r w:rsidRPr="00850D77">
        <w:t xml:space="preserve"> </w:t>
      </w:r>
      <w:hyperlink r:id="rId1" w:history="1">
        <w:r w:rsidRPr="00850D77">
          <w:rPr>
            <w:rStyle w:val="Hyperlink"/>
          </w:rPr>
          <w:t>http://transition.fcc.gov/Forms/Form323/323.pdf</w:t>
        </w:r>
      </w:hyperlink>
      <w:r w:rsidRPr="00850D77">
        <w:t xml:space="preserve">; </w:t>
      </w:r>
      <w:r w:rsidRPr="00850D77">
        <w:rPr>
          <w:i/>
        </w:rPr>
        <w:t xml:space="preserve">see also </w:t>
      </w:r>
      <w:r w:rsidRPr="00850D77">
        <w:t xml:space="preserve">47 C.F.R. § 73.3615.   The data contained in each Form 323 ownership report are publicly available and may be downloaded from the Commission’s Consolidated Database System (CDBS) and then aggregated, cross-referenced, and searched electronically.  </w:t>
      </w:r>
      <w:r w:rsidRPr="00850D77">
        <w:rPr>
          <w:i/>
        </w:rPr>
        <w:t>See</w:t>
      </w:r>
      <w:r w:rsidRPr="00850D77">
        <w:rPr>
          <w:b/>
        </w:rPr>
        <w:t xml:space="preserve"> </w:t>
      </w:r>
      <w:hyperlink r:id="rId2" w:history="1">
        <w:r w:rsidRPr="00850D77">
          <w:rPr>
            <w:rStyle w:val="Hyperlink"/>
          </w:rPr>
          <w:t>http://transition.fcc.gov/mb/databases/cdbs/</w:t>
        </w:r>
      </w:hyperlink>
      <w:r w:rsidRPr="00850D77">
        <w:t>.</w:t>
      </w:r>
      <w:r w:rsidRPr="00850D77">
        <w:rPr>
          <w:b/>
        </w:rPr>
        <w:t xml:space="preserve"> </w:t>
      </w:r>
      <w:r w:rsidRPr="00850D77">
        <w:t xml:space="preserve">   </w:t>
      </w:r>
    </w:p>
  </w:footnote>
  <w:footnote w:id="6">
    <w:p w:rsidR="00F76C2B" w:rsidRPr="00850D77" w:rsidRDefault="00F76C2B" w:rsidP="00374125">
      <w:pPr>
        <w:pStyle w:val="FootnoteText"/>
      </w:pPr>
      <w:r w:rsidRPr="00850D77">
        <w:rPr>
          <w:rStyle w:val="FootnoteReference"/>
        </w:rPr>
        <w:footnoteRef/>
      </w:r>
      <w:r w:rsidRPr="00850D77">
        <w:t xml:space="preserve"> </w:t>
      </w:r>
      <w:r w:rsidRPr="00850D77">
        <w:rPr>
          <w:i/>
        </w:rPr>
        <w:t>See 2010 Quadrennial Regulatory Review – Review of the Commission’s Broadcast Ownership Rules and Other Rules Adopted Pursuant to Section 202 of the Telecommunications Act of 1996</w:t>
      </w:r>
      <w:r w:rsidRPr="00850D77">
        <w:t xml:space="preserve">, MB Docket No. 09-182, Report on Ownership of Commercial Broadcast Stations, 27 FCC Rcd 13814 (2012).  The </w:t>
      </w:r>
      <w:r w:rsidRPr="00850D77">
        <w:rPr>
          <w:i/>
        </w:rPr>
        <w:t>2012 323 Report</w:t>
      </w:r>
      <w:r w:rsidRPr="00850D77">
        <w:t xml:space="preserve"> is based on ownership information, as of November 1, 2009</w:t>
      </w:r>
      <w:r w:rsidR="00374125">
        <w:t>,</w:t>
      </w:r>
      <w:r w:rsidRPr="00850D77">
        <w:t xml:space="preserve"> and October 1, 2011, submitted by broadcasters in their biennial Form 323 filings.  </w:t>
      </w:r>
    </w:p>
  </w:footnote>
  <w:footnote w:id="7">
    <w:p w:rsidR="00F76C2B" w:rsidRPr="00850D77" w:rsidRDefault="00F76C2B" w:rsidP="00374125">
      <w:pPr>
        <w:pStyle w:val="FootnoteText"/>
      </w:pPr>
      <w:r w:rsidRPr="00850D77">
        <w:rPr>
          <w:rStyle w:val="FootnoteReference"/>
        </w:rPr>
        <w:footnoteRef/>
      </w:r>
      <w:r w:rsidRPr="00850D77">
        <w:t xml:space="preserve"> </w:t>
      </w:r>
      <w:r w:rsidRPr="00850D77">
        <w:rPr>
          <w:i/>
        </w:rPr>
        <w:t>See</w:t>
      </w:r>
      <w:r w:rsidRPr="00850D77">
        <w:t xml:space="preserve">, </w:t>
      </w:r>
      <w:r w:rsidRPr="00850D77">
        <w:rPr>
          <w:i/>
        </w:rPr>
        <w:t>e.g.</w:t>
      </w:r>
      <w:r w:rsidRPr="00850D77">
        <w:t>,</w:t>
      </w:r>
      <w:r w:rsidRPr="00850D77">
        <w:rPr>
          <w:i/>
        </w:rPr>
        <w:t xml:space="preserve"> </w:t>
      </w:r>
      <w:r w:rsidR="00FF4C2F" w:rsidRPr="004B664D">
        <w:rPr>
          <w:i/>
        </w:rPr>
        <w:t>2014 Quadrennial Review</w:t>
      </w:r>
      <w:r w:rsidR="00FF4C2F">
        <w:rPr>
          <w:i/>
        </w:rPr>
        <w:t xml:space="preserve"> FNPRM</w:t>
      </w:r>
      <w:r w:rsidR="00FF4C2F">
        <w:t>, 29 FCC Rcd at 4481-85, ¶¶ 249-56</w:t>
      </w:r>
      <w:r w:rsidRPr="00850D77">
        <w:t xml:space="preserve">.  </w:t>
      </w:r>
    </w:p>
  </w:footnote>
  <w:footnote w:id="8">
    <w:p w:rsidR="00F76C2B" w:rsidRPr="00374125" w:rsidRDefault="00F76C2B" w:rsidP="00374125">
      <w:pPr>
        <w:autoSpaceDE w:val="0"/>
        <w:autoSpaceDN w:val="0"/>
        <w:adjustRightInd w:val="0"/>
        <w:spacing w:after="120"/>
        <w:rPr>
          <w:sz w:val="20"/>
        </w:rPr>
      </w:pPr>
      <w:r w:rsidRPr="00850D77">
        <w:rPr>
          <w:rStyle w:val="FootnoteReference"/>
        </w:rPr>
        <w:footnoteRef/>
      </w:r>
      <w:r w:rsidRPr="00850D77">
        <w:rPr>
          <w:sz w:val="20"/>
        </w:rPr>
        <w:t xml:space="preserve"> </w:t>
      </w:r>
      <w:r w:rsidRPr="00850D77">
        <w:rPr>
          <w:i/>
          <w:sz w:val="20"/>
        </w:rPr>
        <w:t>See</w:t>
      </w:r>
      <w:r w:rsidRPr="00850D77">
        <w:rPr>
          <w:sz w:val="20"/>
        </w:rPr>
        <w:t xml:space="preserve"> </w:t>
      </w:r>
      <w:r w:rsidRPr="00850D77">
        <w:rPr>
          <w:i/>
          <w:sz w:val="20"/>
        </w:rPr>
        <w:t>id.</w:t>
      </w:r>
    </w:p>
  </w:footnote>
  <w:footnote w:id="9">
    <w:p w:rsidR="00F76C2B" w:rsidRPr="00850D77" w:rsidRDefault="00F76C2B" w:rsidP="00374125">
      <w:pPr>
        <w:pStyle w:val="FootnoteText"/>
      </w:pPr>
      <w:r w:rsidRPr="00850D77">
        <w:rPr>
          <w:rStyle w:val="FootnoteReference"/>
        </w:rPr>
        <w:footnoteRef/>
      </w:r>
      <w:r w:rsidRPr="00850D77">
        <w:t xml:space="preserve"> The </w:t>
      </w:r>
      <w:r w:rsidRPr="00850D77">
        <w:rPr>
          <w:i/>
        </w:rPr>
        <w:t>2012 323 Report</w:t>
      </w:r>
      <w:r w:rsidRPr="00850D77">
        <w:t xml:space="preserve"> also is part of the record.  </w:t>
      </w:r>
      <w:r w:rsidRPr="00850D77">
        <w:rPr>
          <w:i/>
        </w:rPr>
        <w:t>See Commission Seeks Comment on Broadcast Ownership Report</w:t>
      </w:r>
      <w:r w:rsidRPr="00850D77">
        <w:t xml:space="preserve">, </w:t>
      </w:r>
      <w:r>
        <w:t xml:space="preserve">MB Docket No. 09-182, </w:t>
      </w:r>
      <w:r w:rsidRPr="00850D77">
        <w:t xml:space="preserve">Public Notice, </w:t>
      </w:r>
      <w:r w:rsidRPr="00850D77">
        <w:rPr>
          <w:iCs/>
        </w:rPr>
        <w:t>27 FCC Rcd 15036</w:t>
      </w:r>
      <w:r>
        <w:t xml:space="preserve"> (Med. Bur.</w:t>
      </w:r>
      <w:r w:rsidRPr="00850D77">
        <w:t xml:space="preserve"> 2012).</w:t>
      </w:r>
    </w:p>
  </w:footnote>
  <w:footnote w:id="10">
    <w:p w:rsidR="00BE36DF" w:rsidRDefault="00BE36DF" w:rsidP="00374125">
      <w:pPr>
        <w:pStyle w:val="FootnoteText"/>
      </w:pPr>
      <w:r>
        <w:rPr>
          <w:rStyle w:val="FootnoteReference"/>
        </w:rPr>
        <w:footnoteRef/>
      </w:r>
      <w:r>
        <w:t xml:space="preserve"> Coalition of Smaller Market Television Stations, Motion for Extension of Time filed June 5, 2014 (“Motion”).  Coalition members include Bonten Media Group, Inc., LIN Television Corporation, Morgan Murphy Media, Quincy Newspapers, Inc., Raycom Media, Inc., and Schurz Communications, Inc.  Motion at </w:t>
      </w:r>
      <w:r w:rsidR="00715EB4">
        <w:t xml:space="preserve">1 </w:t>
      </w:r>
      <w:r>
        <w:t>n.1.</w:t>
      </w:r>
      <w:r w:rsidR="002F7766">
        <w:t xml:space="preserve">  </w:t>
      </w:r>
    </w:p>
  </w:footnote>
  <w:footnote w:id="11">
    <w:p w:rsidR="00BE36DF" w:rsidRDefault="00BE36DF" w:rsidP="00374125">
      <w:pPr>
        <w:pStyle w:val="FootnoteText"/>
      </w:pPr>
      <w:r>
        <w:rPr>
          <w:rStyle w:val="FootnoteReference"/>
        </w:rPr>
        <w:footnoteRef/>
      </w:r>
      <w:r>
        <w:t xml:space="preserve"> </w:t>
      </w:r>
      <w:r w:rsidR="0049507E" w:rsidRPr="003118E6">
        <w:rPr>
          <w:i/>
        </w:rPr>
        <w:t>Id.</w:t>
      </w:r>
      <w:r w:rsidR="0049507E">
        <w:t xml:space="preserve"> </w:t>
      </w:r>
      <w:r w:rsidR="00EB6288">
        <w:t>at 2.</w:t>
      </w:r>
    </w:p>
  </w:footnote>
  <w:footnote w:id="12">
    <w:p w:rsidR="00EB6288" w:rsidRDefault="00EB6288" w:rsidP="00374125">
      <w:pPr>
        <w:pStyle w:val="FootnoteText"/>
      </w:pPr>
      <w:r>
        <w:rPr>
          <w:rStyle w:val="FootnoteReference"/>
        </w:rPr>
        <w:footnoteRef/>
      </w:r>
      <w:r>
        <w:t xml:space="preserve"> </w:t>
      </w:r>
      <w:r w:rsidR="0049507E" w:rsidRPr="000B7F2D">
        <w:rPr>
          <w:i/>
        </w:rPr>
        <w:t>Id.</w:t>
      </w:r>
    </w:p>
  </w:footnote>
  <w:footnote w:id="13">
    <w:p w:rsidR="00A947A2" w:rsidRDefault="00A947A2" w:rsidP="00374125">
      <w:pPr>
        <w:pStyle w:val="FootnoteText"/>
      </w:pPr>
      <w:r>
        <w:rPr>
          <w:rStyle w:val="FootnoteReference"/>
        </w:rPr>
        <w:footnoteRef/>
      </w:r>
      <w:r>
        <w:t xml:space="preserve"> </w:t>
      </w:r>
      <w:r w:rsidR="0049507E" w:rsidRPr="000B7F2D">
        <w:rPr>
          <w:i/>
        </w:rPr>
        <w:t>Id.</w:t>
      </w:r>
      <w:r w:rsidR="0049507E">
        <w:rPr>
          <w:i/>
        </w:rPr>
        <w:t xml:space="preserve"> </w:t>
      </w:r>
      <w:r>
        <w:t>at 2-3.</w:t>
      </w:r>
    </w:p>
  </w:footnote>
  <w:footnote w:id="14">
    <w:p w:rsidR="005A2783" w:rsidRDefault="005A2783" w:rsidP="00374125">
      <w:pPr>
        <w:pStyle w:val="FootnoteText"/>
      </w:pPr>
      <w:r>
        <w:rPr>
          <w:rStyle w:val="FootnoteReference"/>
        </w:rPr>
        <w:footnoteRef/>
      </w:r>
      <w:r>
        <w:t xml:space="preserve"> </w:t>
      </w:r>
      <w:r w:rsidR="0049507E" w:rsidRPr="000B7F2D">
        <w:rPr>
          <w:i/>
        </w:rPr>
        <w:t>Id.</w:t>
      </w:r>
      <w:r>
        <w:t xml:space="preserve"> at </w:t>
      </w:r>
      <w:r w:rsidR="008E3CDB">
        <w:t>3</w:t>
      </w:r>
      <w:r>
        <w:t>.</w:t>
      </w:r>
    </w:p>
  </w:footnote>
  <w:footnote w:id="15">
    <w:p w:rsidR="005747D5" w:rsidRDefault="005747D5" w:rsidP="00374125">
      <w:pPr>
        <w:pStyle w:val="FootnoteText"/>
      </w:pPr>
      <w:r>
        <w:rPr>
          <w:rStyle w:val="FootnoteReference"/>
        </w:rPr>
        <w:footnoteRef/>
      </w:r>
      <w:r>
        <w:t xml:space="preserve"> </w:t>
      </w:r>
      <w:r w:rsidRPr="005747D5">
        <w:rPr>
          <w:i/>
        </w:rPr>
        <w:t>See</w:t>
      </w:r>
      <w:r>
        <w:t xml:space="preserve"> 47 C.F.R. § 1.46</w:t>
      </w:r>
      <w:r w:rsidR="0049507E">
        <w: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59" w:rsidRDefault="008B6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E77FB">
      <w:t>DA 14-</w:t>
    </w:r>
    <w:r w:rsidR="00003640">
      <w:t>926</w:t>
    </w:r>
  </w:p>
  <w:p w:rsidR="00D25FB5" w:rsidRDefault="006455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A7A898" wp14:editId="14FB8BF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455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E77FB">
      <w:t>DA 14-</w:t>
    </w:r>
    <w:r w:rsidR="00003640">
      <w:t>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8"/>
    <w:rsid w:val="00003640"/>
    <w:rsid w:val="00036039"/>
    <w:rsid w:val="00037F90"/>
    <w:rsid w:val="00040AC9"/>
    <w:rsid w:val="000875BF"/>
    <w:rsid w:val="000950E3"/>
    <w:rsid w:val="00096D8C"/>
    <w:rsid w:val="000C0B65"/>
    <w:rsid w:val="000E05FE"/>
    <w:rsid w:val="000E3D42"/>
    <w:rsid w:val="000F187F"/>
    <w:rsid w:val="00122BD5"/>
    <w:rsid w:val="00133F79"/>
    <w:rsid w:val="00147D69"/>
    <w:rsid w:val="00160EB7"/>
    <w:rsid w:val="00194A66"/>
    <w:rsid w:val="001D6BCF"/>
    <w:rsid w:val="001E01CA"/>
    <w:rsid w:val="00203A7F"/>
    <w:rsid w:val="00204606"/>
    <w:rsid w:val="00275405"/>
    <w:rsid w:val="00275CF5"/>
    <w:rsid w:val="0028301F"/>
    <w:rsid w:val="00285017"/>
    <w:rsid w:val="002A2D2E"/>
    <w:rsid w:val="002C00E8"/>
    <w:rsid w:val="002C5B81"/>
    <w:rsid w:val="002F7766"/>
    <w:rsid w:val="003072A2"/>
    <w:rsid w:val="003118E6"/>
    <w:rsid w:val="00315792"/>
    <w:rsid w:val="003312A7"/>
    <w:rsid w:val="003327AD"/>
    <w:rsid w:val="00335CD0"/>
    <w:rsid w:val="00343749"/>
    <w:rsid w:val="00350864"/>
    <w:rsid w:val="00362BAA"/>
    <w:rsid w:val="003660ED"/>
    <w:rsid w:val="003665B4"/>
    <w:rsid w:val="00374125"/>
    <w:rsid w:val="003745B5"/>
    <w:rsid w:val="003B0550"/>
    <w:rsid w:val="003B694F"/>
    <w:rsid w:val="003B78BF"/>
    <w:rsid w:val="003F171C"/>
    <w:rsid w:val="00412FC5"/>
    <w:rsid w:val="00422276"/>
    <w:rsid w:val="004242F1"/>
    <w:rsid w:val="004310AA"/>
    <w:rsid w:val="00445A00"/>
    <w:rsid w:val="00450C8D"/>
    <w:rsid w:val="00451B0F"/>
    <w:rsid w:val="0049507E"/>
    <w:rsid w:val="004A141E"/>
    <w:rsid w:val="004B664D"/>
    <w:rsid w:val="004B70E2"/>
    <w:rsid w:val="004C2EE3"/>
    <w:rsid w:val="004D0EC8"/>
    <w:rsid w:val="004E4A22"/>
    <w:rsid w:val="00511968"/>
    <w:rsid w:val="005133E8"/>
    <w:rsid w:val="0055614C"/>
    <w:rsid w:val="005747D5"/>
    <w:rsid w:val="00582F53"/>
    <w:rsid w:val="005A2783"/>
    <w:rsid w:val="005A6B05"/>
    <w:rsid w:val="005B3E1F"/>
    <w:rsid w:val="005E14C2"/>
    <w:rsid w:val="006006E3"/>
    <w:rsid w:val="00605F66"/>
    <w:rsid w:val="00607BA5"/>
    <w:rsid w:val="0061180A"/>
    <w:rsid w:val="00621B0A"/>
    <w:rsid w:val="00626EB6"/>
    <w:rsid w:val="006455B5"/>
    <w:rsid w:val="00655D03"/>
    <w:rsid w:val="00683388"/>
    <w:rsid w:val="00683F84"/>
    <w:rsid w:val="00690347"/>
    <w:rsid w:val="006A6A81"/>
    <w:rsid w:val="006F1934"/>
    <w:rsid w:val="006F7393"/>
    <w:rsid w:val="0070224F"/>
    <w:rsid w:val="007115F7"/>
    <w:rsid w:val="00715EB4"/>
    <w:rsid w:val="00716671"/>
    <w:rsid w:val="007201E5"/>
    <w:rsid w:val="00775D50"/>
    <w:rsid w:val="00785689"/>
    <w:rsid w:val="0079754B"/>
    <w:rsid w:val="007A1E6D"/>
    <w:rsid w:val="007B0EB2"/>
    <w:rsid w:val="007F51FD"/>
    <w:rsid w:val="00810B6F"/>
    <w:rsid w:val="00822CE0"/>
    <w:rsid w:val="00841AB1"/>
    <w:rsid w:val="008B5E06"/>
    <w:rsid w:val="008B6859"/>
    <w:rsid w:val="008C68F1"/>
    <w:rsid w:val="008E3CDB"/>
    <w:rsid w:val="00921803"/>
    <w:rsid w:val="00926503"/>
    <w:rsid w:val="009726D8"/>
    <w:rsid w:val="009C535D"/>
    <w:rsid w:val="009C5621"/>
    <w:rsid w:val="009E77FB"/>
    <w:rsid w:val="009F76DB"/>
    <w:rsid w:val="00A20C1A"/>
    <w:rsid w:val="00A32C3B"/>
    <w:rsid w:val="00A45F4F"/>
    <w:rsid w:val="00A600A9"/>
    <w:rsid w:val="00A62AA8"/>
    <w:rsid w:val="00A947A2"/>
    <w:rsid w:val="00AA1C3F"/>
    <w:rsid w:val="00AA55B7"/>
    <w:rsid w:val="00AA5B9E"/>
    <w:rsid w:val="00AB2407"/>
    <w:rsid w:val="00AB53DF"/>
    <w:rsid w:val="00AD1A77"/>
    <w:rsid w:val="00B06E2E"/>
    <w:rsid w:val="00B07E5C"/>
    <w:rsid w:val="00B5522F"/>
    <w:rsid w:val="00B67361"/>
    <w:rsid w:val="00B811F7"/>
    <w:rsid w:val="00B83401"/>
    <w:rsid w:val="00BA5DC6"/>
    <w:rsid w:val="00BA6196"/>
    <w:rsid w:val="00BC6D8C"/>
    <w:rsid w:val="00BE36DF"/>
    <w:rsid w:val="00C15CAE"/>
    <w:rsid w:val="00C257AA"/>
    <w:rsid w:val="00C34006"/>
    <w:rsid w:val="00C426B1"/>
    <w:rsid w:val="00C54BDD"/>
    <w:rsid w:val="00C62746"/>
    <w:rsid w:val="00C66160"/>
    <w:rsid w:val="00C721AC"/>
    <w:rsid w:val="00C72C2E"/>
    <w:rsid w:val="00C80C28"/>
    <w:rsid w:val="00C90D6A"/>
    <w:rsid w:val="00C937BA"/>
    <w:rsid w:val="00C97B6F"/>
    <w:rsid w:val="00CA247E"/>
    <w:rsid w:val="00CC72B6"/>
    <w:rsid w:val="00D0218D"/>
    <w:rsid w:val="00D25FB5"/>
    <w:rsid w:val="00D44223"/>
    <w:rsid w:val="00DA2529"/>
    <w:rsid w:val="00DB130A"/>
    <w:rsid w:val="00DB2EBB"/>
    <w:rsid w:val="00DC0BD4"/>
    <w:rsid w:val="00DC10A1"/>
    <w:rsid w:val="00DC655F"/>
    <w:rsid w:val="00DD0B59"/>
    <w:rsid w:val="00DD556E"/>
    <w:rsid w:val="00DD70C5"/>
    <w:rsid w:val="00DD7EBD"/>
    <w:rsid w:val="00DF47CE"/>
    <w:rsid w:val="00DF62B6"/>
    <w:rsid w:val="00E07225"/>
    <w:rsid w:val="00E20DF3"/>
    <w:rsid w:val="00E5409F"/>
    <w:rsid w:val="00EA2A3A"/>
    <w:rsid w:val="00EB6288"/>
    <w:rsid w:val="00EE6488"/>
    <w:rsid w:val="00F021FA"/>
    <w:rsid w:val="00F62E97"/>
    <w:rsid w:val="00F64209"/>
    <w:rsid w:val="00F72259"/>
    <w:rsid w:val="00F76C2B"/>
    <w:rsid w:val="00F904F6"/>
    <w:rsid w:val="00F93BF5"/>
    <w:rsid w:val="00FC3F3E"/>
    <w:rsid w:val="00FD6FED"/>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E8"/>
    <w:pPr>
      <w:widowControl w:val="0"/>
    </w:pPr>
    <w:rPr>
      <w:snapToGrid w:val="0"/>
      <w:kern w:val="28"/>
      <w:sz w:val="22"/>
    </w:rPr>
  </w:style>
  <w:style w:type="paragraph" w:styleId="Heading1">
    <w:name w:val="heading 1"/>
    <w:basedOn w:val="Normal"/>
    <w:next w:val="ParaNum"/>
    <w:qFormat/>
    <w:rsid w:val="005133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33E8"/>
    <w:pPr>
      <w:keepNext/>
      <w:numPr>
        <w:ilvl w:val="1"/>
        <w:numId w:val="3"/>
      </w:numPr>
      <w:spacing w:after="120"/>
      <w:outlineLvl w:val="1"/>
    </w:pPr>
    <w:rPr>
      <w:b/>
    </w:rPr>
  </w:style>
  <w:style w:type="paragraph" w:styleId="Heading3">
    <w:name w:val="heading 3"/>
    <w:basedOn w:val="Normal"/>
    <w:next w:val="ParaNum"/>
    <w:qFormat/>
    <w:rsid w:val="005133E8"/>
    <w:pPr>
      <w:keepNext/>
      <w:numPr>
        <w:ilvl w:val="2"/>
        <w:numId w:val="3"/>
      </w:numPr>
      <w:tabs>
        <w:tab w:val="left" w:pos="2160"/>
      </w:tabs>
      <w:spacing w:after="120"/>
      <w:outlineLvl w:val="2"/>
    </w:pPr>
    <w:rPr>
      <w:b/>
    </w:rPr>
  </w:style>
  <w:style w:type="paragraph" w:styleId="Heading4">
    <w:name w:val="heading 4"/>
    <w:basedOn w:val="Normal"/>
    <w:next w:val="ParaNum"/>
    <w:qFormat/>
    <w:rsid w:val="005133E8"/>
    <w:pPr>
      <w:keepNext/>
      <w:numPr>
        <w:ilvl w:val="3"/>
        <w:numId w:val="3"/>
      </w:numPr>
      <w:tabs>
        <w:tab w:val="left" w:pos="2880"/>
      </w:tabs>
      <w:spacing w:after="120"/>
      <w:outlineLvl w:val="3"/>
    </w:pPr>
    <w:rPr>
      <w:b/>
    </w:rPr>
  </w:style>
  <w:style w:type="paragraph" w:styleId="Heading5">
    <w:name w:val="heading 5"/>
    <w:basedOn w:val="Normal"/>
    <w:next w:val="ParaNum"/>
    <w:qFormat/>
    <w:rsid w:val="005133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33E8"/>
    <w:pPr>
      <w:numPr>
        <w:ilvl w:val="5"/>
        <w:numId w:val="3"/>
      </w:numPr>
      <w:tabs>
        <w:tab w:val="left" w:pos="4320"/>
      </w:tabs>
      <w:spacing w:after="120"/>
      <w:outlineLvl w:val="5"/>
    </w:pPr>
    <w:rPr>
      <w:b/>
    </w:rPr>
  </w:style>
  <w:style w:type="paragraph" w:styleId="Heading7">
    <w:name w:val="heading 7"/>
    <w:basedOn w:val="Normal"/>
    <w:next w:val="ParaNum"/>
    <w:qFormat/>
    <w:rsid w:val="005133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33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33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33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3E8"/>
  </w:style>
  <w:style w:type="paragraph" w:customStyle="1" w:styleId="ParaNum">
    <w:name w:val="ParaNum"/>
    <w:basedOn w:val="Normal"/>
    <w:rsid w:val="005133E8"/>
    <w:pPr>
      <w:numPr>
        <w:numId w:val="2"/>
      </w:numPr>
      <w:tabs>
        <w:tab w:val="clear" w:pos="1080"/>
        <w:tab w:val="num" w:pos="1440"/>
      </w:tabs>
      <w:spacing w:after="120"/>
    </w:pPr>
  </w:style>
  <w:style w:type="paragraph" w:styleId="EndnoteText">
    <w:name w:val="endnote text"/>
    <w:basedOn w:val="Normal"/>
    <w:semiHidden/>
    <w:rsid w:val="005133E8"/>
    <w:rPr>
      <w:sz w:val="20"/>
    </w:rPr>
  </w:style>
  <w:style w:type="character" w:styleId="EndnoteReference">
    <w:name w:val="endnote reference"/>
    <w:semiHidden/>
    <w:rsid w:val="005133E8"/>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3"/>
    <w:link w:val="FootnoteTextChar"/>
    <w:rsid w:val="005133E8"/>
    <w:pPr>
      <w:spacing w:after="120"/>
    </w:pPr>
  </w:style>
  <w:style w:type="character" w:styleId="FootnoteReference">
    <w:name w:val="footnote reference"/>
    <w:aliases w:val="Style 12,(NECG) Footnote Reference,Appel note de bas de p,Style 124,o,fr,Style 3,Style 13,FR,Style 17,Style 6,Footnote Reference/"/>
    <w:rsid w:val="005133E8"/>
    <w:rPr>
      <w:rFonts w:ascii="Times New Roman" w:hAnsi="Times New Roman"/>
      <w:dstrike w:val="0"/>
      <w:color w:val="auto"/>
      <w:sz w:val="20"/>
      <w:vertAlign w:val="superscript"/>
    </w:rPr>
  </w:style>
  <w:style w:type="paragraph" w:styleId="TOC1">
    <w:name w:val="toc 1"/>
    <w:basedOn w:val="Normal"/>
    <w:next w:val="Normal"/>
    <w:semiHidden/>
    <w:rsid w:val="005133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33E8"/>
    <w:pPr>
      <w:tabs>
        <w:tab w:val="left" w:pos="720"/>
        <w:tab w:val="right" w:leader="dot" w:pos="9360"/>
      </w:tabs>
      <w:suppressAutoHyphens/>
      <w:ind w:left="720" w:right="720" w:hanging="360"/>
    </w:pPr>
    <w:rPr>
      <w:noProof/>
    </w:rPr>
  </w:style>
  <w:style w:type="paragraph" w:styleId="TOC3">
    <w:name w:val="toc 3"/>
    <w:basedOn w:val="Normal"/>
    <w:next w:val="Normal"/>
    <w:semiHidden/>
    <w:rsid w:val="005133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33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33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33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33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33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33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33E8"/>
    <w:pPr>
      <w:tabs>
        <w:tab w:val="right" w:pos="9360"/>
      </w:tabs>
      <w:suppressAutoHyphens/>
    </w:pPr>
  </w:style>
  <w:style w:type="character" w:customStyle="1" w:styleId="EquationCaption">
    <w:name w:val="_Equation Caption"/>
    <w:rsid w:val="005133E8"/>
  </w:style>
  <w:style w:type="paragraph" w:styleId="Header">
    <w:name w:val="header"/>
    <w:basedOn w:val="Normal"/>
    <w:autoRedefine/>
    <w:rsid w:val="005133E8"/>
    <w:pPr>
      <w:tabs>
        <w:tab w:val="center" w:pos="4680"/>
        <w:tab w:val="right" w:pos="9360"/>
      </w:tabs>
    </w:pPr>
    <w:rPr>
      <w:b/>
    </w:rPr>
  </w:style>
  <w:style w:type="paragraph" w:styleId="Footer">
    <w:name w:val="footer"/>
    <w:basedOn w:val="Normal"/>
    <w:rsid w:val="005133E8"/>
    <w:pPr>
      <w:tabs>
        <w:tab w:val="center" w:pos="4320"/>
        <w:tab w:val="right" w:pos="8640"/>
      </w:tabs>
    </w:pPr>
  </w:style>
  <w:style w:type="character" w:styleId="PageNumber">
    <w:name w:val="page number"/>
    <w:basedOn w:val="DefaultParagraphFont"/>
    <w:rsid w:val="005133E8"/>
  </w:style>
  <w:style w:type="paragraph" w:styleId="BlockText">
    <w:name w:val="Block Text"/>
    <w:basedOn w:val="Normal"/>
    <w:rsid w:val="005133E8"/>
    <w:pPr>
      <w:spacing w:after="240"/>
      <w:ind w:left="1440" w:right="1440"/>
    </w:pPr>
  </w:style>
  <w:style w:type="paragraph" w:customStyle="1" w:styleId="Paratitle">
    <w:name w:val="Para title"/>
    <w:basedOn w:val="Normal"/>
    <w:rsid w:val="005133E8"/>
    <w:pPr>
      <w:tabs>
        <w:tab w:val="center" w:pos="9270"/>
      </w:tabs>
      <w:spacing w:after="240"/>
    </w:pPr>
    <w:rPr>
      <w:spacing w:val="-2"/>
    </w:rPr>
  </w:style>
  <w:style w:type="paragraph" w:customStyle="1" w:styleId="Bullet">
    <w:name w:val="Bullet"/>
    <w:basedOn w:val="Normal"/>
    <w:rsid w:val="005133E8"/>
    <w:pPr>
      <w:tabs>
        <w:tab w:val="left" w:pos="2160"/>
      </w:tabs>
      <w:spacing w:after="220"/>
      <w:ind w:left="2160" w:hanging="720"/>
    </w:pPr>
  </w:style>
  <w:style w:type="paragraph" w:customStyle="1" w:styleId="TableFormat">
    <w:name w:val="TableFormat"/>
    <w:basedOn w:val="Bullet"/>
    <w:rsid w:val="005133E8"/>
    <w:pPr>
      <w:tabs>
        <w:tab w:val="clear" w:pos="2160"/>
        <w:tab w:val="left" w:pos="5040"/>
      </w:tabs>
      <w:ind w:left="5040" w:hanging="3600"/>
    </w:pPr>
  </w:style>
  <w:style w:type="paragraph" w:customStyle="1" w:styleId="TOCTitle">
    <w:name w:val="TOC Title"/>
    <w:basedOn w:val="Normal"/>
    <w:rsid w:val="005133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33E8"/>
    <w:pPr>
      <w:jc w:val="center"/>
    </w:pPr>
    <w:rPr>
      <w:rFonts w:ascii="Times New Roman Bold" w:hAnsi="Times New Roman Bold"/>
      <w:b/>
      <w:bCs/>
      <w:caps/>
      <w:szCs w:val="22"/>
    </w:rPr>
  </w:style>
  <w:style w:type="character" w:styleId="Hyperlink">
    <w:name w:val="Hyperlink"/>
    <w:rsid w:val="005133E8"/>
    <w:rPr>
      <w:color w:val="0000FF"/>
      <w:u w:val="single"/>
    </w:rPr>
  </w:style>
  <w:style w:type="paragraph" w:styleId="BalloonText">
    <w:name w:val="Balloon Text"/>
    <w:basedOn w:val="Normal"/>
    <w:link w:val="BalloonTextChar"/>
    <w:rsid w:val="0049507E"/>
    <w:rPr>
      <w:rFonts w:ascii="Tahoma" w:hAnsi="Tahoma" w:cs="Tahoma"/>
      <w:sz w:val="16"/>
      <w:szCs w:val="16"/>
    </w:rPr>
  </w:style>
  <w:style w:type="character" w:customStyle="1" w:styleId="BalloonTextChar">
    <w:name w:val="Balloon Text Char"/>
    <w:basedOn w:val="DefaultParagraphFont"/>
    <w:link w:val="BalloonText"/>
    <w:rsid w:val="0049507E"/>
    <w:rPr>
      <w:rFonts w:ascii="Tahoma" w:hAnsi="Tahoma" w:cs="Tahoma"/>
      <w:snapToGrid w:val="0"/>
      <w:kern w:val="28"/>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locked/>
    <w:rsid w:val="00F7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E8"/>
    <w:pPr>
      <w:widowControl w:val="0"/>
    </w:pPr>
    <w:rPr>
      <w:snapToGrid w:val="0"/>
      <w:kern w:val="28"/>
      <w:sz w:val="22"/>
    </w:rPr>
  </w:style>
  <w:style w:type="paragraph" w:styleId="Heading1">
    <w:name w:val="heading 1"/>
    <w:basedOn w:val="Normal"/>
    <w:next w:val="ParaNum"/>
    <w:qFormat/>
    <w:rsid w:val="005133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33E8"/>
    <w:pPr>
      <w:keepNext/>
      <w:numPr>
        <w:ilvl w:val="1"/>
        <w:numId w:val="3"/>
      </w:numPr>
      <w:spacing w:after="120"/>
      <w:outlineLvl w:val="1"/>
    </w:pPr>
    <w:rPr>
      <w:b/>
    </w:rPr>
  </w:style>
  <w:style w:type="paragraph" w:styleId="Heading3">
    <w:name w:val="heading 3"/>
    <w:basedOn w:val="Normal"/>
    <w:next w:val="ParaNum"/>
    <w:qFormat/>
    <w:rsid w:val="005133E8"/>
    <w:pPr>
      <w:keepNext/>
      <w:numPr>
        <w:ilvl w:val="2"/>
        <w:numId w:val="3"/>
      </w:numPr>
      <w:tabs>
        <w:tab w:val="left" w:pos="2160"/>
      </w:tabs>
      <w:spacing w:after="120"/>
      <w:outlineLvl w:val="2"/>
    </w:pPr>
    <w:rPr>
      <w:b/>
    </w:rPr>
  </w:style>
  <w:style w:type="paragraph" w:styleId="Heading4">
    <w:name w:val="heading 4"/>
    <w:basedOn w:val="Normal"/>
    <w:next w:val="ParaNum"/>
    <w:qFormat/>
    <w:rsid w:val="005133E8"/>
    <w:pPr>
      <w:keepNext/>
      <w:numPr>
        <w:ilvl w:val="3"/>
        <w:numId w:val="3"/>
      </w:numPr>
      <w:tabs>
        <w:tab w:val="left" w:pos="2880"/>
      </w:tabs>
      <w:spacing w:after="120"/>
      <w:outlineLvl w:val="3"/>
    </w:pPr>
    <w:rPr>
      <w:b/>
    </w:rPr>
  </w:style>
  <w:style w:type="paragraph" w:styleId="Heading5">
    <w:name w:val="heading 5"/>
    <w:basedOn w:val="Normal"/>
    <w:next w:val="ParaNum"/>
    <w:qFormat/>
    <w:rsid w:val="005133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33E8"/>
    <w:pPr>
      <w:numPr>
        <w:ilvl w:val="5"/>
        <w:numId w:val="3"/>
      </w:numPr>
      <w:tabs>
        <w:tab w:val="left" w:pos="4320"/>
      </w:tabs>
      <w:spacing w:after="120"/>
      <w:outlineLvl w:val="5"/>
    </w:pPr>
    <w:rPr>
      <w:b/>
    </w:rPr>
  </w:style>
  <w:style w:type="paragraph" w:styleId="Heading7">
    <w:name w:val="heading 7"/>
    <w:basedOn w:val="Normal"/>
    <w:next w:val="ParaNum"/>
    <w:qFormat/>
    <w:rsid w:val="005133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33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33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33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3E8"/>
  </w:style>
  <w:style w:type="paragraph" w:customStyle="1" w:styleId="ParaNum">
    <w:name w:val="ParaNum"/>
    <w:basedOn w:val="Normal"/>
    <w:rsid w:val="005133E8"/>
    <w:pPr>
      <w:numPr>
        <w:numId w:val="2"/>
      </w:numPr>
      <w:tabs>
        <w:tab w:val="clear" w:pos="1080"/>
        <w:tab w:val="num" w:pos="1440"/>
      </w:tabs>
      <w:spacing w:after="120"/>
    </w:pPr>
  </w:style>
  <w:style w:type="paragraph" w:styleId="EndnoteText">
    <w:name w:val="endnote text"/>
    <w:basedOn w:val="Normal"/>
    <w:semiHidden/>
    <w:rsid w:val="005133E8"/>
    <w:rPr>
      <w:sz w:val="20"/>
    </w:rPr>
  </w:style>
  <w:style w:type="character" w:styleId="EndnoteReference">
    <w:name w:val="endnote reference"/>
    <w:semiHidden/>
    <w:rsid w:val="005133E8"/>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3"/>
    <w:link w:val="FootnoteTextChar"/>
    <w:rsid w:val="005133E8"/>
    <w:pPr>
      <w:spacing w:after="120"/>
    </w:pPr>
  </w:style>
  <w:style w:type="character" w:styleId="FootnoteReference">
    <w:name w:val="footnote reference"/>
    <w:aliases w:val="Style 12,(NECG) Footnote Reference,Appel note de bas de p,Style 124,o,fr,Style 3,Style 13,FR,Style 17,Style 6,Footnote Reference/"/>
    <w:rsid w:val="005133E8"/>
    <w:rPr>
      <w:rFonts w:ascii="Times New Roman" w:hAnsi="Times New Roman"/>
      <w:dstrike w:val="0"/>
      <w:color w:val="auto"/>
      <w:sz w:val="20"/>
      <w:vertAlign w:val="superscript"/>
    </w:rPr>
  </w:style>
  <w:style w:type="paragraph" w:styleId="TOC1">
    <w:name w:val="toc 1"/>
    <w:basedOn w:val="Normal"/>
    <w:next w:val="Normal"/>
    <w:semiHidden/>
    <w:rsid w:val="005133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33E8"/>
    <w:pPr>
      <w:tabs>
        <w:tab w:val="left" w:pos="720"/>
        <w:tab w:val="right" w:leader="dot" w:pos="9360"/>
      </w:tabs>
      <w:suppressAutoHyphens/>
      <w:ind w:left="720" w:right="720" w:hanging="360"/>
    </w:pPr>
    <w:rPr>
      <w:noProof/>
    </w:rPr>
  </w:style>
  <w:style w:type="paragraph" w:styleId="TOC3">
    <w:name w:val="toc 3"/>
    <w:basedOn w:val="Normal"/>
    <w:next w:val="Normal"/>
    <w:semiHidden/>
    <w:rsid w:val="005133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33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33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33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33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33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33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33E8"/>
    <w:pPr>
      <w:tabs>
        <w:tab w:val="right" w:pos="9360"/>
      </w:tabs>
      <w:suppressAutoHyphens/>
    </w:pPr>
  </w:style>
  <w:style w:type="character" w:customStyle="1" w:styleId="EquationCaption">
    <w:name w:val="_Equation Caption"/>
    <w:rsid w:val="005133E8"/>
  </w:style>
  <w:style w:type="paragraph" w:styleId="Header">
    <w:name w:val="header"/>
    <w:basedOn w:val="Normal"/>
    <w:autoRedefine/>
    <w:rsid w:val="005133E8"/>
    <w:pPr>
      <w:tabs>
        <w:tab w:val="center" w:pos="4680"/>
        <w:tab w:val="right" w:pos="9360"/>
      </w:tabs>
    </w:pPr>
    <w:rPr>
      <w:b/>
    </w:rPr>
  </w:style>
  <w:style w:type="paragraph" w:styleId="Footer">
    <w:name w:val="footer"/>
    <w:basedOn w:val="Normal"/>
    <w:rsid w:val="005133E8"/>
    <w:pPr>
      <w:tabs>
        <w:tab w:val="center" w:pos="4320"/>
        <w:tab w:val="right" w:pos="8640"/>
      </w:tabs>
    </w:pPr>
  </w:style>
  <w:style w:type="character" w:styleId="PageNumber">
    <w:name w:val="page number"/>
    <w:basedOn w:val="DefaultParagraphFont"/>
    <w:rsid w:val="005133E8"/>
  </w:style>
  <w:style w:type="paragraph" w:styleId="BlockText">
    <w:name w:val="Block Text"/>
    <w:basedOn w:val="Normal"/>
    <w:rsid w:val="005133E8"/>
    <w:pPr>
      <w:spacing w:after="240"/>
      <w:ind w:left="1440" w:right="1440"/>
    </w:pPr>
  </w:style>
  <w:style w:type="paragraph" w:customStyle="1" w:styleId="Paratitle">
    <w:name w:val="Para title"/>
    <w:basedOn w:val="Normal"/>
    <w:rsid w:val="005133E8"/>
    <w:pPr>
      <w:tabs>
        <w:tab w:val="center" w:pos="9270"/>
      </w:tabs>
      <w:spacing w:after="240"/>
    </w:pPr>
    <w:rPr>
      <w:spacing w:val="-2"/>
    </w:rPr>
  </w:style>
  <w:style w:type="paragraph" w:customStyle="1" w:styleId="Bullet">
    <w:name w:val="Bullet"/>
    <w:basedOn w:val="Normal"/>
    <w:rsid w:val="005133E8"/>
    <w:pPr>
      <w:tabs>
        <w:tab w:val="left" w:pos="2160"/>
      </w:tabs>
      <w:spacing w:after="220"/>
      <w:ind w:left="2160" w:hanging="720"/>
    </w:pPr>
  </w:style>
  <w:style w:type="paragraph" w:customStyle="1" w:styleId="TableFormat">
    <w:name w:val="TableFormat"/>
    <w:basedOn w:val="Bullet"/>
    <w:rsid w:val="005133E8"/>
    <w:pPr>
      <w:tabs>
        <w:tab w:val="clear" w:pos="2160"/>
        <w:tab w:val="left" w:pos="5040"/>
      </w:tabs>
      <w:ind w:left="5040" w:hanging="3600"/>
    </w:pPr>
  </w:style>
  <w:style w:type="paragraph" w:customStyle="1" w:styleId="TOCTitle">
    <w:name w:val="TOC Title"/>
    <w:basedOn w:val="Normal"/>
    <w:rsid w:val="005133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33E8"/>
    <w:pPr>
      <w:jc w:val="center"/>
    </w:pPr>
    <w:rPr>
      <w:rFonts w:ascii="Times New Roman Bold" w:hAnsi="Times New Roman Bold"/>
      <w:b/>
      <w:bCs/>
      <w:caps/>
      <w:szCs w:val="22"/>
    </w:rPr>
  </w:style>
  <w:style w:type="character" w:styleId="Hyperlink">
    <w:name w:val="Hyperlink"/>
    <w:rsid w:val="005133E8"/>
    <w:rPr>
      <w:color w:val="0000FF"/>
      <w:u w:val="single"/>
    </w:rPr>
  </w:style>
  <w:style w:type="paragraph" w:styleId="BalloonText">
    <w:name w:val="Balloon Text"/>
    <w:basedOn w:val="Normal"/>
    <w:link w:val="BalloonTextChar"/>
    <w:rsid w:val="0049507E"/>
    <w:rPr>
      <w:rFonts w:ascii="Tahoma" w:hAnsi="Tahoma" w:cs="Tahoma"/>
      <w:sz w:val="16"/>
      <w:szCs w:val="16"/>
    </w:rPr>
  </w:style>
  <w:style w:type="character" w:customStyle="1" w:styleId="BalloonTextChar">
    <w:name w:val="Balloon Text Char"/>
    <w:basedOn w:val="DefaultParagraphFont"/>
    <w:link w:val="BalloonText"/>
    <w:rsid w:val="0049507E"/>
    <w:rPr>
      <w:rFonts w:ascii="Tahoma" w:hAnsi="Tahoma" w:cs="Tahoma"/>
      <w:snapToGrid w:val="0"/>
      <w:kern w:val="28"/>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locked/>
    <w:rsid w:val="00F7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mb/databases/cdbs/" TargetMode="External"/><Relationship Id="rId1" Type="http://schemas.openxmlformats.org/officeDocument/2006/relationships/hyperlink" Target="http://transition.fcc.gov/Forms/Form323/3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929</Words>
  <Characters>5087</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2014-06-26T18:42:00Z</cp:lastPrinted>
  <dcterms:created xsi:type="dcterms:W3CDTF">2014-06-26T19:20:00Z</dcterms:created>
  <dcterms:modified xsi:type="dcterms:W3CDTF">2014-06-26T19:20:00Z</dcterms:modified>
  <cp:category> </cp:category>
  <cp:contentStatus> </cp:contentStatus>
</cp:coreProperties>
</file>