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602577" w:rsidRPr="00D40906" w:rsidRDefault="00845133">
      <w:pPr>
        <w:jc w:val="right"/>
        <w:rPr>
          <w:b/>
          <w:sz w:val="24"/>
        </w:rPr>
      </w:pPr>
      <w:r w:rsidRPr="00D40906">
        <w:rPr>
          <w:b/>
          <w:sz w:val="24"/>
        </w:rPr>
        <w:lastRenderedPageBreak/>
        <w:t>DA 14-</w:t>
      </w:r>
      <w:r w:rsidR="00FC7FF4">
        <w:rPr>
          <w:b/>
          <w:sz w:val="24"/>
        </w:rPr>
        <w:t>928</w:t>
      </w:r>
    </w:p>
    <w:p w:rsidR="00602577" w:rsidRPr="00D40906" w:rsidRDefault="00406BBD">
      <w:pPr>
        <w:spacing w:before="60"/>
        <w:jc w:val="right"/>
        <w:rPr>
          <w:b/>
          <w:sz w:val="24"/>
        </w:rPr>
      </w:pPr>
      <w:r>
        <w:rPr>
          <w:b/>
          <w:sz w:val="24"/>
        </w:rPr>
        <w:t>June</w:t>
      </w:r>
      <w:r w:rsidR="008010B7">
        <w:rPr>
          <w:b/>
          <w:sz w:val="24"/>
        </w:rPr>
        <w:t xml:space="preserve"> </w:t>
      </w:r>
      <w:r w:rsidR="00D86556">
        <w:rPr>
          <w:b/>
          <w:sz w:val="24"/>
        </w:rPr>
        <w:t>26</w:t>
      </w:r>
      <w:r w:rsidR="00845133" w:rsidRPr="00D40906">
        <w:rPr>
          <w:b/>
          <w:sz w:val="24"/>
        </w:rPr>
        <w:t>, 2014</w:t>
      </w:r>
    </w:p>
    <w:p w:rsidR="00602577" w:rsidRDefault="00602577">
      <w:pPr>
        <w:jc w:val="right"/>
        <w:rPr>
          <w:sz w:val="24"/>
        </w:rPr>
      </w:pPr>
    </w:p>
    <w:p w:rsidR="0086180A" w:rsidRDefault="0086180A" w:rsidP="0086180A">
      <w:pPr>
        <w:jc w:val="center"/>
        <w:rPr>
          <w:b/>
          <w:sz w:val="24"/>
        </w:rPr>
      </w:pPr>
      <w:r w:rsidRPr="0086180A">
        <w:rPr>
          <w:b/>
          <w:sz w:val="24"/>
        </w:rPr>
        <w:t>DOMESTIC SECTION 214 APPLICATI</w:t>
      </w:r>
      <w:r w:rsidR="00151AC7">
        <w:rPr>
          <w:b/>
          <w:sz w:val="24"/>
        </w:rPr>
        <w:t xml:space="preserve">ON FILED FOR THE </w:t>
      </w:r>
      <w:r w:rsidR="000D7695">
        <w:rPr>
          <w:b/>
          <w:sz w:val="24"/>
        </w:rPr>
        <w:t xml:space="preserve">ACQUISITION </w:t>
      </w:r>
      <w:r w:rsidR="00510384">
        <w:rPr>
          <w:b/>
          <w:sz w:val="24"/>
        </w:rPr>
        <w:t xml:space="preserve">OF </w:t>
      </w:r>
      <w:r w:rsidR="000D7695">
        <w:rPr>
          <w:b/>
          <w:sz w:val="24"/>
        </w:rPr>
        <w:t xml:space="preserve">CERTAIN ASSETS OF MEGAGATE BROADBAND, INC. </w:t>
      </w:r>
      <w:r w:rsidR="000D7695">
        <w:rPr>
          <w:b/>
          <w:sz w:val="24"/>
        </w:rPr>
        <w:br/>
        <w:t>BY</w:t>
      </w:r>
      <w:r w:rsidR="00406BBD">
        <w:rPr>
          <w:b/>
          <w:sz w:val="24"/>
        </w:rPr>
        <w:t xml:space="preserve"> CELLULAR SOUTH, INC</w:t>
      </w:r>
      <w:r w:rsidR="001A5FD7">
        <w:rPr>
          <w:b/>
          <w:sz w:val="24"/>
        </w:rPr>
        <w:t>.</w:t>
      </w:r>
    </w:p>
    <w:p w:rsidR="00406BBD" w:rsidRPr="00995E9F" w:rsidRDefault="00406BBD" w:rsidP="0086180A">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0D7695">
        <w:rPr>
          <w:b/>
          <w:sz w:val="24"/>
        </w:rPr>
        <w:t xml:space="preserve">95 </w:t>
      </w:r>
    </w:p>
    <w:p w:rsidR="00602577" w:rsidRDefault="00602577">
      <w:pPr>
        <w:jc w:val="center"/>
        <w:rPr>
          <w:sz w:val="24"/>
        </w:rPr>
      </w:pPr>
    </w:p>
    <w:p w:rsidR="00845133" w:rsidRPr="00D40906" w:rsidRDefault="00B011C1" w:rsidP="00845133">
      <w:pPr>
        <w:pStyle w:val="NoSpacing"/>
        <w:rPr>
          <w:b/>
        </w:rPr>
      </w:pPr>
      <w:r>
        <w:rPr>
          <w:b/>
        </w:rPr>
        <w:t xml:space="preserve">Comments Due:  </w:t>
      </w:r>
      <w:r w:rsidR="00D86556">
        <w:rPr>
          <w:b/>
        </w:rPr>
        <w:t>July 10</w:t>
      </w:r>
      <w:r w:rsidR="00845133" w:rsidRPr="00D40906">
        <w:rPr>
          <w:b/>
        </w:rPr>
        <w:t>, 2014</w:t>
      </w:r>
    </w:p>
    <w:p w:rsidR="00845133" w:rsidRPr="00D40906" w:rsidRDefault="00406BBD" w:rsidP="00845133">
      <w:pPr>
        <w:pStyle w:val="NoSpacing"/>
        <w:rPr>
          <w:b/>
        </w:rPr>
      </w:pPr>
      <w:r>
        <w:rPr>
          <w:b/>
        </w:rPr>
        <w:t>Reply Comments Due:  July</w:t>
      </w:r>
      <w:r w:rsidR="008010B7">
        <w:rPr>
          <w:b/>
        </w:rPr>
        <w:t xml:space="preserve"> </w:t>
      </w:r>
      <w:r w:rsidR="00D86556">
        <w:rPr>
          <w:b/>
        </w:rPr>
        <w:t>17</w:t>
      </w:r>
      <w:r w:rsidR="00845133" w:rsidRPr="00D40906">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4C3A5D">
        <w:rPr>
          <w:szCs w:val="22"/>
        </w:rPr>
        <w:t>June 19</w:t>
      </w:r>
      <w:r>
        <w:rPr>
          <w:szCs w:val="22"/>
        </w:rPr>
        <w:t>,</w:t>
      </w:r>
      <w:r w:rsidRPr="00A75279">
        <w:rPr>
          <w:szCs w:val="22"/>
        </w:rPr>
        <w:t xml:space="preserve"> 201</w:t>
      </w:r>
      <w:r>
        <w:rPr>
          <w:szCs w:val="22"/>
        </w:rPr>
        <w:t>4</w:t>
      </w:r>
      <w:r w:rsidRPr="00A75279">
        <w:rPr>
          <w:szCs w:val="22"/>
        </w:rPr>
        <w:t xml:space="preserve">, </w:t>
      </w:r>
      <w:r w:rsidR="00406BBD">
        <w:rPr>
          <w:szCs w:val="22"/>
        </w:rPr>
        <w:t>MegaGate Broadband, Inc. (MegaGate) and Cellular South, Inc. (CSI) (</w:t>
      </w:r>
      <w:r w:rsidR="00E30F2B">
        <w:rPr>
          <w:szCs w:val="22"/>
        </w:rPr>
        <w:t>together</w:t>
      </w:r>
      <w:r w:rsidRPr="00616407">
        <w:rPr>
          <w:szCs w:val="22"/>
        </w:rPr>
        <w:t>, Applicants)</w:t>
      </w:r>
      <w:r>
        <w:rPr>
          <w:szCs w:val="22"/>
        </w:rPr>
        <w:t xml:space="preserve"> filed an application</w:t>
      </w:r>
      <w:r w:rsidR="00E30F2B">
        <w:rPr>
          <w:szCs w:val="22"/>
        </w:rPr>
        <w:t>,</w:t>
      </w:r>
      <w:r>
        <w:rPr>
          <w:szCs w:val="22"/>
        </w:rPr>
        <w:t xml:space="preserve"> pursuant to section 63.03 of the Commission’s rules</w:t>
      </w:r>
      <w:r w:rsidR="00E30F2B">
        <w:rPr>
          <w:szCs w:val="22"/>
        </w:rPr>
        <w:t>,</w:t>
      </w:r>
      <w:r>
        <w:rPr>
          <w:rStyle w:val="FootnoteReference"/>
          <w:szCs w:val="22"/>
        </w:rPr>
        <w:footnoteReference w:id="1"/>
      </w:r>
      <w:r>
        <w:rPr>
          <w:szCs w:val="22"/>
        </w:rPr>
        <w:t xml:space="preserve"> to</w:t>
      </w:r>
      <w:r w:rsidR="008010B7">
        <w:rPr>
          <w:szCs w:val="22"/>
        </w:rPr>
        <w:t xml:space="preserve"> </w:t>
      </w:r>
      <w:r w:rsidR="000D7695">
        <w:rPr>
          <w:szCs w:val="22"/>
        </w:rPr>
        <w:t>transfer certain assets</w:t>
      </w:r>
      <w:r w:rsidR="00406BBD">
        <w:rPr>
          <w:szCs w:val="22"/>
        </w:rPr>
        <w:t xml:space="preserve"> from MegaGate to CSI. </w:t>
      </w:r>
      <w:r w:rsidR="008010B7">
        <w:rPr>
          <w:szCs w:val="22"/>
        </w:rPr>
        <w:t xml:space="preserve"> </w:t>
      </w:r>
      <w:r w:rsidR="008F3F01">
        <w:rPr>
          <w:szCs w:val="22"/>
        </w:rPr>
        <w:t xml:space="preserve"> </w:t>
      </w:r>
    </w:p>
    <w:p w:rsidR="008F3F01" w:rsidRDefault="008F3F01" w:rsidP="00911349">
      <w:pPr>
        <w:autoSpaceDE w:val="0"/>
        <w:autoSpaceDN w:val="0"/>
        <w:adjustRightInd w:val="0"/>
        <w:ind w:firstLine="720"/>
        <w:rPr>
          <w:szCs w:val="22"/>
        </w:rPr>
      </w:pPr>
    </w:p>
    <w:p w:rsidR="00406BBD" w:rsidRDefault="000D7695" w:rsidP="000C42D7">
      <w:pPr>
        <w:autoSpaceDE w:val="0"/>
        <w:autoSpaceDN w:val="0"/>
        <w:adjustRightInd w:val="0"/>
        <w:ind w:firstLine="720"/>
        <w:rPr>
          <w:szCs w:val="22"/>
        </w:rPr>
      </w:pPr>
      <w:r>
        <w:rPr>
          <w:szCs w:val="22"/>
        </w:rPr>
        <w:t>MegaGate, a Mississippi corporation,</w:t>
      </w:r>
      <w:r w:rsidR="00406BBD">
        <w:rPr>
          <w:szCs w:val="22"/>
        </w:rPr>
        <w:t xml:space="preserve"> is authorized by the Mississippi Public Service Commission to provide telecommunications service as a compe</w:t>
      </w:r>
      <w:r w:rsidR="004C3A5D">
        <w:rPr>
          <w:szCs w:val="22"/>
        </w:rPr>
        <w:t xml:space="preserve">titive local exchange carrier (competitive </w:t>
      </w:r>
      <w:r w:rsidR="00406BBD">
        <w:rPr>
          <w:szCs w:val="22"/>
        </w:rPr>
        <w:t>LEC) in the state of Mississippi.</w:t>
      </w:r>
      <w:r>
        <w:rPr>
          <w:szCs w:val="22"/>
        </w:rPr>
        <w:t xml:space="preserve">  </w:t>
      </w:r>
      <w:r w:rsidRPr="000D7695">
        <w:rPr>
          <w:szCs w:val="22"/>
        </w:rPr>
        <w:t>Meg</w:t>
      </w:r>
      <w:r w:rsidR="004C3A5D">
        <w:rPr>
          <w:szCs w:val="22"/>
        </w:rPr>
        <w:t xml:space="preserve">aGate </w:t>
      </w:r>
      <w:r w:rsidRPr="000D7695">
        <w:rPr>
          <w:szCs w:val="22"/>
        </w:rPr>
        <w:t>also provides hosted VoI</w:t>
      </w:r>
      <w:r w:rsidR="004C3A5D">
        <w:rPr>
          <w:szCs w:val="22"/>
        </w:rPr>
        <w:t>P communications services</w:t>
      </w:r>
      <w:r w:rsidRPr="000D7695">
        <w:rPr>
          <w:szCs w:val="22"/>
        </w:rPr>
        <w:t>, hosted PBX, data, security, email and collaboration services.</w:t>
      </w:r>
    </w:p>
    <w:p w:rsidR="000C42D7" w:rsidRDefault="000C42D7" w:rsidP="00406BBD">
      <w:pPr>
        <w:autoSpaceDE w:val="0"/>
        <w:autoSpaceDN w:val="0"/>
        <w:adjustRightInd w:val="0"/>
        <w:rPr>
          <w:szCs w:val="22"/>
        </w:rPr>
      </w:pPr>
      <w:r>
        <w:rPr>
          <w:szCs w:val="22"/>
        </w:rPr>
        <w:t xml:space="preserve">  </w:t>
      </w:r>
    </w:p>
    <w:p w:rsidR="007E72D0" w:rsidRDefault="007E72D0" w:rsidP="00721BB7">
      <w:pPr>
        <w:autoSpaceDE w:val="0"/>
        <w:autoSpaceDN w:val="0"/>
        <w:adjustRightInd w:val="0"/>
        <w:ind w:firstLine="720"/>
        <w:rPr>
          <w:szCs w:val="22"/>
        </w:rPr>
      </w:pPr>
      <w:r>
        <w:rPr>
          <w:szCs w:val="22"/>
        </w:rPr>
        <w:t>CSI</w:t>
      </w:r>
      <w:r w:rsidR="000D7695">
        <w:rPr>
          <w:szCs w:val="22"/>
        </w:rPr>
        <w:t>, a Mississippi corporation,</w:t>
      </w:r>
      <w:r>
        <w:rPr>
          <w:szCs w:val="22"/>
        </w:rPr>
        <w:t xml:space="preserve"> provides a variety of services under the name “C Spire”</w:t>
      </w:r>
      <w:r w:rsidR="00395D16">
        <w:rPr>
          <w:rStyle w:val="FootnoteReference"/>
          <w:szCs w:val="22"/>
        </w:rPr>
        <w:footnoteReference w:id="2"/>
      </w:r>
      <w:r>
        <w:rPr>
          <w:szCs w:val="22"/>
        </w:rPr>
        <w:t xml:space="preserve"> in Mississippi and in portions of Tennessee, Alabama and Florida.  CSI is wholly owned by Telapex, Inc., a privately held company also organized under the laws of Mississippi.  CSI, through its radio license holding subsidiary </w:t>
      </w:r>
      <w:r w:rsidR="00EC736E">
        <w:rPr>
          <w:szCs w:val="22"/>
        </w:rPr>
        <w:t>Cellular South Licenses, LLC, provides wireless service in areas in which MegaGate</w:t>
      </w:r>
      <w:r w:rsidR="004C3A5D">
        <w:rPr>
          <w:szCs w:val="22"/>
        </w:rPr>
        <w:t xml:space="preserve"> provides competitive </w:t>
      </w:r>
      <w:r w:rsidR="00EC736E">
        <w:rPr>
          <w:szCs w:val="22"/>
        </w:rPr>
        <w:t>LEC services.  CSI also sells hosted IP telephony services in the same area.</w:t>
      </w:r>
      <w:r w:rsidR="000D7695">
        <w:rPr>
          <w:szCs w:val="22"/>
        </w:rPr>
        <w:t xml:space="preserve"> </w:t>
      </w:r>
      <w:r w:rsidR="00EC736E">
        <w:rPr>
          <w:szCs w:val="22"/>
        </w:rPr>
        <w:t xml:space="preserve"> </w:t>
      </w:r>
      <w:r w:rsidR="00CD2EAD">
        <w:rPr>
          <w:szCs w:val="22"/>
        </w:rPr>
        <w:t xml:space="preserve">Telapex, Inc. controls two incumbent LECs in the state of Mississippi:  Franklin Telephone Company, Inc. (Franklin) and Delta Telephone Company, Inc. (Delta).   Applicants state that MegaGate does not provide competitive LEC service to any customers in the local exchange areas of Franklin or Delta.  </w:t>
      </w:r>
      <w:r w:rsidR="00080A4C">
        <w:rPr>
          <w:szCs w:val="22"/>
        </w:rPr>
        <w:t>The following U.S. entity and indi</w:t>
      </w:r>
      <w:r w:rsidR="000D7695">
        <w:rPr>
          <w:szCs w:val="22"/>
        </w:rPr>
        <w:t xml:space="preserve">vidual hold a ten percent </w:t>
      </w:r>
      <w:r w:rsidR="00080A4C">
        <w:rPr>
          <w:szCs w:val="22"/>
        </w:rPr>
        <w:t>or greater attributable interest in Telapex, Inc.:  Telapex, Inc. Employee Stock Ow</w:t>
      </w:r>
      <w:r w:rsidR="00DF6EED">
        <w:rPr>
          <w:szCs w:val="22"/>
        </w:rPr>
        <w:t>n</w:t>
      </w:r>
      <w:r w:rsidR="00080A4C">
        <w:rPr>
          <w:szCs w:val="22"/>
        </w:rPr>
        <w:t>ership Plan</w:t>
      </w:r>
      <w:r w:rsidR="00395D16">
        <w:rPr>
          <w:szCs w:val="22"/>
        </w:rPr>
        <w:t xml:space="preserve"> </w:t>
      </w:r>
      <w:r w:rsidR="0068630E">
        <w:rPr>
          <w:szCs w:val="22"/>
        </w:rPr>
        <w:t xml:space="preserve">(Telapex ESOP) </w:t>
      </w:r>
      <w:r w:rsidR="00395D16">
        <w:rPr>
          <w:szCs w:val="22"/>
        </w:rPr>
        <w:t>(13.7972 percent)</w:t>
      </w:r>
      <w:r w:rsidR="00080A4C">
        <w:rPr>
          <w:szCs w:val="22"/>
        </w:rPr>
        <w:t>;</w:t>
      </w:r>
      <w:r w:rsidR="00395D16">
        <w:rPr>
          <w:szCs w:val="22"/>
        </w:rPr>
        <w:t xml:space="preserve"> and</w:t>
      </w:r>
      <w:r w:rsidR="00080A4C">
        <w:rPr>
          <w:szCs w:val="22"/>
        </w:rPr>
        <w:t xml:space="preserve"> James H. Creekmore, Sr.</w:t>
      </w:r>
      <w:r w:rsidR="00395D16">
        <w:rPr>
          <w:szCs w:val="22"/>
        </w:rPr>
        <w:t xml:space="preserve"> </w:t>
      </w:r>
      <w:r w:rsidR="00080A4C">
        <w:rPr>
          <w:szCs w:val="22"/>
        </w:rPr>
        <w:t>(11.9827</w:t>
      </w:r>
      <w:r w:rsidR="00395D16">
        <w:rPr>
          <w:szCs w:val="22"/>
        </w:rPr>
        <w:t xml:space="preserve"> percent</w:t>
      </w:r>
      <w:r w:rsidR="00080A4C">
        <w:rPr>
          <w:szCs w:val="22"/>
        </w:rPr>
        <w:t>).</w:t>
      </w:r>
    </w:p>
    <w:p w:rsidR="006C1355" w:rsidRDefault="006C1355" w:rsidP="00721BB7">
      <w:pPr>
        <w:autoSpaceDE w:val="0"/>
        <w:autoSpaceDN w:val="0"/>
        <w:adjustRightInd w:val="0"/>
        <w:ind w:firstLine="720"/>
        <w:rPr>
          <w:szCs w:val="22"/>
        </w:rPr>
      </w:pPr>
    </w:p>
    <w:p w:rsidR="006C1355" w:rsidRDefault="000D7695" w:rsidP="00721BB7">
      <w:pPr>
        <w:autoSpaceDE w:val="0"/>
        <w:autoSpaceDN w:val="0"/>
        <w:adjustRightInd w:val="0"/>
        <w:ind w:firstLine="720"/>
        <w:rPr>
          <w:szCs w:val="22"/>
        </w:rPr>
      </w:pPr>
      <w:r>
        <w:rPr>
          <w:szCs w:val="22"/>
        </w:rPr>
        <w:t xml:space="preserve">The </w:t>
      </w:r>
      <w:r w:rsidR="006C1355">
        <w:rPr>
          <w:szCs w:val="22"/>
        </w:rPr>
        <w:t>Telapex ESOP is a defined contribution plan whose sole trustee i</w:t>
      </w:r>
      <w:r w:rsidR="001B2D76">
        <w:rPr>
          <w:szCs w:val="22"/>
        </w:rPr>
        <w:t>s Trustmark National Bank Trust,</w:t>
      </w:r>
      <w:r w:rsidR="006C1355">
        <w:rPr>
          <w:szCs w:val="22"/>
        </w:rPr>
        <w:t xml:space="preserve"> a national bank organized under the laws of the United States.  </w:t>
      </w:r>
      <w:r w:rsidR="001A5FD7" w:rsidRPr="001A5FD7">
        <w:rPr>
          <w:szCs w:val="22"/>
        </w:rPr>
        <w:t>The plan is organized to benefit employees of Telapex, Inc. and its subsidiaries.</w:t>
      </w:r>
      <w:r w:rsidR="001A5FD7">
        <w:rPr>
          <w:szCs w:val="22"/>
        </w:rPr>
        <w:t xml:space="preserve">  </w:t>
      </w:r>
      <w:r w:rsidR="001A5FD7" w:rsidRPr="001A5FD7">
        <w:rPr>
          <w:szCs w:val="22"/>
        </w:rPr>
        <w:t xml:space="preserve">Telapex ESOP </w:t>
      </w:r>
      <w:r w:rsidR="001A5FD7">
        <w:rPr>
          <w:szCs w:val="22"/>
        </w:rPr>
        <w:t>has numerous beneficiaries, but has</w:t>
      </w:r>
      <w:r w:rsidR="006C1355">
        <w:rPr>
          <w:szCs w:val="22"/>
        </w:rPr>
        <w:t xml:space="preserve"> </w:t>
      </w:r>
      <w:r w:rsidR="001A5FD7">
        <w:rPr>
          <w:szCs w:val="22"/>
        </w:rPr>
        <w:t>no ten</w:t>
      </w:r>
      <w:r w:rsidR="006C1355">
        <w:rPr>
          <w:szCs w:val="22"/>
        </w:rPr>
        <w:t xml:space="preserve"> percent or greater interest holders</w:t>
      </w:r>
      <w:r w:rsidR="001A5FD7">
        <w:rPr>
          <w:szCs w:val="22"/>
        </w:rPr>
        <w:t>.</w:t>
      </w:r>
      <w:r w:rsidR="001A5FD7">
        <w:rPr>
          <w:rStyle w:val="FootnoteReference"/>
          <w:szCs w:val="22"/>
        </w:rPr>
        <w:footnoteReference w:id="3"/>
      </w:r>
      <w:r w:rsidR="006C1355">
        <w:rPr>
          <w:szCs w:val="22"/>
        </w:rPr>
        <w:t xml:space="preserve">  </w:t>
      </w:r>
    </w:p>
    <w:p w:rsidR="0017070D" w:rsidRDefault="0017070D" w:rsidP="007E72D0">
      <w:pPr>
        <w:autoSpaceDE w:val="0"/>
        <w:autoSpaceDN w:val="0"/>
        <w:adjustRightInd w:val="0"/>
        <w:rPr>
          <w:szCs w:val="22"/>
        </w:rPr>
      </w:pPr>
    </w:p>
    <w:p w:rsidR="00911349" w:rsidRDefault="002B74A3" w:rsidP="00DF6EED">
      <w:pPr>
        <w:autoSpaceDE w:val="0"/>
        <w:autoSpaceDN w:val="0"/>
        <w:adjustRightInd w:val="0"/>
        <w:ind w:firstLine="720"/>
        <w:rPr>
          <w:szCs w:val="22"/>
        </w:rPr>
      </w:pPr>
      <w:r>
        <w:rPr>
          <w:szCs w:val="22"/>
        </w:rPr>
        <w:t xml:space="preserve">  </w:t>
      </w:r>
      <w:r w:rsidR="00510384">
        <w:rPr>
          <w:szCs w:val="22"/>
        </w:rPr>
        <w:t>MegaGate and CSI have entered into an Asset Purchase Agreement whereby CSI will acquire assets and licenses he</w:t>
      </w:r>
      <w:r w:rsidR="000D7695">
        <w:rPr>
          <w:szCs w:val="22"/>
        </w:rPr>
        <w:t xml:space="preserve">ld by MegaGate.  </w:t>
      </w:r>
      <w:r w:rsidR="004C3A5D">
        <w:rPr>
          <w:szCs w:val="22"/>
        </w:rPr>
        <w:t>Applicants</w:t>
      </w:r>
      <w:r w:rsidR="00080A4C">
        <w:rPr>
          <w:szCs w:val="22"/>
        </w:rPr>
        <w:t xml:space="preserve"> state </w:t>
      </w:r>
      <w:r w:rsidR="004C3A5D">
        <w:rPr>
          <w:szCs w:val="22"/>
        </w:rPr>
        <w:t xml:space="preserve">that </w:t>
      </w:r>
      <w:r w:rsidR="00080A4C">
        <w:rPr>
          <w:szCs w:val="22"/>
        </w:rPr>
        <w:t>following the closing of the proposed transaction</w:t>
      </w:r>
      <w:r w:rsidR="004C3A5D">
        <w:rPr>
          <w:szCs w:val="22"/>
        </w:rPr>
        <w:t>,</w:t>
      </w:r>
      <w:r w:rsidR="00080A4C">
        <w:rPr>
          <w:szCs w:val="22"/>
        </w:rPr>
        <w:t xml:space="preserve"> CSI intends to continue most services currently provided by MegaGate; and CSI will operate as a provider of resold interstate interexchange services in the markets currently served.</w:t>
      </w:r>
      <w:r w:rsidR="004C3A5D">
        <w:rPr>
          <w:szCs w:val="22"/>
        </w:rPr>
        <w:t xml:space="preserve"> </w:t>
      </w:r>
      <w:r w:rsidR="00080A4C">
        <w:rPr>
          <w:szCs w:val="22"/>
        </w:rPr>
        <w:t xml:space="preserve"> </w:t>
      </w:r>
      <w:r w:rsidR="00911349">
        <w:rPr>
          <w:szCs w:val="22"/>
        </w:rPr>
        <w:t>Applicants assert that the proposed transaction is entitled to presumptive streamlined tr</w:t>
      </w:r>
      <w:r w:rsidR="00A26D3A">
        <w:rPr>
          <w:szCs w:val="22"/>
        </w:rPr>
        <w:t>eatment under section 63.03(b)(2</w:t>
      </w:r>
      <w:r w:rsidR="00911349">
        <w:rPr>
          <w:szCs w:val="22"/>
        </w:rPr>
        <w:t>)(i</w:t>
      </w:r>
      <w:r w:rsidR="00EC736E">
        <w:rPr>
          <w:szCs w:val="22"/>
        </w:rPr>
        <w:t>i</w:t>
      </w:r>
      <w:r w:rsidR="00911349">
        <w:rPr>
          <w:szCs w:val="22"/>
        </w:rPr>
        <w:t>) of the Commission’s rules and that a grant of the application will serve the public interest, convenience, and necessity</w:t>
      </w:r>
      <w:r w:rsidR="002403BC">
        <w:rPr>
          <w:szCs w:val="22"/>
        </w:rPr>
        <w:t>.</w:t>
      </w:r>
      <w:r w:rsidR="00911349">
        <w:rPr>
          <w:rStyle w:val="FootnoteReference"/>
          <w:szCs w:val="22"/>
        </w:rPr>
        <w:footnoteReference w:id="4"/>
      </w:r>
    </w:p>
    <w:p w:rsidR="00911349" w:rsidRDefault="00911349" w:rsidP="009A065C">
      <w:pPr>
        <w:autoSpaceDE w:val="0"/>
        <w:autoSpaceDN w:val="0"/>
        <w:adjustRightInd w:val="0"/>
        <w:rPr>
          <w:szCs w:val="22"/>
        </w:rPr>
      </w:pPr>
    </w:p>
    <w:p w:rsidR="00911349" w:rsidRDefault="002B74A3" w:rsidP="00911349">
      <w:pPr>
        <w:autoSpaceDE w:val="0"/>
        <w:autoSpaceDN w:val="0"/>
        <w:adjustRightInd w:val="0"/>
        <w:ind w:left="720"/>
        <w:rPr>
          <w:szCs w:val="22"/>
        </w:rPr>
      </w:pPr>
      <w:r w:rsidRPr="002B74A3">
        <w:rPr>
          <w:szCs w:val="22"/>
        </w:rPr>
        <w:t>Domestic Section 214 Appl</w:t>
      </w:r>
      <w:r>
        <w:rPr>
          <w:szCs w:val="22"/>
        </w:rPr>
        <w:t xml:space="preserve">ication Filed for the </w:t>
      </w:r>
      <w:r w:rsidR="00F67CF9">
        <w:rPr>
          <w:szCs w:val="22"/>
        </w:rPr>
        <w:t>A</w:t>
      </w:r>
      <w:r w:rsidR="00DF6EED">
        <w:rPr>
          <w:szCs w:val="22"/>
        </w:rPr>
        <w:t>ssignment of Ass</w:t>
      </w:r>
      <w:r w:rsidR="00CD2EAD">
        <w:rPr>
          <w:szCs w:val="22"/>
        </w:rPr>
        <w:t>ets of MegaGate Broadband, Inc.</w:t>
      </w:r>
      <w:r w:rsidR="00DF6EED">
        <w:rPr>
          <w:szCs w:val="22"/>
        </w:rPr>
        <w:t xml:space="preserve"> to Cellular South, Inc., </w:t>
      </w:r>
      <w:r w:rsidR="00911349">
        <w:rPr>
          <w:szCs w:val="22"/>
        </w:rPr>
        <w:t>WC Docket No. 14-</w:t>
      </w:r>
      <w:r w:rsidR="004C3A5D">
        <w:rPr>
          <w:szCs w:val="22"/>
        </w:rPr>
        <w:t>95</w:t>
      </w:r>
      <w:r w:rsidR="005F12B3">
        <w:rPr>
          <w:szCs w:val="22"/>
        </w:rPr>
        <w:t xml:space="preserve"> (filed </w:t>
      </w:r>
      <w:r w:rsidR="00EC736E">
        <w:rPr>
          <w:szCs w:val="22"/>
        </w:rPr>
        <w:t xml:space="preserve">June. </w:t>
      </w:r>
      <w:r w:rsidR="00CD2EAD">
        <w:rPr>
          <w:szCs w:val="22"/>
        </w:rPr>
        <w:t>26</w:t>
      </w:r>
      <w:r w:rsidR="00911349">
        <w:rPr>
          <w:szCs w:val="22"/>
        </w:rPr>
        <w:t>, 2014).</w:t>
      </w:r>
      <w:r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232F8C" w:rsidP="00911349">
      <w:pPr>
        <w:ind w:firstLine="720"/>
        <w:rPr>
          <w:szCs w:val="22"/>
        </w:rPr>
      </w:pPr>
      <w:r>
        <w:rPr>
          <w:szCs w:val="22"/>
        </w:rPr>
        <w:t>The transfer of assets</w:t>
      </w:r>
      <w:r w:rsidR="00911349">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D86556">
        <w:rPr>
          <w:b/>
          <w:szCs w:val="22"/>
        </w:rPr>
        <w:t>on or before July 10</w:t>
      </w:r>
      <w:r w:rsidR="00911349">
        <w:rPr>
          <w:b/>
          <w:szCs w:val="22"/>
        </w:rPr>
        <w:t>, 2014</w:t>
      </w:r>
      <w:r w:rsidR="00911349">
        <w:rPr>
          <w:szCs w:val="22"/>
        </w:rPr>
        <w:t xml:space="preserve">, and reply comments </w:t>
      </w:r>
      <w:r w:rsidR="00911349">
        <w:rPr>
          <w:b/>
          <w:szCs w:val="22"/>
        </w:rPr>
        <w:t xml:space="preserve">on or </w:t>
      </w:r>
      <w:r w:rsidR="00D86556">
        <w:rPr>
          <w:b/>
          <w:szCs w:val="22"/>
        </w:rPr>
        <w:t>before July 17</w:t>
      </w:r>
      <w:r w:rsidR="00911349">
        <w:rPr>
          <w:b/>
          <w:szCs w:val="22"/>
        </w:rPr>
        <w:t>, 2014</w:t>
      </w:r>
      <w:r w:rsidR="00911349">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225751" w:rsidP="00911349">
      <w:pPr>
        <w:numPr>
          <w:ilvl w:val="0"/>
          <w:numId w:val="13"/>
        </w:numPr>
        <w:rPr>
          <w:szCs w:val="22"/>
        </w:rPr>
      </w:pPr>
      <w:r>
        <w:rPr>
          <w:szCs w:val="22"/>
        </w:rPr>
        <w:t>Tracey Wilson</w:t>
      </w:r>
      <w:r w:rsidR="00911349">
        <w:rPr>
          <w:szCs w:val="22"/>
        </w:rPr>
        <w:t>, Competition Policy Division, Wireline C</w:t>
      </w:r>
      <w:r>
        <w:rPr>
          <w:szCs w:val="22"/>
        </w:rPr>
        <w:t>ompetition Bureau, tracey.wilson</w:t>
      </w:r>
      <w:r w:rsidR="00911349">
        <w:rPr>
          <w:szCs w:val="22"/>
        </w:rPr>
        <w:t>@fcc.gov;</w:t>
      </w:r>
    </w:p>
    <w:p w:rsidR="00911349" w:rsidRDefault="00911349" w:rsidP="00911349">
      <w:pPr>
        <w:rPr>
          <w:szCs w:val="22"/>
        </w:rPr>
      </w:pPr>
    </w:p>
    <w:p w:rsidR="00911349" w:rsidRDefault="004C3A5D" w:rsidP="00911349">
      <w:pPr>
        <w:numPr>
          <w:ilvl w:val="0"/>
          <w:numId w:val="13"/>
        </w:numPr>
        <w:rPr>
          <w:szCs w:val="22"/>
        </w:rPr>
      </w:pPr>
      <w:r>
        <w:rPr>
          <w:szCs w:val="22"/>
        </w:rPr>
        <w:t>Dennis Johnson</w:t>
      </w:r>
      <w:r w:rsidR="00911349">
        <w:rPr>
          <w:szCs w:val="22"/>
        </w:rPr>
        <w:t>, Competition Policy Division, Wireline Co</w:t>
      </w:r>
      <w:r w:rsidR="001D1302">
        <w:rPr>
          <w:szCs w:val="22"/>
        </w:rPr>
        <w:t>mpe</w:t>
      </w:r>
      <w:r w:rsidR="00510384">
        <w:rPr>
          <w:szCs w:val="22"/>
        </w:rPr>
        <w:t>t</w:t>
      </w:r>
      <w:r>
        <w:rPr>
          <w:szCs w:val="22"/>
        </w:rPr>
        <w:t>ition Bureau, dennis.johnson</w:t>
      </w:r>
      <w:r w:rsidR="0091134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David Krech, Policy Division, International Bureau, david.krech@fcc.gov; and</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The proceeding in this Notice shall be treated as a “permit-but-disclose” proceeding in accordance with t</w:t>
      </w:r>
      <w:r w:rsidR="000C42D7">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911349" w:rsidRDefault="00911349" w:rsidP="00911349">
      <w:pPr>
        <w:rPr>
          <w:szCs w:val="22"/>
        </w:rPr>
      </w:pPr>
      <w:r>
        <w:rPr>
          <w:szCs w:val="22"/>
        </w:rPr>
        <w:tab/>
        <w:t xml:space="preserve">For further information, please contact </w:t>
      </w:r>
      <w:r w:rsidR="00225751">
        <w:rPr>
          <w:szCs w:val="22"/>
        </w:rPr>
        <w:t>Tracey Wilson at (202) 418-1394</w:t>
      </w:r>
      <w:r w:rsidR="000D7695">
        <w:rPr>
          <w:szCs w:val="22"/>
        </w:rPr>
        <w:t xml:space="preserve"> or Dennis Johnson at (202) 418-0809</w:t>
      </w:r>
      <w:r>
        <w:rPr>
          <w:szCs w:val="22"/>
        </w:rPr>
        <w:t>.</w:t>
      </w:r>
    </w:p>
    <w:p w:rsidR="00911349" w:rsidRDefault="00911349" w:rsidP="00911349">
      <w:pPr>
        <w:ind w:left="720" w:right="720"/>
        <w:rPr>
          <w:szCs w:val="22"/>
        </w:rPr>
      </w:pPr>
    </w:p>
    <w:p w:rsidR="00911349" w:rsidRDefault="00911349" w:rsidP="00911349">
      <w:pPr>
        <w:jc w:val="center"/>
        <w:rPr>
          <w:szCs w:val="22"/>
        </w:rPr>
      </w:pPr>
      <w:r>
        <w:rPr>
          <w:b/>
          <w:szCs w:val="22"/>
        </w:rPr>
        <w:t>- FCC -</w:t>
      </w:r>
    </w:p>
    <w:p w:rsidR="00911349" w:rsidRDefault="00911349" w:rsidP="00911349">
      <w:pPr>
        <w:spacing w:before="120" w:after="240"/>
        <w:rPr>
          <w:sz w:val="24"/>
        </w:rPr>
      </w:pPr>
    </w:p>
    <w:p w:rsidR="00845133" w:rsidRDefault="00845133" w:rsidP="00845133">
      <w:pPr>
        <w:pStyle w:val="NoSpacing"/>
      </w:pPr>
    </w:p>
    <w:p w:rsidR="00845133" w:rsidRDefault="00845133">
      <w:pPr>
        <w:spacing w:before="120" w:after="240"/>
        <w:rPr>
          <w:sz w:val="24"/>
        </w:rPr>
      </w:pPr>
    </w:p>
    <w:p w:rsidR="00602577" w:rsidRDefault="00602577">
      <w:pPr>
        <w:spacing w:before="120" w:after="240"/>
        <w:rPr>
          <w:sz w:val="24"/>
        </w:rPr>
      </w:pPr>
    </w:p>
    <w:sectPr w:rsidR="00602577"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CE" w:rsidRDefault="009735CE">
      <w:r>
        <w:separator/>
      </w:r>
    </w:p>
  </w:endnote>
  <w:endnote w:type="continuationSeparator" w:id="0">
    <w:p w:rsidR="009735CE" w:rsidRDefault="0097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29" w:rsidRDefault="00671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29" w:rsidRDefault="00671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29" w:rsidRDefault="0067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CE" w:rsidRDefault="009735CE">
      <w:r>
        <w:separator/>
      </w:r>
    </w:p>
  </w:footnote>
  <w:footnote w:type="continuationSeparator" w:id="0">
    <w:p w:rsidR="009735CE" w:rsidRDefault="009735CE">
      <w:r>
        <w:continuationSeparator/>
      </w:r>
    </w:p>
  </w:footnote>
  <w:footnote w:id="1">
    <w:p w:rsidR="00CD2EAD" w:rsidRPr="00B01AFE" w:rsidRDefault="00CD2EAD" w:rsidP="00911349">
      <w:pPr>
        <w:pStyle w:val="FootnoteText"/>
        <w:rPr>
          <w:sz w:val="20"/>
        </w:rPr>
      </w:pPr>
      <w:r w:rsidRPr="00B01AFE">
        <w:rPr>
          <w:rStyle w:val="FootnoteReference"/>
          <w:sz w:val="20"/>
        </w:rPr>
        <w:footnoteRef/>
      </w:r>
      <w:r w:rsidRPr="00B01AFE">
        <w:rPr>
          <w:sz w:val="20"/>
        </w:rPr>
        <w:t xml:space="preserve"> 47 C.F.R § 63.03; </w:t>
      </w:r>
      <w:r w:rsidRPr="00B01AFE">
        <w:rPr>
          <w:i/>
          <w:sz w:val="20"/>
        </w:rPr>
        <w:t xml:space="preserve">see </w:t>
      </w:r>
      <w:r w:rsidRPr="00B01AFE">
        <w:rPr>
          <w:sz w:val="20"/>
        </w:rPr>
        <w:t xml:space="preserve">47 U.S.C. § 214.  Applicants are also filing applications for transfer of control associated with authorization for international services.  Any action on this domestic section 214 application is without prejudice to Commission action on other related, pending applications.         </w:t>
      </w:r>
    </w:p>
  </w:footnote>
  <w:footnote w:id="2">
    <w:p w:rsidR="00CD2EAD" w:rsidRPr="00395D16" w:rsidRDefault="00CD2EAD">
      <w:pPr>
        <w:pStyle w:val="FootnoteText"/>
        <w:rPr>
          <w:sz w:val="20"/>
        </w:rPr>
      </w:pPr>
      <w:r w:rsidRPr="00395D16">
        <w:rPr>
          <w:rStyle w:val="FootnoteReference"/>
          <w:sz w:val="20"/>
        </w:rPr>
        <w:footnoteRef/>
      </w:r>
      <w:r w:rsidRPr="00395D16">
        <w:rPr>
          <w:sz w:val="20"/>
        </w:rPr>
        <w:t xml:space="preserve"> The radio licenses utilized to provide C Spire wireless services are held by CSI’s wholly owned subsidiary, Cellular South Licenses, LLC.</w:t>
      </w:r>
    </w:p>
  </w:footnote>
  <w:footnote w:id="3">
    <w:p w:rsidR="001A5FD7" w:rsidRDefault="001A5FD7" w:rsidP="001A5FD7">
      <w:pPr>
        <w:pStyle w:val="FootnoteText"/>
      </w:pPr>
      <w:r>
        <w:rPr>
          <w:rStyle w:val="FootnoteReference"/>
        </w:rPr>
        <w:footnoteRef/>
      </w:r>
      <w:r>
        <w:t xml:space="preserve"> </w:t>
      </w:r>
      <w:r w:rsidRPr="000D7695">
        <w:t>Other stockholders of Telapex, Inc. own interests of less than 10% each, although there are familial relationships among the stockholders.  The following U.S. stockholders are identified because of those familial relationships: Wade H. Creekmore, Jr. (6.2096</w:t>
      </w:r>
      <w:r>
        <w:t>%</w:t>
      </w:r>
      <w:r w:rsidRPr="000D7695">
        <w:t>), Betsy S. Creekmore (5.2406</w:t>
      </w:r>
      <w:r>
        <w:t>%</w:t>
      </w:r>
      <w:r w:rsidRPr="000D7695">
        <w:t>), Meredith W. Creekmore (5.7217</w:t>
      </w:r>
      <w:r>
        <w:t>%</w:t>
      </w:r>
      <w:r w:rsidRPr="000D7695">
        <w:t>), Ashley C. Meena (7.9250</w:t>
      </w:r>
      <w:r>
        <w:t>%</w:t>
      </w:r>
      <w:r w:rsidRPr="000D7695">
        <w:t>), Victor H. (Hu) Meena, The President, Chief Executive Offer and controlling individual of CSI (0.4751</w:t>
      </w:r>
      <w:r>
        <w:t>%</w:t>
      </w:r>
      <w:r w:rsidRPr="000D7695">
        <w:t>), Elizabeth C. Byrd (8.400</w:t>
      </w:r>
      <w:r>
        <w:t>%</w:t>
      </w:r>
      <w:r w:rsidRPr="000D7695">
        <w:t>), Sidney C. Crews (7.9250</w:t>
      </w:r>
      <w:r>
        <w:t>%), Holt J. Crews (0.475%</w:t>
      </w:r>
      <w:r w:rsidRPr="000D7695">
        <w:t>), Dolly C. Goings (8.4705</w:t>
      </w:r>
      <w:r>
        <w:t>%</w:t>
      </w:r>
      <w:r w:rsidRPr="000D7695">
        <w:t>), Wesley Goings (0.2547</w:t>
      </w:r>
      <w:r>
        <w:t>%</w:t>
      </w:r>
      <w:r w:rsidRPr="000D7695">
        <w:t>), James H. Creekmore (9.8118</w:t>
      </w:r>
      <w:r>
        <w:t>%</w:t>
      </w:r>
      <w:r w:rsidRPr="000D7695">
        <w:t>), Elizabeth Creekmore (0.0236</w:t>
      </w:r>
      <w:r>
        <w:t>%</w:t>
      </w:r>
      <w:r w:rsidRPr="000D7695">
        <w:t>), Victor M. Meena (0.0103</w:t>
      </w:r>
      <w:r>
        <w:t>%</w:t>
      </w:r>
      <w:r w:rsidRPr="000D7695">
        <w:t>).  In addition, 11 minor children of various shareholders listed above are the beneficiaries, through trusts, of stock interests totaling approximately 1.8424%.</w:t>
      </w:r>
    </w:p>
  </w:footnote>
  <w:footnote w:id="4">
    <w:p w:rsidR="00CD2EAD" w:rsidRPr="00B01AFE" w:rsidRDefault="00CD2EAD" w:rsidP="00911349">
      <w:pPr>
        <w:pStyle w:val="FootnoteText"/>
        <w:rPr>
          <w:sz w:val="20"/>
        </w:rPr>
      </w:pPr>
      <w:r w:rsidRPr="00B01AFE">
        <w:rPr>
          <w:rStyle w:val="FootnoteReference"/>
          <w:sz w:val="20"/>
        </w:rPr>
        <w:footnoteRef/>
      </w:r>
      <w:r w:rsidRPr="00B01AFE">
        <w:rPr>
          <w:sz w:val="20"/>
        </w:rPr>
        <w:t xml:space="preserve"> 47 C.F.R. § 63.03(b)(2)(</w:t>
      </w:r>
      <w:r>
        <w:rPr>
          <w:sz w:val="20"/>
        </w:rPr>
        <w:t>i</w:t>
      </w:r>
      <w:r w:rsidRPr="00B01AFE">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29" w:rsidRDefault="00671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29" w:rsidRDefault="00671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AD" w:rsidRDefault="00CD2EA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PUBLIC NOTICE</w:t>
    </w:r>
  </w:p>
  <w:p w:rsidR="00CD2EAD" w:rsidRDefault="00CD2EA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962F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EAD" w:rsidRDefault="00CD2EAD">
                          <w:pPr>
                            <w:rPr>
                              <w:rFonts w:ascii="Arial" w:hAnsi="Arial"/>
                              <w:b/>
                            </w:rPr>
                          </w:pPr>
                          <w:r>
                            <w:rPr>
                              <w:rFonts w:ascii="Arial" w:hAnsi="Arial"/>
                              <w:b/>
                            </w:rPr>
                            <w:t>Federal Communications Commission</w:t>
                          </w:r>
                        </w:p>
                        <w:p w:rsidR="00CD2EAD" w:rsidRDefault="00CD2E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2EAD" w:rsidRDefault="00CD2EA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C1355" w:rsidRDefault="006C1355">
                    <w:pPr>
                      <w:rPr>
                        <w:rFonts w:ascii="Arial" w:hAnsi="Arial"/>
                        <w:b/>
                      </w:rPr>
                    </w:pPr>
                    <w:r>
                      <w:rPr>
                        <w:rFonts w:ascii="Arial" w:hAnsi="Arial"/>
                        <w:b/>
                      </w:rPr>
                      <w:t>Federal Communications Commission</w:t>
                    </w:r>
                  </w:p>
                  <w:p w:rsidR="006C1355" w:rsidRDefault="006C13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1355" w:rsidRDefault="006C135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EAD" w:rsidRDefault="00CD2EAD">
                          <w:pPr>
                            <w:spacing w:before="40"/>
                            <w:jc w:val="right"/>
                            <w:rPr>
                              <w:rFonts w:ascii="Arial" w:hAnsi="Arial"/>
                              <w:b/>
                              <w:sz w:val="16"/>
                            </w:rPr>
                          </w:pPr>
                          <w:r>
                            <w:rPr>
                              <w:rFonts w:ascii="Arial" w:hAnsi="Arial"/>
                              <w:b/>
                              <w:sz w:val="16"/>
                            </w:rPr>
                            <w:t>News Media Information 202 / 418-0500</w:t>
                          </w:r>
                        </w:p>
                        <w:p w:rsidR="00CD2EAD" w:rsidRDefault="00CD2EA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D2EAD" w:rsidRDefault="00CD2EAD">
                          <w:pPr>
                            <w:jc w:val="right"/>
                            <w:rPr>
                              <w:rFonts w:ascii="Arial" w:hAnsi="Arial"/>
                              <w:b/>
                              <w:sz w:val="16"/>
                            </w:rPr>
                          </w:pPr>
                          <w:r>
                            <w:rPr>
                              <w:rFonts w:ascii="Arial" w:hAnsi="Arial"/>
                              <w:b/>
                              <w:sz w:val="16"/>
                            </w:rPr>
                            <w:t>TTY: 1-888-835-5322</w:t>
                          </w:r>
                        </w:p>
                        <w:p w:rsidR="00CD2EAD" w:rsidRDefault="00CD2EA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C1355" w:rsidRDefault="006C1355">
                    <w:pPr>
                      <w:spacing w:before="40"/>
                      <w:jc w:val="right"/>
                      <w:rPr>
                        <w:rFonts w:ascii="Arial" w:hAnsi="Arial"/>
                        <w:b/>
                        <w:sz w:val="16"/>
                      </w:rPr>
                    </w:pPr>
                    <w:r>
                      <w:rPr>
                        <w:rFonts w:ascii="Arial" w:hAnsi="Arial"/>
                        <w:b/>
                        <w:sz w:val="16"/>
                      </w:rPr>
                      <w:t>News Media Information 202 / 418-0500</w:t>
                    </w:r>
                  </w:p>
                  <w:p w:rsidR="006C1355" w:rsidRDefault="006C135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C1355" w:rsidRDefault="006C1355">
                    <w:pPr>
                      <w:jc w:val="right"/>
                      <w:rPr>
                        <w:rFonts w:ascii="Arial" w:hAnsi="Arial"/>
                        <w:b/>
                        <w:sz w:val="16"/>
                      </w:rPr>
                    </w:pPr>
                    <w:r>
                      <w:rPr>
                        <w:rFonts w:ascii="Arial" w:hAnsi="Arial"/>
                        <w:b/>
                        <w:sz w:val="16"/>
                      </w:rPr>
                      <w:t>TTY: 1-888-835-5322</w:t>
                    </w:r>
                  </w:p>
                  <w:p w:rsidR="006C1355" w:rsidRDefault="006C1355">
                    <w:pPr>
                      <w:jc w:val="right"/>
                    </w:pPr>
                  </w:p>
                </w:txbxContent>
              </v:textbox>
            </v:shape>
          </w:pict>
        </mc:Fallback>
      </mc:AlternateContent>
    </w:r>
  </w:p>
  <w:p w:rsidR="00CD2EAD" w:rsidRDefault="00CD2EA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265AE"/>
    <w:rsid w:val="00080A4C"/>
    <w:rsid w:val="00084963"/>
    <w:rsid w:val="00084D89"/>
    <w:rsid w:val="000A152D"/>
    <w:rsid w:val="000C42D7"/>
    <w:rsid w:val="000C6015"/>
    <w:rsid w:val="000D7695"/>
    <w:rsid w:val="00122330"/>
    <w:rsid w:val="00151AC7"/>
    <w:rsid w:val="00167B6B"/>
    <w:rsid w:val="0017070D"/>
    <w:rsid w:val="00174D80"/>
    <w:rsid w:val="0018053D"/>
    <w:rsid w:val="001949EC"/>
    <w:rsid w:val="00194BD7"/>
    <w:rsid w:val="001A5FD7"/>
    <w:rsid w:val="001B1CB6"/>
    <w:rsid w:val="001B2D76"/>
    <w:rsid w:val="001C6437"/>
    <w:rsid w:val="001C7765"/>
    <w:rsid w:val="001D1302"/>
    <w:rsid w:val="001E6598"/>
    <w:rsid w:val="002015EC"/>
    <w:rsid w:val="0020364A"/>
    <w:rsid w:val="00225751"/>
    <w:rsid w:val="00227B79"/>
    <w:rsid w:val="00232F8C"/>
    <w:rsid w:val="002403BC"/>
    <w:rsid w:val="0025102A"/>
    <w:rsid w:val="002679EA"/>
    <w:rsid w:val="002735EC"/>
    <w:rsid w:val="002778C9"/>
    <w:rsid w:val="002B74A3"/>
    <w:rsid w:val="002E5335"/>
    <w:rsid w:val="00315E4E"/>
    <w:rsid w:val="00340870"/>
    <w:rsid w:val="00340CFA"/>
    <w:rsid w:val="00346144"/>
    <w:rsid w:val="003644C6"/>
    <w:rsid w:val="00395D16"/>
    <w:rsid w:val="003C34F5"/>
    <w:rsid w:val="003F1866"/>
    <w:rsid w:val="00406BBD"/>
    <w:rsid w:val="00413BBF"/>
    <w:rsid w:val="00437686"/>
    <w:rsid w:val="00437B61"/>
    <w:rsid w:val="00451A21"/>
    <w:rsid w:val="004C3A5D"/>
    <w:rsid w:val="004D7CB2"/>
    <w:rsid w:val="004E4BFC"/>
    <w:rsid w:val="004F4BBA"/>
    <w:rsid w:val="00510384"/>
    <w:rsid w:val="0052047F"/>
    <w:rsid w:val="00537860"/>
    <w:rsid w:val="00556C54"/>
    <w:rsid w:val="00577FF5"/>
    <w:rsid w:val="00581E20"/>
    <w:rsid w:val="00592203"/>
    <w:rsid w:val="005A644E"/>
    <w:rsid w:val="005B0120"/>
    <w:rsid w:val="005D1CB4"/>
    <w:rsid w:val="005E791C"/>
    <w:rsid w:val="005F1271"/>
    <w:rsid w:val="005F12B3"/>
    <w:rsid w:val="005F4C45"/>
    <w:rsid w:val="00602577"/>
    <w:rsid w:val="006074C0"/>
    <w:rsid w:val="00666823"/>
    <w:rsid w:val="00671729"/>
    <w:rsid w:val="006757DF"/>
    <w:rsid w:val="0068630E"/>
    <w:rsid w:val="006B6005"/>
    <w:rsid w:val="006C1355"/>
    <w:rsid w:val="006C37D4"/>
    <w:rsid w:val="006E7A75"/>
    <w:rsid w:val="00721BB7"/>
    <w:rsid w:val="00735014"/>
    <w:rsid w:val="00747174"/>
    <w:rsid w:val="007472DF"/>
    <w:rsid w:val="00772E13"/>
    <w:rsid w:val="007C1DF7"/>
    <w:rsid w:val="007D28B2"/>
    <w:rsid w:val="007D643D"/>
    <w:rsid w:val="007E09AD"/>
    <w:rsid w:val="007E72D0"/>
    <w:rsid w:val="007F0731"/>
    <w:rsid w:val="008010B7"/>
    <w:rsid w:val="008327D8"/>
    <w:rsid w:val="00845133"/>
    <w:rsid w:val="0086180A"/>
    <w:rsid w:val="00866AEA"/>
    <w:rsid w:val="008E5F80"/>
    <w:rsid w:val="008E6756"/>
    <w:rsid w:val="008F14B9"/>
    <w:rsid w:val="008F3F01"/>
    <w:rsid w:val="00911349"/>
    <w:rsid w:val="00934565"/>
    <w:rsid w:val="00935F87"/>
    <w:rsid w:val="009735CE"/>
    <w:rsid w:val="009764D9"/>
    <w:rsid w:val="009915A0"/>
    <w:rsid w:val="00995E9F"/>
    <w:rsid w:val="009A065C"/>
    <w:rsid w:val="009C022F"/>
    <w:rsid w:val="009C528C"/>
    <w:rsid w:val="00A00D66"/>
    <w:rsid w:val="00A03F62"/>
    <w:rsid w:val="00A26D3A"/>
    <w:rsid w:val="00A32B91"/>
    <w:rsid w:val="00A937DD"/>
    <w:rsid w:val="00A96899"/>
    <w:rsid w:val="00A96A66"/>
    <w:rsid w:val="00AA4C1F"/>
    <w:rsid w:val="00AF708F"/>
    <w:rsid w:val="00B011C1"/>
    <w:rsid w:val="00B01AFE"/>
    <w:rsid w:val="00B50A75"/>
    <w:rsid w:val="00B6415E"/>
    <w:rsid w:val="00B85D41"/>
    <w:rsid w:val="00B93D30"/>
    <w:rsid w:val="00BC17E7"/>
    <w:rsid w:val="00BD694C"/>
    <w:rsid w:val="00C00B92"/>
    <w:rsid w:val="00C33DBE"/>
    <w:rsid w:val="00C37512"/>
    <w:rsid w:val="00C67F99"/>
    <w:rsid w:val="00C77815"/>
    <w:rsid w:val="00C96D5A"/>
    <w:rsid w:val="00CA0D98"/>
    <w:rsid w:val="00CA68A2"/>
    <w:rsid w:val="00CD2EAD"/>
    <w:rsid w:val="00D0711A"/>
    <w:rsid w:val="00D17DC0"/>
    <w:rsid w:val="00D40906"/>
    <w:rsid w:val="00D5049A"/>
    <w:rsid w:val="00D60EFF"/>
    <w:rsid w:val="00D650D2"/>
    <w:rsid w:val="00D86556"/>
    <w:rsid w:val="00D90E56"/>
    <w:rsid w:val="00D95DBD"/>
    <w:rsid w:val="00DA1AAA"/>
    <w:rsid w:val="00DD7DB2"/>
    <w:rsid w:val="00DE0F34"/>
    <w:rsid w:val="00DE6B07"/>
    <w:rsid w:val="00DE7BE4"/>
    <w:rsid w:val="00DF4680"/>
    <w:rsid w:val="00DF6EED"/>
    <w:rsid w:val="00E02EF1"/>
    <w:rsid w:val="00E0470F"/>
    <w:rsid w:val="00E140E9"/>
    <w:rsid w:val="00E30F2B"/>
    <w:rsid w:val="00E30F3E"/>
    <w:rsid w:val="00E672BE"/>
    <w:rsid w:val="00E75E2F"/>
    <w:rsid w:val="00EB1D71"/>
    <w:rsid w:val="00EC736E"/>
    <w:rsid w:val="00EE7091"/>
    <w:rsid w:val="00F14958"/>
    <w:rsid w:val="00F2217B"/>
    <w:rsid w:val="00F22945"/>
    <w:rsid w:val="00F27256"/>
    <w:rsid w:val="00F47AAA"/>
    <w:rsid w:val="00F52C01"/>
    <w:rsid w:val="00F61010"/>
    <w:rsid w:val="00F65676"/>
    <w:rsid w:val="00F67CF9"/>
    <w:rsid w:val="00FA033E"/>
    <w:rsid w:val="00FA1FD0"/>
    <w:rsid w:val="00FA2791"/>
    <w:rsid w:val="00FC7FF4"/>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5410</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2014-06-26T17:48:00Z</cp:lastPrinted>
  <dcterms:created xsi:type="dcterms:W3CDTF">2014-06-26T19:21:00Z</dcterms:created>
  <dcterms:modified xsi:type="dcterms:W3CDTF">2014-06-26T19:21:00Z</dcterms:modified>
  <cp:category> </cp:category>
  <cp:contentStatus> </cp:contentStatus>
</cp:coreProperties>
</file>