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D5535E" w:rsidRPr="00D5535E" w:rsidRDefault="00D5535E" w:rsidP="00D5535E">
            <w:pPr>
              <w:tabs>
                <w:tab w:val="center" w:pos="4680"/>
              </w:tabs>
              <w:suppressAutoHyphens/>
              <w:rPr>
                <w:spacing w:val="-2"/>
              </w:rPr>
            </w:pPr>
            <w:r>
              <w:rPr>
                <w:spacing w:val="-2"/>
              </w:rPr>
              <w:t xml:space="preserve">PHI </w:t>
            </w:r>
            <w:r w:rsidR="009A24B5" w:rsidRPr="00FE2D8D">
              <w:rPr>
                <w:spacing w:val="-2"/>
                <w:szCs w:val="22"/>
              </w:rPr>
              <w:t>SERVICE</w:t>
            </w:r>
            <w:r w:rsidR="009A24B5" w:rsidRPr="009A24B5">
              <w:rPr>
                <w:spacing w:val="-2"/>
                <w:sz w:val="20"/>
              </w:rPr>
              <w:t xml:space="preserve"> </w:t>
            </w:r>
            <w:r w:rsidR="009A24B5">
              <w:rPr>
                <w:spacing w:val="-2"/>
              </w:rPr>
              <w:t>COMPANY</w:t>
            </w:r>
          </w:p>
          <w:p w:rsidR="00D5535E" w:rsidRPr="00D5535E" w:rsidRDefault="00D5535E" w:rsidP="00D5535E">
            <w:pPr>
              <w:tabs>
                <w:tab w:val="center" w:pos="4680"/>
              </w:tabs>
              <w:suppressAutoHyphens/>
              <w:rPr>
                <w:spacing w:val="-2"/>
              </w:rPr>
            </w:pPr>
          </w:p>
          <w:p w:rsidR="004C2EE3" w:rsidRPr="007115F7" w:rsidRDefault="00244855" w:rsidP="003B399F">
            <w:pPr>
              <w:tabs>
                <w:tab w:val="center" w:pos="4680"/>
              </w:tabs>
              <w:suppressAutoHyphens/>
              <w:rPr>
                <w:spacing w:val="-2"/>
              </w:rPr>
            </w:pPr>
            <w:r w:rsidRPr="00244855">
              <w:rPr>
                <w:spacing w:val="-2"/>
              </w:rPr>
              <w:t xml:space="preserve">Request for Waiver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3B399F"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D5535E">
            <w:pPr>
              <w:tabs>
                <w:tab w:val="center" w:pos="4680"/>
              </w:tabs>
              <w:suppressAutoHyphens/>
              <w:rPr>
                <w:spacing w:val="-2"/>
              </w:rPr>
            </w:pPr>
            <w:r>
              <w:rPr>
                <w:spacing w:val="-2"/>
              </w:rPr>
              <w:t>F</w:t>
            </w:r>
            <w:r w:rsidR="003B399F">
              <w:rPr>
                <w:spacing w:val="-2"/>
              </w:rPr>
              <w:t>CC F</w:t>
            </w:r>
            <w:r>
              <w:rPr>
                <w:spacing w:val="-2"/>
              </w:rPr>
              <w:t>ile Nos. 0006199338 and 0006199345</w:t>
            </w:r>
          </w:p>
        </w:tc>
      </w:tr>
    </w:tbl>
    <w:p w:rsidR="004C2EE3" w:rsidRDefault="004C2EE3" w:rsidP="0070224F"/>
    <w:p w:rsidR="00841AB1" w:rsidRDefault="00D5535E"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46204">
        <w:rPr>
          <w:b/>
          <w:spacing w:val="-2"/>
        </w:rPr>
        <w:t>July 7,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46204">
        <w:rPr>
          <w:b/>
          <w:spacing w:val="-2"/>
        </w:rPr>
        <w:t>July 7, 2014</w:t>
      </w:r>
    </w:p>
    <w:p w:rsidR="00822CE0" w:rsidRDefault="00822CE0"/>
    <w:p w:rsidR="002C00E8" w:rsidRDefault="004C2EE3" w:rsidP="006F3A7E">
      <w:pPr>
        <w:rPr>
          <w:spacing w:val="-2"/>
        </w:rPr>
      </w:pPr>
      <w:r>
        <w:t xml:space="preserve">By </w:t>
      </w:r>
      <w:r w:rsidR="004E4A22">
        <w:t>the</w:t>
      </w:r>
      <w:r w:rsidR="002A2D2E">
        <w:t xml:space="preserve"> </w:t>
      </w:r>
      <w:r w:rsidR="00D5535E" w:rsidRPr="00D5535E">
        <w:rPr>
          <w:spacing w:val="-2"/>
        </w:rPr>
        <w:t>Deputy Chief, Mobility Division, Wireless Telecommunications Bureau:</w:t>
      </w:r>
    </w:p>
    <w:p w:rsidR="00DC6E20" w:rsidRDefault="00DC6E20" w:rsidP="00DC6E20">
      <w:pPr>
        <w:tabs>
          <w:tab w:val="left" w:pos="5760"/>
        </w:tabs>
      </w:pPr>
    </w:p>
    <w:p w:rsidR="00DC6E20" w:rsidRDefault="00DC6E20" w:rsidP="00DC6E20">
      <w:pPr>
        <w:pStyle w:val="ParaNum"/>
        <w:numPr>
          <w:ilvl w:val="0"/>
          <w:numId w:val="7"/>
        </w:numPr>
        <w:tabs>
          <w:tab w:val="clear" w:pos="1080"/>
          <w:tab w:val="left" w:pos="1440"/>
        </w:tabs>
        <w:spacing w:after="220"/>
      </w:pPr>
      <w:r>
        <w:rPr>
          <w:i/>
        </w:rPr>
        <w:t xml:space="preserve">Introduction.  </w:t>
      </w:r>
      <w:r w:rsidR="003D0725">
        <w:t xml:space="preserve">On March </w:t>
      </w:r>
      <w:r w:rsidR="00E7010E">
        <w:t>13</w:t>
      </w:r>
      <w:r w:rsidR="003D0725">
        <w:t>, 2014</w:t>
      </w:r>
      <w:r w:rsidR="008140E5">
        <w:t xml:space="preserve">, </w:t>
      </w:r>
      <w:r w:rsidR="008140E5">
        <w:rPr>
          <w:szCs w:val="22"/>
        </w:rPr>
        <w:t>PHI</w:t>
      </w:r>
      <w:r>
        <w:rPr>
          <w:szCs w:val="22"/>
        </w:rPr>
        <w:t xml:space="preserve"> Service</w:t>
      </w:r>
      <w:r w:rsidRPr="0029462D">
        <w:rPr>
          <w:szCs w:val="22"/>
        </w:rPr>
        <w:t xml:space="preserve"> </w:t>
      </w:r>
      <w:r w:rsidR="00E7010E">
        <w:rPr>
          <w:szCs w:val="22"/>
        </w:rPr>
        <w:t xml:space="preserve">Company </w:t>
      </w:r>
      <w:r w:rsidRPr="0029462D">
        <w:rPr>
          <w:szCs w:val="22"/>
        </w:rPr>
        <w:t>(</w:t>
      </w:r>
      <w:r>
        <w:rPr>
          <w:szCs w:val="22"/>
        </w:rPr>
        <w:t>PHI</w:t>
      </w:r>
      <w:r w:rsidRPr="0029462D">
        <w:rPr>
          <w:szCs w:val="22"/>
        </w:rPr>
        <w:t xml:space="preserve">) </w:t>
      </w:r>
      <w:r w:rsidR="003D0725">
        <w:rPr>
          <w:szCs w:val="22"/>
        </w:rPr>
        <w:t xml:space="preserve">filed </w:t>
      </w:r>
      <w:r w:rsidR="00CD5EC9">
        <w:rPr>
          <w:szCs w:val="22"/>
        </w:rPr>
        <w:t xml:space="preserve">the above-captioned </w:t>
      </w:r>
      <w:r w:rsidR="003D0725">
        <w:rPr>
          <w:szCs w:val="22"/>
        </w:rPr>
        <w:t>applications</w:t>
      </w:r>
      <w:r w:rsidR="00E7010E">
        <w:rPr>
          <w:rStyle w:val="FootnoteReference"/>
          <w:szCs w:val="22"/>
        </w:rPr>
        <w:footnoteReference w:id="2"/>
      </w:r>
      <w:r w:rsidR="003D0725">
        <w:rPr>
          <w:szCs w:val="22"/>
        </w:rPr>
        <w:t xml:space="preserve"> seeking</w:t>
      </w:r>
      <w:r w:rsidRPr="008E3BEE">
        <w:rPr>
          <w:szCs w:val="22"/>
        </w:rPr>
        <w:t xml:space="preserve"> to modify </w:t>
      </w:r>
      <w:r w:rsidR="00E7010E">
        <w:rPr>
          <w:szCs w:val="22"/>
        </w:rPr>
        <w:t xml:space="preserve">its geographic licenses for </w:t>
      </w:r>
      <w:r w:rsidRPr="008E3BEE">
        <w:rPr>
          <w:szCs w:val="22"/>
        </w:rPr>
        <w:t>Automated Maritime Telecommunicat</w:t>
      </w:r>
      <w:r w:rsidR="00E7010E">
        <w:rPr>
          <w:szCs w:val="22"/>
        </w:rPr>
        <w:t>ions System (AMTS) S</w:t>
      </w:r>
      <w:r>
        <w:rPr>
          <w:szCs w:val="22"/>
        </w:rPr>
        <w:t>tations WQRI818</w:t>
      </w:r>
      <w:r w:rsidRPr="008E3BEE">
        <w:rPr>
          <w:szCs w:val="22"/>
        </w:rPr>
        <w:t xml:space="preserve"> and WQ</w:t>
      </w:r>
      <w:r>
        <w:rPr>
          <w:szCs w:val="22"/>
        </w:rPr>
        <w:t>RI820</w:t>
      </w:r>
      <w:r w:rsidRPr="008E3BEE">
        <w:rPr>
          <w:szCs w:val="22"/>
        </w:rPr>
        <w:t xml:space="preserve"> by adding </w:t>
      </w:r>
      <w:r>
        <w:rPr>
          <w:szCs w:val="22"/>
        </w:rPr>
        <w:t>seven</w:t>
      </w:r>
      <w:r w:rsidRPr="008E3BEE">
        <w:rPr>
          <w:szCs w:val="22"/>
        </w:rPr>
        <w:t xml:space="preserve"> fixed locations in </w:t>
      </w:r>
      <w:r>
        <w:rPr>
          <w:szCs w:val="22"/>
        </w:rPr>
        <w:t>Delaware, New Jersey and Maryland</w:t>
      </w:r>
      <w:r w:rsidR="00E7010E">
        <w:rPr>
          <w:szCs w:val="22"/>
        </w:rPr>
        <w:t>.</w:t>
      </w:r>
      <w:r w:rsidR="00CD5EC9" w:rsidRPr="008E3BEE">
        <w:rPr>
          <w:szCs w:val="22"/>
          <w:vertAlign w:val="superscript"/>
        </w:rPr>
        <w:footnoteReference w:id="3"/>
      </w:r>
      <w:r w:rsidR="00CD5EC9">
        <w:rPr>
          <w:szCs w:val="22"/>
        </w:rPr>
        <w:t xml:space="preserve">  </w:t>
      </w:r>
      <w:r w:rsidR="00E7010E">
        <w:rPr>
          <w:szCs w:val="22"/>
        </w:rPr>
        <w:t xml:space="preserve">PHI </w:t>
      </w:r>
      <w:r w:rsidR="008140E5">
        <w:rPr>
          <w:szCs w:val="22"/>
        </w:rPr>
        <w:t>also seek</w:t>
      </w:r>
      <w:r w:rsidR="00E7010E">
        <w:rPr>
          <w:szCs w:val="22"/>
        </w:rPr>
        <w:t>s</w:t>
      </w:r>
      <w:r w:rsidR="008140E5">
        <w:rPr>
          <w:szCs w:val="22"/>
        </w:rPr>
        <w:t xml:space="preserve"> a </w:t>
      </w:r>
      <w:r w:rsidRPr="008E3BEE">
        <w:rPr>
          <w:szCs w:val="22"/>
        </w:rPr>
        <w:t xml:space="preserve">waiver of certain Part 80 rules to allow </w:t>
      </w:r>
      <w:r w:rsidR="00E7010E">
        <w:rPr>
          <w:szCs w:val="22"/>
        </w:rPr>
        <w:t>it</w:t>
      </w:r>
      <w:r w:rsidRPr="008E3BEE">
        <w:rPr>
          <w:szCs w:val="22"/>
        </w:rPr>
        <w:t xml:space="preserve"> to operate a private land mobile radio (PLMR) system on AMTS spectrum.</w:t>
      </w:r>
      <w:r w:rsidR="00CD5EC9">
        <w:rPr>
          <w:rStyle w:val="FootnoteReference"/>
          <w:szCs w:val="22"/>
        </w:rPr>
        <w:footnoteReference w:id="4"/>
      </w:r>
      <w:r w:rsidRPr="008E3BEE">
        <w:rPr>
          <w:szCs w:val="22"/>
        </w:rPr>
        <w:t xml:space="preserve">  </w:t>
      </w:r>
      <w:r w:rsidR="00C15EC1">
        <w:t xml:space="preserve">For reasons set forth below </w:t>
      </w:r>
      <w:r w:rsidR="00BA4045" w:rsidRPr="00BA4045">
        <w:t xml:space="preserve">we </w:t>
      </w:r>
      <w:r w:rsidR="00E7010E">
        <w:t xml:space="preserve">will </w:t>
      </w:r>
      <w:r w:rsidR="00BA4045" w:rsidRPr="00BA4045">
        <w:t xml:space="preserve">grant </w:t>
      </w:r>
      <w:r w:rsidR="00CD5EC9">
        <w:t xml:space="preserve">the </w:t>
      </w:r>
      <w:r w:rsidR="00E7010E">
        <w:t xml:space="preserve">modification applications to authorize the fixed locations, and we grant </w:t>
      </w:r>
      <w:r w:rsidR="00BA4045" w:rsidRPr="00BA4045">
        <w:t>the waiver request</w:t>
      </w:r>
      <w:r w:rsidR="00BA4045">
        <w:t>.</w:t>
      </w:r>
    </w:p>
    <w:p w:rsidR="003B399F" w:rsidRDefault="00DC6E20" w:rsidP="0070540E">
      <w:pPr>
        <w:pStyle w:val="ParaNum"/>
        <w:numPr>
          <w:ilvl w:val="0"/>
          <w:numId w:val="7"/>
        </w:numPr>
        <w:tabs>
          <w:tab w:val="clear" w:pos="1080"/>
          <w:tab w:val="left" w:pos="1440"/>
        </w:tabs>
        <w:spacing w:after="220"/>
      </w:pPr>
      <w:r>
        <w:rPr>
          <w:i/>
        </w:rPr>
        <w:t>Background.</w:t>
      </w:r>
      <w:r>
        <w:rPr>
          <w:b/>
        </w:rPr>
        <w:t xml:space="preserve"> </w:t>
      </w:r>
      <w:r>
        <w:t xml:space="preserve"> </w:t>
      </w:r>
      <w:r w:rsidR="003B399F" w:rsidRPr="003B399F">
        <w:rPr>
          <w:snapToGrid/>
          <w:kern w:val="0"/>
          <w:szCs w:val="22"/>
        </w:rPr>
        <w:t>The AMTS service was established to meet the communications needs of vessels on inland waterways,</w:t>
      </w:r>
      <w:r w:rsidR="003B399F" w:rsidRPr="003B399F">
        <w:rPr>
          <w:snapToGrid/>
          <w:kern w:val="0"/>
          <w:szCs w:val="22"/>
          <w:vertAlign w:val="superscript"/>
        </w:rPr>
        <w:footnoteReference w:id="5"/>
      </w:r>
      <w:r w:rsidR="003B399F" w:rsidRPr="003B399F">
        <w:rPr>
          <w:snapToGrid/>
          <w:kern w:val="0"/>
          <w:szCs w:val="22"/>
        </w:rPr>
        <w:t xml:space="preserve"> but the Commission’s rules now permit AMTS stations to provide service to units on land, including </w:t>
      </w:r>
      <w:r w:rsidR="003B399F">
        <w:rPr>
          <w:snapToGrid/>
          <w:kern w:val="0"/>
          <w:szCs w:val="22"/>
        </w:rPr>
        <w:t>PLMR</w:t>
      </w:r>
      <w:r w:rsidR="003B399F" w:rsidRPr="003B399F">
        <w:rPr>
          <w:snapToGrid/>
          <w:kern w:val="0"/>
          <w:szCs w:val="22"/>
        </w:rPr>
        <w:t xml:space="preserve"> service.</w:t>
      </w:r>
      <w:r w:rsidR="003B399F" w:rsidRPr="003B399F">
        <w:rPr>
          <w:snapToGrid/>
          <w:kern w:val="0"/>
          <w:szCs w:val="22"/>
          <w:vertAlign w:val="superscript"/>
        </w:rPr>
        <w:footnoteReference w:id="6"/>
      </w:r>
      <w:r w:rsidR="003B399F" w:rsidRPr="003B399F">
        <w:rPr>
          <w:snapToGrid/>
          <w:kern w:val="0"/>
          <w:szCs w:val="22"/>
        </w:rPr>
        <w:t xml:space="preserve">  In establishing rules for AMTS, the Commission considered the potential for interference to television reception, particularly with respect to television Channels 10 and 13, because of the proximity of AMTS frequencies to those channels.</w:t>
      </w:r>
      <w:r w:rsidR="003B399F" w:rsidRPr="003B399F">
        <w:rPr>
          <w:snapToGrid/>
          <w:kern w:val="0"/>
          <w:szCs w:val="22"/>
          <w:vertAlign w:val="superscript"/>
        </w:rPr>
        <w:footnoteReference w:id="7"/>
      </w:r>
      <w:r w:rsidR="003B399F" w:rsidRPr="003B399F">
        <w:rPr>
          <w:snapToGrid/>
          <w:kern w:val="0"/>
          <w:szCs w:val="22"/>
        </w:rPr>
        <w:t xml:space="preserve">  </w:t>
      </w:r>
      <w:r w:rsidR="0026042B">
        <w:rPr>
          <w:snapToGrid/>
          <w:kern w:val="0"/>
          <w:szCs w:val="22"/>
        </w:rPr>
        <w:t>A</w:t>
      </w:r>
      <w:r w:rsidR="003B399F" w:rsidRPr="003B399F">
        <w:rPr>
          <w:snapToGrid/>
          <w:kern w:val="0"/>
        </w:rPr>
        <w:t>n applicant proposing to locate an AMTS station within 169 kilometers (105 miles) of a Channel 13 television station, or within 129 kilometers (80 miles) of a Channel 10 television station, must submit an engineering study demonstrating the means it will use to avoid interference to television reception.</w:t>
      </w:r>
      <w:r w:rsidR="003B399F" w:rsidRPr="003B399F">
        <w:rPr>
          <w:snapToGrid/>
          <w:spacing w:val="-2"/>
          <w:kern w:val="0"/>
          <w:vertAlign w:val="superscript"/>
        </w:rPr>
        <w:footnoteReference w:id="8"/>
      </w:r>
      <w:r w:rsidR="003B399F" w:rsidRPr="003B399F">
        <w:rPr>
          <w:snapToGrid/>
          <w:kern w:val="0"/>
        </w:rPr>
        <w:t xml:space="preserve">  </w:t>
      </w:r>
      <w:r w:rsidR="008E5ACF">
        <w:rPr>
          <w:szCs w:val="22"/>
        </w:rPr>
        <w:t xml:space="preserve">  </w:t>
      </w:r>
    </w:p>
    <w:p w:rsidR="0070540E" w:rsidRDefault="003B399F" w:rsidP="0070540E">
      <w:pPr>
        <w:pStyle w:val="ParaNum"/>
        <w:numPr>
          <w:ilvl w:val="0"/>
          <w:numId w:val="7"/>
        </w:numPr>
        <w:tabs>
          <w:tab w:val="clear" w:pos="1080"/>
          <w:tab w:val="left" w:pos="1440"/>
        </w:tabs>
        <w:spacing w:after="220"/>
      </w:pPr>
      <w:r w:rsidRPr="003B399F">
        <w:rPr>
          <w:snapToGrid/>
          <w:spacing w:val="-2"/>
          <w:kern w:val="0"/>
          <w:szCs w:val="22"/>
        </w:rPr>
        <w:lastRenderedPageBreak/>
        <w:t>In 2002, the Commission adopted a geographic area licensing approach for AMTS stations</w:t>
      </w:r>
      <w:r w:rsidRPr="003B399F">
        <w:rPr>
          <w:snapToGrid/>
          <w:kern w:val="0"/>
          <w:szCs w:val="22"/>
        </w:rPr>
        <w:t>.</w:t>
      </w:r>
      <w:r w:rsidRPr="003B399F">
        <w:rPr>
          <w:snapToGrid/>
          <w:spacing w:val="-2"/>
          <w:kern w:val="0"/>
          <w:szCs w:val="22"/>
          <w:vertAlign w:val="superscript"/>
        </w:rPr>
        <w:footnoteReference w:id="9"/>
      </w:r>
      <w:r w:rsidRPr="003B399F">
        <w:rPr>
          <w:snapToGrid/>
          <w:kern w:val="0"/>
          <w:szCs w:val="22"/>
        </w:rPr>
        <w:t xml:space="preserve">  While geographic licensees generally are authorized to place stations anywhere within their service areas, the Commission requires individual licensing of stations at locations for which the rules mandate submission of an </w:t>
      </w:r>
      <w:r w:rsidRPr="003B399F">
        <w:rPr>
          <w:snapToGrid/>
          <w:kern w:val="0"/>
        </w:rPr>
        <w:t>engineering study demonstrating that interference to television reception will be avoided.</w:t>
      </w:r>
      <w:r w:rsidRPr="003B399F">
        <w:rPr>
          <w:snapToGrid/>
          <w:kern w:val="0"/>
          <w:vertAlign w:val="superscript"/>
        </w:rPr>
        <w:footnoteReference w:id="10"/>
      </w:r>
      <w:r>
        <w:rPr>
          <w:snapToGrid/>
          <w:kern w:val="0"/>
        </w:rPr>
        <w:t xml:space="preserve">  </w:t>
      </w:r>
      <w:r w:rsidR="00047173">
        <w:rPr>
          <w:szCs w:val="22"/>
        </w:rPr>
        <w:t>PHI submitted an engineering study with its applications.</w:t>
      </w:r>
      <w:r w:rsidR="00047173">
        <w:rPr>
          <w:rStyle w:val="FootnoteReference"/>
          <w:szCs w:val="22"/>
        </w:rPr>
        <w:footnoteReference w:id="11"/>
      </w:r>
    </w:p>
    <w:p w:rsidR="0070540E" w:rsidRPr="00FA2219" w:rsidRDefault="0070540E" w:rsidP="0070540E">
      <w:pPr>
        <w:pStyle w:val="ParaNum"/>
        <w:numPr>
          <w:ilvl w:val="0"/>
          <w:numId w:val="7"/>
        </w:numPr>
        <w:tabs>
          <w:tab w:val="clear" w:pos="1080"/>
          <w:tab w:val="left" w:pos="1440"/>
        </w:tabs>
        <w:spacing w:after="220"/>
      </w:pPr>
      <w:r>
        <w:t xml:space="preserve"> </w:t>
      </w:r>
      <w:r>
        <w:rPr>
          <w:szCs w:val="22"/>
        </w:rPr>
        <w:t>PHI</w:t>
      </w:r>
      <w:r w:rsidRPr="008E3BEE">
        <w:rPr>
          <w:szCs w:val="22"/>
        </w:rPr>
        <w:t xml:space="preserve"> is a subsidiary of </w:t>
      </w:r>
      <w:r>
        <w:rPr>
          <w:szCs w:val="22"/>
        </w:rPr>
        <w:t>Pepco Holding</w:t>
      </w:r>
      <w:r w:rsidR="00C544AF">
        <w:rPr>
          <w:szCs w:val="22"/>
        </w:rPr>
        <w:t>s</w:t>
      </w:r>
      <w:r>
        <w:rPr>
          <w:szCs w:val="22"/>
        </w:rPr>
        <w:t>, Inc.</w:t>
      </w:r>
      <w:r w:rsidRPr="008E3BEE">
        <w:rPr>
          <w:szCs w:val="22"/>
        </w:rPr>
        <w:t xml:space="preserve">, </w:t>
      </w:r>
      <w:r w:rsidR="00C544AF">
        <w:rPr>
          <w:szCs w:val="22"/>
        </w:rPr>
        <w:t>a</w:t>
      </w:r>
      <w:r>
        <w:rPr>
          <w:szCs w:val="22"/>
        </w:rPr>
        <w:t>n</w:t>
      </w:r>
      <w:r w:rsidRPr="008E3BEE">
        <w:rPr>
          <w:szCs w:val="22"/>
        </w:rPr>
        <w:t xml:space="preserve"> </w:t>
      </w:r>
      <w:r>
        <w:rPr>
          <w:szCs w:val="22"/>
        </w:rPr>
        <w:t>energy delivery compan</w:t>
      </w:r>
      <w:r w:rsidR="00C544AF">
        <w:rPr>
          <w:szCs w:val="22"/>
        </w:rPr>
        <w:t>y</w:t>
      </w:r>
      <w:r>
        <w:rPr>
          <w:szCs w:val="22"/>
        </w:rPr>
        <w:t xml:space="preserve"> in the Mid-Atlantic region</w:t>
      </w:r>
      <w:r w:rsidR="00BE3005" w:rsidRPr="008E3BEE">
        <w:rPr>
          <w:szCs w:val="22"/>
        </w:rPr>
        <w:t>.</w:t>
      </w:r>
      <w:r w:rsidR="00BE3005">
        <w:rPr>
          <w:rStyle w:val="FootnoteReference"/>
          <w:szCs w:val="22"/>
        </w:rPr>
        <w:footnoteReference w:id="12"/>
      </w:r>
      <w:r>
        <w:rPr>
          <w:szCs w:val="22"/>
        </w:rPr>
        <w:t xml:space="preserve"> </w:t>
      </w:r>
      <w:r w:rsidR="00BE3005">
        <w:rPr>
          <w:szCs w:val="22"/>
        </w:rPr>
        <w:t xml:space="preserve"> </w:t>
      </w:r>
      <w:r w:rsidR="00634961">
        <w:rPr>
          <w:szCs w:val="22"/>
        </w:rPr>
        <w:t>It</w:t>
      </w:r>
      <w:r w:rsidRPr="008E3BEE">
        <w:rPr>
          <w:szCs w:val="22"/>
        </w:rPr>
        <w:t xml:space="preserve"> acquired AMTS frequencies </w:t>
      </w:r>
      <w:r w:rsidR="008E5ACF">
        <w:rPr>
          <w:szCs w:val="22"/>
        </w:rPr>
        <w:t>in</w:t>
      </w:r>
      <w:r w:rsidR="00DF3504" w:rsidRPr="00DF3504">
        <w:rPr>
          <w:szCs w:val="22"/>
        </w:rPr>
        <w:t xml:space="preserve"> Delaware, the District of Columbia, Maryland and New Jersey</w:t>
      </w:r>
      <w:r w:rsidR="008E5ACF">
        <w:rPr>
          <w:szCs w:val="22"/>
        </w:rPr>
        <w:t>,</w:t>
      </w:r>
      <w:r w:rsidR="00DF3504" w:rsidRPr="00DF3504">
        <w:rPr>
          <w:szCs w:val="22"/>
          <w:vertAlign w:val="superscript"/>
        </w:rPr>
        <w:t xml:space="preserve"> </w:t>
      </w:r>
      <w:r w:rsidRPr="008E3BEE">
        <w:rPr>
          <w:rStyle w:val="FootnoteReference"/>
          <w:szCs w:val="22"/>
        </w:rPr>
        <w:footnoteReference w:id="13"/>
      </w:r>
      <w:r w:rsidRPr="008E3BEE">
        <w:rPr>
          <w:szCs w:val="22"/>
        </w:rPr>
        <w:t xml:space="preserve"> and seeks to use the spectrum </w:t>
      </w:r>
      <w:r w:rsidR="00DF3504">
        <w:rPr>
          <w:szCs w:val="22"/>
        </w:rPr>
        <w:t xml:space="preserve">to support smart grid </w:t>
      </w:r>
      <w:r w:rsidR="00005D75">
        <w:rPr>
          <w:szCs w:val="22"/>
        </w:rPr>
        <w:t>requirements</w:t>
      </w:r>
      <w:r w:rsidR="00DF3504">
        <w:rPr>
          <w:szCs w:val="22"/>
        </w:rPr>
        <w:t xml:space="preserve"> of two of its </w:t>
      </w:r>
      <w:r w:rsidR="008E5ACF">
        <w:rPr>
          <w:szCs w:val="22"/>
        </w:rPr>
        <w:t>companies, Atlantic City Electric and Delmarva Power.</w:t>
      </w:r>
      <w:r w:rsidR="00F63D0A">
        <w:rPr>
          <w:rStyle w:val="FootnoteReference"/>
          <w:szCs w:val="22"/>
        </w:rPr>
        <w:footnoteReference w:id="14"/>
      </w:r>
      <w:r w:rsidRPr="008E3BEE">
        <w:rPr>
          <w:szCs w:val="22"/>
        </w:rPr>
        <w:t xml:space="preserve"> </w:t>
      </w:r>
      <w:r w:rsidR="00634961">
        <w:rPr>
          <w:szCs w:val="22"/>
        </w:rPr>
        <w:t xml:space="preserve"> The operations will provide distribution automation, </w:t>
      </w:r>
      <w:r w:rsidR="00634961" w:rsidRPr="008E3BEE">
        <w:rPr>
          <w:szCs w:val="22"/>
        </w:rPr>
        <w:t>Supervisory Control and Data Acquisition</w:t>
      </w:r>
      <w:r w:rsidR="00634961">
        <w:rPr>
          <w:szCs w:val="22"/>
        </w:rPr>
        <w:t>, and substation communications</w:t>
      </w:r>
      <w:r w:rsidR="00634961" w:rsidRPr="008E3BEE">
        <w:rPr>
          <w:szCs w:val="22"/>
        </w:rPr>
        <w:t>.</w:t>
      </w:r>
      <w:r w:rsidR="00634961">
        <w:rPr>
          <w:rStyle w:val="FootnoteReference"/>
          <w:szCs w:val="22"/>
        </w:rPr>
        <w:footnoteReference w:id="15"/>
      </w:r>
      <w:r w:rsidR="00634961" w:rsidRPr="008E3BEE">
        <w:rPr>
          <w:szCs w:val="22"/>
        </w:rPr>
        <w:t xml:space="preserve">  </w:t>
      </w:r>
      <w:r w:rsidR="00634961">
        <w:rPr>
          <w:szCs w:val="22"/>
        </w:rPr>
        <w:t xml:space="preserve">Wireless sensors on various devices such as switches, voltage sensors, and fault detectors </w:t>
      </w:r>
      <w:r w:rsidR="00453C29">
        <w:rPr>
          <w:szCs w:val="22"/>
        </w:rPr>
        <w:t xml:space="preserve">are used to </w:t>
      </w:r>
      <w:r w:rsidR="00634961">
        <w:rPr>
          <w:szCs w:val="22"/>
        </w:rPr>
        <w:t>gather information sent by wireless signals to and from wireless access points connected to the company’s network operations center</w:t>
      </w:r>
      <w:r w:rsidR="00453C29">
        <w:rPr>
          <w:szCs w:val="22"/>
        </w:rPr>
        <w:t xml:space="preserve"> and, potentially, to control operation of the devices</w:t>
      </w:r>
      <w:r w:rsidR="00634961">
        <w:rPr>
          <w:szCs w:val="22"/>
        </w:rPr>
        <w:t>.</w:t>
      </w:r>
      <w:r w:rsidR="00583FBF">
        <w:rPr>
          <w:rStyle w:val="FootnoteReference"/>
          <w:szCs w:val="22"/>
        </w:rPr>
        <w:footnoteReference w:id="16"/>
      </w:r>
      <w:r w:rsidR="00634961">
        <w:rPr>
          <w:szCs w:val="22"/>
        </w:rPr>
        <w:t xml:space="preserve">  </w:t>
      </w:r>
      <w:r w:rsidR="00177CE8">
        <w:rPr>
          <w:szCs w:val="22"/>
        </w:rPr>
        <w:t>Both the master stations and the remote units will operate in simplex mode on AMTS mobile station frequencies.</w:t>
      </w:r>
      <w:r w:rsidR="00177CE8">
        <w:rPr>
          <w:rStyle w:val="FootnoteReference"/>
          <w:szCs w:val="22"/>
        </w:rPr>
        <w:footnoteReference w:id="17"/>
      </w:r>
      <w:r w:rsidR="00177CE8">
        <w:rPr>
          <w:szCs w:val="22"/>
        </w:rPr>
        <w:t xml:space="preserve">  </w:t>
      </w:r>
      <w:r w:rsidRPr="008E3BEE">
        <w:rPr>
          <w:szCs w:val="22"/>
        </w:rPr>
        <w:t xml:space="preserve">As a result, </w:t>
      </w:r>
      <w:r w:rsidR="00005D75">
        <w:rPr>
          <w:szCs w:val="22"/>
        </w:rPr>
        <w:t>PHI</w:t>
      </w:r>
      <w:r>
        <w:rPr>
          <w:szCs w:val="22"/>
        </w:rPr>
        <w:t xml:space="preserve"> seeks a waiver of Section</w:t>
      </w:r>
      <w:r w:rsidR="009716A2">
        <w:rPr>
          <w:szCs w:val="22"/>
        </w:rPr>
        <w:t>s</w:t>
      </w:r>
      <w:r w:rsidRPr="008E3BEE">
        <w:rPr>
          <w:szCs w:val="22"/>
        </w:rPr>
        <w:t xml:space="preserve"> 80.92</w:t>
      </w:r>
      <w:r w:rsidR="00ED2F77">
        <w:rPr>
          <w:szCs w:val="22"/>
        </w:rPr>
        <w:t>,</w:t>
      </w:r>
      <w:r w:rsidRPr="008E3BEE">
        <w:rPr>
          <w:szCs w:val="22"/>
        </w:rPr>
        <w:t xml:space="preserve"> </w:t>
      </w:r>
      <w:r w:rsidRPr="001E7976">
        <w:rPr>
          <w:szCs w:val="22"/>
        </w:rPr>
        <w:t>which requires Part 80 licensees to monitor a frequency prio</w:t>
      </w:r>
      <w:r w:rsidR="00ED2F77">
        <w:rPr>
          <w:szCs w:val="22"/>
        </w:rPr>
        <w:t>r to transmitting;</w:t>
      </w:r>
      <w:r w:rsidRPr="001E7976">
        <w:rPr>
          <w:szCs w:val="22"/>
          <w:vertAlign w:val="superscript"/>
        </w:rPr>
        <w:footnoteReference w:id="18"/>
      </w:r>
      <w:r>
        <w:rPr>
          <w:szCs w:val="22"/>
        </w:rPr>
        <w:t xml:space="preserve"> </w:t>
      </w:r>
      <w:r w:rsidR="00005D75">
        <w:rPr>
          <w:szCs w:val="22"/>
        </w:rPr>
        <w:t>80.123</w:t>
      </w:r>
      <w:r w:rsidR="009716A2">
        <w:t>, which sets forth the conditions under which AMTS stations may serve fixed and mobile units on land;</w:t>
      </w:r>
      <w:r w:rsidR="009716A2">
        <w:rPr>
          <w:rStyle w:val="FootnoteReference"/>
        </w:rPr>
        <w:footnoteReference w:id="19"/>
      </w:r>
      <w:r w:rsidR="009716A2">
        <w:t xml:space="preserve"> </w:t>
      </w:r>
      <w:r w:rsidRPr="008E3BEE">
        <w:rPr>
          <w:szCs w:val="22"/>
        </w:rPr>
        <w:t>and 80.385</w:t>
      </w:r>
      <w:r w:rsidR="00ED2F77">
        <w:rPr>
          <w:szCs w:val="22"/>
        </w:rPr>
        <w:t>,</w:t>
      </w:r>
      <w:r w:rsidRPr="008E3BEE">
        <w:rPr>
          <w:szCs w:val="22"/>
        </w:rPr>
        <w:t xml:space="preserve"> which </w:t>
      </w:r>
      <w:r w:rsidR="009716A2">
        <w:rPr>
          <w:szCs w:val="22"/>
        </w:rPr>
        <w:t>divides AMTS spectrum into coast (base) station frequencies and ship (mobile) station frequencies</w:t>
      </w:r>
      <w:r>
        <w:rPr>
          <w:szCs w:val="22"/>
        </w:rPr>
        <w:t>.</w:t>
      </w:r>
      <w:r w:rsidRPr="008E3BEE">
        <w:rPr>
          <w:rStyle w:val="FootnoteReference"/>
          <w:szCs w:val="22"/>
        </w:rPr>
        <w:footnoteReference w:id="20"/>
      </w:r>
      <w:r>
        <w:rPr>
          <w:szCs w:val="22"/>
        </w:rPr>
        <w:t xml:space="preserve">  </w:t>
      </w:r>
    </w:p>
    <w:p w:rsidR="00C544AF" w:rsidRDefault="0070540E" w:rsidP="00DC0734">
      <w:pPr>
        <w:widowControl/>
        <w:numPr>
          <w:ilvl w:val="0"/>
          <w:numId w:val="7"/>
        </w:numPr>
        <w:tabs>
          <w:tab w:val="clear" w:pos="1080"/>
        </w:tabs>
      </w:pPr>
      <w:r w:rsidRPr="008E5ACF">
        <w:rPr>
          <w:i/>
        </w:rPr>
        <w:t>Discussion.</w:t>
      </w:r>
      <w:r>
        <w:t xml:space="preserve">  </w:t>
      </w:r>
      <w:r w:rsidR="008830CA">
        <w:rPr>
          <w:u w:val="single"/>
        </w:rPr>
        <w:t>Licens</w:t>
      </w:r>
      <w:r w:rsidR="00C544AF" w:rsidRPr="008E5ACF">
        <w:rPr>
          <w:u w:val="single"/>
        </w:rPr>
        <w:t>ed sites.</w:t>
      </w:r>
      <w:r w:rsidR="00C544AF">
        <w:t xml:space="preserve">  PHI plans to control interference to television reception by </w:t>
      </w:r>
      <w:r w:rsidR="00AE7E47">
        <w:t xml:space="preserve">operating with less power than permitted by the AMTS rules and </w:t>
      </w:r>
      <w:r w:rsidR="00C544AF">
        <w:t>using directional antennas</w:t>
      </w:r>
      <w:r w:rsidR="00453C29">
        <w:t xml:space="preserve"> to ensure that signals remain within the master station contours</w:t>
      </w:r>
      <w:r w:rsidR="0026042B">
        <w:t>,</w:t>
      </w:r>
      <w:r w:rsidR="00C544AF">
        <w:rPr>
          <w:rStyle w:val="FootnoteReference"/>
        </w:rPr>
        <w:footnoteReference w:id="21"/>
      </w:r>
      <w:r w:rsidR="0026042B">
        <w:t xml:space="preserve"> and concludes that its proposed operations will cause no interference to television reception.</w:t>
      </w:r>
      <w:r w:rsidR="0026042B">
        <w:rPr>
          <w:rStyle w:val="FootnoteReference"/>
        </w:rPr>
        <w:footnoteReference w:id="22"/>
      </w:r>
      <w:r w:rsidR="00C544AF">
        <w:t xml:space="preserve">  </w:t>
      </w:r>
      <w:r w:rsidR="0026042B">
        <w:t xml:space="preserve">While we do not agree in every particular with </w:t>
      </w:r>
      <w:r w:rsidR="00ED2F77">
        <w:t xml:space="preserve">the methodology </w:t>
      </w:r>
      <w:r w:rsidR="00ED2F77">
        <w:lastRenderedPageBreak/>
        <w:t xml:space="preserve">of </w:t>
      </w:r>
      <w:r w:rsidR="0026042B">
        <w:t>PHI’s</w:t>
      </w:r>
      <w:r w:rsidR="00ED2F77">
        <w:t xml:space="preserve"> engineering study</w:t>
      </w:r>
      <w:r w:rsidR="0026042B">
        <w:t xml:space="preserve">, we conclude that PHI’s unopposed </w:t>
      </w:r>
      <w:r w:rsidR="00C544AF">
        <w:t>proposed deployment does not</w:t>
      </w:r>
      <w:r w:rsidR="00C544AF" w:rsidRPr="004173A5">
        <w:t xml:space="preserve"> </w:t>
      </w:r>
      <w:r w:rsidR="00C544AF">
        <w:t>appear</w:t>
      </w:r>
      <w:r w:rsidR="00C544AF" w:rsidRPr="004173A5">
        <w:t xml:space="preserve"> to have any potential interference issues</w:t>
      </w:r>
      <w:r w:rsidR="00C544AF">
        <w:t>.</w:t>
      </w:r>
      <w:r w:rsidR="008E5ACF">
        <w:rPr>
          <w:rStyle w:val="FootnoteReference"/>
          <w:szCs w:val="22"/>
        </w:rPr>
        <w:footnoteReference w:id="23"/>
      </w:r>
      <w:r w:rsidR="00C544AF">
        <w:t xml:space="preserve">  </w:t>
      </w:r>
      <w:r w:rsidR="00EB00F3">
        <w:t xml:space="preserve">Consequently, we will grant the modification applications to add the proposed sites.  </w:t>
      </w:r>
      <w:r w:rsidR="00C544AF">
        <w:t xml:space="preserve">We </w:t>
      </w:r>
      <w:r w:rsidR="0026042B">
        <w:t xml:space="preserve">remind PHI, however, that </w:t>
      </w:r>
      <w:r w:rsidR="0026042B" w:rsidRPr="008E5ACF">
        <w:rPr>
          <w:snapToGrid/>
          <w:kern w:val="0"/>
          <w:szCs w:val="22"/>
        </w:rPr>
        <w:t>AMTS stations are authorized on the condition that no harmful interference will be caused to reception of existing television stations.</w:t>
      </w:r>
      <w:r w:rsidR="0026042B" w:rsidRPr="003B399F">
        <w:rPr>
          <w:snapToGrid/>
          <w:kern w:val="0"/>
          <w:szCs w:val="22"/>
          <w:vertAlign w:val="superscript"/>
        </w:rPr>
        <w:footnoteReference w:id="24"/>
      </w:r>
      <w:r w:rsidR="0026042B" w:rsidRPr="008E5ACF">
        <w:rPr>
          <w:snapToGrid/>
          <w:kern w:val="0"/>
          <w:szCs w:val="22"/>
        </w:rPr>
        <w:t xml:space="preserve">  </w:t>
      </w:r>
      <w:r w:rsidR="00EB00F3" w:rsidRPr="008E5ACF">
        <w:rPr>
          <w:snapToGrid/>
          <w:kern w:val="0"/>
        </w:rPr>
        <w:t>AMTS licensees are expected to help resolve interference complaints, and any AMTS licensee that causes impermissible interference to television reception must cure the problem or discontinue operation of the station.</w:t>
      </w:r>
      <w:r w:rsidR="00EB00F3" w:rsidRPr="003B399F">
        <w:rPr>
          <w:snapToGrid/>
          <w:kern w:val="0"/>
          <w:vertAlign w:val="superscript"/>
        </w:rPr>
        <w:footnoteReference w:id="25"/>
      </w:r>
    </w:p>
    <w:p w:rsidR="00C544AF" w:rsidRDefault="00C544AF" w:rsidP="00C544AF">
      <w:pPr>
        <w:widowControl/>
      </w:pPr>
    </w:p>
    <w:p w:rsidR="00DC0734" w:rsidRDefault="00C544AF" w:rsidP="00DC0734">
      <w:pPr>
        <w:widowControl/>
        <w:numPr>
          <w:ilvl w:val="0"/>
          <w:numId w:val="7"/>
        </w:numPr>
        <w:tabs>
          <w:tab w:val="clear" w:pos="1080"/>
        </w:tabs>
      </w:pPr>
      <w:r>
        <w:rPr>
          <w:u w:val="single"/>
        </w:rPr>
        <w:t>Waiver request.</w:t>
      </w:r>
      <w:r>
        <w:t xml:space="preserve">  </w:t>
      </w:r>
      <w:r w:rsidR="0070540E" w:rsidRPr="001E7976">
        <w:t>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0070540E" w:rsidRPr="001E7976">
        <w:rPr>
          <w:vertAlign w:val="superscript"/>
        </w:rPr>
        <w:footnoteReference w:id="26"/>
      </w:r>
      <w:r w:rsidR="009C1A0B">
        <w:t xml:space="preserve">  </w:t>
      </w:r>
    </w:p>
    <w:p w:rsidR="00D01A7A" w:rsidRDefault="00D01A7A" w:rsidP="00D01A7A">
      <w:pPr>
        <w:pStyle w:val="ListParagraph"/>
      </w:pPr>
    </w:p>
    <w:p w:rsidR="00D01A7A" w:rsidRPr="00D01A7A" w:rsidRDefault="00D01A7A" w:rsidP="00D01A7A">
      <w:pPr>
        <w:pStyle w:val="EndnoteText"/>
        <w:widowControl/>
        <w:tabs>
          <w:tab w:val="clear" w:pos="1080"/>
        </w:tabs>
        <w:rPr>
          <w:sz w:val="22"/>
          <w:szCs w:val="22"/>
        </w:rPr>
      </w:pPr>
      <w:r w:rsidRPr="00D01A7A">
        <w:rPr>
          <w:sz w:val="22"/>
          <w:szCs w:val="22"/>
        </w:rPr>
        <w:t>PHI requests a waiver of the requirements to monitor before transmitting</w:t>
      </w:r>
      <w:r w:rsidR="004271C5">
        <w:rPr>
          <w:sz w:val="22"/>
          <w:szCs w:val="22"/>
        </w:rPr>
        <w:t>,</w:t>
      </w:r>
      <w:r w:rsidR="00B67791">
        <w:rPr>
          <w:rStyle w:val="FootnoteReference"/>
          <w:szCs w:val="22"/>
        </w:rPr>
        <w:footnoteReference w:id="27"/>
      </w:r>
      <w:r w:rsidR="004271C5">
        <w:rPr>
          <w:sz w:val="22"/>
          <w:szCs w:val="22"/>
        </w:rPr>
        <w:t xml:space="preserve"> use the coast station call sign,</w:t>
      </w:r>
      <w:r w:rsidR="00B67791">
        <w:rPr>
          <w:rStyle w:val="FootnoteReference"/>
          <w:szCs w:val="22"/>
        </w:rPr>
        <w:footnoteReference w:id="28"/>
      </w:r>
      <w:r w:rsidRPr="00D01A7A">
        <w:rPr>
          <w:sz w:val="22"/>
          <w:szCs w:val="22"/>
        </w:rPr>
        <w:t xml:space="preserve"> and afford priority to marine communications</w:t>
      </w:r>
      <w:r w:rsidR="00B67791">
        <w:rPr>
          <w:rStyle w:val="FootnoteReference"/>
          <w:szCs w:val="22"/>
        </w:rPr>
        <w:footnoteReference w:id="29"/>
      </w:r>
      <w:r w:rsidRPr="00D01A7A">
        <w:rPr>
          <w:sz w:val="22"/>
          <w:szCs w:val="22"/>
        </w:rPr>
        <w:t xml:space="preserve"> because its system is configured to transmit only broadband data, and cannot support voice communications.</w:t>
      </w:r>
      <w:r w:rsidRPr="00D01A7A">
        <w:rPr>
          <w:rStyle w:val="FootnoteReference"/>
          <w:sz w:val="22"/>
          <w:szCs w:val="22"/>
        </w:rPr>
        <w:footnoteReference w:id="30"/>
      </w:r>
      <w:r w:rsidRPr="00D01A7A">
        <w:rPr>
          <w:sz w:val="22"/>
          <w:szCs w:val="22"/>
        </w:rPr>
        <w:t xml:space="preserve">  It also notes that 156-162 MHz VHF Public Coast </w:t>
      </w:r>
      <w:r w:rsidR="00D20A80">
        <w:rPr>
          <w:sz w:val="22"/>
          <w:szCs w:val="22"/>
        </w:rPr>
        <w:t xml:space="preserve">(VPC) </w:t>
      </w:r>
      <w:r w:rsidRPr="00D01A7A">
        <w:rPr>
          <w:sz w:val="22"/>
          <w:szCs w:val="22"/>
        </w:rPr>
        <w:t>frequencies remain available to meet marine communications needs.</w:t>
      </w:r>
      <w:r w:rsidRPr="00D01A7A">
        <w:rPr>
          <w:rStyle w:val="FootnoteReference"/>
          <w:sz w:val="22"/>
          <w:szCs w:val="22"/>
        </w:rPr>
        <w:footnoteReference w:id="31"/>
      </w:r>
      <w:r w:rsidRPr="00D01A7A">
        <w:rPr>
          <w:sz w:val="22"/>
          <w:szCs w:val="22"/>
        </w:rPr>
        <w:t xml:space="preserve">  PHI also states that it has taken reasonable steps to minimize the impact of its operations to adjacent channel and co-channel operations.</w:t>
      </w:r>
      <w:r w:rsidRPr="00D01A7A">
        <w:rPr>
          <w:rStyle w:val="FootnoteReference"/>
          <w:sz w:val="22"/>
          <w:szCs w:val="22"/>
        </w:rPr>
        <w:footnoteReference w:id="32"/>
      </w:r>
      <w:r w:rsidRPr="00D01A7A">
        <w:rPr>
          <w:sz w:val="22"/>
          <w:szCs w:val="22"/>
        </w:rPr>
        <w:t xml:space="preserve">  We agree that a waiver of this requirement is warranted under the circumstances presented.  PHI’s proposed use of the AMTS frequencies does not jeopardize the maritime community’s ability to meet its operational, safety and security communications needs, and permitting the use of the subject frequencies for PLMR operations will promote the efficient use of AMTS spectrum and serve the public interest by supporting critical power utility operations.  </w:t>
      </w:r>
      <w:r w:rsidR="00967051">
        <w:rPr>
          <w:sz w:val="22"/>
          <w:szCs w:val="22"/>
        </w:rPr>
        <w:t>We there</w:t>
      </w:r>
      <w:r w:rsidRPr="00D01A7A">
        <w:rPr>
          <w:sz w:val="22"/>
          <w:szCs w:val="22"/>
        </w:rPr>
        <w:t>fore</w:t>
      </w:r>
      <w:r w:rsidR="00967051">
        <w:rPr>
          <w:sz w:val="22"/>
          <w:szCs w:val="22"/>
        </w:rPr>
        <w:t xml:space="preserve"> waive these requirements</w:t>
      </w:r>
      <w:r w:rsidRPr="00D01A7A">
        <w:rPr>
          <w:sz w:val="22"/>
          <w:szCs w:val="22"/>
        </w:rPr>
        <w:t>.</w:t>
      </w:r>
      <w:r w:rsidR="00B67791">
        <w:rPr>
          <w:rStyle w:val="FootnoteReference"/>
          <w:szCs w:val="22"/>
        </w:rPr>
        <w:footnoteReference w:id="33"/>
      </w:r>
    </w:p>
    <w:p w:rsidR="00F00FE0" w:rsidRDefault="00F00FE0" w:rsidP="00F00FE0">
      <w:pPr>
        <w:pStyle w:val="ListParagraph"/>
      </w:pPr>
    </w:p>
    <w:p w:rsidR="00F00FE0" w:rsidRDefault="009716A2" w:rsidP="00DC0734">
      <w:pPr>
        <w:widowControl/>
        <w:numPr>
          <w:ilvl w:val="0"/>
          <w:numId w:val="7"/>
        </w:numPr>
        <w:tabs>
          <w:tab w:val="clear" w:pos="1080"/>
        </w:tabs>
      </w:pPr>
      <w:r>
        <w:t xml:space="preserve">As noted above, </w:t>
      </w:r>
      <w:r w:rsidR="00D01A7A">
        <w:t>PHI</w:t>
      </w:r>
      <w:r w:rsidR="00D01A7A" w:rsidRPr="008E3BEE">
        <w:t xml:space="preserve"> proposes operations</w:t>
      </w:r>
      <w:r w:rsidR="00D01A7A">
        <w:t xml:space="preserve"> </w:t>
      </w:r>
      <w:r w:rsidR="00D01A7A" w:rsidRPr="008E3BEE">
        <w:t xml:space="preserve">in simplex mode with transmitters using the </w:t>
      </w:r>
      <w:r w:rsidR="00D01A7A">
        <w:t>mobile portion of the channel pair</w:t>
      </w:r>
      <w:r>
        <w:t xml:space="preserve">.  </w:t>
      </w:r>
      <w:r w:rsidR="00D01A7A">
        <w:t>I</w:t>
      </w:r>
      <w:r>
        <w:t xml:space="preserve">t requests a waiver of </w:t>
      </w:r>
      <w:r w:rsidR="00D01A7A">
        <w:t xml:space="preserve">Section </w:t>
      </w:r>
      <w:r w:rsidRPr="008E3BEE">
        <w:t>80.385(a)(2)</w:t>
      </w:r>
      <w:r w:rsidR="00D01A7A">
        <w:t>,</w:t>
      </w:r>
      <w:r w:rsidRPr="008E3BEE">
        <w:t xml:space="preserve"> which provides </w:t>
      </w:r>
      <w:r w:rsidR="00D01A7A">
        <w:t>separate AMTS</w:t>
      </w:r>
      <w:r w:rsidRPr="008E3BEE">
        <w:t xml:space="preserve"> coast station transmit a</w:t>
      </w:r>
      <w:r w:rsidR="00D01A7A">
        <w:t xml:space="preserve">nd </w:t>
      </w:r>
      <w:r w:rsidRPr="008E3BEE">
        <w:t>ship station transmit</w:t>
      </w:r>
      <w:r w:rsidR="008830CA">
        <w:t xml:space="preserve"> channels</w:t>
      </w:r>
      <w:r w:rsidR="00D01A7A">
        <w:t>.</w:t>
      </w:r>
      <w:r w:rsidR="001C0745">
        <w:rPr>
          <w:rStyle w:val="FootnoteReference"/>
        </w:rPr>
        <w:footnoteReference w:id="34"/>
      </w:r>
      <w:r w:rsidR="00D01A7A">
        <w:t xml:space="preserve">  </w:t>
      </w:r>
      <w:r>
        <w:t>PHI</w:t>
      </w:r>
      <w:r w:rsidRPr="008E3BEE">
        <w:t xml:space="preserve"> will restrict the power levels </w:t>
      </w:r>
      <w:r>
        <w:t>below those</w:t>
      </w:r>
      <w:r w:rsidRPr="008E3BEE">
        <w:t xml:space="preserve"> permitted for ship stations in Section 80.215(h)(5)(i)</w:t>
      </w:r>
      <w:r w:rsidR="008830CA">
        <w:t>,</w:t>
      </w:r>
      <w:r w:rsidRPr="008E3BEE">
        <w:t xml:space="preserve"> thereby providing protection against interference</w:t>
      </w:r>
      <w:r>
        <w:t xml:space="preserve"> to maritime operations</w:t>
      </w:r>
      <w:r w:rsidRPr="008E3BEE">
        <w:t xml:space="preserve">.  Additionally, remote terminals will employ directional antennas such that its operations will not exceed </w:t>
      </w:r>
      <w:r w:rsidR="00D01A7A">
        <w:t>the permitted</w:t>
      </w:r>
      <w:r w:rsidRPr="008E3BEE">
        <w:t xml:space="preserve"> signal strength at the border of the licensed geographic area.  </w:t>
      </w:r>
      <w:r w:rsidR="00D01A7A">
        <w:t>Because the proposed configuration will not affect other licensees any more than compliant mobile units operating on th</w:t>
      </w:r>
      <w:r w:rsidR="009D0EBF">
        <w:t>e mobile</w:t>
      </w:r>
      <w:r w:rsidR="00D01A7A">
        <w:t xml:space="preserve"> side of the band, w</w:t>
      </w:r>
      <w:r w:rsidRPr="008E3BEE">
        <w:t xml:space="preserve">e </w:t>
      </w:r>
      <w:r w:rsidR="00D01A7A">
        <w:t>conclude</w:t>
      </w:r>
      <w:r w:rsidRPr="008E3BEE">
        <w:t xml:space="preserve"> that </w:t>
      </w:r>
      <w:r>
        <w:t xml:space="preserve">a waiver </w:t>
      </w:r>
      <w:r w:rsidRPr="008E3BEE">
        <w:t>is warranted</w:t>
      </w:r>
      <w:r>
        <w:t>.</w:t>
      </w:r>
    </w:p>
    <w:p w:rsidR="00F00FE0" w:rsidRDefault="00F00FE0" w:rsidP="00F00FE0">
      <w:pPr>
        <w:pStyle w:val="ListParagraph"/>
      </w:pPr>
    </w:p>
    <w:p w:rsidR="004271C5" w:rsidRDefault="00D01A7A" w:rsidP="008830CA">
      <w:pPr>
        <w:widowControl/>
        <w:numPr>
          <w:ilvl w:val="0"/>
          <w:numId w:val="7"/>
        </w:numPr>
        <w:tabs>
          <w:tab w:val="clear" w:pos="1080"/>
        </w:tabs>
      </w:pPr>
      <w:r>
        <w:t xml:space="preserve">Finally, </w:t>
      </w:r>
      <w:r w:rsidR="00F00FE0">
        <w:t xml:space="preserve">PHI seeks a waiver of </w:t>
      </w:r>
      <w:r w:rsidR="00967051">
        <w:t xml:space="preserve">the requirement in Section </w:t>
      </w:r>
      <w:r w:rsidR="009716A2" w:rsidRPr="00D93712">
        <w:rPr>
          <w:szCs w:val="22"/>
        </w:rPr>
        <w:t>80.123(a)</w:t>
      </w:r>
      <w:r w:rsidR="004271C5" w:rsidRPr="00D93712">
        <w:rPr>
          <w:rStyle w:val="FootnoteReference"/>
          <w:szCs w:val="22"/>
        </w:rPr>
        <w:t xml:space="preserve"> </w:t>
      </w:r>
      <w:r w:rsidR="004271C5">
        <w:rPr>
          <w:rStyle w:val="FootnoteReference"/>
          <w:szCs w:val="22"/>
        </w:rPr>
        <w:footnoteReference w:id="35"/>
      </w:r>
      <w:r w:rsidR="00967051" w:rsidRPr="00D93712">
        <w:rPr>
          <w:szCs w:val="22"/>
        </w:rPr>
        <w:t xml:space="preserve"> that</w:t>
      </w:r>
      <w:r w:rsidR="009716A2" w:rsidRPr="00D93712">
        <w:rPr>
          <w:szCs w:val="22"/>
        </w:rPr>
        <w:t xml:space="preserve"> AMTS stations to secure a letter from the coast station authorizing the land station to communicate with the coast station</w:t>
      </w:r>
      <w:r w:rsidR="004271C5" w:rsidRPr="00D93712">
        <w:rPr>
          <w:szCs w:val="22"/>
        </w:rPr>
        <w:t>.</w:t>
      </w:r>
      <w:r w:rsidR="009716A2">
        <w:rPr>
          <w:rStyle w:val="FootnoteReference"/>
          <w:szCs w:val="22"/>
        </w:rPr>
        <w:footnoteReference w:id="36"/>
      </w:r>
      <w:r w:rsidR="004271C5" w:rsidRPr="00D93712">
        <w:rPr>
          <w:szCs w:val="22"/>
        </w:rPr>
        <w:t xml:space="preserve">  The purpose of this requirement is to enable authorities to verify that a unit on land is authorized to operate on AMTS spectrum.  </w:t>
      </w:r>
      <w:r w:rsidR="00970955">
        <w:t>W</w:t>
      </w:r>
      <w:r w:rsidR="004271C5">
        <w:t xml:space="preserve">e agree with PHI that </w:t>
      </w:r>
      <w:r w:rsidR="00D93712">
        <w:t>because its proposed operations are limited to internal machine-to-machine communications rather than voice communications from mobile units</w:t>
      </w:r>
      <w:r w:rsidR="004271C5">
        <w:t>,</w:t>
      </w:r>
      <w:r w:rsidR="00D93712">
        <w:rPr>
          <w:rStyle w:val="FootnoteReference"/>
        </w:rPr>
        <w:footnoteReference w:id="37"/>
      </w:r>
      <w:r w:rsidR="004271C5">
        <w:t xml:space="preserve"> </w:t>
      </w:r>
      <w:r w:rsidR="00D93712">
        <w:t xml:space="preserve">this purpose </w:t>
      </w:r>
      <w:r w:rsidR="004271C5">
        <w:t xml:space="preserve">would </w:t>
      </w:r>
      <w:r w:rsidR="00D93712">
        <w:t xml:space="preserve">not </w:t>
      </w:r>
      <w:r w:rsidR="004271C5">
        <w:t xml:space="preserve">be served </w:t>
      </w:r>
      <w:r w:rsidR="00D93712">
        <w:t xml:space="preserve">under the circumstances presented, so we grant the requested waiver.  </w:t>
      </w:r>
      <w:r w:rsidR="004271C5">
        <w:t xml:space="preserve">  </w:t>
      </w:r>
    </w:p>
    <w:p w:rsidR="004271C5" w:rsidRDefault="004271C5" w:rsidP="004271C5">
      <w:pPr>
        <w:pStyle w:val="ListParagraph"/>
      </w:pPr>
    </w:p>
    <w:p w:rsidR="00E1219D" w:rsidRDefault="00E1219D" w:rsidP="0063290A">
      <w:pPr>
        <w:pStyle w:val="ParaNum"/>
        <w:numPr>
          <w:ilvl w:val="0"/>
          <w:numId w:val="7"/>
        </w:numPr>
        <w:tabs>
          <w:tab w:val="clear" w:pos="1080"/>
          <w:tab w:val="left" w:pos="1440"/>
        </w:tabs>
        <w:spacing w:after="220"/>
      </w:pPr>
      <w:r>
        <w:t xml:space="preserve">Accordingly, IT IS ORDERED, pursuant to Sections 4(i) and 303(i) of the Communications Act of 1934, as amended, 47 U.S.C. §§ 154(i), 303(i), and Section 1.925 of the Commission's Rules, 47 C.F.R. § 1.925, that the Request for Waiver filed by </w:t>
      </w:r>
      <w:r w:rsidR="00FF0FFE">
        <w:rPr>
          <w:szCs w:val="22"/>
        </w:rPr>
        <w:t>PHI Service Company</w:t>
      </w:r>
      <w:r w:rsidRPr="0063290A">
        <w:rPr>
          <w:szCs w:val="22"/>
        </w:rPr>
        <w:t xml:space="preserve"> on </w:t>
      </w:r>
      <w:r w:rsidR="00D93712">
        <w:t>March 13</w:t>
      </w:r>
      <w:r w:rsidR="00FF0FFE">
        <w:t>, 2014</w:t>
      </w:r>
      <w:r>
        <w:t xml:space="preserve">, IS </w:t>
      </w:r>
      <w:r w:rsidR="007142C8" w:rsidRPr="007142C8">
        <w:t>GRANTED</w:t>
      </w:r>
      <w:r w:rsidR="00D93712">
        <w:t xml:space="preserve">, and applications FCC File Nos. 0006199338 and 0006199345 SHALL BE PROCESSED consistent with this </w:t>
      </w:r>
      <w:r w:rsidR="00D93712">
        <w:rPr>
          <w:i/>
        </w:rPr>
        <w:t>Order</w:t>
      </w:r>
      <w:r w:rsidR="00D93712">
        <w:t xml:space="preserve"> and the Commission’s Rules.</w:t>
      </w:r>
    </w:p>
    <w:p w:rsidR="00E1219D" w:rsidRDefault="00E1219D" w:rsidP="00E1219D">
      <w:pPr>
        <w:pStyle w:val="ParaNum"/>
        <w:numPr>
          <w:ilvl w:val="0"/>
          <w:numId w:val="7"/>
        </w:numPr>
        <w:tabs>
          <w:tab w:val="clear" w:pos="1080"/>
        </w:tabs>
        <w:spacing w:after="220"/>
      </w:pPr>
      <w:r>
        <w:t>This action is taken under delegated authority pursuant to Sections 0.131 and 0.331 of the Commission's Rules, 47 C.F.R. §§ 0.131, 0.331.</w:t>
      </w:r>
    </w:p>
    <w:p w:rsidR="00E1219D" w:rsidRDefault="00E1219D" w:rsidP="00E1219D">
      <w:pPr>
        <w:pStyle w:val="ParaNum"/>
        <w:numPr>
          <w:ilvl w:val="0"/>
          <w:numId w:val="0"/>
        </w:numPr>
      </w:pPr>
      <w:r>
        <w:rPr>
          <w:spacing w:val="-2"/>
        </w:rPr>
        <w:tab/>
      </w:r>
      <w:r>
        <w:rPr>
          <w:spacing w:val="-2"/>
        </w:rPr>
        <w:tab/>
      </w:r>
      <w:r>
        <w:rPr>
          <w:spacing w:val="-2"/>
        </w:rPr>
        <w:tab/>
      </w:r>
      <w:r>
        <w:rPr>
          <w:spacing w:val="-2"/>
        </w:rPr>
        <w:tab/>
      </w:r>
      <w:r>
        <w:rPr>
          <w:spacing w:val="-2"/>
        </w:rPr>
        <w:tab/>
      </w:r>
      <w:r>
        <w:rPr>
          <w:spacing w:val="-2"/>
        </w:rPr>
        <w:tab/>
        <w:t>FEDERAL COMMUNICATIONS COMMISSION</w:t>
      </w:r>
    </w:p>
    <w:p w:rsidR="00E1219D" w:rsidRDefault="00E1219D" w:rsidP="00E1219D">
      <w:pPr>
        <w:keepNext/>
        <w:keepLines/>
        <w:tabs>
          <w:tab w:val="left" w:pos="-1440"/>
          <w:tab w:val="left" w:pos="-720"/>
        </w:tabs>
        <w:suppressAutoHyphens/>
        <w:spacing w:line="227" w:lineRule="auto"/>
        <w:rPr>
          <w:spacing w:val="-2"/>
        </w:rPr>
      </w:pPr>
    </w:p>
    <w:p w:rsidR="00E1219D" w:rsidRDefault="00E1219D" w:rsidP="00E1219D">
      <w:pPr>
        <w:keepNext/>
        <w:keepLines/>
        <w:tabs>
          <w:tab w:val="left" w:pos="-1440"/>
          <w:tab w:val="left" w:pos="-720"/>
        </w:tabs>
        <w:suppressAutoHyphens/>
        <w:spacing w:line="227" w:lineRule="auto"/>
        <w:rPr>
          <w:spacing w:val="-2"/>
        </w:rPr>
      </w:pPr>
    </w:p>
    <w:p w:rsidR="00E1219D" w:rsidRPr="00324801" w:rsidRDefault="00E1219D" w:rsidP="00E1219D">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sectPr w:rsidR="00E1219D" w:rsidRPr="00324801"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87" w:rsidRDefault="005D0287">
      <w:pPr>
        <w:spacing w:line="20" w:lineRule="exact"/>
      </w:pPr>
    </w:p>
  </w:endnote>
  <w:endnote w:type="continuationSeparator" w:id="0">
    <w:p w:rsidR="005D0287" w:rsidRDefault="005D0287">
      <w:r>
        <w:t xml:space="preserve"> </w:t>
      </w:r>
    </w:p>
  </w:endnote>
  <w:endnote w:type="continuationNotice" w:id="1">
    <w:p w:rsidR="005D0287" w:rsidRDefault="005D02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19" w:rsidRDefault="004C5319" w:rsidP="0055614C">
    <w:pPr>
      <w:pStyle w:val="Footer"/>
      <w:framePr w:wrap="around" w:vAnchor="text" w:hAnchor="margin" w:xAlign="center" w:y="1"/>
    </w:pPr>
    <w:r>
      <w:fldChar w:fldCharType="begin"/>
    </w:r>
    <w:r>
      <w:instrText xml:space="preserve">PAGE  </w:instrText>
    </w:r>
    <w:r>
      <w:fldChar w:fldCharType="end"/>
    </w:r>
  </w:p>
  <w:p w:rsidR="004C5319" w:rsidRDefault="004C5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19" w:rsidRDefault="004C5319" w:rsidP="0055614C">
    <w:pPr>
      <w:pStyle w:val="Footer"/>
      <w:framePr w:wrap="around" w:vAnchor="text" w:hAnchor="margin" w:xAlign="center" w:y="1"/>
    </w:pPr>
    <w:r>
      <w:fldChar w:fldCharType="begin"/>
    </w:r>
    <w:r>
      <w:instrText xml:space="preserve">PAGE  </w:instrText>
    </w:r>
    <w:r>
      <w:fldChar w:fldCharType="separate"/>
    </w:r>
    <w:r w:rsidR="000323E2">
      <w:rPr>
        <w:noProof/>
      </w:rPr>
      <w:t>2</w:t>
    </w:r>
    <w:r>
      <w:fldChar w:fldCharType="end"/>
    </w:r>
  </w:p>
  <w:p w:rsidR="004C5319" w:rsidRDefault="004C5319">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19" w:rsidRDefault="004C5319">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87" w:rsidRDefault="005D0287">
      <w:r>
        <w:separator/>
      </w:r>
    </w:p>
  </w:footnote>
  <w:footnote w:type="continuationSeparator" w:id="0">
    <w:p w:rsidR="005D0287" w:rsidRDefault="005D0287" w:rsidP="00C721AC">
      <w:pPr>
        <w:spacing w:before="120"/>
        <w:rPr>
          <w:sz w:val="20"/>
        </w:rPr>
      </w:pPr>
      <w:r>
        <w:rPr>
          <w:sz w:val="20"/>
        </w:rPr>
        <w:t xml:space="preserve">(Continued from previous page)  </w:t>
      </w:r>
      <w:r>
        <w:rPr>
          <w:sz w:val="20"/>
        </w:rPr>
        <w:separator/>
      </w:r>
    </w:p>
  </w:footnote>
  <w:footnote w:type="continuationNotice" w:id="1">
    <w:p w:rsidR="005D0287" w:rsidRDefault="005D0287" w:rsidP="00C721AC">
      <w:pPr>
        <w:jc w:val="right"/>
        <w:rPr>
          <w:sz w:val="20"/>
        </w:rPr>
      </w:pPr>
      <w:r>
        <w:rPr>
          <w:sz w:val="20"/>
        </w:rPr>
        <w:t>(continued….)</w:t>
      </w:r>
    </w:p>
  </w:footnote>
  <w:footnote w:id="2">
    <w:p w:rsidR="004C5319" w:rsidRDefault="004C5319">
      <w:pPr>
        <w:pStyle w:val="FootnoteText"/>
      </w:pPr>
      <w:r>
        <w:rPr>
          <w:rStyle w:val="FootnoteReference"/>
        </w:rPr>
        <w:footnoteRef/>
      </w:r>
      <w:r>
        <w:t xml:space="preserve"> </w:t>
      </w:r>
      <w:r w:rsidRPr="008E3BEE">
        <w:t xml:space="preserve">FCC File Nos. </w:t>
      </w:r>
      <w:r w:rsidRPr="00DC6E20">
        <w:t>0006199338</w:t>
      </w:r>
      <w:r>
        <w:t>,</w:t>
      </w:r>
      <w:r w:rsidRPr="00DC6E20">
        <w:t xml:space="preserve"> 0006199345</w:t>
      </w:r>
      <w:r>
        <w:t xml:space="preserve">.  </w:t>
      </w:r>
      <w:r>
        <w:rPr>
          <w:szCs w:val="22"/>
        </w:rPr>
        <w:t>The Wireless Telecommunications Bureau published notice of the filing of the applications o</w:t>
      </w:r>
      <w:r w:rsidRPr="007E3AE4">
        <w:rPr>
          <w:szCs w:val="22"/>
        </w:rPr>
        <w:t xml:space="preserve">n </w:t>
      </w:r>
      <w:r>
        <w:rPr>
          <w:szCs w:val="22"/>
        </w:rPr>
        <w:t xml:space="preserve">April 2, 2014.  </w:t>
      </w:r>
      <w:r>
        <w:rPr>
          <w:i/>
        </w:rPr>
        <w:t xml:space="preserve">See </w:t>
      </w:r>
      <w:r>
        <w:t xml:space="preserve">Wireless Telecommunications Bureau Market-Based Applications Accepted for Filing, </w:t>
      </w:r>
      <w:r>
        <w:rPr>
          <w:i/>
        </w:rPr>
        <w:t>Public Notice</w:t>
      </w:r>
      <w:r>
        <w:t xml:space="preserve">, Report No. 9473 (WTB rel. Apr. 2, 2014).  </w:t>
      </w:r>
    </w:p>
  </w:footnote>
  <w:footnote w:id="3">
    <w:p w:rsidR="004C5319" w:rsidRPr="008E3BEE" w:rsidRDefault="004C5319" w:rsidP="00CD5EC9">
      <w:pPr>
        <w:pStyle w:val="FootnoteText"/>
      </w:pPr>
      <w:r w:rsidRPr="00F433B8">
        <w:rPr>
          <w:rStyle w:val="FootnoteReference"/>
        </w:rPr>
        <w:footnoteRef/>
      </w:r>
      <w:r w:rsidRPr="00F433B8">
        <w:t xml:space="preserve"> </w:t>
      </w:r>
      <w:r w:rsidRPr="008E3BEE">
        <w:t xml:space="preserve">Specifically, </w:t>
      </w:r>
      <w:r>
        <w:t>Dagsboro and Seaford, Delaware; Cape May and Rio Grande, New Jersey; and Salisbury (two locations) and Snow Hill, Maryland.  The same sites are proposed for both licenses, which differ only with respect to which AMTS frequencies they authorize.</w:t>
      </w:r>
    </w:p>
  </w:footnote>
  <w:footnote w:id="4">
    <w:p w:rsidR="004C5319" w:rsidRDefault="004C5319" w:rsidP="00CD5EC9">
      <w:pPr>
        <w:pStyle w:val="FootnoteText"/>
      </w:pPr>
      <w:r>
        <w:rPr>
          <w:rStyle w:val="FootnoteReference"/>
        </w:rPr>
        <w:footnoteRef/>
      </w:r>
      <w:r>
        <w:t xml:space="preserve"> Request for Waiver</w:t>
      </w:r>
      <w:r w:rsidRPr="00DC6E20">
        <w:t xml:space="preserve"> </w:t>
      </w:r>
      <w:r w:rsidRPr="008E3BEE">
        <w:t xml:space="preserve">(filed </w:t>
      </w:r>
      <w:r>
        <w:t>Mar. 13, 2014</w:t>
      </w:r>
      <w:r w:rsidRPr="008E3BEE">
        <w:t xml:space="preserve">) (Waiver Request).  </w:t>
      </w:r>
    </w:p>
  </w:footnote>
  <w:footnote w:id="5">
    <w:p w:rsidR="004C5319" w:rsidRDefault="004C5319" w:rsidP="003B399F">
      <w:pPr>
        <w:pStyle w:val="FootnoteText"/>
      </w:pPr>
      <w:r>
        <w:rPr>
          <w:rStyle w:val="FootnoteReference"/>
        </w:rPr>
        <w:footnoteRef/>
      </w:r>
      <w:r>
        <w:t xml:space="preserve"> </w:t>
      </w:r>
      <w:r>
        <w:rPr>
          <w:i/>
        </w:rPr>
        <w:t>See</w:t>
      </w:r>
      <w:r>
        <w:t xml:space="preserve"> </w:t>
      </w:r>
      <w:r>
        <w:rPr>
          <w:spacing w:val="-2"/>
        </w:rPr>
        <w:t xml:space="preserve">Amendment of Parts 2, 81 and 83 of the Commission's Rules to Allocate Spectrum for an Automated Inland Waterways Communications System (IWCS) along the Mississippi River and Connecting Waterways, </w:t>
      </w:r>
      <w:r>
        <w:rPr>
          <w:i/>
          <w:spacing w:val="-2"/>
        </w:rPr>
        <w:t>Report and Order</w:t>
      </w:r>
      <w:r>
        <w:rPr>
          <w:spacing w:val="-2"/>
        </w:rPr>
        <w:t>, GEN Docket No. 80-1, 84 FCC 2d 875 (1981) (</w:t>
      </w:r>
      <w:r>
        <w:rPr>
          <w:i/>
          <w:spacing w:val="-2"/>
        </w:rPr>
        <w:t>IWCS Report and Order</w:t>
      </w:r>
      <w:r>
        <w:rPr>
          <w:spacing w:val="-2"/>
        </w:rPr>
        <w:t>).</w:t>
      </w:r>
    </w:p>
  </w:footnote>
  <w:footnote w:id="6">
    <w:p w:rsidR="004C5319" w:rsidRDefault="004C5319" w:rsidP="003B399F">
      <w:pPr>
        <w:pStyle w:val="FootnoteText"/>
      </w:pPr>
      <w:r>
        <w:rPr>
          <w:rStyle w:val="FootnoteReference"/>
        </w:rPr>
        <w:footnoteRef/>
      </w:r>
      <w:r>
        <w:t xml:space="preserve"> </w:t>
      </w:r>
      <w:r>
        <w:rPr>
          <w:i/>
        </w:rPr>
        <w:t>See</w:t>
      </w:r>
      <w:r>
        <w:t xml:space="preserve"> MariTEL, Inc. and Mobex Network Services, LLC, </w:t>
      </w:r>
      <w:r>
        <w:rPr>
          <w:i/>
        </w:rPr>
        <w:t>Report and Order</w:t>
      </w:r>
      <w:r>
        <w:t>, WT Docket No. 04-257, 22 FCC Rcd 8971, 8974-78 ¶¶ 4-10 (2007) (</w:t>
      </w:r>
      <w:r>
        <w:rPr>
          <w:i/>
        </w:rPr>
        <w:t>Flexibility Order</w:t>
      </w:r>
      <w:r>
        <w:t xml:space="preserve">), </w:t>
      </w:r>
      <w:r>
        <w:rPr>
          <w:i/>
        </w:rPr>
        <w:t>on recon., Memorandum Opinion and Order</w:t>
      </w:r>
      <w:r>
        <w:t xml:space="preserve">, 25 FCC Rcd 533 (2010), </w:t>
      </w:r>
      <w:r>
        <w:rPr>
          <w:i/>
        </w:rPr>
        <w:t>aff’d</w:t>
      </w:r>
      <w:r>
        <w:t xml:space="preserve">, </w:t>
      </w:r>
      <w:r>
        <w:rPr>
          <w:i/>
        </w:rPr>
        <w:t>Order on Reconsideration</w:t>
      </w:r>
      <w:r>
        <w:t xml:space="preserve">, 26 FCC Rcd 2491 (2011), </w:t>
      </w:r>
      <w:r>
        <w:rPr>
          <w:i/>
        </w:rPr>
        <w:t>review dismissed</w:t>
      </w:r>
      <w:r>
        <w:t xml:space="preserve">, </w:t>
      </w:r>
      <w:r>
        <w:rPr>
          <w:i/>
        </w:rPr>
        <w:t>Second Memorandum Opinion and Order</w:t>
      </w:r>
      <w:r>
        <w:t>, 26 FCC Rcd 16579 (2011).</w:t>
      </w:r>
    </w:p>
  </w:footnote>
  <w:footnote w:id="7">
    <w:p w:rsidR="004C5319" w:rsidRDefault="004C5319" w:rsidP="003B399F">
      <w:pPr>
        <w:pStyle w:val="FootnoteText"/>
        <w:tabs>
          <w:tab w:val="left" w:pos="-720"/>
        </w:tabs>
        <w:suppressAutoHyphens/>
        <w:rPr>
          <w:spacing w:val="-2"/>
        </w:rPr>
      </w:pPr>
      <w:r>
        <w:rPr>
          <w:rStyle w:val="FootnoteReference"/>
          <w:spacing w:val="-2"/>
        </w:rPr>
        <w:footnoteRef/>
      </w:r>
      <w:r>
        <w:rPr>
          <w:spacing w:val="-2"/>
        </w:rPr>
        <w:t xml:space="preserve"> </w:t>
      </w:r>
      <w:r>
        <w:rPr>
          <w:i/>
          <w:spacing w:val="-2"/>
        </w:rPr>
        <w:t>See</w:t>
      </w:r>
      <w:r>
        <w:rPr>
          <w:spacing w:val="-2"/>
        </w:rPr>
        <w:t xml:space="preserve"> </w:t>
      </w:r>
      <w:r>
        <w:rPr>
          <w:i/>
          <w:spacing w:val="-2"/>
        </w:rPr>
        <w:t>IWCS Report and Order,</w:t>
      </w:r>
      <w:r>
        <w:rPr>
          <w:spacing w:val="-2"/>
        </w:rPr>
        <w:t xml:space="preserve"> 84 FCC 2d at 897 ¶ 80.  </w:t>
      </w:r>
    </w:p>
  </w:footnote>
  <w:footnote w:id="8">
    <w:p w:rsidR="004C5319" w:rsidRDefault="004C5319" w:rsidP="003B399F">
      <w:pPr>
        <w:pStyle w:val="FootnoteText"/>
        <w:tabs>
          <w:tab w:val="left" w:pos="-720"/>
        </w:tabs>
        <w:suppressAutoHyphens/>
        <w:rPr>
          <w:spacing w:val="-2"/>
        </w:rPr>
      </w:pPr>
      <w:r>
        <w:rPr>
          <w:rStyle w:val="FootnoteReference"/>
          <w:spacing w:val="-2"/>
        </w:rPr>
        <w:footnoteRef/>
      </w:r>
      <w:r>
        <w:t xml:space="preserve"> </w:t>
      </w:r>
      <w:r>
        <w:rPr>
          <w:i/>
        </w:rPr>
        <w:t>See</w:t>
      </w:r>
      <w:r>
        <w:t xml:space="preserve"> 47 C.F.R. §§ </w:t>
      </w:r>
      <w:r>
        <w:rPr>
          <w:spacing w:val="-2"/>
        </w:rPr>
        <w:t xml:space="preserve">80.215(h)(2), </w:t>
      </w:r>
      <w:r>
        <w:t xml:space="preserve">80.475(a)(1).  </w:t>
      </w:r>
      <w:r w:rsidRPr="003B399F">
        <w:t>If there are at least one hundred residences within both the proposed AMTS station's predicted interference contour and the television station's Grade B contour,</w:t>
      </w:r>
      <w:r w:rsidRPr="003B399F">
        <w:rPr>
          <w:vertAlign w:val="superscript"/>
        </w:rPr>
        <w:t xml:space="preserve"> </w:t>
      </w:r>
      <w:r w:rsidRPr="003B399F">
        <w:t>the AMTS applicant must (1) show that its proposed site is the only suitable location, (2) develop a plan to control any interference its operations cause within the Grade B contour, and (3) agree to make any necessary adjustments to affected television receivers to eliminate such interference.</w:t>
      </w:r>
      <w:r>
        <w:t xml:space="preserve">  </w:t>
      </w:r>
      <w:r>
        <w:rPr>
          <w:i/>
          <w:spacing w:val="-2"/>
        </w:rPr>
        <w:t>See</w:t>
      </w:r>
      <w:r>
        <w:rPr>
          <w:spacing w:val="-2"/>
        </w:rPr>
        <w:t xml:space="preserve"> 47 C.F.R. § 80.215(h)(3).</w:t>
      </w:r>
    </w:p>
  </w:footnote>
  <w:footnote w:id="9">
    <w:p w:rsidR="004C5319" w:rsidRDefault="004C5319" w:rsidP="003B399F">
      <w:pPr>
        <w:pStyle w:val="FootnoteText"/>
      </w:pPr>
      <w:r>
        <w:rPr>
          <w:rStyle w:val="FootnoteReference"/>
        </w:rPr>
        <w:footnoteRef/>
      </w:r>
      <w:r>
        <w:t xml:space="preserve"> </w:t>
      </w:r>
      <w:r>
        <w:rPr>
          <w:i/>
          <w:spacing w:val="-2"/>
        </w:rPr>
        <w:t>See</w:t>
      </w:r>
      <w:r>
        <w:rPr>
          <w:spacing w:val="-2"/>
        </w:rPr>
        <w:t xml:space="preserve"> </w:t>
      </w:r>
      <w:r>
        <w:t xml:space="preserve">Amendment of the Commission’s Rules Concerning Maritime Communications, </w:t>
      </w:r>
      <w:r>
        <w:rPr>
          <w:i/>
        </w:rPr>
        <w:t>Second Memorandum Opinion and Order and Fifth Report and Order,</w:t>
      </w:r>
      <w:r>
        <w:t xml:space="preserve"> PR Docket No. 92-257, 17 FCC Rcd 6685, 6696 ¶ 24 (2002), </w:t>
      </w:r>
      <w:r>
        <w:rPr>
          <w:i/>
        </w:rPr>
        <w:t>erratum</w:t>
      </w:r>
      <w:r>
        <w:t xml:space="preserve">, 19 FCC Rcd 9918 (2004).  </w:t>
      </w:r>
    </w:p>
  </w:footnote>
  <w:footnote w:id="10">
    <w:p w:rsidR="004C5319" w:rsidRDefault="004C5319" w:rsidP="003B399F">
      <w:pPr>
        <w:pStyle w:val="FootnoteText"/>
      </w:pPr>
      <w:r>
        <w:rPr>
          <w:rStyle w:val="FootnoteReference"/>
        </w:rPr>
        <w:footnoteRef/>
      </w:r>
      <w:r>
        <w:t xml:space="preserve"> </w:t>
      </w:r>
      <w:r>
        <w:rPr>
          <w:i/>
          <w:spacing w:val="-2"/>
        </w:rPr>
        <w:t>See</w:t>
      </w:r>
      <w:r>
        <w:rPr>
          <w:spacing w:val="-2"/>
        </w:rPr>
        <w:t xml:space="preserve"> 47 C.F.R. § 80.385(b).</w:t>
      </w:r>
    </w:p>
  </w:footnote>
  <w:footnote w:id="11">
    <w:p w:rsidR="004C5319" w:rsidRDefault="004C5319" w:rsidP="00047173">
      <w:pPr>
        <w:pStyle w:val="FootnoteText"/>
      </w:pPr>
      <w:r>
        <w:rPr>
          <w:rStyle w:val="FootnoteReference"/>
        </w:rPr>
        <w:footnoteRef/>
      </w:r>
      <w:r>
        <w:t xml:space="preserve"> </w:t>
      </w:r>
      <w:r w:rsidRPr="00CD2F36">
        <w:t>AMTS Technical Showing, dated February 28, 2014</w:t>
      </w:r>
      <w:r>
        <w:t xml:space="preserve"> (Technical Showing).</w:t>
      </w:r>
    </w:p>
  </w:footnote>
  <w:footnote w:id="12">
    <w:p w:rsidR="004C5319" w:rsidRPr="00BE3005" w:rsidRDefault="004C5319">
      <w:pPr>
        <w:pStyle w:val="FootnoteText"/>
      </w:pPr>
      <w:r>
        <w:rPr>
          <w:rStyle w:val="FootnoteReference"/>
        </w:rPr>
        <w:footnoteRef/>
      </w:r>
      <w:r>
        <w:t xml:space="preserve"> Waiver Request at 1.</w:t>
      </w:r>
    </w:p>
  </w:footnote>
  <w:footnote w:id="13">
    <w:p w:rsidR="004C5319" w:rsidRPr="008E3BEE" w:rsidRDefault="004C5319" w:rsidP="0070540E">
      <w:pPr>
        <w:pStyle w:val="FootnoteText"/>
      </w:pPr>
      <w:r w:rsidRPr="008E3BEE">
        <w:rPr>
          <w:rStyle w:val="FootnoteReference"/>
        </w:rPr>
        <w:footnoteRef/>
      </w:r>
      <w:r w:rsidRPr="008E3BEE">
        <w:t xml:space="preserve"> FCC File Nos. </w:t>
      </w:r>
      <w:r w:rsidRPr="00DF3504">
        <w:t>0005652570</w:t>
      </w:r>
      <w:r w:rsidRPr="008E3BEE">
        <w:t xml:space="preserve">, </w:t>
      </w:r>
      <w:r w:rsidRPr="00DF3504">
        <w:t>0005652678 (</w:t>
      </w:r>
      <w:r w:rsidRPr="008E3BEE">
        <w:t xml:space="preserve">filed </w:t>
      </w:r>
      <w:r>
        <w:t>Feb. 19, 2013</w:t>
      </w:r>
      <w:r w:rsidRPr="008E3BEE">
        <w:t>).</w:t>
      </w:r>
    </w:p>
  </w:footnote>
  <w:footnote w:id="14">
    <w:p w:rsidR="004C5319" w:rsidRDefault="004C5319">
      <w:pPr>
        <w:pStyle w:val="FootnoteText"/>
      </w:pPr>
      <w:r>
        <w:rPr>
          <w:rStyle w:val="FootnoteReference"/>
        </w:rPr>
        <w:footnoteRef/>
      </w:r>
      <w:r>
        <w:t xml:space="preserve"> Technical Showing at 4.</w:t>
      </w:r>
    </w:p>
  </w:footnote>
  <w:footnote w:id="15">
    <w:p w:rsidR="004C5319" w:rsidRPr="00F63D0A" w:rsidRDefault="004C5319" w:rsidP="00634961">
      <w:pPr>
        <w:pStyle w:val="FootnoteText"/>
        <w:rPr>
          <w:i/>
        </w:rPr>
      </w:pPr>
      <w:r>
        <w:rPr>
          <w:rStyle w:val="FootnoteReference"/>
        </w:rPr>
        <w:footnoteRef/>
      </w:r>
      <w:r>
        <w:t xml:space="preserve"> </w:t>
      </w:r>
      <w:r>
        <w:rPr>
          <w:i/>
        </w:rPr>
        <w:t>Id.</w:t>
      </w:r>
    </w:p>
  </w:footnote>
  <w:footnote w:id="16">
    <w:p w:rsidR="004C5319" w:rsidRDefault="004C5319">
      <w:pPr>
        <w:pStyle w:val="FootnoteText"/>
      </w:pPr>
      <w:r>
        <w:rPr>
          <w:rStyle w:val="FootnoteReference"/>
        </w:rPr>
        <w:footnoteRef/>
      </w:r>
      <w:r>
        <w:t xml:space="preserve"> Waiver Request at 5.</w:t>
      </w:r>
    </w:p>
  </w:footnote>
  <w:footnote w:id="17">
    <w:p w:rsidR="004C5319" w:rsidRDefault="004C5319">
      <w:pPr>
        <w:pStyle w:val="FootnoteText"/>
      </w:pPr>
      <w:r>
        <w:rPr>
          <w:rStyle w:val="FootnoteReference"/>
        </w:rPr>
        <w:footnoteRef/>
      </w:r>
      <w:r>
        <w:t xml:space="preserve"> </w:t>
      </w:r>
      <w:r>
        <w:rPr>
          <w:i/>
        </w:rPr>
        <w:t>Id.</w:t>
      </w:r>
      <w:r>
        <w:t xml:space="preserve"> at 1.</w:t>
      </w:r>
    </w:p>
  </w:footnote>
  <w:footnote w:id="18">
    <w:p w:rsidR="004C5319" w:rsidRDefault="004C5319" w:rsidP="0070540E">
      <w:pPr>
        <w:pStyle w:val="FootnoteText"/>
      </w:pPr>
      <w:r>
        <w:rPr>
          <w:rStyle w:val="FootnoteReference"/>
        </w:rPr>
        <w:footnoteRef/>
      </w:r>
      <w:r>
        <w:t xml:space="preserve"> </w:t>
      </w:r>
      <w:r>
        <w:rPr>
          <w:i/>
        </w:rPr>
        <w:t xml:space="preserve">See </w:t>
      </w:r>
      <w:r>
        <w:t>47 C.F.R. § 80.92(a).</w:t>
      </w:r>
    </w:p>
  </w:footnote>
  <w:footnote w:id="19">
    <w:p w:rsidR="004C5319" w:rsidRPr="00F00FE0" w:rsidRDefault="004C5319" w:rsidP="009716A2">
      <w:pPr>
        <w:pStyle w:val="FootnoteText"/>
      </w:pPr>
      <w:r>
        <w:rPr>
          <w:rStyle w:val="FootnoteReference"/>
        </w:rPr>
        <w:footnoteRef/>
      </w:r>
      <w:r>
        <w:t xml:space="preserve"> </w:t>
      </w:r>
      <w:r>
        <w:rPr>
          <w:i/>
        </w:rPr>
        <w:t xml:space="preserve">See </w:t>
      </w:r>
      <w:r>
        <w:t xml:space="preserve">47 C.F.R. § 80.123; Amendment of the Commission’s Rules Concerning Maritime Communications, </w:t>
      </w:r>
      <w:r>
        <w:rPr>
          <w:i/>
        </w:rPr>
        <w:t>Second Report and Order and Second Further Notice of Proposed Rule Making</w:t>
      </w:r>
      <w:r>
        <w:t xml:space="preserve">, PR Docket No. 92-257, 12 FCC Rcd 16949, </w:t>
      </w:r>
      <w:r w:rsidRPr="008F3DD5">
        <w:t>16964-65</w:t>
      </w:r>
      <w:r>
        <w:t xml:space="preserve"> ¶</w:t>
      </w:r>
      <w:r>
        <w:rPr>
          <w:i/>
        </w:rPr>
        <w:t xml:space="preserve"> </w:t>
      </w:r>
      <w:r>
        <w:t>25 (1997) (</w:t>
      </w:r>
      <w:r>
        <w:rPr>
          <w:i/>
        </w:rPr>
        <w:t>Maritime Second Report and Order</w:t>
      </w:r>
      <w:r>
        <w:t>).</w:t>
      </w:r>
    </w:p>
  </w:footnote>
  <w:footnote w:id="20">
    <w:p w:rsidR="004C5319" w:rsidRPr="008E3BEE" w:rsidRDefault="004C5319" w:rsidP="0070540E">
      <w:pPr>
        <w:pStyle w:val="FootnoteText"/>
      </w:pPr>
      <w:r w:rsidRPr="008E3BEE">
        <w:rPr>
          <w:rStyle w:val="FootnoteReference"/>
        </w:rPr>
        <w:footnoteRef/>
      </w:r>
      <w:r w:rsidRPr="008E3BEE">
        <w:t xml:space="preserve"> </w:t>
      </w:r>
      <w:r>
        <w:rPr>
          <w:i/>
        </w:rPr>
        <w:t xml:space="preserve">See </w:t>
      </w:r>
      <w:r>
        <w:t xml:space="preserve">47 C.F.R. § 80.385(a)(2).  </w:t>
      </w:r>
    </w:p>
  </w:footnote>
  <w:footnote w:id="21">
    <w:p w:rsidR="004C5319" w:rsidRDefault="004C5319" w:rsidP="00C544AF">
      <w:pPr>
        <w:pStyle w:val="FootnoteText"/>
      </w:pPr>
      <w:r>
        <w:rPr>
          <w:rStyle w:val="FootnoteReference"/>
        </w:rPr>
        <w:footnoteRef/>
      </w:r>
      <w:r>
        <w:t xml:space="preserve"> </w:t>
      </w:r>
      <w:r>
        <w:rPr>
          <w:i/>
        </w:rPr>
        <w:t xml:space="preserve">See </w:t>
      </w:r>
      <w:r>
        <w:t>Technical Showing at 4.</w:t>
      </w:r>
    </w:p>
  </w:footnote>
  <w:footnote w:id="22">
    <w:p w:rsidR="004C5319" w:rsidRPr="0026042B" w:rsidRDefault="004C5319">
      <w:pPr>
        <w:pStyle w:val="FootnoteText"/>
      </w:pPr>
      <w:r>
        <w:rPr>
          <w:rStyle w:val="FootnoteReference"/>
        </w:rPr>
        <w:footnoteRef/>
      </w:r>
      <w:r>
        <w:t xml:space="preserve"> </w:t>
      </w:r>
      <w:r>
        <w:rPr>
          <w:i/>
        </w:rPr>
        <w:t>See id.</w:t>
      </w:r>
      <w:r>
        <w:t xml:space="preserve"> at 16.</w:t>
      </w:r>
    </w:p>
  </w:footnote>
  <w:footnote w:id="23">
    <w:p w:rsidR="004C5319" w:rsidRPr="00BE3005" w:rsidRDefault="004C5319" w:rsidP="008E5ACF">
      <w:pPr>
        <w:pStyle w:val="FootnoteText"/>
      </w:pPr>
      <w:r>
        <w:rPr>
          <w:rStyle w:val="FootnoteReference"/>
        </w:rPr>
        <w:footnoteRef/>
      </w:r>
      <w:r>
        <w:t xml:space="preserve"> </w:t>
      </w:r>
      <w:r>
        <w:rPr>
          <w:szCs w:val="22"/>
        </w:rPr>
        <w:t xml:space="preserve">As required by the Commission’s Rules, PHI provided notice of the filing of the application to the television stations that could be affected.  </w:t>
      </w:r>
      <w:r>
        <w:rPr>
          <w:i/>
        </w:rPr>
        <w:t xml:space="preserve">See </w:t>
      </w:r>
      <w:r>
        <w:t xml:space="preserve">47 C.F.R. § 80.475(a)(2).  </w:t>
      </w:r>
      <w:r>
        <w:rPr>
          <w:szCs w:val="22"/>
        </w:rPr>
        <w:t xml:space="preserve">No station objected to the proposed operations.  </w:t>
      </w:r>
    </w:p>
  </w:footnote>
  <w:footnote w:id="24">
    <w:p w:rsidR="004C5319" w:rsidRDefault="004C5319" w:rsidP="0026042B">
      <w:pPr>
        <w:pStyle w:val="FootnoteText"/>
      </w:pPr>
      <w:r>
        <w:rPr>
          <w:rStyle w:val="FootnoteReference"/>
        </w:rPr>
        <w:footnoteRef/>
      </w:r>
      <w:r>
        <w:t xml:space="preserve"> 47 C.F.R. § </w:t>
      </w:r>
      <w:r>
        <w:rPr>
          <w:spacing w:val="-2"/>
        </w:rPr>
        <w:t>80.215(h).</w:t>
      </w:r>
    </w:p>
  </w:footnote>
  <w:footnote w:id="25">
    <w:p w:rsidR="004C5319" w:rsidRDefault="004C5319" w:rsidP="00EB00F3">
      <w:pPr>
        <w:pStyle w:val="FootnoteText"/>
        <w:rPr>
          <w:i/>
        </w:rPr>
      </w:pPr>
      <w:r>
        <w:rPr>
          <w:rStyle w:val="FootnoteReference"/>
        </w:rPr>
        <w:footnoteRef/>
      </w:r>
      <w:r>
        <w:t xml:space="preserve"> 47 C.F.R. § </w:t>
      </w:r>
      <w:r>
        <w:rPr>
          <w:spacing w:val="-2"/>
        </w:rPr>
        <w:t xml:space="preserve">80.215(h)(4).  </w:t>
      </w:r>
    </w:p>
  </w:footnote>
  <w:footnote w:id="26">
    <w:p w:rsidR="004C5319" w:rsidRDefault="004C5319" w:rsidP="0070540E">
      <w:pPr>
        <w:pStyle w:val="FootnoteText"/>
        <w:rPr>
          <w:i/>
        </w:rPr>
      </w:pPr>
      <w:r>
        <w:rPr>
          <w:rStyle w:val="FootnoteReference"/>
        </w:rPr>
        <w:footnoteRef/>
      </w:r>
      <w:r>
        <w:t xml:space="preserve"> 47 C.F.R. § 1.925(b)(3); </w:t>
      </w:r>
      <w:r>
        <w:rPr>
          <w:i/>
        </w:rPr>
        <w:t>see also WAIT Radio v FCC</w:t>
      </w:r>
      <w:r>
        <w:t xml:space="preserve">, 418 F. 2d 1153, 1159 (D.C. Cir. 1969).  In addition, when the Commission amended its rules to permit AMTS stations to provide private correspondence service to units on land, it stated that the following factors would be considered in evaluating waiver requests:  (a) whether the applicant will provide priority to maritime communications, (b) the distance of a </w:t>
      </w:r>
      <w:r>
        <w:rPr>
          <w:bCs/>
        </w:rPr>
        <w:t>proposed</w:t>
      </w:r>
      <w:r>
        <w:t xml:space="preserve"> </w:t>
      </w:r>
      <w:r>
        <w:rPr>
          <w:bCs/>
        </w:rPr>
        <w:t>land</w:t>
      </w:r>
      <w:r>
        <w:t xml:space="preserve"> </w:t>
      </w:r>
      <w:r>
        <w:rPr>
          <w:bCs/>
        </w:rPr>
        <w:t>mobile</w:t>
      </w:r>
      <w:r>
        <w:t xml:space="preserve"> radio operation from the nearest navigable waterways, (c) the magnitude of divergence sought from specific </w:t>
      </w:r>
      <w:r>
        <w:rPr>
          <w:bCs/>
        </w:rPr>
        <w:t>Part</w:t>
      </w:r>
      <w:r>
        <w:t xml:space="preserve"> </w:t>
      </w:r>
      <w:r>
        <w:rPr>
          <w:bCs/>
        </w:rPr>
        <w:t>80</w:t>
      </w:r>
      <w:r>
        <w:t xml:space="preserve"> technical requirements, (d) whether alternative </w:t>
      </w:r>
      <w:r>
        <w:rPr>
          <w:bCs/>
        </w:rPr>
        <w:t>spectrum</w:t>
      </w:r>
      <w:r>
        <w:t xml:space="preserve"> that could accommodate the </w:t>
      </w:r>
      <w:r>
        <w:rPr>
          <w:bCs/>
        </w:rPr>
        <w:t>proposed</w:t>
      </w:r>
      <w:r>
        <w:t xml:space="preserve"> PLMR or other </w:t>
      </w:r>
      <w:r>
        <w:rPr>
          <w:bCs/>
        </w:rPr>
        <w:t>land</w:t>
      </w:r>
      <w:r>
        <w:t xml:space="preserve"> </w:t>
      </w:r>
      <w:r>
        <w:rPr>
          <w:bCs/>
        </w:rPr>
        <w:t>mobile</w:t>
      </w:r>
      <w:r>
        <w:t xml:space="preserve"> radio service is unavailable or unsuitable for that purpose, and (e) whether grant of the </w:t>
      </w:r>
      <w:r>
        <w:rPr>
          <w:bCs/>
        </w:rPr>
        <w:t>waiver</w:t>
      </w:r>
      <w:r>
        <w:t xml:space="preserve"> would benefit public safety or homeland security (including support of critical infrastructure).  </w:t>
      </w:r>
      <w:r>
        <w:rPr>
          <w:i/>
        </w:rPr>
        <w:t>See Flexibility Order</w:t>
      </w:r>
      <w:r>
        <w:t>, 22 FCC Rcd at 8986-87 ¶ 26.</w:t>
      </w:r>
    </w:p>
  </w:footnote>
  <w:footnote w:id="27">
    <w:p w:rsidR="004C5319" w:rsidRDefault="004C5319">
      <w:pPr>
        <w:pStyle w:val="FootnoteText"/>
      </w:pPr>
      <w:r>
        <w:rPr>
          <w:rStyle w:val="FootnoteReference"/>
        </w:rPr>
        <w:footnoteRef/>
      </w:r>
      <w:r>
        <w:t xml:space="preserve"> 47 C.F.R. § 80.92(a).</w:t>
      </w:r>
    </w:p>
  </w:footnote>
  <w:footnote w:id="28">
    <w:p w:rsidR="004C5319" w:rsidRDefault="004C5319">
      <w:pPr>
        <w:pStyle w:val="FootnoteText"/>
      </w:pPr>
      <w:r>
        <w:rPr>
          <w:rStyle w:val="FootnoteReference"/>
        </w:rPr>
        <w:footnoteRef/>
      </w:r>
      <w:r>
        <w:t xml:space="preserve"> 47 C.F.R. § 80.123(c).</w:t>
      </w:r>
    </w:p>
  </w:footnote>
  <w:footnote w:id="29">
    <w:p w:rsidR="004C5319" w:rsidRDefault="004C5319">
      <w:pPr>
        <w:pStyle w:val="FootnoteText"/>
      </w:pPr>
      <w:r>
        <w:rPr>
          <w:rStyle w:val="FootnoteReference"/>
        </w:rPr>
        <w:footnoteRef/>
      </w:r>
      <w:r>
        <w:t xml:space="preserve"> 47 C.F.R. § 80.123(b).</w:t>
      </w:r>
    </w:p>
  </w:footnote>
  <w:footnote w:id="30">
    <w:p w:rsidR="004C5319" w:rsidRDefault="004C5319" w:rsidP="00D01A7A">
      <w:pPr>
        <w:pStyle w:val="FootnoteText"/>
      </w:pPr>
      <w:r>
        <w:rPr>
          <w:rStyle w:val="FootnoteReference"/>
        </w:rPr>
        <w:footnoteRef/>
      </w:r>
      <w:r>
        <w:t xml:space="preserve"> </w:t>
      </w:r>
      <w:r w:rsidRPr="004A0278">
        <w:rPr>
          <w:i/>
        </w:rPr>
        <w:t>See</w:t>
      </w:r>
      <w:r>
        <w:t xml:space="preserve"> Waiver Request at 5-9.</w:t>
      </w:r>
    </w:p>
  </w:footnote>
  <w:footnote w:id="31">
    <w:p w:rsidR="004C5319" w:rsidRDefault="004C5319" w:rsidP="00D01A7A">
      <w:pPr>
        <w:pStyle w:val="FootnoteText"/>
      </w:pPr>
      <w:r>
        <w:rPr>
          <w:rStyle w:val="FootnoteReference"/>
        </w:rPr>
        <w:footnoteRef/>
      </w:r>
      <w:r>
        <w:t xml:space="preserve"> </w:t>
      </w:r>
      <w:r>
        <w:rPr>
          <w:i/>
        </w:rPr>
        <w:t xml:space="preserve">Id. </w:t>
      </w:r>
      <w:r w:rsidRPr="00182A1A">
        <w:t>at 6.</w:t>
      </w:r>
    </w:p>
  </w:footnote>
  <w:footnote w:id="32">
    <w:p w:rsidR="004C5319" w:rsidRPr="008E3BEE" w:rsidRDefault="004C5319" w:rsidP="00D01A7A">
      <w:pPr>
        <w:pStyle w:val="FootnoteText"/>
      </w:pPr>
      <w:r w:rsidRPr="008E3BEE">
        <w:rPr>
          <w:rStyle w:val="FootnoteReference"/>
        </w:rPr>
        <w:footnoteRef/>
      </w:r>
      <w:r w:rsidRPr="008E3BEE">
        <w:t xml:space="preserve"> </w:t>
      </w:r>
      <w:r w:rsidRPr="00664E48">
        <w:rPr>
          <w:i/>
        </w:rPr>
        <w:t>Id.</w:t>
      </w:r>
      <w:r>
        <w:t xml:space="preserve"> at 5 n.8</w:t>
      </w:r>
      <w:r w:rsidRPr="008E3BEE">
        <w:t>.</w:t>
      </w:r>
    </w:p>
  </w:footnote>
  <w:footnote w:id="33">
    <w:p w:rsidR="004C5319" w:rsidRPr="008F3DD5" w:rsidRDefault="004C5319">
      <w:pPr>
        <w:pStyle w:val="FootnoteText"/>
      </w:pPr>
      <w:r>
        <w:rPr>
          <w:rStyle w:val="FootnoteReference"/>
        </w:rPr>
        <w:footnoteRef/>
      </w:r>
      <w:r>
        <w:t xml:space="preserve"> </w:t>
      </w:r>
      <w:r>
        <w:rPr>
          <w:i/>
        </w:rPr>
        <w:t xml:space="preserve">See </w:t>
      </w:r>
      <w:r>
        <w:t xml:space="preserve">MariTEL Northern Pacific, Inc., </w:t>
      </w:r>
      <w:r>
        <w:rPr>
          <w:i/>
        </w:rPr>
        <w:t>Order</w:t>
      </w:r>
      <w:r>
        <w:t>, 27 FCC Rcd 8153, 8155-56 ¶ 7 (WTB MD 2012) (waiving Section 80.123(b) to permit electric utility to operate on VPC spectrum without affording priority to marine-originating communications, provided that no interference was caused to maritime communications)</w:t>
      </w:r>
      <w:r w:rsidR="00F46204">
        <w:t xml:space="preserve">, </w:t>
      </w:r>
      <w:r w:rsidR="00F46204">
        <w:rPr>
          <w:i/>
        </w:rPr>
        <w:t>recon. Denied</w:t>
      </w:r>
      <w:r w:rsidR="00F46204">
        <w:t xml:space="preserve">, </w:t>
      </w:r>
      <w:r w:rsidR="00F46204">
        <w:rPr>
          <w:i/>
        </w:rPr>
        <w:t>Order on Reconsideration and Order</w:t>
      </w:r>
      <w:r w:rsidR="00F46204">
        <w:t>, 28 FCC Rcd 7080 (WTB MD 2013)</w:t>
      </w:r>
      <w:r>
        <w:t xml:space="preserve">; Vermont Transco LLC, </w:t>
      </w:r>
      <w:r>
        <w:rPr>
          <w:i/>
        </w:rPr>
        <w:t>Order</w:t>
      </w:r>
      <w:r>
        <w:t xml:space="preserve">, 26 FCC Rcd 8820, 8822 ¶ 6 (WTB MD 2011) (waiving Section 80.92(a) to allow electric utility to use AMTS spectrum to satisfy fixed and mobile communications requirements); </w:t>
      </w:r>
      <w:r>
        <w:rPr>
          <w:i/>
        </w:rPr>
        <w:t>Maritime Second Report and Order</w:t>
      </w:r>
      <w:r>
        <w:t>, 12 FCC Rcd at 16965 ¶ 26 (land units’ use of coast station call sign is not necessary if automated or selective calling is used).</w:t>
      </w:r>
    </w:p>
  </w:footnote>
  <w:footnote w:id="34">
    <w:p w:rsidR="004C5319" w:rsidRDefault="004C5319">
      <w:pPr>
        <w:pStyle w:val="FootnoteText"/>
      </w:pPr>
      <w:r>
        <w:rPr>
          <w:rStyle w:val="FootnoteReference"/>
        </w:rPr>
        <w:footnoteRef/>
      </w:r>
      <w:r w:rsidR="009D0EBF">
        <w:rPr>
          <w:i/>
        </w:rPr>
        <w:t xml:space="preserve"> </w:t>
      </w:r>
      <w:r w:rsidRPr="004A0278">
        <w:rPr>
          <w:i/>
        </w:rPr>
        <w:t>See</w:t>
      </w:r>
      <w:r>
        <w:t xml:space="preserve"> Waiver Request</w:t>
      </w:r>
      <w:r>
        <w:rPr>
          <w:i/>
        </w:rPr>
        <w:t xml:space="preserve"> </w:t>
      </w:r>
      <w:r>
        <w:t>at 10-11</w:t>
      </w:r>
      <w:r w:rsidRPr="00182A1A">
        <w:t>.</w:t>
      </w:r>
    </w:p>
  </w:footnote>
  <w:footnote w:id="35">
    <w:p w:rsidR="004C5319" w:rsidRDefault="004C5319" w:rsidP="004271C5">
      <w:pPr>
        <w:pStyle w:val="FootnoteText"/>
      </w:pPr>
      <w:r>
        <w:rPr>
          <w:rStyle w:val="FootnoteReference"/>
        </w:rPr>
        <w:footnoteRef/>
      </w:r>
      <w:r>
        <w:t xml:space="preserve"> 47 C.F.R. § 80.123(a).</w:t>
      </w:r>
    </w:p>
  </w:footnote>
  <w:footnote w:id="36">
    <w:p w:rsidR="004C5319" w:rsidRDefault="004C5319" w:rsidP="009D0EBF">
      <w:pPr>
        <w:pStyle w:val="FootnoteText"/>
      </w:pPr>
      <w:r>
        <w:rPr>
          <w:rStyle w:val="FootnoteReference"/>
        </w:rPr>
        <w:footnoteRef/>
      </w:r>
      <w:r>
        <w:t xml:space="preserve"> </w:t>
      </w:r>
      <w:r>
        <w:rPr>
          <w:i/>
        </w:rPr>
        <w:t xml:space="preserve">See </w:t>
      </w:r>
      <w:r>
        <w:t>Waiver Request</w:t>
      </w:r>
      <w:r>
        <w:rPr>
          <w:i/>
        </w:rPr>
        <w:t xml:space="preserve"> </w:t>
      </w:r>
      <w:r>
        <w:t>at 9</w:t>
      </w:r>
      <w:r w:rsidRPr="00182A1A">
        <w:t>.</w:t>
      </w:r>
      <w:r>
        <w:t xml:space="preserve">  PHI also requests a waiver of Section </w:t>
      </w:r>
      <w:r>
        <w:rPr>
          <w:szCs w:val="22"/>
        </w:rPr>
        <w:t xml:space="preserve">80.123(f), </w:t>
      </w:r>
      <w:r>
        <w:t xml:space="preserve">47 C.F.R. § 80.123(f), </w:t>
      </w:r>
      <w:r>
        <w:rPr>
          <w:szCs w:val="22"/>
        </w:rPr>
        <w:t xml:space="preserve">which requires land stations to communicate only with coast stations, </w:t>
      </w:r>
      <w:r>
        <w:rPr>
          <w:i/>
          <w:szCs w:val="22"/>
        </w:rPr>
        <w:t xml:space="preserve">see </w:t>
      </w:r>
      <w:r>
        <w:rPr>
          <w:szCs w:val="22"/>
        </w:rPr>
        <w:t xml:space="preserve">Waiver Request at 10, </w:t>
      </w:r>
      <w:r>
        <w:t>but we conclude that no waiver is needed because PHI does not</w:t>
      </w:r>
      <w:r w:rsidR="009D0EBF">
        <w:t xml:space="preserve"> appear to</w:t>
      </w:r>
      <w:r>
        <w:t xml:space="preserve"> propose that the remote stations will communicate on AMTS spectrum with any station other than the master stations.</w:t>
      </w:r>
    </w:p>
  </w:footnote>
  <w:footnote w:id="37">
    <w:p w:rsidR="004C5319" w:rsidRPr="004C6169" w:rsidRDefault="004C5319" w:rsidP="00D93712">
      <w:pPr>
        <w:pStyle w:val="FootnoteText"/>
      </w:pPr>
      <w:r>
        <w:rPr>
          <w:rStyle w:val="FootnoteReference"/>
        </w:rPr>
        <w:footnoteRef/>
      </w:r>
      <w:r>
        <w:t xml:space="preserve"> </w:t>
      </w:r>
      <w:r>
        <w:rPr>
          <w:i/>
        </w:rPr>
        <w:t xml:space="preserve">See </w:t>
      </w:r>
      <w:r>
        <w:t>Waiver Request</w:t>
      </w:r>
      <w:r>
        <w:rPr>
          <w:i/>
        </w:rPr>
        <w:t xml:space="preserve"> </w:t>
      </w:r>
      <w:r>
        <w:t>at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C4" w:rsidRDefault="00780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19" w:rsidRDefault="004C5319" w:rsidP="00810B6F">
    <w:pPr>
      <w:pStyle w:val="Header"/>
      <w:rPr>
        <w:b w:val="0"/>
      </w:rPr>
    </w:pPr>
    <w:r>
      <w:tab/>
      <w:t>Federal Communications Commission</w:t>
    </w:r>
    <w:r>
      <w:tab/>
      <w:t>DA 14-</w:t>
    </w:r>
    <w:r w:rsidR="00F67282">
      <w:t>965</w:t>
    </w:r>
  </w:p>
  <w:p w:rsidR="004C5319" w:rsidRDefault="00F6728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4C5319" w:rsidRDefault="004C531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319" w:rsidRDefault="00F67282"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4C5319">
      <w:tab/>
      <w:t>Federal Communications Commission</w:t>
    </w:r>
    <w:r w:rsidR="004C5319">
      <w:tab/>
    </w:r>
    <w:r w:rsidR="004C5319">
      <w:rPr>
        <w:spacing w:val="-2"/>
      </w:rPr>
      <w:t>DA 14-</w:t>
    </w:r>
    <w:r>
      <w:rPr>
        <w:spacing w:val="-2"/>
      </w:rPr>
      <w:t>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pStyle w:val="EndnoteText"/>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5D75"/>
    <w:rsid w:val="00020E76"/>
    <w:rsid w:val="0002481B"/>
    <w:rsid w:val="000323E2"/>
    <w:rsid w:val="00036039"/>
    <w:rsid w:val="00037F90"/>
    <w:rsid w:val="00047173"/>
    <w:rsid w:val="000875BF"/>
    <w:rsid w:val="00096D8C"/>
    <w:rsid w:val="000A38EC"/>
    <w:rsid w:val="000A5017"/>
    <w:rsid w:val="000C0B65"/>
    <w:rsid w:val="000C7692"/>
    <w:rsid w:val="000E05FE"/>
    <w:rsid w:val="000E3D42"/>
    <w:rsid w:val="0010192C"/>
    <w:rsid w:val="00122BD5"/>
    <w:rsid w:val="00133F79"/>
    <w:rsid w:val="00177CE8"/>
    <w:rsid w:val="00182A1A"/>
    <w:rsid w:val="00192A99"/>
    <w:rsid w:val="00194A66"/>
    <w:rsid w:val="001B5A48"/>
    <w:rsid w:val="001C0745"/>
    <w:rsid w:val="001D6BCF"/>
    <w:rsid w:val="001E01CA"/>
    <w:rsid w:val="001F2F65"/>
    <w:rsid w:val="00220C96"/>
    <w:rsid w:val="00244855"/>
    <w:rsid w:val="0026042B"/>
    <w:rsid w:val="00270100"/>
    <w:rsid w:val="00275CF5"/>
    <w:rsid w:val="0028301F"/>
    <w:rsid w:val="00285017"/>
    <w:rsid w:val="002A2D2E"/>
    <w:rsid w:val="002C00E8"/>
    <w:rsid w:val="002E4BD8"/>
    <w:rsid w:val="00321E8A"/>
    <w:rsid w:val="00324801"/>
    <w:rsid w:val="00343749"/>
    <w:rsid w:val="003660ED"/>
    <w:rsid w:val="00375B08"/>
    <w:rsid w:val="00381EE6"/>
    <w:rsid w:val="003B0550"/>
    <w:rsid w:val="003B399F"/>
    <w:rsid w:val="003B694F"/>
    <w:rsid w:val="003D0725"/>
    <w:rsid w:val="003F171C"/>
    <w:rsid w:val="00402C62"/>
    <w:rsid w:val="00412FC5"/>
    <w:rsid w:val="004173A5"/>
    <w:rsid w:val="00422276"/>
    <w:rsid w:val="004242F1"/>
    <w:rsid w:val="004271C5"/>
    <w:rsid w:val="0043723D"/>
    <w:rsid w:val="00445A00"/>
    <w:rsid w:val="00451B0F"/>
    <w:rsid w:val="00453C29"/>
    <w:rsid w:val="00476517"/>
    <w:rsid w:val="00487278"/>
    <w:rsid w:val="00491FDE"/>
    <w:rsid w:val="00494790"/>
    <w:rsid w:val="004A0278"/>
    <w:rsid w:val="004A0353"/>
    <w:rsid w:val="004C2EE3"/>
    <w:rsid w:val="004C5319"/>
    <w:rsid w:val="004E4A22"/>
    <w:rsid w:val="00511968"/>
    <w:rsid w:val="00514785"/>
    <w:rsid w:val="00522524"/>
    <w:rsid w:val="005278F8"/>
    <w:rsid w:val="00544615"/>
    <w:rsid w:val="0055614C"/>
    <w:rsid w:val="00583FBF"/>
    <w:rsid w:val="005D0287"/>
    <w:rsid w:val="005E0937"/>
    <w:rsid w:val="005E14C2"/>
    <w:rsid w:val="005F49F0"/>
    <w:rsid w:val="00607BA5"/>
    <w:rsid w:val="0061180A"/>
    <w:rsid w:val="00612FE6"/>
    <w:rsid w:val="00622FD3"/>
    <w:rsid w:val="00626EB6"/>
    <w:rsid w:val="0063290A"/>
    <w:rsid w:val="00634961"/>
    <w:rsid w:val="00654865"/>
    <w:rsid w:val="00655D03"/>
    <w:rsid w:val="00664E48"/>
    <w:rsid w:val="00683388"/>
    <w:rsid w:val="00683F84"/>
    <w:rsid w:val="006A6A81"/>
    <w:rsid w:val="006D0B7D"/>
    <w:rsid w:val="006E4E7A"/>
    <w:rsid w:val="006F3A7E"/>
    <w:rsid w:val="006F7393"/>
    <w:rsid w:val="0070224F"/>
    <w:rsid w:val="0070540E"/>
    <w:rsid w:val="007115F7"/>
    <w:rsid w:val="007142C8"/>
    <w:rsid w:val="00726DB2"/>
    <w:rsid w:val="007429B5"/>
    <w:rsid w:val="007803C4"/>
    <w:rsid w:val="00785689"/>
    <w:rsid w:val="0079754B"/>
    <w:rsid w:val="007A1E6D"/>
    <w:rsid w:val="007B0EB2"/>
    <w:rsid w:val="007B6CD0"/>
    <w:rsid w:val="007F05C0"/>
    <w:rsid w:val="007F3F38"/>
    <w:rsid w:val="00810B6F"/>
    <w:rsid w:val="008140E5"/>
    <w:rsid w:val="00822CE0"/>
    <w:rsid w:val="00841AB1"/>
    <w:rsid w:val="00846C00"/>
    <w:rsid w:val="00875BF8"/>
    <w:rsid w:val="008830CA"/>
    <w:rsid w:val="008C3252"/>
    <w:rsid w:val="008C68F1"/>
    <w:rsid w:val="008D59A7"/>
    <w:rsid w:val="008E5ACF"/>
    <w:rsid w:val="008E6685"/>
    <w:rsid w:val="008F3DD5"/>
    <w:rsid w:val="00907065"/>
    <w:rsid w:val="00917B65"/>
    <w:rsid w:val="00921803"/>
    <w:rsid w:val="00926503"/>
    <w:rsid w:val="00967051"/>
    <w:rsid w:val="00970955"/>
    <w:rsid w:val="009716A2"/>
    <w:rsid w:val="009726D8"/>
    <w:rsid w:val="009735AC"/>
    <w:rsid w:val="009A24B5"/>
    <w:rsid w:val="009C1A0B"/>
    <w:rsid w:val="009C3842"/>
    <w:rsid w:val="009D061D"/>
    <w:rsid w:val="009D0EBF"/>
    <w:rsid w:val="009E7854"/>
    <w:rsid w:val="009F76DB"/>
    <w:rsid w:val="00A32C3B"/>
    <w:rsid w:val="00A45F4F"/>
    <w:rsid w:val="00A600A9"/>
    <w:rsid w:val="00AA2510"/>
    <w:rsid w:val="00AA55B7"/>
    <w:rsid w:val="00AA5B9E"/>
    <w:rsid w:val="00AB2407"/>
    <w:rsid w:val="00AB53DF"/>
    <w:rsid w:val="00AE7E47"/>
    <w:rsid w:val="00AF6906"/>
    <w:rsid w:val="00B07E5C"/>
    <w:rsid w:val="00B16AA0"/>
    <w:rsid w:val="00B26BAF"/>
    <w:rsid w:val="00B35BFF"/>
    <w:rsid w:val="00B67791"/>
    <w:rsid w:val="00B811F7"/>
    <w:rsid w:val="00BA4045"/>
    <w:rsid w:val="00BA5DC6"/>
    <w:rsid w:val="00BA6196"/>
    <w:rsid w:val="00BA7DDB"/>
    <w:rsid w:val="00BB2939"/>
    <w:rsid w:val="00BC6D8C"/>
    <w:rsid w:val="00BE3005"/>
    <w:rsid w:val="00C02A9D"/>
    <w:rsid w:val="00C15EC1"/>
    <w:rsid w:val="00C31E14"/>
    <w:rsid w:val="00C34006"/>
    <w:rsid w:val="00C42136"/>
    <w:rsid w:val="00C426B1"/>
    <w:rsid w:val="00C5152F"/>
    <w:rsid w:val="00C5335D"/>
    <w:rsid w:val="00C544AF"/>
    <w:rsid w:val="00C55227"/>
    <w:rsid w:val="00C66160"/>
    <w:rsid w:val="00C721AC"/>
    <w:rsid w:val="00C747C8"/>
    <w:rsid w:val="00C90D6A"/>
    <w:rsid w:val="00CA247E"/>
    <w:rsid w:val="00CB6431"/>
    <w:rsid w:val="00CB7E60"/>
    <w:rsid w:val="00CC72B6"/>
    <w:rsid w:val="00CD2F36"/>
    <w:rsid w:val="00CD5EC9"/>
    <w:rsid w:val="00D01A7A"/>
    <w:rsid w:val="00D0218D"/>
    <w:rsid w:val="00D20A80"/>
    <w:rsid w:val="00D25FB5"/>
    <w:rsid w:val="00D27F0D"/>
    <w:rsid w:val="00D339D5"/>
    <w:rsid w:val="00D44223"/>
    <w:rsid w:val="00D5535E"/>
    <w:rsid w:val="00D7272C"/>
    <w:rsid w:val="00D77559"/>
    <w:rsid w:val="00D93712"/>
    <w:rsid w:val="00DA2529"/>
    <w:rsid w:val="00DB130A"/>
    <w:rsid w:val="00DB2EBB"/>
    <w:rsid w:val="00DC0734"/>
    <w:rsid w:val="00DC10A1"/>
    <w:rsid w:val="00DC655F"/>
    <w:rsid w:val="00DC6E20"/>
    <w:rsid w:val="00DD0B59"/>
    <w:rsid w:val="00DD7EBD"/>
    <w:rsid w:val="00DE1F74"/>
    <w:rsid w:val="00DF3504"/>
    <w:rsid w:val="00DF62B6"/>
    <w:rsid w:val="00E05FCE"/>
    <w:rsid w:val="00E07225"/>
    <w:rsid w:val="00E1219D"/>
    <w:rsid w:val="00E13063"/>
    <w:rsid w:val="00E3037A"/>
    <w:rsid w:val="00E5409F"/>
    <w:rsid w:val="00E7010E"/>
    <w:rsid w:val="00E87699"/>
    <w:rsid w:val="00EB00F3"/>
    <w:rsid w:val="00ED2F77"/>
    <w:rsid w:val="00EE6488"/>
    <w:rsid w:val="00F00FE0"/>
    <w:rsid w:val="00F021FA"/>
    <w:rsid w:val="00F04E8A"/>
    <w:rsid w:val="00F17AF4"/>
    <w:rsid w:val="00F46204"/>
    <w:rsid w:val="00F541AF"/>
    <w:rsid w:val="00F61A9C"/>
    <w:rsid w:val="00F62E97"/>
    <w:rsid w:val="00F63D0A"/>
    <w:rsid w:val="00F64209"/>
    <w:rsid w:val="00F67282"/>
    <w:rsid w:val="00F93BF5"/>
    <w:rsid w:val="00FA2219"/>
    <w:rsid w:val="00FC5CD0"/>
    <w:rsid w:val="00FE2D8D"/>
    <w:rsid w:val="00FF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pPr>
      <w:numPr>
        <w:numId w:val="7"/>
      </w:numPr>
    </w:pPr>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F3A7E"/>
    <w:rPr>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
    <w:link w:val="FootnoteText"/>
    <w:rsid w:val="006F3A7E"/>
  </w:style>
  <w:style w:type="paragraph" w:styleId="ListParagraph">
    <w:name w:val="List Paragraph"/>
    <w:basedOn w:val="Normal"/>
    <w:uiPriority w:val="34"/>
    <w:qFormat/>
    <w:rsid w:val="00E1219D"/>
    <w:pPr>
      <w:widowControl/>
      <w:ind w:left="720"/>
      <w:contextualSpacing/>
    </w:pPr>
    <w:rPr>
      <w:snapToGrid/>
      <w:kern w:val="0"/>
    </w:rPr>
  </w:style>
  <w:style w:type="paragraph" w:styleId="BalloonText">
    <w:name w:val="Balloon Text"/>
    <w:basedOn w:val="Normal"/>
    <w:link w:val="BalloonTextChar"/>
    <w:rsid w:val="00C15EC1"/>
    <w:rPr>
      <w:rFonts w:ascii="Tahoma" w:hAnsi="Tahoma" w:cs="Tahoma"/>
      <w:sz w:val="16"/>
      <w:szCs w:val="16"/>
    </w:rPr>
  </w:style>
  <w:style w:type="character" w:customStyle="1" w:styleId="BalloonTextChar">
    <w:name w:val="Balloon Text Char"/>
    <w:link w:val="BalloonText"/>
    <w:rsid w:val="00C15EC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pPr>
      <w:numPr>
        <w:numId w:val="7"/>
      </w:numPr>
    </w:pPr>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F3A7E"/>
    <w:rPr>
      <w:snapToGrid w:val="0"/>
      <w:kern w:val="28"/>
      <w:sz w:val="22"/>
    </w:rPr>
  </w:style>
  <w:style w:type="character" w:customStyle="1" w:styleId="FootnoteTextChar">
    <w:name w:val="Footnote Text Char"/>
    <w:aliases w:val="Footnote Text Char1 Char,Footnote Text Char Char Char,Footnote Text Char1 Char Char Char,Footnote Text Char Char Char Char Char"/>
    <w:link w:val="FootnoteText"/>
    <w:rsid w:val="006F3A7E"/>
  </w:style>
  <w:style w:type="paragraph" w:styleId="ListParagraph">
    <w:name w:val="List Paragraph"/>
    <w:basedOn w:val="Normal"/>
    <w:uiPriority w:val="34"/>
    <w:qFormat/>
    <w:rsid w:val="00E1219D"/>
    <w:pPr>
      <w:widowControl/>
      <w:ind w:left="720"/>
      <w:contextualSpacing/>
    </w:pPr>
    <w:rPr>
      <w:snapToGrid/>
      <w:kern w:val="0"/>
    </w:rPr>
  </w:style>
  <w:style w:type="paragraph" w:styleId="BalloonText">
    <w:name w:val="Balloon Text"/>
    <w:basedOn w:val="Normal"/>
    <w:link w:val="BalloonTextChar"/>
    <w:rsid w:val="00C15EC1"/>
    <w:rPr>
      <w:rFonts w:ascii="Tahoma" w:hAnsi="Tahoma" w:cs="Tahoma"/>
      <w:sz w:val="16"/>
      <w:szCs w:val="16"/>
    </w:rPr>
  </w:style>
  <w:style w:type="character" w:customStyle="1" w:styleId="BalloonTextChar">
    <w:name w:val="Balloon Text Char"/>
    <w:link w:val="BalloonText"/>
    <w:rsid w:val="00C15EC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6767</Characters>
  <Application>Microsoft Office Word</Application>
  <DocSecurity>0</DocSecurity>
  <Lines>116</Lines>
  <Paragraphs>28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8020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2014-07-07T13:27:00Z</cp:lastPrinted>
  <dcterms:created xsi:type="dcterms:W3CDTF">2014-07-07T13:35:00Z</dcterms:created>
  <dcterms:modified xsi:type="dcterms:W3CDTF">2014-07-07T13:35:00Z</dcterms:modified>
  <cp:category> </cp:category>
  <cp:contentStatus> </cp:contentStatus>
</cp:coreProperties>
</file>