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F1F" w:rsidRDefault="00915F1F">
      <w:pPr>
        <w:jc w:val="center"/>
        <w:rPr>
          <w:b/>
        </w:rPr>
      </w:pPr>
      <w:bookmarkStart w:id="0" w:name="_GoBack"/>
      <w:bookmarkEnd w:id="0"/>
    </w:p>
    <w:p w:rsidR="002577A0" w:rsidRDefault="002577A0">
      <w:pPr>
        <w:jc w:val="center"/>
        <w:rPr>
          <w:b/>
        </w:rPr>
      </w:pPr>
      <w:r>
        <w:rPr>
          <w:b/>
        </w:rPr>
        <w:t>Before the</w:t>
      </w:r>
    </w:p>
    <w:p w:rsidR="002577A0" w:rsidRDefault="002577A0">
      <w:pPr>
        <w:jc w:val="center"/>
        <w:rPr>
          <w:b/>
        </w:rPr>
      </w:pPr>
      <w:r>
        <w:rPr>
          <w:b/>
        </w:rPr>
        <w:t>Federal Communications Commission</w:t>
      </w:r>
    </w:p>
    <w:p w:rsidR="002577A0" w:rsidRDefault="002577A0">
      <w:pPr>
        <w:jc w:val="center"/>
        <w:rPr>
          <w:b/>
        </w:rPr>
      </w:pPr>
      <w:r>
        <w:rPr>
          <w:b/>
        </w:rPr>
        <w:t>Washington, DC 20554</w:t>
      </w:r>
    </w:p>
    <w:p w:rsidR="002577A0" w:rsidRDefault="002577A0"/>
    <w:p w:rsidR="002577A0" w:rsidRDefault="002577A0"/>
    <w:tbl>
      <w:tblPr>
        <w:tblW w:w="0" w:type="auto"/>
        <w:tblLayout w:type="fixed"/>
        <w:tblLook w:val="0000" w:firstRow="0" w:lastRow="0" w:firstColumn="0" w:lastColumn="0" w:noHBand="0" w:noVBand="0"/>
      </w:tblPr>
      <w:tblGrid>
        <w:gridCol w:w="4698"/>
        <w:gridCol w:w="720"/>
        <w:gridCol w:w="4230"/>
      </w:tblGrid>
      <w:tr w:rsidR="002577A0">
        <w:tc>
          <w:tcPr>
            <w:tcW w:w="4698" w:type="dxa"/>
          </w:tcPr>
          <w:p w:rsidR="002577A0" w:rsidRDefault="002577A0">
            <w:pPr>
              <w:ind w:right="-18"/>
            </w:pPr>
            <w:r>
              <w:t>In the Matter of</w:t>
            </w:r>
          </w:p>
          <w:p w:rsidR="002577A0" w:rsidRDefault="002577A0">
            <w:pPr>
              <w:ind w:right="-18"/>
            </w:pPr>
          </w:p>
          <w:p w:rsidR="002577A0" w:rsidRDefault="002C7F54" w:rsidP="00714671">
            <w:pPr>
              <w:rPr>
                <w:szCs w:val="24"/>
              </w:rPr>
            </w:pPr>
            <w:r>
              <w:t>CallingPost Communications, Inc.</w:t>
            </w:r>
          </w:p>
          <w:p w:rsidR="002577A0" w:rsidRPr="00965B3B" w:rsidRDefault="002577A0" w:rsidP="00714671">
            <w:pPr>
              <w:rPr>
                <w:szCs w:val="24"/>
                <w:lang w:val="es-ES"/>
              </w:rPr>
            </w:pPr>
          </w:p>
          <w:p w:rsidR="002577A0" w:rsidRDefault="002577A0">
            <w:pPr>
              <w:ind w:right="-18"/>
              <w:rPr>
                <w:highlight w:val="yellow"/>
              </w:rPr>
            </w:pPr>
          </w:p>
          <w:p w:rsidR="002577A0" w:rsidRDefault="002577A0">
            <w:pPr>
              <w:ind w:right="-18"/>
            </w:pPr>
          </w:p>
        </w:tc>
        <w:tc>
          <w:tcPr>
            <w:tcW w:w="720" w:type="dxa"/>
          </w:tcPr>
          <w:p w:rsidR="002577A0" w:rsidRDefault="002577A0">
            <w:pPr>
              <w:rPr>
                <w:b/>
              </w:rPr>
            </w:pPr>
            <w:r>
              <w:rPr>
                <w:b/>
              </w:rPr>
              <w:t>)</w:t>
            </w:r>
          </w:p>
          <w:p w:rsidR="002577A0" w:rsidRDefault="002577A0">
            <w:pPr>
              <w:rPr>
                <w:b/>
              </w:rPr>
            </w:pPr>
            <w:r>
              <w:rPr>
                <w:b/>
              </w:rPr>
              <w:t>)</w:t>
            </w:r>
          </w:p>
          <w:p w:rsidR="002577A0" w:rsidRDefault="002577A0">
            <w:pPr>
              <w:rPr>
                <w:b/>
              </w:rPr>
            </w:pPr>
            <w:r>
              <w:rPr>
                <w:b/>
              </w:rPr>
              <w:t>)</w:t>
            </w:r>
          </w:p>
          <w:p w:rsidR="002577A0" w:rsidRDefault="002577A0">
            <w:pPr>
              <w:rPr>
                <w:b/>
              </w:rPr>
            </w:pPr>
            <w:r>
              <w:rPr>
                <w:b/>
              </w:rPr>
              <w:t>)</w:t>
            </w:r>
          </w:p>
          <w:p w:rsidR="002577A0" w:rsidRDefault="002577A0">
            <w:pPr>
              <w:rPr>
                <w:b/>
              </w:rPr>
            </w:pPr>
            <w:r>
              <w:rPr>
                <w:b/>
              </w:rPr>
              <w:t>)</w:t>
            </w:r>
          </w:p>
        </w:tc>
        <w:tc>
          <w:tcPr>
            <w:tcW w:w="4230" w:type="dxa"/>
          </w:tcPr>
          <w:p w:rsidR="00864874" w:rsidRDefault="00864874" w:rsidP="00864874">
            <w:pPr>
              <w:rPr>
                <w:spacing w:val="-2"/>
              </w:rPr>
            </w:pPr>
            <w:r>
              <w:t xml:space="preserve">File No.:  </w:t>
            </w:r>
            <w:r>
              <w:rPr>
                <w:color w:val="000000"/>
                <w:lang w:val="pt-BR"/>
              </w:rPr>
              <w:t>EB-TCD-</w:t>
            </w:r>
            <w:r w:rsidR="009139D3">
              <w:rPr>
                <w:color w:val="000000"/>
                <w:lang w:val="pt-BR"/>
              </w:rPr>
              <w:t>12-00005015</w:t>
            </w:r>
          </w:p>
          <w:p w:rsidR="002577A0" w:rsidRDefault="002577A0"/>
          <w:p w:rsidR="002577A0" w:rsidRPr="00A15D99" w:rsidRDefault="00864874">
            <w:pPr>
              <w:tabs>
                <w:tab w:val="left" w:pos="1995"/>
              </w:tabs>
              <w:rPr>
                <w:spacing w:val="-2"/>
              </w:rPr>
            </w:pPr>
            <w:r w:rsidRPr="00A15D99">
              <w:t xml:space="preserve">NAL/Acct. No.: </w:t>
            </w:r>
            <w:r w:rsidR="003E4DDD" w:rsidRPr="00A15D99">
              <w:t xml:space="preserve"> </w:t>
            </w:r>
            <w:r w:rsidR="00BC107B" w:rsidRPr="00BC107B">
              <w:t>201432170011</w:t>
            </w:r>
          </w:p>
          <w:p w:rsidR="002577A0" w:rsidRPr="0066528A" w:rsidRDefault="002577A0" w:rsidP="00864874">
            <w:pPr>
              <w:rPr>
                <w:highlight w:val="yellow"/>
              </w:rPr>
            </w:pPr>
          </w:p>
          <w:p w:rsidR="00864874" w:rsidRPr="00AE78E0" w:rsidRDefault="00864874" w:rsidP="00864874">
            <w:pPr>
              <w:rPr>
                <w:szCs w:val="22"/>
              </w:rPr>
            </w:pPr>
            <w:r w:rsidRPr="00AE78E0">
              <w:rPr>
                <w:szCs w:val="22"/>
              </w:rPr>
              <w:t xml:space="preserve">FRN: </w:t>
            </w:r>
            <w:r w:rsidR="003E4DDD" w:rsidRPr="00AE78E0">
              <w:rPr>
                <w:szCs w:val="22"/>
              </w:rPr>
              <w:t xml:space="preserve"> </w:t>
            </w:r>
            <w:r w:rsidR="00AE78E0" w:rsidRPr="00AE78E0">
              <w:rPr>
                <w:szCs w:val="22"/>
              </w:rPr>
              <w:t>0023782907</w:t>
            </w:r>
          </w:p>
        </w:tc>
      </w:tr>
    </w:tbl>
    <w:p w:rsidR="002577A0" w:rsidRDefault="00AB2084">
      <w:pPr>
        <w:spacing w:before="120"/>
        <w:jc w:val="center"/>
        <w:rPr>
          <w:b/>
          <w:spacing w:val="-2"/>
        </w:rPr>
      </w:pPr>
      <w:r>
        <w:rPr>
          <w:b/>
          <w:spacing w:val="-2"/>
        </w:rPr>
        <w:t>NOTICE OF APPARENT LIABILITY FOR FORFEITURE AND ORDER</w:t>
      </w:r>
    </w:p>
    <w:p w:rsidR="002577A0" w:rsidRDefault="002577A0"/>
    <w:p w:rsidR="002577A0" w:rsidRDefault="002577A0"/>
    <w:p w:rsidR="002577A0" w:rsidRDefault="002577A0">
      <w:pPr>
        <w:tabs>
          <w:tab w:val="left" w:pos="5760"/>
        </w:tabs>
        <w:rPr>
          <w:b/>
        </w:rPr>
      </w:pPr>
      <w:r w:rsidRPr="002D71E2">
        <w:rPr>
          <w:b/>
        </w:rPr>
        <w:t xml:space="preserve">Adopted:  </w:t>
      </w:r>
      <w:r w:rsidR="006C4FFA" w:rsidRPr="002D71E2">
        <w:rPr>
          <w:b/>
        </w:rPr>
        <w:t>July</w:t>
      </w:r>
      <w:r w:rsidR="005C48FC" w:rsidRPr="002D71E2">
        <w:rPr>
          <w:b/>
        </w:rPr>
        <w:t xml:space="preserve"> </w:t>
      </w:r>
      <w:r w:rsidR="002D71E2" w:rsidRPr="002D71E2">
        <w:rPr>
          <w:b/>
        </w:rPr>
        <w:t>11</w:t>
      </w:r>
      <w:r w:rsidR="005C48FC" w:rsidRPr="002D71E2">
        <w:rPr>
          <w:b/>
        </w:rPr>
        <w:t>, 2014</w:t>
      </w:r>
      <w:r w:rsidRPr="002D71E2">
        <w:rPr>
          <w:b/>
        </w:rPr>
        <w:tab/>
        <w:t xml:space="preserve">Released:  </w:t>
      </w:r>
      <w:r w:rsidR="006C4FFA" w:rsidRPr="002D71E2">
        <w:rPr>
          <w:b/>
        </w:rPr>
        <w:t xml:space="preserve">July </w:t>
      </w:r>
      <w:r w:rsidR="002D71E2" w:rsidRPr="002D71E2">
        <w:rPr>
          <w:b/>
        </w:rPr>
        <w:t>11</w:t>
      </w:r>
      <w:r w:rsidR="005C48FC" w:rsidRPr="002D71E2">
        <w:rPr>
          <w:b/>
        </w:rPr>
        <w:t>, 2014</w:t>
      </w:r>
    </w:p>
    <w:p w:rsidR="002577A0" w:rsidRDefault="002577A0">
      <w:pPr>
        <w:tabs>
          <w:tab w:val="left" w:pos="5760"/>
        </w:tabs>
        <w:rPr>
          <w:b/>
        </w:rPr>
      </w:pPr>
    </w:p>
    <w:p w:rsidR="002577A0" w:rsidRDefault="002577A0">
      <w:pPr>
        <w:tabs>
          <w:tab w:val="left" w:pos="5760"/>
        </w:tabs>
      </w:pPr>
      <w:r>
        <w:t xml:space="preserve">By the </w:t>
      </w:r>
      <w:r w:rsidR="00AE3749">
        <w:t xml:space="preserve">Acting </w:t>
      </w:r>
      <w:r w:rsidR="007B242B">
        <w:t xml:space="preserve">Chief, Enforcement </w:t>
      </w:r>
      <w:r w:rsidR="00AE3749">
        <w:t>Bureau</w:t>
      </w:r>
      <w:r>
        <w:rPr>
          <w:spacing w:val="-2"/>
        </w:rPr>
        <w:t>:</w:t>
      </w:r>
    </w:p>
    <w:p w:rsidR="002577A0" w:rsidRDefault="002577A0">
      <w:pPr>
        <w:rPr>
          <w:color w:val="000000"/>
          <w:lang w:val="es-ES"/>
        </w:rPr>
      </w:pPr>
    </w:p>
    <w:p w:rsidR="002577A0" w:rsidRDefault="002577A0" w:rsidP="003A03A9">
      <w:pPr>
        <w:pStyle w:val="Heading1"/>
        <w:spacing w:after="220"/>
      </w:pPr>
      <w:r>
        <w:t>INTRODUCTION</w:t>
      </w:r>
    </w:p>
    <w:p w:rsidR="00B723D6" w:rsidRDefault="00B723D6" w:rsidP="005E41A6">
      <w:pPr>
        <w:pStyle w:val="ParaNum"/>
      </w:pPr>
      <w:r>
        <w:t>We propose a penalty of $</w:t>
      </w:r>
      <w:r w:rsidR="00070241">
        <w:t>25,000</w:t>
      </w:r>
      <w:r>
        <w:t xml:space="preserve"> against CallingPost Communications, Inc. (CallingPost or Company) for </w:t>
      </w:r>
      <w:r w:rsidR="00BA4065">
        <w:t xml:space="preserve">obstruction of an Enforcement Bureau (Bureau) investigation into the Company’s compliance with the Communications Act and our rules relating to </w:t>
      </w:r>
      <w:r w:rsidR="000D16DA">
        <w:t xml:space="preserve">the </w:t>
      </w:r>
      <w:r w:rsidR="00A3113A">
        <w:t xml:space="preserve">practice of </w:t>
      </w:r>
      <w:r w:rsidR="00024F57">
        <w:t>making calls using artificial or prerecorded voice messages—“robocalling.”</w:t>
      </w:r>
      <w:r w:rsidR="00BA4065">
        <w:t xml:space="preserve">  </w:t>
      </w:r>
      <w:r w:rsidR="00BA4065" w:rsidRPr="00D32722">
        <w:t xml:space="preserve">Robocalls </w:t>
      </w:r>
      <w:r w:rsidR="00A3113A">
        <w:t xml:space="preserve">may be </w:t>
      </w:r>
      <w:r w:rsidR="00BA4065" w:rsidRPr="00D32722">
        <w:t xml:space="preserve">made to consumers’ cell phones </w:t>
      </w:r>
      <w:r w:rsidR="000D16DA">
        <w:t xml:space="preserve">only if </w:t>
      </w:r>
      <w:r w:rsidR="00A3113A">
        <w:t xml:space="preserve">the consumer has consented or during </w:t>
      </w:r>
      <w:r w:rsidR="00BA4065">
        <w:t>an</w:t>
      </w:r>
      <w:r w:rsidR="00BA4065" w:rsidRPr="00D32722">
        <w:t xml:space="preserve"> emergency</w:t>
      </w:r>
      <w:r w:rsidR="00A3113A">
        <w:t xml:space="preserve">—all other robocalls </w:t>
      </w:r>
      <w:r w:rsidR="00D709F5">
        <w:t xml:space="preserve">to cell phones </w:t>
      </w:r>
      <w:r w:rsidR="00A3113A">
        <w:t>are illegal</w:t>
      </w:r>
      <w:r w:rsidR="00BA4065" w:rsidRPr="00D32722">
        <w:t xml:space="preserve">.  </w:t>
      </w:r>
      <w:r w:rsidR="00BA4065">
        <w:t xml:space="preserve">Congress has authorized the </w:t>
      </w:r>
      <w:r w:rsidR="00E34821">
        <w:t xml:space="preserve">Federal Communications </w:t>
      </w:r>
      <w:r w:rsidR="00BA4065">
        <w:t xml:space="preserve">Commission to </w:t>
      </w:r>
      <w:r w:rsidR="00DC06C6">
        <w:t xml:space="preserve">investigate </w:t>
      </w:r>
      <w:r w:rsidR="00A3113A">
        <w:t xml:space="preserve">illegal robocalls </w:t>
      </w:r>
      <w:r w:rsidR="00DC06C6">
        <w:t>and</w:t>
      </w:r>
      <w:r w:rsidR="00A3113A">
        <w:t>, whe</w:t>
      </w:r>
      <w:r w:rsidR="000D16DA">
        <w:t>n</w:t>
      </w:r>
      <w:r w:rsidR="00A3113A">
        <w:t xml:space="preserve"> we find violations, to</w:t>
      </w:r>
      <w:r w:rsidR="00DC06C6">
        <w:t xml:space="preserve"> </w:t>
      </w:r>
      <w:r w:rsidR="00BA4065">
        <w:t>enforce the</w:t>
      </w:r>
      <w:r w:rsidR="00DC06C6">
        <w:t xml:space="preserve">se consumer protection laws.  </w:t>
      </w:r>
      <w:r w:rsidR="008B7119">
        <w:t>The Bureau is investigating CallingPost’s compliance</w:t>
      </w:r>
      <w:r w:rsidR="00DC06C6">
        <w:t xml:space="preserve"> </w:t>
      </w:r>
      <w:r w:rsidR="00A3113A">
        <w:t>with robocalling rules</w:t>
      </w:r>
      <w:r w:rsidR="00DC4400">
        <w:t>,</w:t>
      </w:r>
      <w:r w:rsidR="00A3113A">
        <w:t xml:space="preserve"> </w:t>
      </w:r>
      <w:r w:rsidR="00DC4400">
        <w:t xml:space="preserve">yet </w:t>
      </w:r>
      <w:r w:rsidR="00D05054">
        <w:t xml:space="preserve">the Company </w:t>
      </w:r>
      <w:r w:rsidR="008B7119">
        <w:t xml:space="preserve">has repeatedly failed to answer </w:t>
      </w:r>
      <w:r w:rsidR="00D709F5">
        <w:t xml:space="preserve">the Bureau’s </w:t>
      </w:r>
      <w:r w:rsidR="008B7119">
        <w:t xml:space="preserve">questions </w:t>
      </w:r>
      <w:r w:rsidR="00D709F5">
        <w:t xml:space="preserve">and </w:t>
      </w:r>
      <w:r w:rsidR="000D16DA">
        <w:t>to</w:t>
      </w:r>
      <w:r w:rsidR="008B7119">
        <w:t xml:space="preserve"> produce documents.  We will not tolerate attempts by CallingPost or any other company to evade or ignore our </w:t>
      </w:r>
      <w:r w:rsidR="000D16DA">
        <w:t>lawful inquiries</w:t>
      </w:r>
      <w:r w:rsidR="008B7119">
        <w:t xml:space="preserve">—particularly questions related to compliance with laws that protect consumers from harm.    </w:t>
      </w:r>
    </w:p>
    <w:p w:rsidR="006F6A64" w:rsidRDefault="006F6A64">
      <w:pPr>
        <w:pStyle w:val="Heading1"/>
        <w:spacing w:after="220"/>
      </w:pPr>
      <w:r>
        <w:t>Background</w:t>
      </w:r>
    </w:p>
    <w:p w:rsidR="009F5FA4" w:rsidRDefault="009F5FA4" w:rsidP="00024F57">
      <w:pPr>
        <w:pStyle w:val="ParaNum"/>
        <w:tabs>
          <w:tab w:val="clear" w:pos="1440"/>
          <w:tab w:val="left" w:pos="1449"/>
        </w:tabs>
      </w:pPr>
      <w:r>
        <w:t>CallingPost offers robocalling</w:t>
      </w:r>
      <w:r w:rsidRPr="008B1BBC">
        <w:t xml:space="preserve"> service</w:t>
      </w:r>
      <w:r>
        <w:t>s to various third-party clients.  CallingPost’s clients pay</w:t>
      </w:r>
      <w:r w:rsidRPr="008B1BBC">
        <w:t xml:space="preserve"> the Company to make artificial or prerecorded voice calls </w:t>
      </w:r>
      <w:r>
        <w:t xml:space="preserve">and automated SMS text messages </w:t>
      </w:r>
      <w:r w:rsidRPr="008B1BBC">
        <w:t>to telephone numbers of the clients’ choosing.</w:t>
      </w:r>
      <w:r>
        <w:rPr>
          <w:rStyle w:val="FootnoteReference"/>
          <w:kern w:val="2"/>
        </w:rPr>
        <w:footnoteReference w:id="1"/>
      </w:r>
      <w:r>
        <w:t xml:space="preserve">  The Company boasts that “</w:t>
      </w:r>
      <w:r w:rsidR="00020C71">
        <w:rPr>
          <w:kern w:val="2"/>
        </w:rPr>
        <w:t>[s]</w:t>
      </w:r>
      <w:r w:rsidRPr="009F5FA4">
        <w:rPr>
          <w:kern w:val="2"/>
        </w:rPr>
        <w:t>ince 1995, CallingPost has facilitated the delivery of more than 1 billion messages for thousands of customers throughout the United States, Canada, and Puerto Rico.</w:t>
      </w:r>
      <w:r w:rsidR="00020C71">
        <w:rPr>
          <w:kern w:val="2"/>
        </w:rPr>
        <w:t>”</w:t>
      </w:r>
      <w:r w:rsidR="00020C71">
        <w:rPr>
          <w:rStyle w:val="FootnoteReference"/>
          <w:kern w:val="2"/>
        </w:rPr>
        <w:footnoteReference w:id="2"/>
      </w:r>
      <w:r w:rsidR="00020C71">
        <w:rPr>
          <w:kern w:val="2"/>
        </w:rPr>
        <w:t xml:space="preserve">  </w:t>
      </w:r>
    </w:p>
    <w:p w:rsidR="004D1B7E" w:rsidRDefault="00024F57" w:rsidP="00B34F8E">
      <w:pPr>
        <w:pStyle w:val="ParaNum"/>
      </w:pPr>
      <w:r w:rsidRPr="00A21EBD">
        <w:t>On February 8, 2013</w:t>
      </w:r>
      <w:r>
        <w:t>,</w:t>
      </w:r>
      <w:r w:rsidR="00B34F8E">
        <w:t xml:space="preserve"> t</w:t>
      </w:r>
      <w:r w:rsidR="006F6A64">
        <w:t xml:space="preserve">he </w:t>
      </w:r>
      <w:r w:rsidR="003E1E2E">
        <w:t xml:space="preserve">Bureau’s </w:t>
      </w:r>
      <w:r w:rsidR="00B07E17">
        <w:t xml:space="preserve">Telecommunications Consumers </w:t>
      </w:r>
      <w:r w:rsidR="006F6A64">
        <w:t>Division</w:t>
      </w:r>
      <w:r w:rsidR="00B07E17">
        <w:t xml:space="preserve"> (Division)</w:t>
      </w:r>
      <w:r w:rsidR="006F6A64">
        <w:t xml:space="preserve"> </w:t>
      </w:r>
      <w:r w:rsidR="004D1B7E">
        <w:t>sent a</w:t>
      </w:r>
      <w:r w:rsidR="00B07E17">
        <w:t xml:space="preserve"> </w:t>
      </w:r>
      <w:r w:rsidR="00D6206A">
        <w:t>l</w:t>
      </w:r>
      <w:r w:rsidR="00B07E17">
        <w:t xml:space="preserve">etter of </w:t>
      </w:r>
      <w:r w:rsidR="00D6206A">
        <w:t>i</w:t>
      </w:r>
      <w:r w:rsidR="00B07E17">
        <w:t>nquiry</w:t>
      </w:r>
      <w:r w:rsidR="00D6206A">
        <w:t xml:space="preserve"> (LOI)</w:t>
      </w:r>
      <w:r>
        <w:rPr>
          <w:rStyle w:val="FootnoteReference"/>
        </w:rPr>
        <w:footnoteReference w:id="3"/>
      </w:r>
      <w:r w:rsidR="00B07E17">
        <w:t xml:space="preserve"> </w:t>
      </w:r>
      <w:r w:rsidR="004D1B7E">
        <w:t xml:space="preserve">to CallingPost </w:t>
      </w:r>
      <w:r w:rsidR="000D16DA">
        <w:t xml:space="preserve">to </w:t>
      </w:r>
      <w:r w:rsidR="004F3E2F">
        <w:t>investigate</w:t>
      </w:r>
      <w:r>
        <w:t xml:space="preserve"> whether the Company had violated federal laws and FCC regulations governing robocalls.</w:t>
      </w:r>
      <w:r w:rsidRPr="006F6A64">
        <w:rPr>
          <w:vertAlign w:val="superscript"/>
        </w:rPr>
        <w:footnoteReference w:id="4"/>
      </w:r>
      <w:r w:rsidR="004D1B7E">
        <w:t xml:space="preserve"> </w:t>
      </w:r>
      <w:r w:rsidR="000D16DA">
        <w:t xml:space="preserve"> </w:t>
      </w:r>
      <w:r w:rsidR="004D1B7E">
        <w:t xml:space="preserve">Tracking records show that the LOI was delivered via </w:t>
      </w:r>
      <w:r w:rsidR="004D1B7E">
        <w:lastRenderedPageBreak/>
        <w:t>certified mail to CallingPost at 11:08 AM EST on February 19, 2013.</w:t>
      </w:r>
      <w:r w:rsidR="004D1B7E">
        <w:rPr>
          <w:rStyle w:val="FootnoteReference"/>
        </w:rPr>
        <w:footnoteReference w:id="5"/>
      </w:r>
      <w:r w:rsidR="004D1B7E">
        <w:t xml:space="preserve">  </w:t>
      </w:r>
      <w:r w:rsidR="004D1B7E" w:rsidRPr="00920A16">
        <w:t xml:space="preserve">Phil Alexander, president of CallingPost, responded via </w:t>
      </w:r>
      <w:r w:rsidR="004D1B7E">
        <w:t>e-mail</w:t>
      </w:r>
      <w:r w:rsidR="004D1B7E" w:rsidRPr="00920A16">
        <w:t xml:space="preserve"> on February 25, 2013</w:t>
      </w:r>
      <w:r w:rsidR="004D1B7E">
        <w:t>,</w:t>
      </w:r>
      <w:r w:rsidR="004D1B7E" w:rsidRPr="00920A16">
        <w:t xml:space="preserve"> acknowledging that he had received the LOI.</w:t>
      </w:r>
      <w:r w:rsidR="004D1B7E" w:rsidRPr="00920A16">
        <w:rPr>
          <w:rStyle w:val="FootnoteReference"/>
        </w:rPr>
        <w:footnoteReference w:id="6"/>
      </w:r>
      <w:r w:rsidR="004D1B7E">
        <w:t xml:space="preserve">  </w:t>
      </w:r>
    </w:p>
    <w:p w:rsidR="004D1B7E" w:rsidRDefault="004D1B7E" w:rsidP="004D1B7E">
      <w:pPr>
        <w:pStyle w:val="ParaNum"/>
        <w:spacing w:after="220"/>
      </w:pPr>
      <w:r>
        <w:t xml:space="preserve">On February 27, 2013, </w:t>
      </w:r>
      <w:r w:rsidR="005E64EF" w:rsidRPr="00AE3749">
        <w:t>at the Company’s request,</w:t>
      </w:r>
      <w:r w:rsidR="005E64EF">
        <w:t xml:space="preserve"> </w:t>
      </w:r>
      <w:r>
        <w:t>the Division g</w:t>
      </w:r>
      <w:r w:rsidR="002F5505">
        <w:t xml:space="preserve">ranted CallingPost an </w:t>
      </w:r>
      <w:r>
        <w:t>extension of time in which to respond to the LOI.</w:t>
      </w:r>
      <w:r>
        <w:rPr>
          <w:rStyle w:val="FootnoteReference"/>
        </w:rPr>
        <w:footnoteReference w:id="7"/>
      </w:r>
      <w:r>
        <w:t xml:space="preserve">  CallingPost failed to respond to the LOI by the </w:t>
      </w:r>
      <w:r w:rsidR="00874095">
        <w:t xml:space="preserve">extended </w:t>
      </w:r>
      <w:r>
        <w:t>deadline.  Division staff called Mr. Alexander and followed up by e-mail</w:t>
      </w:r>
      <w:r w:rsidR="00874095">
        <w:t xml:space="preserve"> to</w:t>
      </w:r>
      <w:r>
        <w:t xml:space="preserve"> inquir</w:t>
      </w:r>
      <w:r w:rsidR="00874095">
        <w:t>e</w:t>
      </w:r>
      <w:r>
        <w:t xml:space="preserve"> about the status of the Company’s response.</w:t>
      </w:r>
      <w:r>
        <w:rPr>
          <w:rStyle w:val="FootnoteReference"/>
        </w:rPr>
        <w:footnoteReference w:id="8"/>
      </w:r>
      <w:r>
        <w:t xml:space="preserve">  On May 1, 2013, Mr. Alexander responded by e</w:t>
      </w:r>
      <w:r w:rsidR="000D16DA">
        <w:noBreakHyphen/>
      </w:r>
      <w:r>
        <w:t>mail, stating that he “feel[s] very badly that I have not been able to respond to [the FCC] but I have been absolutely swamped.”</w:t>
      </w:r>
      <w:r>
        <w:rPr>
          <w:rStyle w:val="FootnoteReference"/>
        </w:rPr>
        <w:footnoteReference w:id="9"/>
      </w:r>
      <w:r w:rsidR="00AE78E0">
        <w:t xml:space="preserve">  Division staff explained that the Company had an obligation to respond to the LOI and that the Division expected a response by June 1, 2013.</w:t>
      </w:r>
      <w:r w:rsidR="00AE78E0">
        <w:rPr>
          <w:rStyle w:val="FootnoteReference"/>
        </w:rPr>
        <w:footnoteReference w:id="10"/>
      </w:r>
      <w:r>
        <w:t xml:space="preserve">  On June 1, 2013, Mr. Alexander sent Division staff an e-mail confirming that CallingPost would not be responding by </w:t>
      </w:r>
      <w:r w:rsidR="00AE78E0">
        <w:t xml:space="preserve">the </w:t>
      </w:r>
      <w:r>
        <w:t>deadline.</w:t>
      </w:r>
      <w:r>
        <w:rPr>
          <w:rStyle w:val="FootnoteReference"/>
        </w:rPr>
        <w:footnoteReference w:id="11"/>
      </w:r>
    </w:p>
    <w:p w:rsidR="005C48FC" w:rsidRDefault="006F6A64" w:rsidP="00DD658D">
      <w:pPr>
        <w:pStyle w:val="ParaNum"/>
      </w:pPr>
      <w:r>
        <w:t xml:space="preserve">On </w:t>
      </w:r>
      <w:r w:rsidR="004D1B7E">
        <w:t>June 26</w:t>
      </w:r>
      <w:r>
        <w:t xml:space="preserve">, 2013, the Division issued a Citation </w:t>
      </w:r>
      <w:r w:rsidR="00DC4400">
        <w:t xml:space="preserve">to CallingPost </w:t>
      </w:r>
      <w:r>
        <w:t xml:space="preserve">for failure to comply with an FCC order and required the Company to take immediate steps to comply with the LOI by providing the </w:t>
      </w:r>
      <w:r w:rsidR="00B07E17">
        <w:t xml:space="preserve">requested </w:t>
      </w:r>
      <w:r>
        <w:t>information and documents.</w:t>
      </w:r>
      <w:r w:rsidRPr="008E5324">
        <w:rPr>
          <w:vertAlign w:val="superscript"/>
        </w:rPr>
        <w:footnoteReference w:id="12"/>
      </w:r>
      <w:r>
        <w:t xml:space="preserve"> </w:t>
      </w:r>
      <w:r w:rsidR="00696024">
        <w:t xml:space="preserve"> </w:t>
      </w:r>
      <w:r w:rsidR="00874095">
        <w:t>The Citation warned CallingPost that it is under a continuing obligation to respond to the LOI and that each day the Company fails to respond is a continuing violation, each day of which constitutes a separate violation for which enforcement action may be taken.</w:t>
      </w:r>
      <w:r w:rsidR="00874095">
        <w:rPr>
          <w:rStyle w:val="FootnoteReference"/>
        </w:rPr>
        <w:footnoteReference w:id="13"/>
      </w:r>
      <w:r w:rsidR="00874095">
        <w:t xml:space="preserve">  </w:t>
      </w:r>
      <w:r>
        <w:t xml:space="preserve">The Company was given </w:t>
      </w:r>
      <w:r w:rsidR="005C48FC">
        <w:t xml:space="preserve">until </w:t>
      </w:r>
      <w:r w:rsidR="004D1B7E">
        <w:t>July 26</w:t>
      </w:r>
      <w:r w:rsidR="005C48FC">
        <w:t>, 2013</w:t>
      </w:r>
      <w:r w:rsidR="00B07E17">
        <w:t>,</w:t>
      </w:r>
      <w:r>
        <w:t xml:space="preserve"> to respond to the Citation.</w:t>
      </w:r>
      <w:r w:rsidR="008E5324">
        <w:rPr>
          <w:rStyle w:val="FootnoteReference"/>
        </w:rPr>
        <w:footnoteReference w:id="14"/>
      </w:r>
    </w:p>
    <w:p w:rsidR="006F6A64" w:rsidRDefault="00954069" w:rsidP="00AE78E0">
      <w:pPr>
        <w:pStyle w:val="ParaNum"/>
        <w:keepNext/>
        <w:widowControl/>
      </w:pPr>
      <w:r>
        <w:t xml:space="preserve">On July 27, 2013, Mr. Alexander </w:t>
      </w:r>
      <w:r w:rsidR="009E18A2">
        <w:t xml:space="preserve">responded </w:t>
      </w:r>
      <w:r w:rsidR="002B1126">
        <w:t>to the Citation, stating that, a</w:t>
      </w:r>
      <w:r w:rsidR="009E18A2">
        <w:t xml:space="preserve">mong other things, </w:t>
      </w:r>
      <w:r>
        <w:t xml:space="preserve">an attorney the </w:t>
      </w:r>
      <w:r w:rsidR="00874095">
        <w:t>C</w:t>
      </w:r>
      <w:r>
        <w:t xml:space="preserve">ompany planned to work with could not help the </w:t>
      </w:r>
      <w:r w:rsidR="00874095">
        <w:t>C</w:t>
      </w:r>
      <w:r>
        <w:t>ompany due to a conflict of interest.</w:t>
      </w:r>
      <w:r>
        <w:rPr>
          <w:rStyle w:val="FootnoteReference"/>
        </w:rPr>
        <w:footnoteReference w:id="15"/>
      </w:r>
      <w:r w:rsidR="007C1457">
        <w:t xml:space="preserve">  Th</w:t>
      </w:r>
      <w:r w:rsidR="00874095">
        <w:t>e</w:t>
      </w:r>
      <w:r w:rsidR="002D1069">
        <w:t xml:space="preserve"> Company’s</w:t>
      </w:r>
      <w:r w:rsidR="007C1457">
        <w:t xml:space="preserve"> Citation Response </w:t>
      </w:r>
      <w:r w:rsidR="009E18A2">
        <w:t xml:space="preserve">also </w:t>
      </w:r>
      <w:r w:rsidR="007C1457">
        <w:t xml:space="preserve">asked for </w:t>
      </w:r>
      <w:r w:rsidR="009E18A2">
        <w:t xml:space="preserve">an </w:t>
      </w:r>
      <w:r w:rsidR="007C1457">
        <w:t>additional</w:t>
      </w:r>
      <w:r w:rsidR="009E18A2">
        <w:t xml:space="preserve"> thirty days</w:t>
      </w:r>
      <w:r w:rsidR="00B34F8E">
        <w:t xml:space="preserve"> “to speak with [the FCC] again on how we can provide the information . . . and work out a plan to obtain and provide it to </w:t>
      </w:r>
      <w:r w:rsidR="00B34F8E">
        <w:lastRenderedPageBreak/>
        <w:t>[the Commission].”</w:t>
      </w:r>
      <w:r w:rsidR="00B34F8E">
        <w:rPr>
          <w:rStyle w:val="FootnoteReference"/>
        </w:rPr>
        <w:footnoteReference w:id="16"/>
      </w:r>
      <w:r w:rsidR="00B34F8E">
        <w:t xml:space="preserve">  </w:t>
      </w:r>
      <w:r w:rsidR="00B13B02">
        <w:t>However, n</w:t>
      </w:r>
      <w:r w:rsidR="00B34F8E">
        <w:t>either Mr. Alexander nor any employee or representative of the Company ever contacted Division staff</w:t>
      </w:r>
      <w:r w:rsidR="00DD658D">
        <w:t xml:space="preserve"> </w:t>
      </w:r>
      <w:r w:rsidR="00B13B02">
        <w:t xml:space="preserve">again </w:t>
      </w:r>
      <w:r w:rsidR="00DD658D">
        <w:t>following the Citation Response</w:t>
      </w:r>
      <w:r w:rsidR="00B34F8E">
        <w:t xml:space="preserve">.  </w:t>
      </w:r>
      <w:r w:rsidR="006F6A64">
        <w:t xml:space="preserve">To date, </w:t>
      </w:r>
      <w:r w:rsidR="002C7F54">
        <w:t>CallingPost</w:t>
      </w:r>
      <w:r w:rsidR="004D1B7E">
        <w:t xml:space="preserve"> has never </w:t>
      </w:r>
      <w:r w:rsidR="00B21EFA">
        <w:t>answered the</w:t>
      </w:r>
      <w:r w:rsidR="00B34F8E">
        <w:t xml:space="preserve"> </w:t>
      </w:r>
      <w:r w:rsidR="00C0183F">
        <w:t xml:space="preserve">Bureau’s </w:t>
      </w:r>
      <w:r w:rsidR="00B34F8E">
        <w:t>question</w:t>
      </w:r>
      <w:r w:rsidR="00B21EFA">
        <w:t xml:space="preserve">s </w:t>
      </w:r>
      <w:r w:rsidR="00C0183F">
        <w:t>or</w:t>
      </w:r>
      <w:r w:rsidR="006F6A64">
        <w:t xml:space="preserve"> </w:t>
      </w:r>
      <w:r w:rsidR="00B34F8E">
        <w:t xml:space="preserve">produced </w:t>
      </w:r>
      <w:r w:rsidR="00B21EFA">
        <w:t>the</w:t>
      </w:r>
      <w:r w:rsidR="00B34F8E">
        <w:t xml:space="preserve"> document</w:t>
      </w:r>
      <w:r w:rsidR="00B21EFA">
        <w:t>s</w:t>
      </w:r>
      <w:r w:rsidR="00B34F8E">
        <w:t xml:space="preserve"> requested by the LOI</w:t>
      </w:r>
      <w:r w:rsidR="006F6A64">
        <w:t>.</w:t>
      </w:r>
    </w:p>
    <w:p w:rsidR="006F6A64" w:rsidRDefault="006F6A64" w:rsidP="00FB5A0F">
      <w:pPr>
        <w:pStyle w:val="Heading1"/>
        <w:numPr>
          <w:ilvl w:val="0"/>
          <w:numId w:val="18"/>
        </w:numPr>
        <w:spacing w:after="220"/>
      </w:pPr>
      <w:r>
        <w:t>DISCUSSION</w:t>
      </w:r>
    </w:p>
    <w:p w:rsidR="006F6A64" w:rsidRPr="00A03D92" w:rsidRDefault="006F6A64" w:rsidP="00FB5A0F">
      <w:pPr>
        <w:pStyle w:val="ParaNum"/>
        <w:keepNext/>
        <w:numPr>
          <w:ilvl w:val="1"/>
          <w:numId w:val="18"/>
        </w:numPr>
        <w:spacing w:after="220"/>
        <w:rPr>
          <w:b/>
        </w:rPr>
      </w:pPr>
      <w:r>
        <w:rPr>
          <w:b/>
        </w:rPr>
        <w:t>Failure to Respond to the LOI</w:t>
      </w:r>
    </w:p>
    <w:p w:rsidR="00FB5A0F" w:rsidRDefault="00B34F8E" w:rsidP="00C0183F">
      <w:pPr>
        <w:pStyle w:val="ParaNum"/>
      </w:pPr>
      <w:r>
        <w:t xml:space="preserve">Section 503(b)(1) of the </w:t>
      </w:r>
      <w:r w:rsidR="00CA7C34">
        <w:t xml:space="preserve">Communications </w:t>
      </w:r>
      <w:r>
        <w:t>Act</w:t>
      </w:r>
      <w:r w:rsidR="00CA7C34">
        <w:t xml:space="preserve"> of 1934, as amended (Act),</w:t>
      </w:r>
      <w:r>
        <w:t xml:space="preserve"> states that </w:t>
      </w:r>
      <w:r w:rsidR="006F6A64">
        <w:t>any person who is determined by the Commission to have willfully or repeatedly failed to comply with any provision of the Act or any rule, regulation, or order issued by the Commission shall be liable to the United States for a forfeiture penalty.</w:t>
      </w:r>
      <w:r w:rsidR="006F6A64" w:rsidRPr="008E5324">
        <w:rPr>
          <w:vertAlign w:val="superscript"/>
        </w:rPr>
        <w:footnoteReference w:id="17"/>
      </w:r>
      <w:r w:rsidR="00C0183F">
        <w:t xml:space="preserve">  </w:t>
      </w:r>
      <w:r w:rsidR="006F6A64">
        <w:t>It is well established that a failure to respond to a</w:t>
      </w:r>
      <w:r w:rsidR="0091305B">
        <w:t xml:space="preserve"> letter of inquiry</w:t>
      </w:r>
      <w:r w:rsidR="006F6A64">
        <w:t xml:space="preserve"> from the Bureau constitutes a violation of a Commission order.</w:t>
      </w:r>
      <w:r w:rsidR="006F6A64" w:rsidRPr="008E5324">
        <w:rPr>
          <w:vertAlign w:val="superscript"/>
        </w:rPr>
        <w:footnoteReference w:id="18"/>
      </w:r>
      <w:r w:rsidR="006F6A64" w:rsidRPr="00C0183F">
        <w:rPr>
          <w:vertAlign w:val="superscript"/>
        </w:rPr>
        <w:t xml:space="preserve"> </w:t>
      </w:r>
      <w:r w:rsidR="006F6A64">
        <w:t xml:space="preserve"> The LOI directed </w:t>
      </w:r>
      <w:r w:rsidR="002C7F54">
        <w:t>CallingPost</w:t>
      </w:r>
      <w:r w:rsidR="006F6A64">
        <w:t xml:space="preserve"> to provide certain information related to </w:t>
      </w:r>
      <w:r w:rsidR="00545BFF">
        <w:t xml:space="preserve">its </w:t>
      </w:r>
      <w:r w:rsidR="006F6A64">
        <w:t xml:space="preserve">use of automatic dialing equipment and the Company’s compliance with federal Do-Not-Call regulations.  This information is necessary to enable the Bureau to perform its investigatory function.  </w:t>
      </w:r>
      <w:r w:rsidR="00FB5A0F">
        <w:t xml:space="preserve">Despite attempts by Division staff to discuss and rectify the matter, </w:t>
      </w:r>
      <w:r w:rsidR="002C7F54">
        <w:t>CallingPost</w:t>
      </w:r>
      <w:r w:rsidR="006F6A64">
        <w:t xml:space="preserve"> has not provided any </w:t>
      </w:r>
      <w:r w:rsidR="00FB5A0F">
        <w:t xml:space="preserve">valid </w:t>
      </w:r>
      <w:r w:rsidR="006F6A64">
        <w:t xml:space="preserve">explanation for </w:t>
      </w:r>
      <w:r w:rsidR="006B5D44">
        <w:t>its</w:t>
      </w:r>
      <w:r w:rsidR="006F6A64">
        <w:t xml:space="preserve"> </w:t>
      </w:r>
      <w:r w:rsidR="00FB5A0F">
        <w:t xml:space="preserve">repeated </w:t>
      </w:r>
      <w:r w:rsidR="006F6A64">
        <w:t>failure</w:t>
      </w:r>
      <w:r w:rsidR="00FB5A0F">
        <w:t>s</w:t>
      </w:r>
      <w:r w:rsidR="006F6A64">
        <w:t xml:space="preserve"> to provide the reques</w:t>
      </w:r>
      <w:r w:rsidR="00B21EFA">
        <w:t>ted information</w:t>
      </w:r>
      <w:r w:rsidR="00545BFF">
        <w:t xml:space="preserve">.  </w:t>
      </w:r>
      <w:r w:rsidR="0091305B">
        <w:t>Neither t</w:t>
      </w:r>
      <w:r w:rsidR="00545BFF">
        <w:t xml:space="preserve">he Company’s </w:t>
      </w:r>
      <w:r w:rsidR="00FB5A0F">
        <w:t>failure to timely obtain legal counsel</w:t>
      </w:r>
      <w:r w:rsidR="007C1457">
        <w:t xml:space="preserve"> </w:t>
      </w:r>
      <w:r w:rsidR="0091305B">
        <w:t>n</w:t>
      </w:r>
      <w:r w:rsidR="00545BFF">
        <w:t xml:space="preserve">or its </w:t>
      </w:r>
      <w:r w:rsidR="00445013">
        <w:t xml:space="preserve">president’s </w:t>
      </w:r>
      <w:r w:rsidR="0018478E">
        <w:t>excuse</w:t>
      </w:r>
      <w:r w:rsidR="00445013">
        <w:t>s</w:t>
      </w:r>
      <w:r w:rsidR="0018478E">
        <w:t xml:space="preserve"> relieve </w:t>
      </w:r>
      <w:r w:rsidR="00545BFF">
        <w:t>it</w:t>
      </w:r>
      <w:r w:rsidR="0018478E">
        <w:t xml:space="preserve"> of its </w:t>
      </w:r>
      <w:r w:rsidR="007C1457">
        <w:t xml:space="preserve">obligation to comply with </w:t>
      </w:r>
      <w:r w:rsidR="0018478E">
        <w:t>a lawfully issued order of the Commission.</w:t>
      </w:r>
      <w:r w:rsidR="0018478E">
        <w:rPr>
          <w:rStyle w:val="FootnoteReference"/>
        </w:rPr>
        <w:footnoteReference w:id="19"/>
      </w:r>
      <w:r w:rsidR="00E3364F">
        <w:t xml:space="preserve">   </w:t>
      </w:r>
    </w:p>
    <w:p w:rsidR="006F6A64" w:rsidRDefault="00FB5A0F" w:rsidP="005E41A6">
      <w:pPr>
        <w:pStyle w:val="ParaNum"/>
      </w:pPr>
      <w:r>
        <w:t>Moreover, t</w:t>
      </w:r>
      <w:r w:rsidR="00B54455">
        <w:t xml:space="preserve">he Citation </w:t>
      </w:r>
      <w:r w:rsidR="00613BCB">
        <w:t xml:space="preserve">provided actual notice to CallingPost that its failure to respond </w:t>
      </w:r>
      <w:r w:rsidR="00CA7C34">
        <w:t xml:space="preserve">to the LOI </w:t>
      </w:r>
      <w:r w:rsidR="00613BCB">
        <w:t>was an actionable violation of a valid Commission order and gave the Company an opportunity to take corrective action without penalty.</w:t>
      </w:r>
      <w:r w:rsidR="00613BCB">
        <w:rPr>
          <w:rStyle w:val="FootnoteReference"/>
        </w:rPr>
        <w:footnoteReference w:id="20"/>
      </w:r>
      <w:r w:rsidR="00613BCB">
        <w:t xml:space="preserve">  The </w:t>
      </w:r>
      <w:r w:rsidR="00E426D6">
        <w:t>C</w:t>
      </w:r>
      <w:r w:rsidR="00613BCB">
        <w:t>itation also warned CallingPost that if it continued to ignore its obligation to respond</w:t>
      </w:r>
      <w:r w:rsidR="00CA7C34">
        <w:t>, then</w:t>
      </w:r>
      <w:r w:rsidR="00613BCB">
        <w:t xml:space="preserve"> </w:t>
      </w:r>
      <w:r w:rsidR="00E426D6">
        <w:t xml:space="preserve">it </w:t>
      </w:r>
      <w:r w:rsidR="00613BCB">
        <w:t xml:space="preserve">could be </w:t>
      </w:r>
      <w:r w:rsidR="00B54455">
        <w:t>subject to further legal action, including forfeiture penalties based on both the conduct that led to the Citation and any conduct following it.</w:t>
      </w:r>
      <w:r w:rsidR="00B54455">
        <w:rPr>
          <w:rStyle w:val="FootnoteReference"/>
        </w:rPr>
        <w:footnoteReference w:id="21"/>
      </w:r>
      <w:r w:rsidR="00B54455">
        <w:t xml:space="preserve">  </w:t>
      </w:r>
      <w:r w:rsidR="00E426D6">
        <w:t>Nonetheless</w:t>
      </w:r>
      <w:r w:rsidR="00613BCB">
        <w:t xml:space="preserve">, the Company continued to ignore the warnings </w:t>
      </w:r>
      <w:r w:rsidR="00E426D6">
        <w:t>and</w:t>
      </w:r>
      <w:r w:rsidR="006F6A64">
        <w:t xml:space="preserve"> provided </w:t>
      </w:r>
      <w:r>
        <w:t>no answers—merely more excuses</w:t>
      </w:r>
      <w:r w:rsidR="006F6A64">
        <w:t xml:space="preserve">.  </w:t>
      </w:r>
      <w:r w:rsidR="00CA7C34">
        <w:t>Therefore, i</w:t>
      </w:r>
      <w:r w:rsidR="006F6A64">
        <w:t xml:space="preserve">n light of well-established Commission precedent, </w:t>
      </w:r>
      <w:r w:rsidR="002C7F54">
        <w:t>CallingPost</w:t>
      </w:r>
      <w:r w:rsidR="006F6A64">
        <w:t>’</w:t>
      </w:r>
      <w:r w:rsidR="007C1457">
        <w:t>s</w:t>
      </w:r>
      <w:r w:rsidR="006F6A64">
        <w:t xml:space="preserve"> failure to provide the information and documents required by the Bureau’s LOI constitutes an apparent willful and repeated violation of a Commission </w:t>
      </w:r>
      <w:r w:rsidR="0075192E">
        <w:t>o</w:t>
      </w:r>
      <w:r w:rsidR="006F6A64">
        <w:t>rder.</w:t>
      </w:r>
      <w:r w:rsidR="00CA7C34">
        <w:t xml:space="preserve">  </w:t>
      </w:r>
    </w:p>
    <w:p w:rsidR="006F6A64" w:rsidRPr="005E41A6" w:rsidRDefault="006F6A64" w:rsidP="005E41A6">
      <w:pPr>
        <w:pStyle w:val="ParaNum"/>
        <w:numPr>
          <w:ilvl w:val="1"/>
          <w:numId w:val="18"/>
        </w:numPr>
        <w:rPr>
          <w:b/>
        </w:rPr>
      </w:pPr>
      <w:r w:rsidRPr="005E41A6">
        <w:rPr>
          <w:b/>
        </w:rPr>
        <w:t>Proposed Forfeiture Amount</w:t>
      </w:r>
    </w:p>
    <w:p w:rsidR="006F6A64" w:rsidRDefault="006F6A64" w:rsidP="005E41A6">
      <w:pPr>
        <w:pStyle w:val="ParaNum"/>
      </w:pPr>
      <w:r>
        <w:t>Section 503(b)(2)(D) of the Act authorize</w:t>
      </w:r>
      <w:r w:rsidR="006B5D44">
        <w:t>s</w:t>
      </w:r>
      <w:r>
        <w:t xml:space="preserve"> the Commission to assess</w:t>
      </w:r>
      <w:r w:rsidR="007F78AA">
        <w:t xml:space="preserve"> a forfeiture </w:t>
      </w:r>
      <w:r w:rsidR="005E64EF">
        <w:t xml:space="preserve">against the Company </w:t>
      </w:r>
      <w:r w:rsidR="007F78AA">
        <w:t xml:space="preserve">of up to $16,000 </w:t>
      </w:r>
      <w:r>
        <w:t xml:space="preserve">for each violation, or each day of a continuing violation, up to a statutory maximum of $122,500 for </w:t>
      </w:r>
      <w:r w:rsidR="007F78AA">
        <w:t>any single continuing violation</w:t>
      </w:r>
      <w:r>
        <w:t>.</w:t>
      </w:r>
      <w:r>
        <w:rPr>
          <w:rStyle w:val="FootnoteReference"/>
        </w:rPr>
        <w:footnoteReference w:id="22"/>
      </w:r>
      <w:r>
        <w:t xml:space="preserve"> </w:t>
      </w:r>
      <w:r w:rsidR="00440C27">
        <w:t xml:space="preserve"> </w:t>
      </w:r>
      <w:r>
        <w:t>In determining the appropriate forfeiture amount, we consider the factors enumerated in Section 503(b)(2)(E) of the Act, including the “nature, circumstances, extent, and gravity of the violation and, with respect to the violator, the degree of culpability, any history of prior offenses, ability to pay, and such other matters as justice may require.”</w:t>
      </w:r>
      <w:r>
        <w:rPr>
          <w:rStyle w:val="FootnoteReference"/>
        </w:rPr>
        <w:footnoteReference w:id="23"/>
      </w:r>
      <w:r>
        <w:t xml:space="preserve">  Our forfeiture guidelines set forth the base amount for certain kinds of violations and identify criteria</w:t>
      </w:r>
      <w:r w:rsidR="0096180B">
        <w:t>,</w:t>
      </w:r>
      <w:r>
        <w:t xml:space="preserve"> consistent with the Section 503(b)(2)</w:t>
      </w:r>
      <w:r w:rsidR="008E5324">
        <w:t>(E)</w:t>
      </w:r>
      <w:r>
        <w:t xml:space="preserve"> factors, that may influence whether we adjust the base amount downward or upward.  For example, we may adjust a penalty upward for “[e]gregious misconduct,” or where the subject of an enforcement action has engaged in an “[i]ntentional violation” or a “[r]epeated or continuous violation.”</w:t>
      </w:r>
      <w:r>
        <w:rPr>
          <w:rStyle w:val="FootnoteReference"/>
        </w:rPr>
        <w:footnoteReference w:id="24"/>
      </w:r>
    </w:p>
    <w:p w:rsidR="00530154" w:rsidRDefault="00640146" w:rsidP="00024F57">
      <w:pPr>
        <w:pStyle w:val="ParaNum"/>
        <w:tabs>
          <w:tab w:val="left" w:pos="1440"/>
        </w:tabs>
      </w:pPr>
      <w:r>
        <w:t xml:space="preserve">Pursuant to Section 1.80 of the Commission’s rules and the Commission’s </w:t>
      </w:r>
      <w:r w:rsidRPr="00B13B02">
        <w:rPr>
          <w:i/>
        </w:rPr>
        <w:t>Forfeiture Policy Statement</w:t>
      </w:r>
      <w:r>
        <w:t>, the base forfeiture amount for failure to respond to Commission communications is $4,000.</w:t>
      </w:r>
      <w:r>
        <w:rPr>
          <w:rStyle w:val="FootnoteReference"/>
        </w:rPr>
        <w:footnoteReference w:id="25"/>
      </w:r>
      <w:r>
        <w:t xml:space="preserve">  </w:t>
      </w:r>
      <w:r w:rsidR="0025009C">
        <w:t xml:space="preserve">However, </w:t>
      </w:r>
      <w:r w:rsidR="00440C27">
        <w:t>w</w:t>
      </w:r>
      <w:r w:rsidR="00DA26B8" w:rsidRPr="00DA26B8">
        <w:t xml:space="preserve">e have issued penalties </w:t>
      </w:r>
      <w:r w:rsidR="00440C27">
        <w:t xml:space="preserve">for the failure to respond </w:t>
      </w:r>
      <w:r w:rsidR="00DA26B8" w:rsidRPr="00DA26B8">
        <w:t>that far exceeded the $4,000 base forfeiture</w:t>
      </w:r>
      <w:r w:rsidR="00440C27">
        <w:t>, including</w:t>
      </w:r>
      <w:r w:rsidR="00DA26B8" w:rsidRPr="00DA26B8">
        <w:t xml:space="preserve"> cases</w:t>
      </w:r>
      <w:r w:rsidR="00B13B02">
        <w:t xml:space="preserve"> in which</w:t>
      </w:r>
      <w:r w:rsidR="00DA26B8" w:rsidRPr="00DA26B8">
        <w:t xml:space="preserve"> the targets answered some of the LOI questions but failed to answer them completely or </w:t>
      </w:r>
      <w:r w:rsidR="00B13B02">
        <w:t xml:space="preserve">to </w:t>
      </w:r>
      <w:r w:rsidR="00DA26B8" w:rsidRPr="00DA26B8">
        <w:t xml:space="preserve">provide all of the required information.  For example, </w:t>
      </w:r>
      <w:r w:rsidR="00CA7C34">
        <w:t xml:space="preserve">in 2012, the Bureau assessed </w:t>
      </w:r>
      <w:r w:rsidR="00DA26B8" w:rsidRPr="00DA26B8">
        <w:t>Google, Inc. a forfeiture of $25,000 for fail</w:t>
      </w:r>
      <w:r w:rsidR="00B13B02">
        <w:t>ing to answer all of the Bureau’</w:t>
      </w:r>
      <w:r w:rsidR="00DA26B8" w:rsidRPr="00DA26B8">
        <w:t xml:space="preserve">s questions and failing to </w:t>
      </w:r>
      <w:r w:rsidR="00440C27">
        <w:t>produce</w:t>
      </w:r>
      <w:r w:rsidR="00DA26B8" w:rsidRPr="00DA26B8">
        <w:t xml:space="preserve"> required documents.</w:t>
      </w:r>
      <w:r w:rsidR="00DA26B8">
        <w:rPr>
          <w:rStyle w:val="FootnoteReference"/>
        </w:rPr>
        <w:footnoteReference w:id="26"/>
      </w:r>
      <w:r w:rsidR="00DA26B8">
        <w:t xml:space="preserve">  Similarly, </w:t>
      </w:r>
      <w:r w:rsidR="00CA7C34">
        <w:t xml:space="preserve">in 2010, the Bureau penalized </w:t>
      </w:r>
      <w:r w:rsidR="00DA26B8">
        <w:t>Fox Television St</w:t>
      </w:r>
      <w:r w:rsidR="00DA26B8" w:rsidRPr="00DA26B8">
        <w:t>ations, Inc.</w:t>
      </w:r>
      <w:r w:rsidR="00CA7C34">
        <w:t xml:space="preserve"> </w:t>
      </w:r>
      <w:r w:rsidR="00DA26B8" w:rsidRPr="00DA26B8">
        <w:t>$25,000 for submitting an incomplete response to an LOI.</w:t>
      </w:r>
      <w:r w:rsidR="00DA26B8">
        <w:rPr>
          <w:rStyle w:val="FootnoteReference"/>
        </w:rPr>
        <w:footnoteReference w:id="27"/>
      </w:r>
      <w:r w:rsidR="00DA26B8" w:rsidRPr="00DA26B8">
        <w:t xml:space="preserve">  </w:t>
      </w:r>
      <w:r w:rsidR="00070241">
        <w:t xml:space="preserve">In this case, the Company’s actions </w:t>
      </w:r>
      <w:r w:rsidR="00506EE3">
        <w:t xml:space="preserve">similarly </w:t>
      </w:r>
      <w:r w:rsidR="00070241">
        <w:t>justify a</w:t>
      </w:r>
      <w:r w:rsidR="00506EE3">
        <w:t>n</w:t>
      </w:r>
      <w:r w:rsidR="00070241">
        <w:t xml:space="preserve"> </w:t>
      </w:r>
      <w:r w:rsidR="00506EE3">
        <w:t>upward adjustment from</w:t>
      </w:r>
      <w:r w:rsidR="00070241">
        <w:t xml:space="preserve"> base forfeiture</w:t>
      </w:r>
      <w:r w:rsidR="000B4A50">
        <w:t>.</w:t>
      </w:r>
    </w:p>
    <w:p w:rsidR="00F72B53" w:rsidRDefault="00453FC9" w:rsidP="00530154">
      <w:pPr>
        <w:pStyle w:val="ParaNum"/>
        <w:tabs>
          <w:tab w:val="left" w:pos="1440"/>
        </w:tabs>
      </w:pPr>
      <w:r>
        <w:t>Accordingly, we propose a</w:t>
      </w:r>
      <w:r w:rsidR="00DF7053">
        <w:t xml:space="preserve"> forfeiture </w:t>
      </w:r>
      <w:r w:rsidR="00070241">
        <w:t>of $25,000</w:t>
      </w:r>
      <w:r w:rsidR="005C24AE">
        <w:t>.</w:t>
      </w:r>
      <w:r w:rsidR="00273506">
        <w:t xml:space="preserve"> </w:t>
      </w:r>
      <w:r w:rsidR="005C24AE">
        <w:t xml:space="preserve"> </w:t>
      </w:r>
      <w:r w:rsidR="00273506">
        <w:t xml:space="preserve">This forfeiture is appropriate </w:t>
      </w:r>
      <w:r w:rsidR="0022704C">
        <w:t>given</w:t>
      </w:r>
      <w:r w:rsidR="00273506">
        <w:t xml:space="preserve"> the </w:t>
      </w:r>
      <w:r w:rsidR="0051142D">
        <w:t>extent and willfulness</w:t>
      </w:r>
      <w:r w:rsidR="00273506">
        <w:t xml:space="preserve"> of the continuing violation, </w:t>
      </w:r>
      <w:r w:rsidR="0051142D">
        <w:t xml:space="preserve">and </w:t>
      </w:r>
      <w:r w:rsidR="002F2B75">
        <w:t>the insufficiency of the Company’s responses to the Bureau’s inquiries</w:t>
      </w:r>
      <w:r w:rsidR="004457B7">
        <w:t>.</w:t>
      </w:r>
      <w:r w:rsidR="005A3DEB">
        <w:rPr>
          <w:rStyle w:val="FootnoteReference"/>
        </w:rPr>
        <w:footnoteReference w:id="28"/>
      </w:r>
      <w:r w:rsidR="007F78AA">
        <w:t xml:space="preserve">  </w:t>
      </w:r>
      <w:r w:rsidR="002C7F54">
        <w:t>CallingPost</w:t>
      </w:r>
      <w:r w:rsidR="004457B7">
        <w:t xml:space="preserve"> </w:t>
      </w:r>
      <w:r w:rsidR="00FB5A0F">
        <w:t>completely failed to answer any of the Commission’s questions</w:t>
      </w:r>
      <w:r w:rsidR="00657827">
        <w:t xml:space="preserve"> or </w:t>
      </w:r>
      <w:r w:rsidR="003E4DDD">
        <w:t xml:space="preserve">produce </w:t>
      </w:r>
      <w:r w:rsidR="00657827">
        <w:t>the required documents</w:t>
      </w:r>
      <w:r w:rsidR="00530154">
        <w:t>—</w:t>
      </w:r>
      <w:r w:rsidR="003E4DDD">
        <w:t xml:space="preserve">even after numerous follow-up telephone calls and e-mails, a </w:t>
      </w:r>
      <w:r w:rsidR="00530154">
        <w:t xml:space="preserve">formal </w:t>
      </w:r>
      <w:r w:rsidR="003E4DDD">
        <w:t>Citation, and ample time and opportunity to comply with its obligations under the LOI</w:t>
      </w:r>
      <w:r w:rsidR="004457B7">
        <w:t>.</w:t>
      </w:r>
      <w:r w:rsidR="00B21EFA">
        <w:t xml:space="preserve">  Moreover, CallingPost’s willful disregard </w:t>
      </w:r>
      <w:r w:rsidR="00530154">
        <w:t xml:space="preserve">of </w:t>
      </w:r>
      <w:r w:rsidR="00B21EFA">
        <w:t xml:space="preserve">its obligation to comply continues </w:t>
      </w:r>
      <w:r w:rsidR="002671DF">
        <w:t>unabated</w:t>
      </w:r>
      <w:r w:rsidR="00B21EFA">
        <w:t>.</w:t>
      </w:r>
      <w:r w:rsidR="0051142D">
        <w:t xml:space="preserve">  </w:t>
      </w:r>
      <w:r w:rsidR="00070241">
        <w:t>As we have noted in previous cases involving a failure to respond to FCC inquiries,</w:t>
      </w:r>
      <w:r w:rsidR="00613BCB" w:rsidRPr="00613BCB">
        <w:t xml:space="preserve"> “[m]isconduct of this type exhibits contempt for the Commission’s authority, and threatens to compromise the Commission’s ability to adequately investigate violations of its rules.”</w:t>
      </w:r>
      <w:r w:rsidR="00613BCB">
        <w:rPr>
          <w:rStyle w:val="FootnoteReference"/>
        </w:rPr>
        <w:footnoteReference w:id="29"/>
      </w:r>
    </w:p>
    <w:p w:rsidR="000537A3" w:rsidRDefault="000537A3" w:rsidP="00024F57">
      <w:pPr>
        <w:pStyle w:val="ParaNum"/>
        <w:tabs>
          <w:tab w:val="left" w:pos="1440"/>
        </w:tabs>
      </w:pPr>
      <w:r w:rsidRPr="000537A3">
        <w:t xml:space="preserve">We also direct </w:t>
      </w:r>
      <w:r>
        <w:t>CallingPost</w:t>
      </w:r>
      <w:r w:rsidRPr="000537A3">
        <w:t xml:space="preserve"> to respond fully to the LOI within ten </w:t>
      </w:r>
      <w:r w:rsidR="002D1069">
        <w:t xml:space="preserve">(10) </w:t>
      </w:r>
      <w:r w:rsidRPr="000537A3">
        <w:t xml:space="preserve">calendar days of the date of this </w:t>
      </w:r>
      <w:r w:rsidR="00CA7C34">
        <w:t>Notice of Apparent Liability for Forfeiture and Order (</w:t>
      </w:r>
      <w:r w:rsidRPr="000537A3">
        <w:t>NAL</w:t>
      </w:r>
      <w:r w:rsidR="00CA7C34">
        <w:t>)</w:t>
      </w:r>
      <w:r w:rsidRPr="000537A3">
        <w:t xml:space="preserve">. </w:t>
      </w:r>
      <w:r w:rsidR="003E4DDD">
        <w:t xml:space="preserve"> </w:t>
      </w:r>
      <w:r w:rsidRPr="000537A3">
        <w:t xml:space="preserve">Failure to do so may constitute an additional, continuing violation subjecting </w:t>
      </w:r>
      <w:r>
        <w:t>the Company</w:t>
      </w:r>
      <w:r w:rsidRPr="000537A3">
        <w:t xml:space="preserve"> to future enforcement action. </w:t>
      </w:r>
      <w:r>
        <w:t xml:space="preserve"> </w:t>
      </w:r>
      <w:r w:rsidRPr="000537A3">
        <w:t xml:space="preserve">Consistent with our precedent, other parties that engage in activities subject to the Act and </w:t>
      </w:r>
      <w:r w:rsidR="00CA7C34">
        <w:t>the Commission’s</w:t>
      </w:r>
      <w:r w:rsidR="00CA7C34" w:rsidRPr="000537A3">
        <w:t xml:space="preserve"> </w:t>
      </w:r>
      <w:r w:rsidRPr="000537A3">
        <w:t xml:space="preserve">rules are on notice that </w:t>
      </w:r>
      <w:r w:rsidR="00530154">
        <w:t xml:space="preserve">a </w:t>
      </w:r>
      <w:r w:rsidRPr="000537A3">
        <w:t xml:space="preserve">failure to respond properly to </w:t>
      </w:r>
      <w:r w:rsidR="00530154">
        <w:t xml:space="preserve">a </w:t>
      </w:r>
      <w:r w:rsidRPr="000537A3">
        <w:t xml:space="preserve">Bureau </w:t>
      </w:r>
      <w:r w:rsidR="003E4DDD">
        <w:t>letter of inquiry</w:t>
      </w:r>
      <w:r w:rsidR="003E4DDD" w:rsidRPr="000537A3">
        <w:t xml:space="preserve"> </w:t>
      </w:r>
      <w:r w:rsidRPr="000537A3">
        <w:t xml:space="preserve">constitutes </w:t>
      </w:r>
      <w:r w:rsidR="00530154">
        <w:t xml:space="preserve">a </w:t>
      </w:r>
      <w:r w:rsidRPr="000537A3">
        <w:t xml:space="preserve">violation of </w:t>
      </w:r>
      <w:r w:rsidR="00AE3749">
        <w:t xml:space="preserve">a </w:t>
      </w:r>
      <w:r w:rsidRPr="000537A3">
        <w:t xml:space="preserve">Commission order </w:t>
      </w:r>
      <w:r w:rsidR="00530154">
        <w:t>that is</w:t>
      </w:r>
      <w:r w:rsidRPr="000537A3">
        <w:t xml:space="preserve"> subject to enforcement action.</w:t>
      </w:r>
      <w:r w:rsidR="006C4FFA">
        <w:t xml:space="preserve">  Moreover, we </w:t>
      </w:r>
      <w:r w:rsidR="002D71E2">
        <w:t>notify</w:t>
      </w:r>
      <w:r w:rsidR="006C4FFA">
        <w:t xml:space="preserve"> the Company that Section 409(m) of the Act provides for criminal penalties, including fines and incarceration </w:t>
      </w:r>
      <w:r w:rsidR="00CA7C34">
        <w:t xml:space="preserve">for </w:t>
      </w:r>
      <w:r w:rsidR="006C4FFA">
        <w:t>up to one year, for any person who “neglect[s] or refuse[s] to . . . answer any lawful inquiry” or produce documents when required by subpoena or other lawful requirement of the FCC.</w:t>
      </w:r>
      <w:r w:rsidR="006C4FFA">
        <w:rPr>
          <w:rStyle w:val="FootnoteReference"/>
        </w:rPr>
        <w:footnoteReference w:id="30"/>
      </w:r>
      <w:r w:rsidR="006C4FFA">
        <w:t xml:space="preserve">  Continued neglect or refusal to answer the Bureau’s inquiries may subject the Company and its principals to both fine and imprisonment.</w:t>
      </w:r>
    </w:p>
    <w:p w:rsidR="002577A0" w:rsidRDefault="00AB2084" w:rsidP="006658B6">
      <w:pPr>
        <w:pStyle w:val="Heading1"/>
        <w:spacing w:after="220"/>
        <w:rPr>
          <w:kern w:val="2"/>
        </w:rPr>
      </w:pPr>
      <w:r>
        <w:t>ORDERING CLAUSES</w:t>
      </w:r>
    </w:p>
    <w:p w:rsidR="005E41A6" w:rsidRPr="00714671" w:rsidRDefault="005E41A6" w:rsidP="00E21719">
      <w:pPr>
        <w:pStyle w:val="ParaNum"/>
      </w:pPr>
      <w:r>
        <w:t xml:space="preserve">Accordingly, </w:t>
      </w:r>
      <w:r w:rsidRPr="00E21719">
        <w:rPr>
          <w:b/>
        </w:rPr>
        <w:t>IT IS ORDERED</w:t>
      </w:r>
      <w:r w:rsidR="005C24AE">
        <w:t xml:space="preserve"> that, pursuant to Section 503(b) of the Act, as amended, 47 U.S.C. § 503(b), and Section 1.80 of the Commission’s rules, 47 C.F.R. § 1.80, </w:t>
      </w:r>
      <w:r w:rsidR="002C7F54">
        <w:t>CallingPost Communications, Inc.</w:t>
      </w:r>
      <w:r w:rsidR="005C24AE">
        <w:t xml:space="preserve"> is hereby </w:t>
      </w:r>
      <w:r w:rsidR="005C24AE">
        <w:rPr>
          <w:b/>
        </w:rPr>
        <w:t>NOTIFIED</w:t>
      </w:r>
      <w:r w:rsidR="005C24AE">
        <w:t xml:space="preserve"> of this </w:t>
      </w:r>
      <w:r w:rsidR="005C24AE">
        <w:rPr>
          <w:b/>
        </w:rPr>
        <w:t>APPARENT LIABILITY FOR FORFEITURE AND ORDER</w:t>
      </w:r>
      <w:r w:rsidR="00070241">
        <w:t xml:space="preserve"> in the amount of $2</w:t>
      </w:r>
      <w:r w:rsidR="005C24AE">
        <w:t>5</w:t>
      </w:r>
      <w:r w:rsidR="00070241">
        <w:t>,0</w:t>
      </w:r>
      <w:r w:rsidR="005C24AE">
        <w:t>00 for willfully violating an Enforcement Bureau directive to respond to a letter of inquiry.</w:t>
      </w:r>
    </w:p>
    <w:p w:rsidR="002577A0" w:rsidRPr="005C24AE" w:rsidRDefault="00AB2084" w:rsidP="00E21719">
      <w:pPr>
        <w:pStyle w:val="ParaNum"/>
      </w:pPr>
      <w:r w:rsidRPr="00E21719">
        <w:rPr>
          <w:b/>
        </w:rPr>
        <w:t>IT IS FURTHER ORDERED</w:t>
      </w:r>
      <w:r w:rsidR="005C24AE">
        <w:t xml:space="preserve"> that, pursuant to Section 1.80 of the Commission’s rules,</w:t>
      </w:r>
      <w:r w:rsidR="00FE0DAA">
        <w:t xml:space="preserve"> 47 C.F.R. § 1.80,</w:t>
      </w:r>
      <w:r w:rsidR="005C24AE">
        <w:t xml:space="preserve"> within</w:t>
      </w:r>
      <w:r w:rsidR="007F78AA">
        <w:t xml:space="preserve"> </w:t>
      </w:r>
      <w:r w:rsidR="005C24AE">
        <w:t xml:space="preserve">thirty (30) days of the release date of this Notice of Apparent Liability for Forfeiture and Order, </w:t>
      </w:r>
      <w:r w:rsidR="002C7F54">
        <w:t>CallingPost Communications, Inc.</w:t>
      </w:r>
      <w:r w:rsidR="005C24AE">
        <w:t xml:space="preserve"> </w:t>
      </w:r>
      <w:r w:rsidR="005C24AE">
        <w:rPr>
          <w:b/>
        </w:rPr>
        <w:t>SHALL PAY</w:t>
      </w:r>
      <w:r w:rsidR="005C24AE">
        <w:t xml:space="preserve"> the full amount of the proposed forfeiture or </w:t>
      </w:r>
      <w:r w:rsidR="005C24AE">
        <w:rPr>
          <w:b/>
        </w:rPr>
        <w:t>SHALL FILE</w:t>
      </w:r>
      <w:r w:rsidR="005C24AE">
        <w:t xml:space="preserve"> a written statement seeking reduction or cancellation of the proposed forfeiture.</w:t>
      </w:r>
    </w:p>
    <w:p w:rsidR="007F78AA" w:rsidRPr="007F78AA" w:rsidRDefault="005C24AE" w:rsidP="007F78AA">
      <w:pPr>
        <w:pStyle w:val="ParaNum"/>
      </w:pPr>
      <w:r>
        <w:rPr>
          <w:b/>
        </w:rPr>
        <w:t>IT IS FURTHER ORDERED</w:t>
      </w:r>
      <w:r>
        <w:t xml:space="preserve"> that </w:t>
      </w:r>
      <w:r w:rsidR="002C7F54">
        <w:t>CallingPost Communications, Inc.</w:t>
      </w:r>
      <w:r w:rsidR="00583B40">
        <w:t xml:space="preserve"> </w:t>
      </w:r>
      <w:r w:rsidR="00583B40">
        <w:rPr>
          <w:b/>
        </w:rPr>
        <w:t>SHALL FULLY RESPOND</w:t>
      </w:r>
      <w:r w:rsidR="00583B40">
        <w:t xml:space="preserve">, not later than </w:t>
      </w:r>
      <w:r w:rsidR="006A3803">
        <w:t xml:space="preserve">ten (10) </w:t>
      </w:r>
      <w:r w:rsidR="00583B40">
        <w:t>calendar days from the release date of this NAL, to the Bureau’s</w:t>
      </w:r>
      <w:r w:rsidR="00FB5A0F">
        <w:t xml:space="preserve"> </w:t>
      </w:r>
      <w:r w:rsidR="002D1069">
        <w:t>l</w:t>
      </w:r>
      <w:r w:rsidR="00FB5A0F">
        <w:t xml:space="preserve">etter of </w:t>
      </w:r>
      <w:r w:rsidR="002D1069">
        <w:t>i</w:t>
      </w:r>
      <w:r w:rsidR="00FB5A0F">
        <w:t xml:space="preserve">nquiry dated February </w:t>
      </w:r>
      <w:r w:rsidR="00583B40">
        <w:t>8, 2013, in accordance with the delivery instructions set forth therein.</w:t>
      </w:r>
    </w:p>
    <w:p w:rsidR="00E67813" w:rsidRDefault="00583B40" w:rsidP="007F78AA">
      <w:pPr>
        <w:pStyle w:val="ParaNum"/>
      </w:pPr>
      <w:r>
        <w:t xml:space="preserve">Payment of the forfeiture must be made by check or similar instrument, wire transfer, or credit card, and must include the NAL/Account Number and FRN referenced above.  </w:t>
      </w:r>
      <w:r w:rsidR="002C7F54">
        <w:t>CallingPost Communications, Inc.</w:t>
      </w:r>
      <w:r>
        <w:t xml:space="preserve"> shall send electronic notification of payment to Johnny Drake at </w:t>
      </w:r>
      <w:r w:rsidR="003E4DDD" w:rsidRPr="00024F57">
        <w:t>Johnny.Drake@fcc.gov</w:t>
      </w:r>
      <w:r>
        <w:t xml:space="preserve"> on the date said payment is made.  Regardless of the form of payment, a completed FCC Form 159 (Remittance Advice) must be submitted.</w:t>
      </w:r>
      <w:r>
        <w:rPr>
          <w:rStyle w:val="FootnoteReference"/>
        </w:rPr>
        <w:footnoteReference w:id="31"/>
      </w:r>
      <w:r>
        <w:t xml:space="preserve">  When completing the FCC Form 159, enter the Account Number in block number 23A (call sign/other ID) and enter the letters “FORF” in block number 24A (payment type code).  </w:t>
      </w:r>
      <w:r w:rsidR="00E67813">
        <w:t xml:space="preserve">Below are additional instructions </w:t>
      </w:r>
      <w:r w:rsidR="002F2B75">
        <w:t>the Company</w:t>
      </w:r>
      <w:r w:rsidR="00E67813">
        <w:t xml:space="preserve"> should follow based on the form of payment </w:t>
      </w:r>
      <w:r w:rsidR="002F2B75">
        <w:t>it</w:t>
      </w:r>
      <w:r w:rsidR="00E67813">
        <w:t xml:space="preserve"> select</w:t>
      </w:r>
      <w:r w:rsidR="002F2B75">
        <w:t>s</w:t>
      </w:r>
      <w:r w:rsidR="00E67813">
        <w:t>:</w:t>
      </w:r>
    </w:p>
    <w:p w:rsidR="00E67813" w:rsidRDefault="00E67813" w:rsidP="00E67813"/>
    <w:p w:rsidR="00E67813" w:rsidRDefault="00E67813" w:rsidP="00E67813">
      <w:pPr>
        <w:pStyle w:val="ParaNum"/>
        <w:widowControl/>
        <w:numPr>
          <w:ilvl w:val="0"/>
          <w:numId w:val="24"/>
        </w:numPr>
        <w:rPr>
          <w:rFonts w:eastAsia="MS Minngs"/>
        </w:rPr>
      </w:pPr>
      <w:r>
        <w:rPr>
          <w:rFonts w:eastAsia="MS Minngs"/>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w:t>
      </w:r>
    </w:p>
    <w:p w:rsidR="00E67813" w:rsidRDefault="00E67813" w:rsidP="00E67813">
      <w:pPr>
        <w:pStyle w:val="ParaNum"/>
        <w:widowControl/>
        <w:numPr>
          <w:ilvl w:val="0"/>
          <w:numId w:val="24"/>
        </w:numPr>
        <w:rPr>
          <w:rFonts w:eastAsia="MS Minngs"/>
        </w:rPr>
      </w:pPr>
      <w:r>
        <w:rPr>
          <w:rFonts w:eastAsia="MS Minngs"/>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rsidR="00E67813" w:rsidRDefault="00E67813" w:rsidP="00E67813">
      <w:pPr>
        <w:pStyle w:val="ParaNum"/>
        <w:widowControl/>
        <w:numPr>
          <w:ilvl w:val="0"/>
          <w:numId w:val="24"/>
        </w:numPr>
        <w:rPr>
          <w:rFonts w:eastAsia="MS Minngs"/>
        </w:rPr>
      </w:pPr>
      <w:r>
        <w:rPr>
          <w:rFonts w:eastAsia="MS Minngs"/>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rsidR="00E67813" w:rsidRDefault="00E67813" w:rsidP="00AE78E0">
      <w:pPr>
        <w:keepNext/>
        <w:widowControl/>
        <w:spacing w:after="120"/>
      </w:pPr>
      <w:r>
        <w:rPr>
          <w:rFonts w:eastAsia="MS Minngs"/>
        </w:rPr>
        <w:t xml:space="preserve">Any request for full payment </w:t>
      </w:r>
      <w:r>
        <w:rPr>
          <w:rFonts w:eastAsia="MS Minngs" w:cs="Arial"/>
        </w:rPr>
        <w:t>under</w:t>
      </w:r>
      <w:r>
        <w:rPr>
          <w:rFonts w:eastAsia="MS Minngs"/>
        </w:rPr>
        <w:t xml:space="preserve"> an installment plan should be sent to:  Chief Financial Officer—Financial Operations, </w:t>
      </w:r>
      <w:r>
        <w:rPr>
          <w:rFonts w:eastAsia="MS Minngs" w:cs="Arial"/>
        </w:rPr>
        <w:t>Federal</w:t>
      </w:r>
      <w:r>
        <w:rPr>
          <w:rFonts w:eastAsia="MS Minngs"/>
        </w:rPr>
        <w:t xml:space="preserve"> Communications </w:t>
      </w:r>
      <w:r w:rsidR="007F78AA">
        <w:rPr>
          <w:rFonts w:eastAsia="MS Minngs"/>
        </w:rPr>
        <w:t>Commission, 445 12th</w:t>
      </w:r>
      <w:r>
        <w:rPr>
          <w:rFonts w:eastAsia="MS Minngs"/>
        </w:rPr>
        <w:t xml:space="preserve"> Street, S.W., Room 1-A625, Washington, DC  20554.</w:t>
      </w:r>
      <w:r>
        <w:rPr>
          <w:rStyle w:val="FootnoteReference"/>
          <w:rFonts w:eastAsia="MS Minngs"/>
        </w:rPr>
        <w:footnoteReference w:id="32"/>
      </w:r>
      <w:r>
        <w:rPr>
          <w:rFonts w:eastAsia="MS Minngs"/>
        </w:rPr>
        <w:t xml:space="preserve">  If </w:t>
      </w:r>
      <w:r w:rsidR="002F2B75">
        <w:rPr>
          <w:rFonts w:eastAsia="MS Minngs"/>
        </w:rPr>
        <w:t>the Company</w:t>
      </w:r>
      <w:r>
        <w:rPr>
          <w:rFonts w:eastAsia="MS Minngs"/>
        </w:rPr>
        <w:t xml:space="preserve"> ha</w:t>
      </w:r>
      <w:r w:rsidR="002F2B75">
        <w:rPr>
          <w:rFonts w:eastAsia="MS Minngs"/>
        </w:rPr>
        <w:t>s</w:t>
      </w:r>
      <w:r>
        <w:rPr>
          <w:rFonts w:eastAsia="MS Minngs"/>
        </w:rPr>
        <w:t xml:space="preserve"> questions regarding payment procedures, please contact the Financial Operations Group Help Desk by phone, 1-877-480-3201, or by e-mail, </w:t>
      </w:r>
      <w:r>
        <w:rPr>
          <w:rFonts w:eastAsia="MS Minngs" w:cs="Arial"/>
        </w:rPr>
        <w:t>ARINQUIRIES@fcc.gov</w:t>
      </w:r>
      <w:r>
        <w:rPr>
          <w:rFonts w:eastAsia="MS Minngs"/>
        </w:rPr>
        <w:t>.</w:t>
      </w:r>
    </w:p>
    <w:p w:rsidR="00E67813" w:rsidRDefault="00E67813" w:rsidP="00E67813">
      <w:pPr>
        <w:widowControl/>
        <w:numPr>
          <w:ilvl w:val="0"/>
          <w:numId w:val="23"/>
        </w:numPr>
        <w:tabs>
          <w:tab w:val="clear" w:pos="1080"/>
          <w:tab w:val="num" w:pos="1440"/>
        </w:tabs>
      </w:pPr>
      <w:r>
        <w:t xml:space="preserve">The response, if any, must be mailed both to: </w:t>
      </w:r>
      <w:r w:rsidR="003E4DDD">
        <w:t xml:space="preserve"> </w:t>
      </w:r>
      <w:r>
        <w:t>Marlene H. Dortch, Secretary, Federal C</w:t>
      </w:r>
      <w:r w:rsidR="007F78AA">
        <w:t>ommunications Commission, 445 12th</w:t>
      </w:r>
      <w:r>
        <w:t xml:space="preserve"> Street, SW, Washington, DC 20554, ATTN:  Enforcement Bureau – Telecommunications Consumers Division; and to Richard A. Hindman, Division Chief, Telecommunications Consumers Division, Enforcement Bureau, Federal Communications Commission, </w:t>
      </w:r>
      <w:r w:rsidR="007F78AA">
        <w:t>445 12th</w:t>
      </w:r>
      <w:r>
        <w:t xml:space="preserve"> Street, SW, Washington, DC 20554, and must include the NAL/Acct. No. referenced in the caption.  Documents sent by overnight mail (</w:t>
      </w:r>
      <w:r>
        <w:rPr>
          <w:i/>
        </w:rPr>
        <w:t xml:space="preserve">other than </w:t>
      </w:r>
      <w:r>
        <w:t xml:space="preserve">United States Postal Service Express Mail) must be addressed to: </w:t>
      </w:r>
      <w:r w:rsidR="003E4DDD">
        <w:t xml:space="preserve"> </w:t>
      </w:r>
      <w:r>
        <w:t>Marlene H. Dortch, Secretary, Federal Communications Commission, Office of the Secretary, 9300 East Hampton Drive, Capitol Heights, MD 20743.  Hand or messenger-delivered mail should be directed, without envelopes, to: Marlene H. Dortch, Secretary, Federal Communications Commission,</w:t>
      </w:r>
      <w:r w:rsidR="007F78AA">
        <w:t xml:space="preserve"> Office of the Secretary, 445 12th</w:t>
      </w:r>
      <w:r>
        <w:t xml:space="preserve"> Street, SW, Washington, DC 20554 (deliveries accepted Monday through Friday 8:00 a.m. to 7:00 p.m. only).  </w:t>
      </w:r>
      <w:r>
        <w:rPr>
          <w:i/>
        </w:rPr>
        <w:t>See</w:t>
      </w:r>
      <w:r>
        <w:t xml:space="preserve"> </w:t>
      </w:r>
      <w:r w:rsidR="003E4DDD" w:rsidRPr="00024F57">
        <w:t>www.fcc.gov/osec/guidelines.html</w:t>
      </w:r>
      <w:r>
        <w:t xml:space="preserve"> for further instructions on FCC filing addresses.</w:t>
      </w:r>
    </w:p>
    <w:p w:rsidR="00E67813" w:rsidRDefault="00E67813" w:rsidP="00E67813">
      <w:pPr>
        <w:pStyle w:val="BodyTextIndent3"/>
        <w:ind w:firstLine="0"/>
        <w:jc w:val="left"/>
        <w:rPr>
          <w:sz w:val="22"/>
          <w:szCs w:val="22"/>
        </w:rPr>
      </w:pPr>
    </w:p>
    <w:p w:rsidR="007F78AA" w:rsidRDefault="00E67813" w:rsidP="007F78AA">
      <w:pPr>
        <w:widowControl/>
        <w:numPr>
          <w:ilvl w:val="0"/>
          <w:numId w:val="23"/>
        </w:numPr>
        <w:tabs>
          <w:tab w:val="clear" w:pos="1080"/>
          <w:tab w:val="num" w:pos="1440"/>
        </w:tabs>
      </w:pPr>
      <w:r>
        <w:t xml:space="preserve">The Commission will not consider reducing or canceling a proposed forfeiture in response to a claim of inability to pay unless the petitioner submits: </w:t>
      </w:r>
      <w:r w:rsidR="003E4DDD">
        <w:t xml:space="preserve"> </w:t>
      </w:r>
      <w:r>
        <w:t>(1) federal tax returns for the most recent three-year period; (2) financial statements prepared according to generally accepted accounting practices; or (3) some other reliable and objective documentation that accurately reflects the petitioner’s current financial status.  Any claim of inability to pay must specifically identify the basis for the claim by reference to the financial documentation submitted.</w:t>
      </w:r>
    </w:p>
    <w:p w:rsidR="007F78AA" w:rsidRDefault="007F78AA" w:rsidP="007F78AA">
      <w:pPr>
        <w:pStyle w:val="ListParagraph"/>
        <w:rPr>
          <w:b/>
        </w:rPr>
      </w:pPr>
    </w:p>
    <w:p w:rsidR="002577A0" w:rsidRPr="007F78AA" w:rsidRDefault="00E67813" w:rsidP="007F78AA">
      <w:pPr>
        <w:widowControl/>
        <w:numPr>
          <w:ilvl w:val="0"/>
          <w:numId w:val="23"/>
        </w:numPr>
        <w:tabs>
          <w:tab w:val="clear" w:pos="1080"/>
          <w:tab w:val="num" w:pos="1440"/>
        </w:tabs>
      </w:pPr>
      <w:r w:rsidRPr="007F78AA">
        <w:rPr>
          <w:b/>
        </w:rPr>
        <w:t>IT IS FURTHER ORDERED</w:t>
      </w:r>
      <w:r>
        <w:t xml:space="preserve"> that a copy of this Notice of Apparent Liability for Forfeiture and Order shall be sent by Certified Mail Return Receipt Requested and First Class mail to </w:t>
      </w:r>
      <w:r w:rsidR="00FB5A0F">
        <w:t xml:space="preserve">Phil Alexander, President, </w:t>
      </w:r>
      <w:r w:rsidR="002C7F54">
        <w:rPr>
          <w:color w:val="000000"/>
        </w:rPr>
        <w:t>CallingPost Communications, Inc.</w:t>
      </w:r>
      <w:r w:rsidR="00FB5A0F">
        <w:t xml:space="preserve">, 531 Blackburn Drive, Augusta, GA 30907, and by electronic mail to </w:t>
      </w:r>
      <w:r w:rsidR="003E4DDD" w:rsidRPr="00024F57">
        <w:t>palexander@callingpost.com</w:t>
      </w:r>
      <w:r w:rsidR="00FB5A0F">
        <w:t>.</w:t>
      </w:r>
      <w:r>
        <w:t xml:space="preserve"> </w:t>
      </w:r>
    </w:p>
    <w:p w:rsidR="00D329AB" w:rsidRDefault="00D329AB" w:rsidP="00D329AB">
      <w:pPr>
        <w:pStyle w:val="ListParagraph"/>
      </w:pPr>
    </w:p>
    <w:p w:rsidR="00D329AB" w:rsidRDefault="00D329AB" w:rsidP="00D329AB">
      <w:pPr>
        <w:widowControl/>
      </w:pPr>
    </w:p>
    <w:p w:rsidR="002577A0" w:rsidRDefault="002577A0" w:rsidP="0051085D">
      <w:pPr>
        <w:keepNext/>
        <w:ind w:left="3600"/>
        <w:rPr>
          <w:b/>
          <w:bCs/>
          <w:noProof/>
          <w:color w:val="000000"/>
        </w:rPr>
      </w:pPr>
      <w:r>
        <w:rPr>
          <w:b/>
          <w:bCs/>
          <w:noProof/>
          <w:color w:val="000000"/>
        </w:rPr>
        <w:t>FEDERAL COMMUNICATIONS COMMISSION</w:t>
      </w:r>
    </w:p>
    <w:p w:rsidR="002577A0" w:rsidRDefault="002577A0" w:rsidP="0051085D">
      <w:pPr>
        <w:keepNext/>
        <w:ind w:left="3600"/>
        <w:rPr>
          <w:b/>
          <w:bCs/>
          <w:noProof/>
          <w:color w:val="000000"/>
        </w:rPr>
      </w:pPr>
    </w:p>
    <w:p w:rsidR="002577A0" w:rsidRDefault="002577A0" w:rsidP="0051085D">
      <w:pPr>
        <w:keepNext/>
        <w:ind w:left="3600"/>
        <w:rPr>
          <w:bCs/>
          <w:noProof/>
          <w:color w:val="000000"/>
        </w:rPr>
      </w:pPr>
    </w:p>
    <w:p w:rsidR="002577A0" w:rsidRDefault="002577A0" w:rsidP="0051085D">
      <w:pPr>
        <w:keepNext/>
        <w:ind w:left="3600"/>
        <w:rPr>
          <w:bCs/>
          <w:noProof/>
          <w:color w:val="000000"/>
        </w:rPr>
      </w:pPr>
    </w:p>
    <w:p w:rsidR="002577A0" w:rsidRDefault="002577A0">
      <w:pPr>
        <w:ind w:left="3600"/>
        <w:rPr>
          <w:bCs/>
          <w:noProof/>
          <w:color w:val="000000"/>
        </w:rPr>
      </w:pPr>
    </w:p>
    <w:p w:rsidR="00230430" w:rsidRDefault="00230430" w:rsidP="00230430">
      <w:pPr>
        <w:ind w:left="3600"/>
        <w:rPr>
          <w:bCs/>
          <w:noProof/>
        </w:rPr>
      </w:pPr>
      <w:r>
        <w:rPr>
          <w:bCs/>
          <w:noProof/>
        </w:rPr>
        <w:t>Travis LeBlanc</w:t>
      </w:r>
    </w:p>
    <w:p w:rsidR="00230430" w:rsidRDefault="00230430" w:rsidP="00230430">
      <w:pPr>
        <w:ind w:left="3600"/>
        <w:rPr>
          <w:bCs/>
          <w:noProof/>
        </w:rPr>
      </w:pPr>
      <w:r>
        <w:rPr>
          <w:bCs/>
          <w:noProof/>
        </w:rPr>
        <w:t>Acting Chief</w:t>
      </w:r>
    </w:p>
    <w:p w:rsidR="002577A0" w:rsidRPr="00C97380" w:rsidRDefault="00230430" w:rsidP="00230430">
      <w:pPr>
        <w:ind w:left="3600"/>
        <w:rPr>
          <w:noProof/>
        </w:rPr>
      </w:pPr>
      <w:r>
        <w:rPr>
          <w:bCs/>
          <w:noProof/>
        </w:rPr>
        <w:t>Enforcement Bureau</w:t>
      </w:r>
    </w:p>
    <w:sectPr w:rsidR="002577A0" w:rsidRPr="00C97380" w:rsidSect="00230430">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72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D52" w:rsidRDefault="004E4D52">
      <w:r>
        <w:separator/>
      </w:r>
    </w:p>
  </w:endnote>
  <w:endnote w:type="continuationSeparator" w:id="0">
    <w:p w:rsidR="004E4D52" w:rsidRDefault="004E4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MS Minngs">
    <w:altName w:val="MS Mincho"/>
    <w:panose1 w:val="00000000000000000000"/>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7A0" w:rsidRDefault="002577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23EC">
      <w:rPr>
        <w:rStyle w:val="PageNumber"/>
        <w:noProof/>
      </w:rPr>
      <w:t>3</w:t>
    </w:r>
    <w:r>
      <w:rPr>
        <w:rStyle w:val="PageNumber"/>
      </w:rPr>
      <w:fldChar w:fldCharType="end"/>
    </w:r>
  </w:p>
  <w:p w:rsidR="002577A0" w:rsidRDefault="002577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7A0" w:rsidRDefault="002577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6272">
      <w:rPr>
        <w:rStyle w:val="PageNumber"/>
        <w:noProof/>
      </w:rPr>
      <w:t>2</w:t>
    </w:r>
    <w:r>
      <w:rPr>
        <w:rStyle w:val="PageNumber"/>
      </w:rPr>
      <w:fldChar w:fldCharType="end"/>
    </w:r>
  </w:p>
  <w:p w:rsidR="002577A0" w:rsidRDefault="002577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3EC" w:rsidRDefault="00A023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D52" w:rsidRDefault="004E4D52">
      <w:r>
        <w:separator/>
      </w:r>
    </w:p>
  </w:footnote>
  <w:footnote w:type="continuationSeparator" w:id="0">
    <w:p w:rsidR="004E4D52" w:rsidRDefault="004E4D52">
      <w:r>
        <w:continuationSeparator/>
      </w:r>
    </w:p>
  </w:footnote>
  <w:footnote w:id="1">
    <w:p w:rsidR="009F5FA4" w:rsidRPr="009F5FA4" w:rsidRDefault="009F5FA4">
      <w:pPr>
        <w:pStyle w:val="FootnoteText"/>
      </w:pPr>
      <w:r>
        <w:rPr>
          <w:rStyle w:val="FootnoteReference"/>
        </w:rPr>
        <w:footnoteRef/>
      </w:r>
      <w:r>
        <w:t xml:space="preserve"> </w:t>
      </w:r>
      <w:r>
        <w:rPr>
          <w:i/>
        </w:rPr>
        <w:t>See</w:t>
      </w:r>
      <w:r>
        <w:t xml:space="preserve"> CallingPost Website, Group Management Features, </w:t>
      </w:r>
      <w:hyperlink r:id="rId1" w:history="1">
        <w:r w:rsidR="00A15D99" w:rsidRPr="00CA29F4">
          <w:rPr>
            <w:rStyle w:val="Hyperlink"/>
          </w:rPr>
          <w:t>http://www.callingpost.com/features</w:t>
        </w:r>
      </w:hyperlink>
      <w:r w:rsidR="00A15D99">
        <w:t xml:space="preserve"> </w:t>
      </w:r>
      <w:r>
        <w:t xml:space="preserve">(last visited </w:t>
      </w:r>
      <w:r w:rsidR="00A15D99">
        <w:t>Jul. 8</w:t>
      </w:r>
      <w:r>
        <w:t>, 2014).</w:t>
      </w:r>
    </w:p>
  </w:footnote>
  <w:footnote w:id="2">
    <w:p w:rsidR="00020C71" w:rsidRPr="00020C71" w:rsidRDefault="00020C71">
      <w:pPr>
        <w:pStyle w:val="FootnoteText"/>
        <w:rPr>
          <w:i/>
        </w:rPr>
      </w:pPr>
      <w:r>
        <w:rPr>
          <w:rStyle w:val="FootnoteReference"/>
        </w:rPr>
        <w:footnoteRef/>
      </w:r>
      <w:r>
        <w:t xml:space="preserve"> </w:t>
      </w:r>
      <w:r>
        <w:rPr>
          <w:i/>
        </w:rPr>
        <w:t xml:space="preserve">See </w:t>
      </w:r>
      <w:r>
        <w:t xml:space="preserve">CallingPost Website, About Us, </w:t>
      </w:r>
      <w:hyperlink r:id="rId2" w:history="1">
        <w:r w:rsidR="00A15D99" w:rsidRPr="00CA29F4">
          <w:rPr>
            <w:rStyle w:val="Hyperlink"/>
          </w:rPr>
          <w:t>http://www.callingpost.com/about-callingpost</w:t>
        </w:r>
      </w:hyperlink>
      <w:r w:rsidR="00A15D99">
        <w:t xml:space="preserve"> </w:t>
      </w:r>
      <w:r>
        <w:t xml:space="preserve">(last visited </w:t>
      </w:r>
      <w:r w:rsidR="00A15D99">
        <w:t>Jul. 8</w:t>
      </w:r>
      <w:r>
        <w:t>, 2014).  A prominent banner on the top of CallingPost’s website proclaims “Over 1 Billion Messages Served</w:t>
      </w:r>
      <w:r w:rsidR="008B6813">
        <w:t xml:space="preserve"> </w:t>
      </w:r>
      <w:r>
        <w:t xml:space="preserve">. . . And Counting!” </w:t>
      </w:r>
      <w:r w:rsidR="008B6813">
        <w:t xml:space="preserve"> </w:t>
      </w:r>
      <w:r>
        <w:rPr>
          <w:i/>
        </w:rPr>
        <w:t>See Id.</w:t>
      </w:r>
    </w:p>
  </w:footnote>
  <w:footnote w:id="3">
    <w:p w:rsidR="00024F57" w:rsidRDefault="00024F57" w:rsidP="00024F57">
      <w:pPr>
        <w:pStyle w:val="FootnoteText"/>
      </w:pPr>
      <w:r>
        <w:rPr>
          <w:rStyle w:val="FootnoteReference"/>
        </w:rPr>
        <w:footnoteRef/>
      </w:r>
      <w:r>
        <w:t xml:space="preserve"> Letter from Richard A. Hindman, Chief, Telecommunications Consumers Division, </w:t>
      </w:r>
      <w:r w:rsidR="007B242B">
        <w:t xml:space="preserve">FCC </w:t>
      </w:r>
      <w:r>
        <w:t xml:space="preserve">Enforcement Bureau, to CallingPost Communications, Inc. (Feb. 8, 2013) (on file in EB-TCD-12-00005015) (LOI).  </w:t>
      </w:r>
    </w:p>
  </w:footnote>
  <w:footnote w:id="4">
    <w:p w:rsidR="00024F57" w:rsidRPr="00332151" w:rsidRDefault="00024F57" w:rsidP="00024F57">
      <w:pPr>
        <w:pStyle w:val="FootnoteText"/>
      </w:pPr>
      <w:r>
        <w:rPr>
          <w:rStyle w:val="FootnoteReference"/>
        </w:rPr>
        <w:footnoteRef/>
      </w:r>
      <w:r>
        <w:t xml:space="preserve"> </w:t>
      </w:r>
      <w:r>
        <w:rPr>
          <w:i/>
        </w:rPr>
        <w:t xml:space="preserve">See </w:t>
      </w:r>
      <w:r>
        <w:t>47 U.S.C. § 227(b)(1)(A)(i)–(iii); 47 C.F.R. § 64.1200(a)(1)(i)–(iii)</w:t>
      </w:r>
      <w:r w:rsidR="00EB00F5">
        <w:t>.</w:t>
      </w:r>
    </w:p>
  </w:footnote>
  <w:footnote w:id="5">
    <w:p w:rsidR="004D1B7E" w:rsidRDefault="004D1B7E" w:rsidP="004D1B7E">
      <w:pPr>
        <w:pStyle w:val="FootnoteText"/>
      </w:pPr>
      <w:r>
        <w:rPr>
          <w:rStyle w:val="FootnoteReference"/>
        </w:rPr>
        <w:footnoteRef/>
      </w:r>
      <w:r>
        <w:t xml:space="preserve"> </w:t>
      </w:r>
      <w:r>
        <w:rPr>
          <w:i/>
        </w:rPr>
        <w:t>See</w:t>
      </w:r>
      <w:r>
        <w:t xml:space="preserve"> United States Postal Service, Proof of Delivery Record for Certified Mail No. </w:t>
      </w:r>
      <w:r w:rsidRPr="00920A16">
        <w:t>70090080000060695440</w:t>
      </w:r>
      <w:r>
        <w:t xml:space="preserve"> (on file in EB-TCD-12-00005015).</w:t>
      </w:r>
    </w:p>
  </w:footnote>
  <w:footnote w:id="6">
    <w:p w:rsidR="004D1B7E" w:rsidRPr="001036BD" w:rsidRDefault="004D1B7E" w:rsidP="004D1B7E">
      <w:pPr>
        <w:pStyle w:val="FootnoteText"/>
      </w:pPr>
      <w:r>
        <w:rPr>
          <w:rStyle w:val="FootnoteReference"/>
        </w:rPr>
        <w:footnoteRef/>
      </w:r>
      <w:r>
        <w:t xml:space="preserve"> </w:t>
      </w:r>
      <w:r>
        <w:rPr>
          <w:i/>
        </w:rPr>
        <w:t>See</w:t>
      </w:r>
      <w:r>
        <w:t xml:space="preserve"> E-mail from Phil Alexander, President, CallingPost Communications, Inc., to Kristi Thompson, Deputy Division Chief, and William Beckwith, Attorney</w:t>
      </w:r>
      <w:r w:rsidR="007B242B">
        <w:t xml:space="preserve"> </w:t>
      </w:r>
      <w:r>
        <w:t xml:space="preserve">Advisor, Telecommunications Consumers Division, </w:t>
      </w:r>
      <w:r w:rsidR="007B242B">
        <w:t xml:space="preserve">FCC </w:t>
      </w:r>
      <w:r>
        <w:t>Enforcement Bureau</w:t>
      </w:r>
      <w:r w:rsidR="007B242B">
        <w:t xml:space="preserve"> </w:t>
      </w:r>
      <w:r>
        <w:t>(Feb</w:t>
      </w:r>
      <w:r w:rsidR="008B6813">
        <w:t>.</w:t>
      </w:r>
      <w:r>
        <w:t xml:space="preserve"> 25, 2013, </w:t>
      </w:r>
      <w:r w:rsidR="007B242B">
        <w:t>20</w:t>
      </w:r>
      <w:r>
        <w:t>:42 E</w:t>
      </w:r>
      <w:r w:rsidR="007B242B">
        <w:t>D</w:t>
      </w:r>
      <w:r>
        <w:t>T) (on file in EB-TCD-12-00005015).</w:t>
      </w:r>
    </w:p>
  </w:footnote>
  <w:footnote w:id="7">
    <w:p w:rsidR="004D1B7E" w:rsidRPr="006368AA" w:rsidRDefault="004D1B7E" w:rsidP="004D1B7E">
      <w:pPr>
        <w:pStyle w:val="FootnoteText"/>
      </w:pPr>
      <w:r>
        <w:rPr>
          <w:rStyle w:val="FootnoteReference"/>
        </w:rPr>
        <w:footnoteRef/>
      </w:r>
      <w:r>
        <w:t xml:space="preserve"> </w:t>
      </w:r>
      <w:r>
        <w:rPr>
          <w:i/>
        </w:rPr>
        <w:t>See</w:t>
      </w:r>
      <w:r>
        <w:t xml:space="preserve"> E-mail from Kristi Thompson, Deputy Division Chief, Telecommunications Consumers Division, </w:t>
      </w:r>
      <w:r w:rsidR="007B242B">
        <w:t xml:space="preserve">FCC </w:t>
      </w:r>
      <w:r>
        <w:t>Enforcement Bureau, to Phil Alexander, President, CallingPost Communications, Inc. (Feb</w:t>
      </w:r>
      <w:r w:rsidR="008B6813">
        <w:t>.</w:t>
      </w:r>
      <w:r>
        <w:t xml:space="preserve"> 27, 2013, </w:t>
      </w:r>
      <w:r w:rsidR="007B242B">
        <w:t>17</w:t>
      </w:r>
      <w:r>
        <w:t>:11 E</w:t>
      </w:r>
      <w:r w:rsidR="007B242B">
        <w:t>D</w:t>
      </w:r>
      <w:r>
        <w:t>T) (on file in EB-TCD-12-00005015).</w:t>
      </w:r>
    </w:p>
  </w:footnote>
  <w:footnote w:id="8">
    <w:p w:rsidR="004D1B7E" w:rsidRDefault="004D1B7E" w:rsidP="004D1B7E">
      <w:pPr>
        <w:pStyle w:val="FootnoteText"/>
      </w:pPr>
      <w:r>
        <w:rPr>
          <w:rStyle w:val="FootnoteReference"/>
        </w:rPr>
        <w:footnoteRef/>
      </w:r>
      <w:r>
        <w:t xml:space="preserve"> </w:t>
      </w:r>
      <w:r>
        <w:rPr>
          <w:i/>
        </w:rPr>
        <w:t>See</w:t>
      </w:r>
      <w:r>
        <w:t xml:space="preserve"> E-mail from Kristi Thompson, Deputy Division Chief, Telecommunications Consumers Division, </w:t>
      </w:r>
      <w:r w:rsidR="00EB00F5">
        <w:t xml:space="preserve">FCC </w:t>
      </w:r>
      <w:r>
        <w:t xml:space="preserve">Enforcement Bureau, to Phil Alexander, President, CallingPost Communications, Inc. (May 1, 2013, </w:t>
      </w:r>
      <w:r w:rsidR="007B242B">
        <w:t>16</w:t>
      </w:r>
      <w:r>
        <w:t>:15 EDT) (on file in EB-TCD-12-00005015).</w:t>
      </w:r>
    </w:p>
  </w:footnote>
  <w:footnote w:id="9">
    <w:p w:rsidR="004D1B7E" w:rsidRPr="006368AA" w:rsidRDefault="004D1B7E" w:rsidP="004D1B7E">
      <w:pPr>
        <w:pStyle w:val="FootnoteText"/>
      </w:pPr>
      <w:r>
        <w:rPr>
          <w:rStyle w:val="FootnoteReference"/>
        </w:rPr>
        <w:footnoteRef/>
      </w:r>
      <w:r>
        <w:t xml:space="preserve"> </w:t>
      </w:r>
      <w:r>
        <w:rPr>
          <w:i/>
        </w:rPr>
        <w:t xml:space="preserve">See </w:t>
      </w:r>
      <w:r>
        <w:t xml:space="preserve">E-mail from Phil Alexander, President, CallingPost Communications, Inc., to Kristi Thompson, Deputy Division Chief, Telecommunications Consumers Division, </w:t>
      </w:r>
      <w:r w:rsidR="00EB00F5">
        <w:t xml:space="preserve">FCC </w:t>
      </w:r>
      <w:r>
        <w:t>Enforcement Bureau</w:t>
      </w:r>
      <w:r w:rsidR="00EB00F5">
        <w:t xml:space="preserve"> </w:t>
      </w:r>
      <w:r>
        <w:t xml:space="preserve"> (May 1, 2013, </w:t>
      </w:r>
      <w:r w:rsidR="007B242B">
        <w:t>20</w:t>
      </w:r>
      <w:r>
        <w:t>:54 EDT) (on file in EB-TCD-12-00005015).</w:t>
      </w:r>
    </w:p>
  </w:footnote>
  <w:footnote w:id="10">
    <w:p w:rsidR="00AE78E0" w:rsidRDefault="00AE78E0">
      <w:pPr>
        <w:pStyle w:val="FootnoteText"/>
      </w:pPr>
      <w:r>
        <w:rPr>
          <w:rStyle w:val="FootnoteReference"/>
        </w:rPr>
        <w:footnoteRef/>
      </w:r>
      <w:r>
        <w:t xml:space="preserve"> </w:t>
      </w:r>
      <w:r>
        <w:rPr>
          <w:i/>
        </w:rPr>
        <w:t>See</w:t>
      </w:r>
      <w:r>
        <w:t xml:space="preserve"> E-mail from Kristi Thompson, Deputy Division Chief, Telecommunications Consumers Division, FCC Enforcement Bureau, to Phil Alexander, President, CallingPost Communications, Inc. (May 21, 2013, 10:28 EDT) (on file in EB-TCD-12-00005015).</w:t>
      </w:r>
    </w:p>
  </w:footnote>
  <w:footnote w:id="11">
    <w:p w:rsidR="004D1B7E" w:rsidRDefault="004D1B7E" w:rsidP="004D1B7E">
      <w:pPr>
        <w:pStyle w:val="FootnoteText"/>
      </w:pPr>
      <w:r>
        <w:rPr>
          <w:rStyle w:val="FootnoteReference"/>
        </w:rPr>
        <w:footnoteRef/>
      </w:r>
      <w:r>
        <w:t xml:space="preserve"> E-mail from Phil Alexander, President, CallingPost Communications, Inc., to Kristi Thompson, Deputy Division Chief, Telecommunications Consumers Division, </w:t>
      </w:r>
      <w:r w:rsidR="00EB00F5">
        <w:t xml:space="preserve">FCC </w:t>
      </w:r>
      <w:r>
        <w:t xml:space="preserve">Enforcement Bureau (June 1, 2013, </w:t>
      </w:r>
      <w:r w:rsidR="007B242B">
        <w:t>23</w:t>
      </w:r>
      <w:r>
        <w:t>:56EDT) (on file in EB-TCD-12-00005015).</w:t>
      </w:r>
    </w:p>
  </w:footnote>
  <w:footnote w:id="12">
    <w:p w:rsidR="006F6A64" w:rsidRPr="002550E4" w:rsidRDefault="006F6A64">
      <w:pPr>
        <w:pStyle w:val="FootnoteText"/>
      </w:pPr>
      <w:r>
        <w:rPr>
          <w:rStyle w:val="FootnoteReference"/>
        </w:rPr>
        <w:footnoteRef/>
      </w:r>
      <w:r>
        <w:t xml:space="preserve"> </w:t>
      </w:r>
      <w:r w:rsidR="002C7F54">
        <w:rPr>
          <w:i/>
        </w:rPr>
        <w:t>CallingPost Commc</w:t>
      </w:r>
      <w:r w:rsidR="00B07E17">
        <w:rPr>
          <w:i/>
        </w:rPr>
        <w:t>’</w:t>
      </w:r>
      <w:r w:rsidR="002C7F54">
        <w:rPr>
          <w:i/>
        </w:rPr>
        <w:t>ns, Inc.</w:t>
      </w:r>
      <w:r>
        <w:t>, Citation</w:t>
      </w:r>
      <w:r w:rsidR="006B5D44">
        <w:t xml:space="preserve"> - Failure to Comply </w:t>
      </w:r>
      <w:r w:rsidR="007B242B">
        <w:t>w</w:t>
      </w:r>
      <w:r w:rsidR="006B5D44">
        <w:t>ith an FCC Order</w:t>
      </w:r>
      <w:r>
        <w:t xml:space="preserve">, </w:t>
      </w:r>
      <w:r w:rsidR="00BB495B">
        <w:t>28 FCC Rcd 9016</w:t>
      </w:r>
      <w:r w:rsidR="004D1B7E">
        <w:t xml:space="preserve"> (Enf. Bur.</w:t>
      </w:r>
      <w:r>
        <w:t xml:space="preserve"> 2013) (Citation).</w:t>
      </w:r>
    </w:p>
  </w:footnote>
  <w:footnote w:id="13">
    <w:p w:rsidR="00874095" w:rsidRPr="00874095" w:rsidRDefault="00874095">
      <w:pPr>
        <w:pStyle w:val="FootnoteText"/>
      </w:pPr>
      <w:r>
        <w:rPr>
          <w:rStyle w:val="FootnoteReference"/>
        </w:rPr>
        <w:footnoteRef/>
      </w:r>
      <w:r>
        <w:t xml:space="preserve"> </w:t>
      </w:r>
      <w:r>
        <w:rPr>
          <w:i/>
        </w:rPr>
        <w:t>Id</w:t>
      </w:r>
      <w:r>
        <w:t>. at 9019, para. 8.</w:t>
      </w:r>
    </w:p>
  </w:footnote>
  <w:footnote w:id="14">
    <w:p w:rsidR="008E5324" w:rsidRPr="00BB495B" w:rsidRDefault="008E5324">
      <w:pPr>
        <w:pStyle w:val="FootnoteText"/>
      </w:pPr>
      <w:r>
        <w:rPr>
          <w:rStyle w:val="FootnoteReference"/>
        </w:rPr>
        <w:footnoteRef/>
      </w:r>
      <w:r>
        <w:t xml:space="preserve"> </w:t>
      </w:r>
      <w:r>
        <w:rPr>
          <w:i/>
        </w:rPr>
        <w:t>Id.</w:t>
      </w:r>
      <w:r w:rsidR="00874095">
        <w:rPr>
          <w:i/>
        </w:rPr>
        <w:t xml:space="preserve"> </w:t>
      </w:r>
      <w:r w:rsidR="00BB495B">
        <w:t>at 9019, para. 9.</w:t>
      </w:r>
    </w:p>
  </w:footnote>
  <w:footnote w:id="15">
    <w:p w:rsidR="00954069" w:rsidRDefault="00954069">
      <w:pPr>
        <w:pStyle w:val="FootnoteText"/>
      </w:pPr>
      <w:r>
        <w:rPr>
          <w:rStyle w:val="FootnoteReference"/>
        </w:rPr>
        <w:footnoteRef/>
      </w:r>
      <w:r>
        <w:t xml:space="preserve"> E</w:t>
      </w:r>
      <w:r w:rsidR="00B07E17">
        <w:t>-</w:t>
      </w:r>
      <w:r>
        <w:t xml:space="preserve">mail and Letter Attachment from Phil Alexander, President, CallingPost Communications, Inc., to Kristi Thompson, Deputy Division Chief, Telecommunications Consumers Division, </w:t>
      </w:r>
      <w:r w:rsidR="007B242B">
        <w:t xml:space="preserve">FCC </w:t>
      </w:r>
      <w:r>
        <w:t>Enforcement Bureau</w:t>
      </w:r>
      <w:r w:rsidR="007B242B">
        <w:t xml:space="preserve"> </w:t>
      </w:r>
      <w:r>
        <w:t xml:space="preserve">(Jul. 27, 2013, </w:t>
      </w:r>
      <w:r w:rsidR="007B242B">
        <w:t>00</w:t>
      </w:r>
      <w:r>
        <w:t>:16EDT) (on file in EB-TCD-12-00005015)</w:t>
      </w:r>
      <w:r w:rsidR="007C1457">
        <w:t xml:space="preserve"> (Citation Response)</w:t>
      </w:r>
      <w:r>
        <w:t>.</w:t>
      </w:r>
    </w:p>
  </w:footnote>
  <w:footnote w:id="16">
    <w:p w:rsidR="00B34F8E" w:rsidRPr="00B34F8E" w:rsidRDefault="00B34F8E">
      <w:pPr>
        <w:pStyle w:val="FootnoteText"/>
      </w:pPr>
      <w:r>
        <w:rPr>
          <w:rStyle w:val="FootnoteReference"/>
        </w:rPr>
        <w:footnoteRef/>
      </w:r>
      <w:r>
        <w:t xml:space="preserve"> </w:t>
      </w:r>
      <w:r>
        <w:rPr>
          <w:i/>
        </w:rPr>
        <w:t>Id</w:t>
      </w:r>
      <w:r>
        <w:t>.</w:t>
      </w:r>
    </w:p>
  </w:footnote>
  <w:footnote w:id="17">
    <w:p w:rsidR="006F6A64" w:rsidRDefault="006F6A64">
      <w:pPr>
        <w:pStyle w:val="FootnoteText"/>
      </w:pPr>
      <w:r>
        <w:rPr>
          <w:rStyle w:val="FootnoteReference"/>
        </w:rPr>
        <w:footnoteRef/>
      </w:r>
      <w:r>
        <w:t xml:space="preserve"> 47 U.S.C. § 503(b)(1)(B)</w:t>
      </w:r>
      <w:r w:rsidR="00545BFF">
        <w:t xml:space="preserve">.  </w:t>
      </w:r>
      <w:r w:rsidR="00545BFF" w:rsidRPr="00024F57">
        <w:rPr>
          <w:i/>
        </w:rPr>
        <w:t>See also</w:t>
      </w:r>
      <w:r w:rsidR="00545BFF">
        <w:t xml:space="preserve"> </w:t>
      </w:r>
      <w:r>
        <w:t xml:space="preserve">47 C.F.R. § 1.80(a)(1). </w:t>
      </w:r>
    </w:p>
  </w:footnote>
  <w:footnote w:id="18">
    <w:p w:rsidR="006F6A64" w:rsidRPr="00977843" w:rsidRDefault="006F6A64" w:rsidP="00C264A7">
      <w:pPr>
        <w:pStyle w:val="FootnoteText"/>
      </w:pPr>
      <w:r>
        <w:rPr>
          <w:rStyle w:val="FootnoteReference"/>
        </w:rPr>
        <w:footnoteRef/>
      </w:r>
      <w:r>
        <w:t xml:space="preserve"> 47 U.S.C. § 503(b)(1)(B). </w:t>
      </w:r>
      <w:r w:rsidR="00545BFF">
        <w:t xml:space="preserve"> </w:t>
      </w:r>
      <w:r>
        <w:rPr>
          <w:i/>
        </w:rPr>
        <w:t>See</w:t>
      </w:r>
      <w:r>
        <w:t xml:space="preserve"> </w:t>
      </w:r>
      <w:r w:rsidR="000E03DC">
        <w:rPr>
          <w:i/>
        </w:rPr>
        <w:t xml:space="preserve">also </w:t>
      </w:r>
      <w:r>
        <w:rPr>
          <w:i/>
        </w:rPr>
        <w:t>Conexions, LLC d/b/a Conexion Wireless</w:t>
      </w:r>
      <w:r>
        <w:t xml:space="preserve">, Notice of Apparent Liability for Forfeiture and Order, </w:t>
      </w:r>
      <w:r w:rsidR="00A92045">
        <w:t>28 FCC Rcd 15318</w:t>
      </w:r>
      <w:r>
        <w:t xml:space="preserve"> (2013);</w:t>
      </w:r>
      <w:r>
        <w:rPr>
          <w:i/>
        </w:rPr>
        <w:t xml:space="preserve"> Technical Commc’n Network, LLC</w:t>
      </w:r>
      <w:r>
        <w:t xml:space="preserve">, Notice of Apparent Liability for Forfeiture and Order, 28 FCC Rcd 1018 (Enf. Bur. 2013); </w:t>
      </w:r>
      <w:r>
        <w:rPr>
          <w:i/>
        </w:rPr>
        <w:t>Google, Inc.</w:t>
      </w:r>
      <w:r>
        <w:t>, Notice of Apparent Liability for Forfeiture, 27 FCC Rcd 4012 (Enf. Bur. 2012)</w:t>
      </w:r>
      <w:r w:rsidR="00C26EFD">
        <w:t xml:space="preserve"> (</w:t>
      </w:r>
      <w:r w:rsidR="00C26EFD" w:rsidRPr="00024F57">
        <w:rPr>
          <w:i/>
        </w:rPr>
        <w:t>Google NAL</w:t>
      </w:r>
      <w:r w:rsidR="00C26EFD">
        <w:t>)</w:t>
      </w:r>
      <w:r>
        <w:t xml:space="preserve">; </w:t>
      </w:r>
      <w:r>
        <w:rPr>
          <w:i/>
        </w:rPr>
        <w:t>Net One Int’l</w:t>
      </w:r>
      <w:r w:rsidR="00664EB6">
        <w:rPr>
          <w:i/>
        </w:rPr>
        <w:t>,</w:t>
      </w:r>
      <w:r>
        <w:rPr>
          <w:i/>
        </w:rPr>
        <w:t xml:space="preserve"> Net One, LLC</w:t>
      </w:r>
      <w:r w:rsidR="00664EB6">
        <w:rPr>
          <w:i/>
        </w:rPr>
        <w:t>,</w:t>
      </w:r>
      <w:r>
        <w:rPr>
          <w:i/>
        </w:rPr>
        <w:t xml:space="preserve"> Farrahtel Int’l, LLC</w:t>
      </w:r>
      <w:r>
        <w:t>, Notice of Apparent Liability for Forfeiture and Order, 26 FCC Rcd 16493 (Enf. Bur. 2011)</w:t>
      </w:r>
      <w:r w:rsidR="00D14F04">
        <w:t xml:space="preserve"> (</w:t>
      </w:r>
      <w:r w:rsidR="00D14F04" w:rsidRPr="00024F57">
        <w:rPr>
          <w:i/>
        </w:rPr>
        <w:t>Net One NAL</w:t>
      </w:r>
      <w:r w:rsidR="00D14F04">
        <w:t>)</w:t>
      </w:r>
      <w:r>
        <w:t>;</w:t>
      </w:r>
      <w:r w:rsidR="00A92045" w:rsidRPr="00A92045">
        <w:rPr>
          <w:i/>
        </w:rPr>
        <w:t xml:space="preserve"> </w:t>
      </w:r>
      <w:r w:rsidR="00A92045">
        <w:rPr>
          <w:i/>
        </w:rPr>
        <w:t>SBC Comm</w:t>
      </w:r>
      <w:r w:rsidR="00545BFF">
        <w:rPr>
          <w:i/>
        </w:rPr>
        <w:t>c</w:t>
      </w:r>
      <w:r w:rsidR="00A92045">
        <w:rPr>
          <w:i/>
        </w:rPr>
        <w:t>’</w:t>
      </w:r>
      <w:r w:rsidR="00545BFF">
        <w:rPr>
          <w:i/>
        </w:rPr>
        <w:t>n</w:t>
      </w:r>
      <w:r w:rsidR="00A92045" w:rsidRPr="00DA26B8">
        <w:rPr>
          <w:i/>
        </w:rPr>
        <w:t>s, Inc</w:t>
      </w:r>
      <w:r w:rsidR="00A92045" w:rsidRPr="00DA26B8">
        <w:t>., Forfeiture Order, 17 FCC Rcd 7589 (2002)</w:t>
      </w:r>
      <w:r>
        <w:t>.</w:t>
      </w:r>
    </w:p>
  </w:footnote>
  <w:footnote w:id="19">
    <w:p w:rsidR="0018478E" w:rsidRDefault="0018478E">
      <w:pPr>
        <w:pStyle w:val="FootnoteText"/>
      </w:pPr>
      <w:r>
        <w:rPr>
          <w:rStyle w:val="FootnoteReference"/>
        </w:rPr>
        <w:footnoteRef/>
      </w:r>
      <w:r>
        <w:t xml:space="preserve"> </w:t>
      </w:r>
      <w:r w:rsidR="00E426D6" w:rsidRPr="00024F57">
        <w:rPr>
          <w:i/>
        </w:rPr>
        <w:t>See</w:t>
      </w:r>
      <w:r w:rsidR="00E426D6">
        <w:t xml:space="preserve"> </w:t>
      </w:r>
      <w:r>
        <w:t>47 U.S.C. § 155(c)(3)</w:t>
      </w:r>
      <w:r w:rsidR="00BA26D4">
        <w:t xml:space="preserve"> </w:t>
      </w:r>
      <w:r>
        <w:t>(“Any order . . . or action made or taken pursuant to any [ ] delegation . . . shall have the same force and effect . . . and [be] enforced in the same manner, as orders . . . of the Commission”).</w:t>
      </w:r>
    </w:p>
  </w:footnote>
  <w:footnote w:id="20">
    <w:p w:rsidR="00613BCB" w:rsidRDefault="00613BCB">
      <w:pPr>
        <w:pStyle w:val="FootnoteText"/>
      </w:pPr>
      <w:r>
        <w:rPr>
          <w:rStyle w:val="FootnoteReference"/>
        </w:rPr>
        <w:footnoteRef/>
      </w:r>
      <w:r>
        <w:t xml:space="preserve"> </w:t>
      </w:r>
      <w:r w:rsidR="00664EB6">
        <w:t>Citation, 28 FCC Rcd at 9018</w:t>
      </w:r>
      <w:r w:rsidR="00545BFF">
        <w:t>–</w:t>
      </w:r>
      <w:r w:rsidR="00664EB6">
        <w:t>19, para. 8.</w:t>
      </w:r>
    </w:p>
  </w:footnote>
  <w:footnote w:id="21">
    <w:p w:rsidR="00B54455" w:rsidRDefault="00B54455">
      <w:pPr>
        <w:pStyle w:val="FootnoteText"/>
      </w:pPr>
      <w:r>
        <w:rPr>
          <w:rStyle w:val="FootnoteReference"/>
        </w:rPr>
        <w:footnoteRef/>
      </w:r>
      <w:r w:rsidR="00B34F8E">
        <w:t xml:space="preserve"> </w:t>
      </w:r>
      <w:r w:rsidR="00664EB6">
        <w:rPr>
          <w:i/>
        </w:rPr>
        <w:t>Id.</w:t>
      </w:r>
    </w:p>
  </w:footnote>
  <w:footnote w:id="22">
    <w:p w:rsidR="006F6A64" w:rsidRDefault="006F6A64">
      <w:pPr>
        <w:pStyle w:val="FootnoteText"/>
      </w:pPr>
      <w:r>
        <w:rPr>
          <w:rStyle w:val="FootnoteReference"/>
        </w:rPr>
        <w:footnoteRef/>
      </w:r>
      <w:r>
        <w:t xml:space="preserve"> 47 U.S.C. § 503(b)(2)(D); 47 </w:t>
      </w:r>
      <w:r w:rsidR="007B242B">
        <w:t>C.F.R.</w:t>
      </w:r>
      <w:r>
        <w:t xml:space="preserve"> § 1.80(b)(7).</w:t>
      </w:r>
      <w:r w:rsidR="00CA7C34">
        <w:t xml:space="preserve">  Section 503(b)(2)(D) provides for forfeitures of up to $10,000 for each violation or each day of a continuing violation, up to a maximum of $75,000 for a single continuing violation in cases, as here, where the violation does not involve a Commission licensee or common carriers, among others.  </w:t>
      </w:r>
      <w:r w:rsidR="00CA7C34">
        <w:rPr>
          <w:i/>
        </w:rPr>
        <w:t>See</w:t>
      </w:r>
      <w:r w:rsidR="00CA7C34">
        <w:t xml:space="preserve"> 47 U.S.C. § 503(b)(2)(D).  In accordance with the inflation adjustment requirements contained in the Debt Collection Improvement Act of 1996, Pub. L. No. 104-134, Sec. 31001, 110 Stat. 1321, the Commission implemented an increase of the maximum statutory forfeiture under section 503(b)(2)(D) to $16,000 for each violation or each day of a continuing violation, up to a maximum of $112,500 for any single continuing violation.  </w:t>
      </w:r>
      <w:r w:rsidR="00CA7C34">
        <w:rPr>
          <w:i/>
        </w:rPr>
        <w:t>See</w:t>
      </w:r>
      <w:r w:rsidR="00CA7C34">
        <w:t xml:space="preserve"> 47 C.F.R. § 1.80(b).  </w:t>
      </w:r>
      <w:r w:rsidR="00CA7C34">
        <w:rPr>
          <w:i/>
        </w:rPr>
        <w:t>See also Amendment of Section 1.80(b) of the Commission’s Rules, Adjustment of Forfeiture Maxima to Reflect Inflation,</w:t>
      </w:r>
      <w:r w:rsidR="00CA7C34">
        <w:t xml:space="preserve"> 23 FCC Rcd 9845 (2008).  In 2013, the Commission increased its maximum statutory forfeitures to reflect further inflation.  </w:t>
      </w:r>
      <w:r w:rsidR="00CA7C34">
        <w:rPr>
          <w:i/>
        </w:rPr>
        <w:t>See</w:t>
      </w:r>
      <w:r w:rsidR="00CA7C34">
        <w:t xml:space="preserve"> </w:t>
      </w:r>
      <w:r w:rsidR="00CA7C34">
        <w:rPr>
          <w:i/>
        </w:rPr>
        <w:t>Amendment Of Section 1.80(b) Of The Commission's Rules, Adjustment of Civil Monetary Penalties to Reflect Inflation</w:t>
      </w:r>
      <w:r w:rsidR="00CA7C34">
        <w:t xml:space="preserve">, Order, </w:t>
      </w:r>
      <w:r w:rsidR="00CA7C34">
        <w:rPr>
          <w:snapToGrid w:val="0"/>
        </w:rPr>
        <w:t xml:space="preserve">28 FCC Rcd 10785 (Enf. Bur. 2013); </w:t>
      </w:r>
      <w:r w:rsidR="00CA7C34">
        <w:rPr>
          <w:i/>
          <w:snapToGrid w:val="0"/>
        </w:rPr>
        <w:t>see also</w:t>
      </w:r>
      <w:r w:rsidR="00CA7C34">
        <w:rPr>
          <w:snapToGrid w:val="0"/>
        </w:rPr>
        <w:t xml:space="preserve"> Inflation Adjustment of Monetary Penalties, 78 Fed. Reg. 49,370-01 (Aug. 14, 2013) (setting Sept. 13, 2013, as the effective date for the increases).</w:t>
      </w:r>
    </w:p>
  </w:footnote>
  <w:footnote w:id="23">
    <w:p w:rsidR="006F6A64" w:rsidRDefault="006F6A64">
      <w:pPr>
        <w:pStyle w:val="FootnoteText"/>
      </w:pPr>
      <w:r>
        <w:rPr>
          <w:rStyle w:val="FootnoteReference"/>
        </w:rPr>
        <w:footnoteRef/>
      </w:r>
      <w:r>
        <w:t xml:space="preserve"> 47 U.S.C. § 503(b)(2)(E); 47 C.F.R. § 1.80(b)(8). </w:t>
      </w:r>
    </w:p>
  </w:footnote>
  <w:footnote w:id="24">
    <w:p w:rsidR="006F6A64" w:rsidRDefault="006F6A64">
      <w:pPr>
        <w:pStyle w:val="FootnoteText"/>
      </w:pPr>
      <w:r>
        <w:rPr>
          <w:rStyle w:val="FootnoteReference"/>
        </w:rPr>
        <w:footnoteRef/>
      </w:r>
      <w:r>
        <w:t xml:space="preserve"> 47 C.F.R. § 1.80(b)(8) </w:t>
      </w:r>
      <w:r w:rsidR="00FE0DAA">
        <w:t xml:space="preserve">&amp; </w:t>
      </w:r>
      <w:r>
        <w:t>note.</w:t>
      </w:r>
    </w:p>
  </w:footnote>
  <w:footnote w:id="25">
    <w:p w:rsidR="00640146" w:rsidRPr="002D0F51" w:rsidRDefault="00640146" w:rsidP="00640146">
      <w:pPr>
        <w:pStyle w:val="FootnoteText"/>
      </w:pPr>
      <w:r>
        <w:rPr>
          <w:rStyle w:val="FootnoteReference"/>
        </w:rPr>
        <w:footnoteRef/>
      </w:r>
      <w:r>
        <w:t xml:space="preserve"> 47 C.F.R. § 1.80; </w:t>
      </w:r>
      <w:r>
        <w:rPr>
          <w:i/>
        </w:rPr>
        <w:t>The Commission’s Forfeiture Policy Statement and Amendment of Section 1.80 of the Rules to Incorporate the Forfeiture Guidelines</w:t>
      </w:r>
      <w:r>
        <w:t xml:space="preserve">, Report and Order, 12 FCC Rcd 17087, 17114, Appendix A, Section I (1997) </w:t>
      </w:r>
      <w:r>
        <w:rPr>
          <w:i/>
        </w:rPr>
        <w:t>recons. denied</w:t>
      </w:r>
      <w:r>
        <w:t>, 15 FCC Rcd 303 (1999) (</w:t>
      </w:r>
      <w:r>
        <w:rPr>
          <w:i/>
        </w:rPr>
        <w:t>Forfeiture Policy Statement</w:t>
      </w:r>
      <w:r>
        <w:t>).</w:t>
      </w:r>
    </w:p>
  </w:footnote>
  <w:footnote w:id="26">
    <w:p w:rsidR="00DA26B8" w:rsidRDefault="00DA26B8">
      <w:pPr>
        <w:pStyle w:val="FootnoteText"/>
      </w:pPr>
      <w:r>
        <w:rPr>
          <w:rStyle w:val="FootnoteReference"/>
        </w:rPr>
        <w:footnoteRef/>
      </w:r>
      <w:r>
        <w:t xml:space="preserve"> </w:t>
      </w:r>
      <w:r w:rsidR="00095984" w:rsidRPr="00DA26B8">
        <w:rPr>
          <w:i/>
        </w:rPr>
        <w:t>See</w:t>
      </w:r>
      <w:r w:rsidR="00095984">
        <w:t xml:space="preserve"> </w:t>
      </w:r>
      <w:r w:rsidR="00D14F04" w:rsidRPr="00024F57">
        <w:rPr>
          <w:i/>
        </w:rPr>
        <w:t>generally</w:t>
      </w:r>
      <w:r w:rsidR="00D14F04">
        <w:t xml:space="preserve"> </w:t>
      </w:r>
      <w:r w:rsidR="00095984">
        <w:rPr>
          <w:i/>
        </w:rPr>
        <w:t>Google</w:t>
      </w:r>
      <w:r w:rsidR="00C26EFD">
        <w:rPr>
          <w:i/>
        </w:rPr>
        <w:t xml:space="preserve"> NAL</w:t>
      </w:r>
      <w:r w:rsidR="00095984" w:rsidRPr="00024F57">
        <w:t>,</w:t>
      </w:r>
      <w:r w:rsidR="00095984" w:rsidRPr="00DA26B8">
        <w:rPr>
          <w:i/>
        </w:rPr>
        <w:t xml:space="preserve"> </w:t>
      </w:r>
      <w:r w:rsidR="00095984">
        <w:t>27 FCC Rcd 4012.</w:t>
      </w:r>
    </w:p>
  </w:footnote>
  <w:footnote w:id="27">
    <w:p w:rsidR="00DA26B8" w:rsidRDefault="00DA26B8">
      <w:pPr>
        <w:pStyle w:val="FootnoteText"/>
      </w:pPr>
      <w:r>
        <w:rPr>
          <w:rStyle w:val="FootnoteReference"/>
        </w:rPr>
        <w:footnoteRef/>
      </w:r>
      <w:r>
        <w:t xml:space="preserve"> </w:t>
      </w:r>
      <w:r w:rsidRPr="00DA26B8">
        <w:rPr>
          <w:i/>
        </w:rPr>
        <w:t>See</w:t>
      </w:r>
      <w:r>
        <w:t xml:space="preserve"> </w:t>
      </w:r>
      <w:r w:rsidRPr="00DA26B8">
        <w:rPr>
          <w:i/>
        </w:rPr>
        <w:t>Fox Television Stations, Inc.</w:t>
      </w:r>
      <w:r w:rsidRPr="00024F57">
        <w:t>,</w:t>
      </w:r>
      <w:r w:rsidRPr="00DA26B8">
        <w:t xml:space="preserve"> Notice of Apparent Liability for Forfeiture, 25 FCC Rcd 7074 (</w:t>
      </w:r>
      <w:r w:rsidR="00095984">
        <w:t xml:space="preserve">Enf. Bur. </w:t>
      </w:r>
      <w:r w:rsidRPr="00DA26B8">
        <w:t>2010)</w:t>
      </w:r>
      <w:r w:rsidR="00C26EFD">
        <w:t xml:space="preserve"> (</w:t>
      </w:r>
      <w:r w:rsidR="00C26EFD" w:rsidRPr="00024F57">
        <w:rPr>
          <w:i/>
        </w:rPr>
        <w:t>Fox NAL</w:t>
      </w:r>
      <w:r w:rsidR="00C26EFD">
        <w:t>)</w:t>
      </w:r>
      <w:r>
        <w:t>.</w:t>
      </w:r>
    </w:p>
  </w:footnote>
  <w:footnote w:id="28">
    <w:p w:rsidR="005A3DEB" w:rsidRPr="005A3DEB" w:rsidRDefault="005A3DEB">
      <w:pPr>
        <w:pStyle w:val="FootnoteText"/>
      </w:pPr>
      <w:r>
        <w:rPr>
          <w:rStyle w:val="FootnoteReference"/>
        </w:rPr>
        <w:footnoteRef/>
      </w:r>
      <w:r>
        <w:t xml:space="preserve"> </w:t>
      </w:r>
      <w:r>
        <w:rPr>
          <w:i/>
        </w:rPr>
        <w:t xml:space="preserve">See </w:t>
      </w:r>
      <w:r>
        <w:t>47 U.S.C. § 503(b)(2)(E); 47 C.F.R. § 1.80(b)(8) &amp; note.</w:t>
      </w:r>
    </w:p>
  </w:footnote>
  <w:footnote w:id="29">
    <w:p w:rsidR="00613BCB" w:rsidRPr="00BB495B" w:rsidRDefault="00613BCB">
      <w:pPr>
        <w:pStyle w:val="FootnoteText"/>
        <w:rPr>
          <w:i/>
        </w:rPr>
      </w:pPr>
      <w:r>
        <w:rPr>
          <w:rStyle w:val="FootnoteReference"/>
        </w:rPr>
        <w:footnoteRef/>
      </w:r>
      <w:r>
        <w:t xml:space="preserve"> </w:t>
      </w:r>
      <w:r w:rsidR="00BB495B">
        <w:rPr>
          <w:i/>
        </w:rPr>
        <w:t xml:space="preserve">See Net One </w:t>
      </w:r>
      <w:r w:rsidR="00D14F04">
        <w:rPr>
          <w:i/>
        </w:rPr>
        <w:t>NAL</w:t>
      </w:r>
      <w:r w:rsidR="00BB495B">
        <w:t xml:space="preserve">, 26 FCC Rcd </w:t>
      </w:r>
      <w:r w:rsidR="00D14F04">
        <w:t>at</w:t>
      </w:r>
      <w:r w:rsidR="00BB495B">
        <w:t xml:space="preserve"> 16495</w:t>
      </w:r>
      <w:r w:rsidR="00D14F04">
        <w:t>,</w:t>
      </w:r>
      <w:r w:rsidR="00BB495B">
        <w:t xml:space="preserve"> para. 7</w:t>
      </w:r>
      <w:r w:rsidR="00D14F04">
        <w:t xml:space="preserve"> (</w:t>
      </w:r>
      <w:r w:rsidR="00D14F04" w:rsidRPr="00024F57">
        <w:rPr>
          <w:i/>
        </w:rPr>
        <w:t>quoting</w:t>
      </w:r>
      <w:r w:rsidR="00BB495B">
        <w:rPr>
          <w:i/>
        </w:rPr>
        <w:t xml:space="preserve"> </w:t>
      </w:r>
      <w:r w:rsidR="00BB495B" w:rsidRPr="00DA26B8">
        <w:rPr>
          <w:i/>
        </w:rPr>
        <w:t xml:space="preserve">Fox </w:t>
      </w:r>
      <w:r w:rsidR="00C26EFD">
        <w:rPr>
          <w:i/>
        </w:rPr>
        <w:t>NAL</w:t>
      </w:r>
      <w:r w:rsidR="00BB495B" w:rsidRPr="00024F57">
        <w:t>,</w:t>
      </w:r>
      <w:r w:rsidR="00BB495B" w:rsidRPr="00DA26B8">
        <w:t xml:space="preserve"> 25 FCC Rcd </w:t>
      </w:r>
      <w:r w:rsidR="000B4A50">
        <w:t>at</w:t>
      </w:r>
      <w:r w:rsidR="00BB495B">
        <w:t xml:space="preserve"> 7081</w:t>
      </w:r>
      <w:r w:rsidR="000B4A50">
        <w:t>,</w:t>
      </w:r>
      <w:r w:rsidR="00BB495B">
        <w:t xml:space="preserve"> para. 15</w:t>
      </w:r>
      <w:r w:rsidR="00D14F04">
        <w:t>)</w:t>
      </w:r>
      <w:r w:rsidR="00BB495B">
        <w:t>.</w:t>
      </w:r>
    </w:p>
  </w:footnote>
  <w:footnote w:id="30">
    <w:p w:rsidR="006C4FFA" w:rsidRDefault="006C4FFA">
      <w:pPr>
        <w:pStyle w:val="FootnoteText"/>
      </w:pPr>
      <w:r>
        <w:rPr>
          <w:rStyle w:val="FootnoteReference"/>
        </w:rPr>
        <w:footnoteRef/>
      </w:r>
      <w:r>
        <w:t xml:space="preserve"> 47 U.S.C. § 409(m).</w:t>
      </w:r>
    </w:p>
  </w:footnote>
  <w:footnote w:id="31">
    <w:p w:rsidR="00583B40" w:rsidRDefault="00583B40">
      <w:pPr>
        <w:pStyle w:val="FootnoteText"/>
      </w:pPr>
      <w:r>
        <w:rPr>
          <w:rStyle w:val="FootnoteReference"/>
        </w:rPr>
        <w:footnoteRef/>
      </w:r>
      <w:r>
        <w:t xml:space="preserve"> An FCC Form 159 and detailed instructions for completing the form may be obtained at </w:t>
      </w:r>
      <w:r w:rsidR="003E4DDD" w:rsidRPr="00024F57">
        <w:t>http://www.fcc.gov/Forms/Form159/159.pdf</w:t>
      </w:r>
      <w:r>
        <w:t xml:space="preserve">. </w:t>
      </w:r>
    </w:p>
  </w:footnote>
  <w:footnote w:id="32">
    <w:p w:rsidR="00E67813" w:rsidRDefault="00E67813" w:rsidP="00E67813">
      <w:pPr>
        <w:pStyle w:val="FootnoteText"/>
      </w:pPr>
      <w:r>
        <w:rPr>
          <w:rStyle w:val="FootnoteReference"/>
        </w:rPr>
        <w:footnoteRef/>
      </w:r>
      <w:r>
        <w:t xml:space="preserve"> </w:t>
      </w:r>
      <w:r>
        <w:rPr>
          <w:i/>
        </w:rPr>
        <w:t>See</w:t>
      </w:r>
      <w:r>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3EC" w:rsidRDefault="00A023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7A0" w:rsidRDefault="002577A0">
    <w:pPr>
      <w:pStyle w:val="Heading5"/>
      <w:numPr>
        <w:ilvl w:val="0"/>
        <w:numId w:val="0"/>
      </w:numPr>
      <w:ind w:left="2880"/>
    </w:pPr>
    <w:r>
      <w:t>Federal Communications Commission</w:t>
    </w:r>
    <w:r>
      <w:tab/>
    </w:r>
    <w:r>
      <w:tab/>
    </w:r>
    <w:r>
      <w:tab/>
      <w:t xml:space="preserve">     DA </w:t>
    </w:r>
    <w:r w:rsidR="006906B2" w:rsidRPr="00A15D99">
      <w:t>1</w:t>
    </w:r>
    <w:r w:rsidR="0066528A" w:rsidRPr="00A15D99">
      <w:t>4</w:t>
    </w:r>
    <w:r w:rsidR="006906B2" w:rsidRPr="00A15D99">
      <w:t>-</w:t>
    </w:r>
    <w:r w:rsidR="00A15D99">
      <w:t>972</w:t>
    </w:r>
  </w:p>
  <w:p w:rsidR="002577A0" w:rsidRDefault="00611263">
    <w:pPr>
      <w:tabs>
        <w:tab w:val="left" w:pos="-720"/>
      </w:tabs>
      <w:suppressAutoHyphens/>
      <w:spacing w:line="19" w:lineRule="exact"/>
      <w:jc w:val="both"/>
      <w:rPr>
        <w:spacing w:val="-2"/>
      </w:rPr>
    </w:pPr>
    <w:r>
      <w:rPr>
        <w:noProof/>
      </w:rPr>
      <mc:AlternateContent>
        <mc:Choice Requires="wps">
          <w:drawing>
            <wp:anchor distT="0" distB="0" distL="114300" distR="114300" simplePos="0" relativeHeight="251657216" behindDoc="1" locked="0" layoutInCell="0" allowOverlap="1" wp14:anchorId="7F82C180" wp14:editId="56463778">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rsidR="002577A0" w:rsidRDefault="002577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" o:allowincell="f" fillcolor="black" stroked="f" strokeweight=".05pt">
              <v:textbox>
                <w:txbxContent>
                  <w:p w:rsidR="002577A0" w:rsidRDefault="002577A0"/>
                </w:txbxContent>
              </v:textbox>
              <w10:wrap anchorx="margin"/>
            </v:rect>
          </w:pict>
        </mc:Fallback>
      </mc:AlternateContent>
    </w:r>
  </w:p>
  <w:p w:rsidR="002577A0" w:rsidRDefault="002577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430" w:rsidRDefault="002577A0" w:rsidP="00230430">
    <w:pPr>
      <w:pStyle w:val="Heading5"/>
      <w:numPr>
        <w:ilvl w:val="0"/>
        <w:numId w:val="0"/>
      </w:numPr>
      <w:ind w:left="2880"/>
    </w:pPr>
    <w:r>
      <w:t xml:space="preserve"> </w:t>
    </w:r>
    <w:r w:rsidR="00230430">
      <w:t>Federal Communications Commission</w:t>
    </w:r>
    <w:r w:rsidR="00230430">
      <w:tab/>
    </w:r>
    <w:r w:rsidR="00230430">
      <w:tab/>
      <w:t xml:space="preserve">     DA </w:t>
    </w:r>
    <w:r w:rsidR="00230430" w:rsidRPr="00A15D99">
      <w:t>14-</w:t>
    </w:r>
    <w:r w:rsidR="00A15D99">
      <w:t>972</w:t>
    </w:r>
  </w:p>
  <w:p w:rsidR="00230430" w:rsidRDefault="00230430" w:rsidP="00230430">
    <w:pPr>
      <w:tabs>
        <w:tab w:val="left" w:pos="-720"/>
      </w:tabs>
      <w:suppressAutoHyphens/>
      <w:spacing w:line="19" w:lineRule="exact"/>
      <w:jc w:val="both"/>
      <w:rPr>
        <w:spacing w:val="-2"/>
      </w:rPr>
    </w:pPr>
    <w:r>
      <w:rPr>
        <w:noProof/>
      </w:rPr>
      <mc:AlternateContent>
        <mc:Choice Requires="wps">
          <w:drawing>
            <wp:anchor distT="0" distB="0" distL="114300" distR="114300" simplePos="0" relativeHeight="251660288" behindDoc="1" locked="0" layoutInCell="0" allowOverlap="1" wp14:anchorId="3685180C" wp14:editId="2AF8482C">
              <wp:simplePos x="0" y="0"/>
              <wp:positionH relativeFrom="margin">
                <wp:posOffset>0</wp:posOffset>
              </wp:positionH>
              <wp:positionV relativeFrom="paragraph">
                <wp:posOffset>0</wp:posOffset>
              </wp:positionV>
              <wp:extent cx="5943600" cy="12065"/>
              <wp:effectExtent l="0" t="0" r="0" b="698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rsidR="00230430" w:rsidRDefault="00230430" w:rsidP="002304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0;margin-top:0;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" o:allowincell="f" fillcolor="black" stroked="f" strokeweight=".05pt">
              <v:textbox>
                <w:txbxContent>
                  <w:p w:rsidR="00230430" w:rsidRDefault="00230430" w:rsidP="00230430"/>
                </w:txbxContent>
              </v:textbox>
              <w10:wrap anchorx="margin"/>
            </v:rect>
          </w:pict>
        </mc:Fallback>
      </mc:AlternateContent>
    </w:r>
  </w:p>
  <w:p w:rsidR="00230430" w:rsidRDefault="00230430" w:rsidP="00230430">
    <w:pPr>
      <w:pStyle w:val="Header"/>
    </w:pPr>
  </w:p>
  <w:p w:rsidR="002577A0" w:rsidRDefault="00976272">
    <w:pPr>
      <w:pStyle w:val="Heading5"/>
      <w:numPr>
        <w:ilvl w:val="0"/>
        <w:numId w:val="0"/>
      </w:numPr>
      <w:ind w:left="2880"/>
    </w:pPr>
    <w:bookmarkStart w:id="1" w:name="_MON_1458743111"/>
    <w:bookmarkEnd w:id="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75pt;height:684.75pt">
          <v:imagedata r:id="rId1" o:title=""/>
        </v:shape>
      </w:pict>
    </w:r>
    <w:r w:rsidR="002577A0">
      <w:t>Communications Commission</w:t>
    </w:r>
    <w:r w:rsidR="002577A0">
      <w:tab/>
    </w:r>
    <w:r w:rsidR="002577A0">
      <w:tab/>
    </w:r>
    <w:r w:rsidR="002577A0">
      <w:tab/>
      <w:t xml:space="preserve">     </w:t>
    </w:r>
    <w:r w:rsidR="0066528A" w:rsidRPr="0066528A">
      <w:rPr>
        <w:highlight w:val="yellow"/>
      </w:rPr>
      <w:t>DA 14-XXX</w:t>
    </w:r>
  </w:p>
  <w:p w:rsidR="002577A0" w:rsidRDefault="00611263">
    <w:pPr>
      <w:tabs>
        <w:tab w:val="left" w:pos="-720"/>
      </w:tabs>
      <w:suppressAutoHyphens/>
      <w:spacing w:line="19" w:lineRule="exact"/>
      <w:jc w:val="both"/>
      <w:rPr>
        <w:spacing w:val="-2"/>
      </w:rPr>
    </w:pPr>
    <w:r>
      <w:rPr>
        <w:noProof/>
      </w:rPr>
      <mc:AlternateContent>
        <mc:Choice Requires="wps">
          <w:drawing>
            <wp:anchor distT="0" distB="0" distL="114300" distR="114300" simplePos="0" relativeHeight="251658240" behindDoc="1" locked="0" layoutInCell="0" allowOverlap="1" wp14:anchorId="46CEA53D" wp14:editId="00A5E1BE">
              <wp:simplePos x="0" y="0"/>
              <wp:positionH relativeFrom="margin">
                <wp:posOffset>0</wp:posOffset>
              </wp:positionH>
              <wp:positionV relativeFrom="paragraph">
                <wp:posOffset>0</wp:posOffset>
              </wp:positionV>
              <wp:extent cx="5943600" cy="12065"/>
              <wp:effectExtent l="0" t="0" r="0"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rsidR="002577A0" w:rsidRDefault="002577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" o:allowincell="f" fillcolor="black" stroked="f" strokeweight=".05pt">
              <v:textbox>
                <w:txbxContent>
                  <w:p w:rsidR="002577A0" w:rsidRDefault="002577A0"/>
                </w:txbxContent>
              </v:textbox>
              <w10:wrap anchorx="margin"/>
            </v:rect>
          </w:pict>
        </mc:Fallback>
      </mc:AlternateContent>
    </w:r>
  </w:p>
  <w:p w:rsidR="002577A0" w:rsidRDefault="002577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7E45"/>
    <w:multiLevelType w:val="hybridMultilevel"/>
    <w:tmpl w:val="E23A5CBE"/>
    <w:lvl w:ilvl="0" w:tplc="0D109B80">
      <w:start w:val="19"/>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5681479"/>
    <w:multiLevelType w:val="hybridMultilevel"/>
    <w:tmpl w:val="03042FB4"/>
    <w:lvl w:ilvl="0" w:tplc="C5E8E900">
      <w:start w:val="1"/>
      <w:numFmt w:val="decimal"/>
      <w:pStyle w:val="StyleParaNumLeft"/>
      <w:lvlText w:val="%1."/>
      <w:lvlJc w:val="left"/>
      <w:pPr>
        <w:tabs>
          <w:tab w:val="num" w:pos="1440"/>
        </w:tabs>
        <w:ind w:firstLine="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847748E"/>
    <w:multiLevelType w:val="hybridMultilevel"/>
    <w:tmpl w:val="94842D58"/>
    <w:lvl w:ilvl="0" w:tplc="175EF79A">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F2304F7"/>
    <w:multiLevelType w:val="singleLevel"/>
    <w:tmpl w:val="B4C46214"/>
    <w:lvl w:ilvl="0">
      <w:start w:val="16"/>
      <w:numFmt w:val="decimal"/>
      <w:lvlText w:val="%1."/>
      <w:lvlJc w:val="left"/>
      <w:pPr>
        <w:tabs>
          <w:tab w:val="num" w:pos="1080"/>
        </w:tabs>
        <w:ind w:left="0" w:firstLine="720"/>
      </w:pPr>
      <w:rPr>
        <w:rFonts w:hint="default"/>
        <w:b w:val="0"/>
        <w:sz w:val="22"/>
        <w:szCs w:val="22"/>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634D5A14"/>
    <w:multiLevelType w:val="hybridMultilevel"/>
    <w:tmpl w:val="5804214C"/>
    <w:lvl w:ilvl="0" w:tplc="EAA07DD8">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5D263B6"/>
    <w:multiLevelType w:val="hybridMultilevel"/>
    <w:tmpl w:val="57946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C2100B"/>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4">
    <w:nsid w:val="794B0A04"/>
    <w:multiLevelType w:val="hybridMultilevel"/>
    <w:tmpl w:val="4162B938"/>
    <w:lvl w:ilvl="0" w:tplc="4E9E6222">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4"/>
  </w:num>
  <w:num w:numId="5">
    <w:abstractNumId w:val="8"/>
  </w:num>
  <w:num w:numId="6">
    <w:abstractNumId w:val="10"/>
  </w:num>
  <w:num w:numId="7">
    <w:abstractNumId w:val="10"/>
  </w:num>
  <w:num w:numId="8">
    <w:abstractNumId w:val="5"/>
  </w:num>
  <w:num w:numId="9">
    <w:abstractNumId w:val="11"/>
  </w:num>
  <w:num w:numId="10">
    <w:abstractNumId w:val="10"/>
  </w:num>
  <w:num w:numId="11">
    <w:abstractNumId w:val="10"/>
  </w:num>
  <w:num w:numId="12">
    <w:abstractNumId w:val="0"/>
  </w:num>
  <w:num w:numId="13">
    <w:abstractNumId w:val="10"/>
    <w:lvlOverride w:ilvl="0">
      <w:startOverride w:val="20"/>
    </w:lvlOverride>
  </w:num>
  <w:num w:numId="14">
    <w:abstractNumId w:val="10"/>
    <w:lvlOverride w:ilvl="0">
      <w:startOverride w:val="19"/>
    </w:lvlOverride>
  </w:num>
  <w:num w:numId="15">
    <w:abstractNumId w:val="10"/>
  </w:num>
  <w:num w:numId="16">
    <w:abstractNumId w:val="10"/>
  </w:num>
  <w:num w:numId="17">
    <w:abstractNumId w:val="10"/>
  </w:num>
  <w:num w:numId="18">
    <w:abstractNumId w:val="13"/>
  </w:num>
  <w:num w:numId="19">
    <w:abstractNumId w:val="10"/>
  </w:num>
  <w:num w:numId="20">
    <w:abstractNumId w:val="10"/>
  </w:num>
  <w:num w:numId="21">
    <w:abstractNumId w:val="10"/>
  </w:num>
  <w:num w:numId="22">
    <w:abstractNumId w:val="10"/>
  </w:num>
  <w:num w:numId="23">
    <w:abstractNumId w:val="9"/>
  </w:num>
  <w:num w:numId="24">
    <w:abstractNumId w:val="6"/>
  </w:num>
  <w:num w:numId="25">
    <w:abstractNumId w:val="12"/>
  </w:num>
  <w:num w:numId="26">
    <w:abstractNumId w:val="2"/>
  </w:num>
  <w:num w:numId="27">
    <w:abstractNumId w:val="7"/>
  </w:num>
  <w:num w:numId="28">
    <w:abstractNumId w:val="3"/>
  </w:num>
  <w:num w:numId="2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gutterAtTop/>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576"/>
    <w:rsid w:val="00001E5B"/>
    <w:rsid w:val="00012821"/>
    <w:rsid w:val="00020C71"/>
    <w:rsid w:val="00023D6E"/>
    <w:rsid w:val="00024F57"/>
    <w:rsid w:val="00033468"/>
    <w:rsid w:val="00046A08"/>
    <w:rsid w:val="00050560"/>
    <w:rsid w:val="00051FC1"/>
    <w:rsid w:val="000537A3"/>
    <w:rsid w:val="00070241"/>
    <w:rsid w:val="00075C36"/>
    <w:rsid w:val="0008649A"/>
    <w:rsid w:val="00092817"/>
    <w:rsid w:val="00095984"/>
    <w:rsid w:val="000A0A58"/>
    <w:rsid w:val="000B4A50"/>
    <w:rsid w:val="000D16DA"/>
    <w:rsid w:val="000E03DC"/>
    <w:rsid w:val="000E3073"/>
    <w:rsid w:val="000F2BFA"/>
    <w:rsid w:val="000F39EB"/>
    <w:rsid w:val="001036BD"/>
    <w:rsid w:val="00123D98"/>
    <w:rsid w:val="0013672B"/>
    <w:rsid w:val="00142555"/>
    <w:rsid w:val="0014340D"/>
    <w:rsid w:val="00167D2E"/>
    <w:rsid w:val="00171EF2"/>
    <w:rsid w:val="00172EC4"/>
    <w:rsid w:val="0018165E"/>
    <w:rsid w:val="0018478E"/>
    <w:rsid w:val="00185E98"/>
    <w:rsid w:val="00197634"/>
    <w:rsid w:val="001A2C22"/>
    <w:rsid w:val="001A5F3B"/>
    <w:rsid w:val="001C3E6C"/>
    <w:rsid w:val="001E189A"/>
    <w:rsid w:val="001F513B"/>
    <w:rsid w:val="00200CA9"/>
    <w:rsid w:val="002038B5"/>
    <w:rsid w:val="00217BBC"/>
    <w:rsid w:val="0022704C"/>
    <w:rsid w:val="00230430"/>
    <w:rsid w:val="0024101A"/>
    <w:rsid w:val="0025009C"/>
    <w:rsid w:val="002548F2"/>
    <w:rsid w:val="002550E4"/>
    <w:rsid w:val="002577A0"/>
    <w:rsid w:val="002625C3"/>
    <w:rsid w:val="002671DF"/>
    <w:rsid w:val="00267C96"/>
    <w:rsid w:val="00273506"/>
    <w:rsid w:val="00293B38"/>
    <w:rsid w:val="002A6E0D"/>
    <w:rsid w:val="002B1126"/>
    <w:rsid w:val="002B7EAD"/>
    <w:rsid w:val="002C7F54"/>
    <w:rsid w:val="002D08A8"/>
    <w:rsid w:val="002D0F51"/>
    <w:rsid w:val="002D1069"/>
    <w:rsid w:val="002D71E2"/>
    <w:rsid w:val="002E6324"/>
    <w:rsid w:val="002F2B75"/>
    <w:rsid w:val="002F5505"/>
    <w:rsid w:val="00307507"/>
    <w:rsid w:val="00310004"/>
    <w:rsid w:val="003130A4"/>
    <w:rsid w:val="00313F54"/>
    <w:rsid w:val="00314EB0"/>
    <w:rsid w:val="0033171E"/>
    <w:rsid w:val="00332151"/>
    <w:rsid w:val="00332B6B"/>
    <w:rsid w:val="00340DAA"/>
    <w:rsid w:val="0034136B"/>
    <w:rsid w:val="00345315"/>
    <w:rsid w:val="00361292"/>
    <w:rsid w:val="0037507D"/>
    <w:rsid w:val="00376248"/>
    <w:rsid w:val="003907BF"/>
    <w:rsid w:val="00394D6A"/>
    <w:rsid w:val="003A03A9"/>
    <w:rsid w:val="003B20AF"/>
    <w:rsid w:val="003B6936"/>
    <w:rsid w:val="003D32E0"/>
    <w:rsid w:val="003D6899"/>
    <w:rsid w:val="003E1149"/>
    <w:rsid w:val="003E1E2E"/>
    <w:rsid w:val="003E4DDD"/>
    <w:rsid w:val="003F25E0"/>
    <w:rsid w:val="00401220"/>
    <w:rsid w:val="00425209"/>
    <w:rsid w:val="004278F5"/>
    <w:rsid w:val="00440C27"/>
    <w:rsid w:val="00445013"/>
    <w:rsid w:val="004457B7"/>
    <w:rsid w:val="00453FC9"/>
    <w:rsid w:val="004755BA"/>
    <w:rsid w:val="0048309C"/>
    <w:rsid w:val="00490D4C"/>
    <w:rsid w:val="004A1D82"/>
    <w:rsid w:val="004A3787"/>
    <w:rsid w:val="004A4E0D"/>
    <w:rsid w:val="004B23D7"/>
    <w:rsid w:val="004B26DB"/>
    <w:rsid w:val="004B4ABB"/>
    <w:rsid w:val="004C267F"/>
    <w:rsid w:val="004C4CC0"/>
    <w:rsid w:val="004C690A"/>
    <w:rsid w:val="004C6ED2"/>
    <w:rsid w:val="004D1B7E"/>
    <w:rsid w:val="004D7218"/>
    <w:rsid w:val="004D7366"/>
    <w:rsid w:val="004E4862"/>
    <w:rsid w:val="004E4D52"/>
    <w:rsid w:val="004F3E2F"/>
    <w:rsid w:val="00506EE3"/>
    <w:rsid w:val="0051085D"/>
    <w:rsid w:val="0051142D"/>
    <w:rsid w:val="00517481"/>
    <w:rsid w:val="00530154"/>
    <w:rsid w:val="00536B0A"/>
    <w:rsid w:val="00544A81"/>
    <w:rsid w:val="00545BFF"/>
    <w:rsid w:val="00553BCC"/>
    <w:rsid w:val="005741B5"/>
    <w:rsid w:val="00583B40"/>
    <w:rsid w:val="0058653A"/>
    <w:rsid w:val="005A3DEB"/>
    <w:rsid w:val="005A495A"/>
    <w:rsid w:val="005A5949"/>
    <w:rsid w:val="005B2C87"/>
    <w:rsid w:val="005C19DA"/>
    <w:rsid w:val="005C24AE"/>
    <w:rsid w:val="005C48FC"/>
    <w:rsid w:val="005E41A6"/>
    <w:rsid w:val="005E64EF"/>
    <w:rsid w:val="005F05C3"/>
    <w:rsid w:val="005F3456"/>
    <w:rsid w:val="00600013"/>
    <w:rsid w:val="00611263"/>
    <w:rsid w:val="00613BCB"/>
    <w:rsid w:val="006246D8"/>
    <w:rsid w:val="0063019A"/>
    <w:rsid w:val="00634A99"/>
    <w:rsid w:val="006359C7"/>
    <w:rsid w:val="006368AA"/>
    <w:rsid w:val="00637251"/>
    <w:rsid w:val="00640146"/>
    <w:rsid w:val="0064608A"/>
    <w:rsid w:val="00652AAA"/>
    <w:rsid w:val="00657827"/>
    <w:rsid w:val="00664EB6"/>
    <w:rsid w:val="0066528A"/>
    <w:rsid w:val="006658B6"/>
    <w:rsid w:val="00665A87"/>
    <w:rsid w:val="00665B10"/>
    <w:rsid w:val="0067506B"/>
    <w:rsid w:val="00681C6C"/>
    <w:rsid w:val="006906B2"/>
    <w:rsid w:val="00692C40"/>
    <w:rsid w:val="00696024"/>
    <w:rsid w:val="006A1071"/>
    <w:rsid w:val="006A2753"/>
    <w:rsid w:val="006A3803"/>
    <w:rsid w:val="006A44AC"/>
    <w:rsid w:val="006A59C8"/>
    <w:rsid w:val="006B5D44"/>
    <w:rsid w:val="006C4FFA"/>
    <w:rsid w:val="006F406C"/>
    <w:rsid w:val="006F6A64"/>
    <w:rsid w:val="007027E1"/>
    <w:rsid w:val="00713A6F"/>
    <w:rsid w:val="00714671"/>
    <w:rsid w:val="00727013"/>
    <w:rsid w:val="00727576"/>
    <w:rsid w:val="00732CEB"/>
    <w:rsid w:val="0075192E"/>
    <w:rsid w:val="00767482"/>
    <w:rsid w:val="00775347"/>
    <w:rsid w:val="007959D7"/>
    <w:rsid w:val="00796243"/>
    <w:rsid w:val="007979B4"/>
    <w:rsid w:val="00797F14"/>
    <w:rsid w:val="007B112D"/>
    <w:rsid w:val="007B242B"/>
    <w:rsid w:val="007C1457"/>
    <w:rsid w:val="007E3F8D"/>
    <w:rsid w:val="007F252F"/>
    <w:rsid w:val="007F78AA"/>
    <w:rsid w:val="00800FB3"/>
    <w:rsid w:val="00807BA6"/>
    <w:rsid w:val="00823730"/>
    <w:rsid w:val="00824A9F"/>
    <w:rsid w:val="00835CDC"/>
    <w:rsid w:val="008418F2"/>
    <w:rsid w:val="008464E9"/>
    <w:rsid w:val="00853812"/>
    <w:rsid w:val="00861E69"/>
    <w:rsid w:val="00864874"/>
    <w:rsid w:val="00874095"/>
    <w:rsid w:val="00882D9A"/>
    <w:rsid w:val="008850D9"/>
    <w:rsid w:val="008857FE"/>
    <w:rsid w:val="008975BF"/>
    <w:rsid w:val="008B1BBC"/>
    <w:rsid w:val="008B6813"/>
    <w:rsid w:val="008B7119"/>
    <w:rsid w:val="008C1E30"/>
    <w:rsid w:val="008D7045"/>
    <w:rsid w:val="008E1DE5"/>
    <w:rsid w:val="008E3955"/>
    <w:rsid w:val="008E5324"/>
    <w:rsid w:val="008F6CFA"/>
    <w:rsid w:val="008F75DF"/>
    <w:rsid w:val="0091305B"/>
    <w:rsid w:val="009139D3"/>
    <w:rsid w:val="00915F1F"/>
    <w:rsid w:val="00920A16"/>
    <w:rsid w:val="00930F39"/>
    <w:rsid w:val="00933D20"/>
    <w:rsid w:val="009530ED"/>
    <w:rsid w:val="00954069"/>
    <w:rsid w:val="00960154"/>
    <w:rsid w:val="0096180B"/>
    <w:rsid w:val="00963108"/>
    <w:rsid w:val="00965B3B"/>
    <w:rsid w:val="009663E7"/>
    <w:rsid w:val="00976272"/>
    <w:rsid w:val="00977843"/>
    <w:rsid w:val="00987DE4"/>
    <w:rsid w:val="009970E2"/>
    <w:rsid w:val="009A6E39"/>
    <w:rsid w:val="009B7DA6"/>
    <w:rsid w:val="009E013C"/>
    <w:rsid w:val="009E125B"/>
    <w:rsid w:val="009E18A2"/>
    <w:rsid w:val="009E1C9C"/>
    <w:rsid w:val="009E1EFE"/>
    <w:rsid w:val="009E511C"/>
    <w:rsid w:val="009F5FA4"/>
    <w:rsid w:val="00A023EC"/>
    <w:rsid w:val="00A03D92"/>
    <w:rsid w:val="00A15D99"/>
    <w:rsid w:val="00A21EBD"/>
    <w:rsid w:val="00A273B6"/>
    <w:rsid w:val="00A27BB2"/>
    <w:rsid w:val="00A3113A"/>
    <w:rsid w:val="00A31E4A"/>
    <w:rsid w:val="00A436FE"/>
    <w:rsid w:val="00A56D71"/>
    <w:rsid w:val="00A60027"/>
    <w:rsid w:val="00A624EB"/>
    <w:rsid w:val="00A71380"/>
    <w:rsid w:val="00A82323"/>
    <w:rsid w:val="00A92045"/>
    <w:rsid w:val="00AA03B1"/>
    <w:rsid w:val="00AA5A02"/>
    <w:rsid w:val="00AB2084"/>
    <w:rsid w:val="00AB3CDA"/>
    <w:rsid w:val="00AD6F40"/>
    <w:rsid w:val="00AE3749"/>
    <w:rsid w:val="00AE5347"/>
    <w:rsid w:val="00AE7177"/>
    <w:rsid w:val="00AE78E0"/>
    <w:rsid w:val="00AF6155"/>
    <w:rsid w:val="00AF6348"/>
    <w:rsid w:val="00B00710"/>
    <w:rsid w:val="00B0163A"/>
    <w:rsid w:val="00B07E17"/>
    <w:rsid w:val="00B11026"/>
    <w:rsid w:val="00B13B02"/>
    <w:rsid w:val="00B17902"/>
    <w:rsid w:val="00B21EFA"/>
    <w:rsid w:val="00B34F8E"/>
    <w:rsid w:val="00B50588"/>
    <w:rsid w:val="00B54455"/>
    <w:rsid w:val="00B723D6"/>
    <w:rsid w:val="00B81E0A"/>
    <w:rsid w:val="00B93FE3"/>
    <w:rsid w:val="00B96EB7"/>
    <w:rsid w:val="00BA26D4"/>
    <w:rsid w:val="00BA4065"/>
    <w:rsid w:val="00BB495B"/>
    <w:rsid w:val="00BC107B"/>
    <w:rsid w:val="00BD3EFC"/>
    <w:rsid w:val="00BD6054"/>
    <w:rsid w:val="00BF68CA"/>
    <w:rsid w:val="00C0183F"/>
    <w:rsid w:val="00C16F86"/>
    <w:rsid w:val="00C264A7"/>
    <w:rsid w:val="00C26EFD"/>
    <w:rsid w:val="00C30F41"/>
    <w:rsid w:val="00C4083C"/>
    <w:rsid w:val="00C62313"/>
    <w:rsid w:val="00C70C3F"/>
    <w:rsid w:val="00C7712B"/>
    <w:rsid w:val="00C9198D"/>
    <w:rsid w:val="00C97380"/>
    <w:rsid w:val="00CA6A16"/>
    <w:rsid w:val="00CA6DCE"/>
    <w:rsid w:val="00CA7C34"/>
    <w:rsid w:val="00CD3355"/>
    <w:rsid w:val="00CD344E"/>
    <w:rsid w:val="00CE562D"/>
    <w:rsid w:val="00CE7096"/>
    <w:rsid w:val="00CE71EA"/>
    <w:rsid w:val="00D05054"/>
    <w:rsid w:val="00D05B2F"/>
    <w:rsid w:val="00D13E02"/>
    <w:rsid w:val="00D14F04"/>
    <w:rsid w:val="00D24CF9"/>
    <w:rsid w:val="00D25AF5"/>
    <w:rsid w:val="00D329AB"/>
    <w:rsid w:val="00D47BB1"/>
    <w:rsid w:val="00D6206A"/>
    <w:rsid w:val="00D709F5"/>
    <w:rsid w:val="00D70E40"/>
    <w:rsid w:val="00D86119"/>
    <w:rsid w:val="00D97599"/>
    <w:rsid w:val="00DA26B8"/>
    <w:rsid w:val="00DA2AD7"/>
    <w:rsid w:val="00DA6306"/>
    <w:rsid w:val="00DB12F7"/>
    <w:rsid w:val="00DC06C6"/>
    <w:rsid w:val="00DC129B"/>
    <w:rsid w:val="00DC4400"/>
    <w:rsid w:val="00DC5EDF"/>
    <w:rsid w:val="00DD5DC6"/>
    <w:rsid w:val="00DD658D"/>
    <w:rsid w:val="00DF7053"/>
    <w:rsid w:val="00DF729E"/>
    <w:rsid w:val="00E21719"/>
    <w:rsid w:val="00E24D73"/>
    <w:rsid w:val="00E3186C"/>
    <w:rsid w:val="00E32E5F"/>
    <w:rsid w:val="00E3364F"/>
    <w:rsid w:val="00E345E7"/>
    <w:rsid w:val="00E34821"/>
    <w:rsid w:val="00E426D6"/>
    <w:rsid w:val="00E447E4"/>
    <w:rsid w:val="00E472A9"/>
    <w:rsid w:val="00E55E44"/>
    <w:rsid w:val="00E66ED8"/>
    <w:rsid w:val="00E67813"/>
    <w:rsid w:val="00E7622D"/>
    <w:rsid w:val="00E84123"/>
    <w:rsid w:val="00E97B47"/>
    <w:rsid w:val="00EA67D5"/>
    <w:rsid w:val="00EB00F5"/>
    <w:rsid w:val="00EB3ECB"/>
    <w:rsid w:val="00EC16C8"/>
    <w:rsid w:val="00EC6B5B"/>
    <w:rsid w:val="00ED74A7"/>
    <w:rsid w:val="00EF4062"/>
    <w:rsid w:val="00F4021F"/>
    <w:rsid w:val="00F47B75"/>
    <w:rsid w:val="00F650B5"/>
    <w:rsid w:val="00F72B53"/>
    <w:rsid w:val="00F735E3"/>
    <w:rsid w:val="00F9071A"/>
    <w:rsid w:val="00F910CE"/>
    <w:rsid w:val="00FB2FA1"/>
    <w:rsid w:val="00FB47CE"/>
    <w:rsid w:val="00FB5A0F"/>
    <w:rsid w:val="00FB5C53"/>
    <w:rsid w:val="00FB78D8"/>
    <w:rsid w:val="00FC38BF"/>
    <w:rsid w:val="00FE0DAA"/>
    <w:rsid w:val="00FF1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uiPriority="0"/>
    <w:lsdException w:name="annotation text" w:uiPriority="0"/>
    <w:lsdException w:name="header" w:uiPriority="0"/>
    <w:lsdException w:name="footer" w:uiPriority="0"/>
    <w:lsdException w:name="caption" w:locked="1" w:uiPriority="0" w:qFormat="1"/>
    <w:lsdException w:name="footnote reference" w:uiPriority="0"/>
    <w:lsdException w:name="page number" w:uiPriority="0"/>
    <w:lsdException w:name="endnote reference" w:uiPriority="0"/>
    <w:lsdException w:name="endnote text" w:uiPriority="0"/>
    <w:lsdException w:name="toa heading" w:uiPriority="0"/>
    <w:lsdException w:name="Title" w:locked="1" w:semiHidden="0" w:uiPriority="0" w:unhideWhenUsed="0" w:qFormat="1"/>
    <w:lsdException w:name="Default Paragraph Font" w:locked="1" w:semiHidden="0" w:uiPriority="1"/>
    <w:lsdException w:name="Subtitle" w:locked="1" w:semiHidden="0" w:uiPriority="0" w:unhideWhenUsed="0" w:qFormat="1"/>
    <w:lsdException w:name="Body Text Indent 3" w:uiPriority="0"/>
    <w:lsdException w:name="Block Text" w:uiPriority="0"/>
    <w:lsdException w:name="Hyperlink" w:uiPriority="0"/>
    <w:lsdException w:name="Strong" w:locked="1" w:semiHidden="0" w:uiPriority="0" w:unhideWhenUsed="0" w:qFormat="1"/>
    <w:lsdException w:name="Emphasis" w:locked="1" w:semiHidden="0" w:uiPriority="0" w:unhideWhenUsed="0" w:qFormat="1"/>
    <w:lsdException w:name="No List" w:locked="1" w:semiHidden="0"/>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272"/>
    <w:pPr>
      <w:widowControl w:val="0"/>
    </w:pPr>
    <w:rPr>
      <w:snapToGrid w:val="0"/>
      <w:kern w:val="28"/>
      <w:sz w:val="22"/>
    </w:rPr>
  </w:style>
  <w:style w:type="paragraph" w:styleId="Heading1">
    <w:name w:val="heading 1"/>
    <w:basedOn w:val="Normal"/>
    <w:next w:val="ParaNum"/>
    <w:link w:val="Heading1Char"/>
    <w:qFormat/>
    <w:rsid w:val="0097627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976272"/>
    <w:pPr>
      <w:keepNext/>
      <w:numPr>
        <w:ilvl w:val="1"/>
        <w:numId w:val="3"/>
      </w:numPr>
      <w:spacing w:after="120"/>
      <w:outlineLvl w:val="1"/>
    </w:pPr>
    <w:rPr>
      <w:b/>
    </w:rPr>
  </w:style>
  <w:style w:type="paragraph" w:styleId="Heading3">
    <w:name w:val="heading 3"/>
    <w:basedOn w:val="Normal"/>
    <w:next w:val="ParaNum"/>
    <w:link w:val="Heading3Char"/>
    <w:qFormat/>
    <w:rsid w:val="00976272"/>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976272"/>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976272"/>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976272"/>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976272"/>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97627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97627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7627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76272"/>
  </w:style>
  <w:style w:type="character" w:customStyle="1" w:styleId="Heading1Char">
    <w:name w:val="Heading 1 Char"/>
    <w:link w:val="Heading1"/>
    <w:locked/>
    <w:rPr>
      <w:rFonts w:ascii="Times New Roman Bold" w:hAnsi="Times New Roman Bold"/>
      <w:b/>
      <w:caps/>
      <w:snapToGrid w:val="0"/>
      <w:kern w:val="28"/>
      <w:sz w:val="22"/>
    </w:rPr>
  </w:style>
  <w:style w:type="character" w:customStyle="1" w:styleId="Heading2Char">
    <w:name w:val="Heading 2 Char"/>
    <w:link w:val="Heading2"/>
    <w:locked/>
    <w:rPr>
      <w:b/>
      <w:snapToGrid w:val="0"/>
      <w:kern w:val="28"/>
      <w:sz w:val="22"/>
    </w:rPr>
  </w:style>
  <w:style w:type="character" w:customStyle="1" w:styleId="Heading3Char">
    <w:name w:val="Heading 3 Char"/>
    <w:link w:val="Heading3"/>
    <w:locked/>
    <w:rPr>
      <w:b/>
      <w:snapToGrid w:val="0"/>
      <w:kern w:val="28"/>
      <w:sz w:val="22"/>
    </w:rPr>
  </w:style>
  <w:style w:type="character" w:customStyle="1" w:styleId="Heading4Char">
    <w:name w:val="Heading 4 Char"/>
    <w:link w:val="Heading4"/>
    <w:locked/>
    <w:rPr>
      <w:b/>
      <w:snapToGrid w:val="0"/>
      <w:kern w:val="28"/>
      <w:sz w:val="22"/>
    </w:rPr>
  </w:style>
  <w:style w:type="character" w:customStyle="1" w:styleId="Heading5Char">
    <w:name w:val="Heading 5 Char"/>
    <w:link w:val="Heading5"/>
    <w:locked/>
    <w:rPr>
      <w:b/>
      <w:snapToGrid w:val="0"/>
      <w:kern w:val="28"/>
      <w:sz w:val="22"/>
    </w:rPr>
  </w:style>
  <w:style w:type="character" w:customStyle="1" w:styleId="Heading6Char">
    <w:name w:val="Heading 6 Char"/>
    <w:link w:val="Heading6"/>
    <w:locked/>
    <w:rPr>
      <w:b/>
      <w:snapToGrid w:val="0"/>
      <w:kern w:val="28"/>
      <w:sz w:val="22"/>
    </w:rPr>
  </w:style>
  <w:style w:type="character" w:customStyle="1" w:styleId="Heading7Char">
    <w:name w:val="Heading 7 Char"/>
    <w:link w:val="Heading7"/>
    <w:locked/>
    <w:rPr>
      <w:b/>
      <w:snapToGrid w:val="0"/>
      <w:kern w:val="28"/>
      <w:sz w:val="22"/>
    </w:rPr>
  </w:style>
  <w:style w:type="character" w:customStyle="1" w:styleId="Heading8Char">
    <w:name w:val="Heading 8 Char"/>
    <w:link w:val="Heading8"/>
    <w:locked/>
    <w:rPr>
      <w:b/>
      <w:snapToGrid w:val="0"/>
      <w:kern w:val="28"/>
      <w:sz w:val="22"/>
    </w:rPr>
  </w:style>
  <w:style w:type="character" w:customStyle="1" w:styleId="Heading9Char">
    <w:name w:val="Heading 9 Char"/>
    <w:link w:val="Heading9"/>
    <w:locked/>
    <w:rPr>
      <w:b/>
      <w:snapToGrid w:val="0"/>
      <w:kern w:val="28"/>
      <w:sz w:val="22"/>
    </w:rPr>
  </w:style>
  <w:style w:type="paragraph" w:styleId="Footer">
    <w:name w:val="footer"/>
    <w:basedOn w:val="Normal"/>
    <w:link w:val="FooterChar"/>
    <w:rsid w:val="00976272"/>
    <w:pPr>
      <w:tabs>
        <w:tab w:val="center" w:pos="4320"/>
        <w:tab w:val="right" w:pos="8640"/>
      </w:tabs>
    </w:pPr>
  </w:style>
  <w:style w:type="character" w:customStyle="1" w:styleId="FooterChar">
    <w:name w:val="Footer Char"/>
    <w:link w:val="Footer"/>
    <w:locked/>
    <w:rPr>
      <w:snapToGrid w:val="0"/>
      <w:kern w:val="28"/>
      <w:sz w:val="22"/>
    </w:rPr>
  </w:style>
  <w:style w:type="paragraph" w:styleId="FootnoteText">
    <w:name w:val="footnote text"/>
    <w:aliases w:val="Footnote Text Char,Footnote Text Char1 Char,Footnote Text Char Char Char,rrfootnote Char Char Char,Footnote Text Char1 Char Char Char,Footnote Text Char Char Char Char Char,Footnote Text Char1 Char Char Char Char Char,Footnote Text Char1,f"/>
    <w:link w:val="FootnoteTextChar2"/>
    <w:rsid w:val="00976272"/>
    <w:pPr>
      <w:spacing w:after="120"/>
    </w:pPr>
  </w:style>
  <w:style w:type="character" w:customStyle="1" w:styleId="FootnoteTextChar2">
    <w:name w:val="Footnote Text Char2"/>
    <w:aliases w:val="Footnote Text Char Char,Footnote Text Char1 Char Char,Footnote Text Char Char Char Char,rrfootnote Char Char Char Char,Footnote Text Char1 Char Char Char Char,Footnote Text Char Char Char Char Char Char,Footnote Text Char1 Char1"/>
    <w:link w:val="FootnoteText"/>
    <w:locked/>
    <w:rsid w:val="00F9071A"/>
  </w:style>
  <w:style w:type="character" w:styleId="FootnoteReference">
    <w:name w:val="footnote reference"/>
    <w:aliases w:val="Style 4,Appel note de bas de p,Style 12,(NECG) Footnote Reference,Style 124,Style 13,o,fr,Style 3,FR,Style 17,Footnote Reference/,Style 6"/>
    <w:rsid w:val="00976272"/>
    <w:rPr>
      <w:rFonts w:ascii="Times New Roman" w:hAnsi="Times New Roman"/>
      <w:dstrike w:val="0"/>
      <w:color w:val="auto"/>
      <w:sz w:val="20"/>
      <w:vertAlign w:val="superscript"/>
    </w:rPr>
  </w:style>
  <w:style w:type="paragraph" w:customStyle="1" w:styleId="ParaNum">
    <w:name w:val="ParaNum"/>
    <w:basedOn w:val="Normal"/>
    <w:link w:val="ParaNumChar"/>
    <w:rsid w:val="00976272"/>
    <w:pPr>
      <w:numPr>
        <w:numId w:val="1"/>
      </w:numPr>
      <w:tabs>
        <w:tab w:val="clear" w:pos="1080"/>
        <w:tab w:val="num" w:pos="1440"/>
      </w:tabs>
      <w:spacing w:after="120"/>
    </w:pPr>
  </w:style>
  <w:style w:type="paragraph" w:styleId="Header">
    <w:name w:val="header"/>
    <w:basedOn w:val="Normal"/>
    <w:link w:val="HeaderChar"/>
    <w:autoRedefine/>
    <w:rsid w:val="00976272"/>
    <w:pPr>
      <w:tabs>
        <w:tab w:val="center" w:pos="4680"/>
        <w:tab w:val="right" w:pos="9360"/>
      </w:tabs>
    </w:pPr>
    <w:rPr>
      <w:b/>
    </w:rPr>
  </w:style>
  <w:style w:type="character" w:customStyle="1" w:styleId="HeaderChar">
    <w:name w:val="Header Char"/>
    <w:link w:val="Header"/>
    <w:locked/>
    <w:rPr>
      <w:b/>
      <w:snapToGrid w:val="0"/>
      <w:kern w:val="28"/>
      <w:sz w:val="22"/>
    </w:rPr>
  </w:style>
  <w:style w:type="paragraph" w:styleId="BalloonText">
    <w:name w:val="Balloon Text"/>
    <w:basedOn w:val="Normal"/>
    <w:link w:val="BalloonTextChar"/>
    <w:uiPriority w:val="99"/>
    <w:semiHidden/>
    <w:rsid w:val="00F9071A"/>
    <w:rPr>
      <w:rFonts w:ascii="Tahoma" w:hAnsi="Tahoma" w:cs="Tahoma"/>
      <w:sz w:val="16"/>
      <w:szCs w:val="16"/>
    </w:rPr>
  </w:style>
  <w:style w:type="character" w:customStyle="1" w:styleId="BalloonTextChar">
    <w:name w:val="Balloon Text Char"/>
    <w:link w:val="BalloonText"/>
    <w:uiPriority w:val="99"/>
    <w:semiHidden/>
    <w:locked/>
    <w:rPr>
      <w:rFonts w:cs="Times New Roman"/>
      <w:kern w:val="28"/>
      <w:sz w:val="2"/>
    </w:rPr>
  </w:style>
  <w:style w:type="character" w:styleId="PageNumber">
    <w:name w:val="page number"/>
    <w:basedOn w:val="DefaultParagraphFont"/>
    <w:rsid w:val="00976272"/>
  </w:style>
  <w:style w:type="character" w:styleId="Hyperlink">
    <w:name w:val="Hyperlink"/>
    <w:rsid w:val="00976272"/>
    <w:rPr>
      <w:color w:val="0000FF"/>
      <w:u w:val="single"/>
    </w:rPr>
  </w:style>
  <w:style w:type="character" w:styleId="FollowedHyperlink">
    <w:name w:val="FollowedHyperlink"/>
    <w:uiPriority w:val="99"/>
    <w:rsid w:val="00F9071A"/>
    <w:rPr>
      <w:rFonts w:cs="Times New Roman"/>
      <w:color w:val="800080"/>
      <w:u w:val="single"/>
    </w:rPr>
  </w:style>
  <w:style w:type="character" w:customStyle="1" w:styleId="rrfootnoteCharCharChar1">
    <w:name w:val="rrfootnote Char Char Char1"/>
    <w:aliases w:val="Footnote Text Char1 Char Char Char Char Char2,rrfootnote Char1 Char Char Char Char Char Char"/>
    <w:uiPriority w:val="99"/>
    <w:rsid w:val="00F9071A"/>
    <w:rPr>
      <w:lang w:val="en-US" w:eastAsia="en-US"/>
    </w:rPr>
  </w:style>
  <w:style w:type="paragraph" w:customStyle="1" w:styleId="Style1">
    <w:name w:val="Style1"/>
    <w:basedOn w:val="Heading5"/>
    <w:uiPriority w:val="99"/>
    <w:rsid w:val="00F9071A"/>
  </w:style>
  <w:style w:type="paragraph" w:customStyle="1" w:styleId="Style2">
    <w:name w:val="Style2"/>
    <w:basedOn w:val="Heading5"/>
    <w:uiPriority w:val="99"/>
    <w:rsid w:val="00F9071A"/>
  </w:style>
  <w:style w:type="character" w:styleId="CommentReference">
    <w:name w:val="annotation reference"/>
    <w:uiPriority w:val="99"/>
    <w:semiHidden/>
    <w:rsid w:val="00F9071A"/>
    <w:rPr>
      <w:rFonts w:cs="Times New Roman"/>
      <w:sz w:val="16"/>
    </w:rPr>
  </w:style>
  <w:style w:type="paragraph" w:styleId="CommentText">
    <w:name w:val="annotation text"/>
    <w:basedOn w:val="Normal"/>
    <w:link w:val="CommentTextChar"/>
    <w:semiHidden/>
    <w:rsid w:val="00F9071A"/>
    <w:rPr>
      <w:sz w:val="20"/>
    </w:rPr>
  </w:style>
  <w:style w:type="character" w:customStyle="1" w:styleId="CommentTextChar">
    <w:name w:val="Comment Text Char"/>
    <w:link w:val="CommentText"/>
    <w:uiPriority w:val="99"/>
    <w:semiHidden/>
    <w:locked/>
    <w:rPr>
      <w:rFonts w:cs="Times New Roman"/>
      <w:kern w:val="28"/>
      <w:sz w:val="20"/>
      <w:szCs w:val="20"/>
    </w:rPr>
  </w:style>
  <w:style w:type="paragraph" w:styleId="CommentSubject">
    <w:name w:val="annotation subject"/>
    <w:basedOn w:val="CommentText"/>
    <w:next w:val="CommentText"/>
    <w:link w:val="CommentSubjectChar"/>
    <w:uiPriority w:val="99"/>
    <w:semiHidden/>
    <w:rsid w:val="00F9071A"/>
    <w:rPr>
      <w:b/>
      <w:bCs/>
    </w:rPr>
  </w:style>
  <w:style w:type="character" w:customStyle="1" w:styleId="CommentSubjectChar">
    <w:name w:val="Comment Subject Char"/>
    <w:link w:val="CommentSubject"/>
    <w:uiPriority w:val="99"/>
    <w:semiHidden/>
    <w:locked/>
    <w:rPr>
      <w:rFonts w:cs="Times New Roman"/>
      <w:b/>
      <w:bCs/>
      <w:kern w:val="28"/>
      <w:sz w:val="20"/>
      <w:szCs w:val="20"/>
    </w:rPr>
  </w:style>
  <w:style w:type="character" w:customStyle="1" w:styleId="StyleParaNumLeftChar">
    <w:name w:val="Style ParaNum + Left Char"/>
    <w:link w:val="StyleParaNumLeft"/>
    <w:uiPriority w:val="99"/>
    <w:locked/>
    <w:rsid w:val="00F9071A"/>
    <w:rPr>
      <w:kern w:val="28"/>
      <w:szCs w:val="20"/>
    </w:rPr>
  </w:style>
  <w:style w:type="paragraph" w:customStyle="1" w:styleId="StyleParaNumLeft">
    <w:name w:val="Style ParaNum + Left"/>
    <w:basedOn w:val="Normal"/>
    <w:link w:val="StyleParaNumLeftChar"/>
    <w:uiPriority w:val="99"/>
    <w:rsid w:val="00F9071A"/>
    <w:pPr>
      <w:numPr>
        <w:numId w:val="2"/>
      </w:numPr>
      <w:tabs>
        <w:tab w:val="left" w:pos="720"/>
      </w:tabs>
      <w:snapToGrid w:val="0"/>
      <w:spacing w:after="220"/>
    </w:pPr>
  </w:style>
  <w:style w:type="character" w:customStyle="1" w:styleId="ParaNumChar">
    <w:name w:val="ParaNum Char"/>
    <w:link w:val="ParaNum"/>
    <w:locked/>
    <w:rsid w:val="00F9071A"/>
    <w:rPr>
      <w:snapToGrid w:val="0"/>
      <w:kern w:val="28"/>
      <w:sz w:val="22"/>
    </w:rPr>
  </w:style>
  <w:style w:type="paragraph" w:styleId="Title">
    <w:name w:val="Title"/>
    <w:basedOn w:val="Normal"/>
    <w:link w:val="TitleChar"/>
    <w:uiPriority w:val="99"/>
    <w:qFormat/>
    <w:rsid w:val="00F9071A"/>
    <w:pPr>
      <w:jc w:val="center"/>
    </w:pPr>
    <w:rPr>
      <w:b/>
    </w:rPr>
  </w:style>
  <w:style w:type="character" w:customStyle="1" w:styleId="TitleChar">
    <w:name w:val="Title Char"/>
    <w:link w:val="Title"/>
    <w:uiPriority w:val="99"/>
    <w:locked/>
    <w:rPr>
      <w:rFonts w:ascii="Cambria" w:hAnsi="Cambria" w:cs="Times New Roman"/>
      <w:b/>
      <w:bCs/>
      <w:kern w:val="28"/>
      <w:sz w:val="32"/>
      <w:szCs w:val="32"/>
    </w:rPr>
  </w:style>
  <w:style w:type="paragraph" w:styleId="HTMLPreformatted">
    <w:name w:val="HTML Preformatted"/>
    <w:basedOn w:val="Normal"/>
    <w:link w:val="HTMLPreformattedChar"/>
    <w:uiPriority w:val="99"/>
    <w:rsid w:val="00F90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locked/>
    <w:rsid w:val="00F9071A"/>
    <w:rPr>
      <w:rFonts w:ascii="Courier New" w:hAnsi="Courier New" w:cs="Times New Roman"/>
    </w:rPr>
  </w:style>
  <w:style w:type="paragraph" w:styleId="EndnoteText">
    <w:name w:val="endnote text"/>
    <w:basedOn w:val="Normal"/>
    <w:link w:val="EndnoteTextChar"/>
    <w:semiHidden/>
    <w:rsid w:val="00976272"/>
    <w:rPr>
      <w:sz w:val="20"/>
    </w:rPr>
  </w:style>
  <w:style w:type="character" w:customStyle="1" w:styleId="EndnoteTextChar">
    <w:name w:val="Endnote Text Char"/>
    <w:link w:val="EndnoteText"/>
    <w:semiHidden/>
    <w:locked/>
    <w:rPr>
      <w:snapToGrid w:val="0"/>
      <w:kern w:val="28"/>
    </w:rPr>
  </w:style>
  <w:style w:type="character" w:styleId="EndnoteReference">
    <w:name w:val="endnote reference"/>
    <w:semiHidden/>
    <w:rsid w:val="00976272"/>
    <w:rPr>
      <w:vertAlign w:val="superscript"/>
    </w:rPr>
  </w:style>
  <w:style w:type="paragraph" w:styleId="TOC1">
    <w:name w:val="toc 1"/>
    <w:basedOn w:val="Normal"/>
    <w:next w:val="Normal"/>
    <w:semiHidden/>
    <w:rsid w:val="0097627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76272"/>
    <w:pPr>
      <w:tabs>
        <w:tab w:val="left" w:pos="720"/>
        <w:tab w:val="right" w:leader="dot" w:pos="9360"/>
      </w:tabs>
      <w:suppressAutoHyphens/>
      <w:ind w:left="720" w:right="720" w:hanging="360"/>
    </w:pPr>
    <w:rPr>
      <w:noProof/>
    </w:rPr>
  </w:style>
  <w:style w:type="paragraph" w:styleId="TOC3">
    <w:name w:val="toc 3"/>
    <w:basedOn w:val="Normal"/>
    <w:next w:val="Normal"/>
    <w:semiHidden/>
    <w:rsid w:val="0097627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7627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7627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7627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7627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7627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7627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76272"/>
    <w:pPr>
      <w:tabs>
        <w:tab w:val="right" w:pos="9360"/>
      </w:tabs>
      <w:suppressAutoHyphens/>
    </w:pPr>
  </w:style>
  <w:style w:type="character" w:customStyle="1" w:styleId="EquationCaption">
    <w:name w:val="_Equation Caption"/>
    <w:rsid w:val="00976272"/>
  </w:style>
  <w:style w:type="paragraph" w:styleId="BlockText">
    <w:name w:val="Block Text"/>
    <w:basedOn w:val="Normal"/>
    <w:rsid w:val="00976272"/>
    <w:pPr>
      <w:spacing w:after="240"/>
      <w:ind w:left="1440" w:right="1440"/>
    </w:pPr>
  </w:style>
  <w:style w:type="paragraph" w:customStyle="1" w:styleId="Paratitle">
    <w:name w:val="Para title"/>
    <w:basedOn w:val="Normal"/>
    <w:rsid w:val="00976272"/>
    <w:pPr>
      <w:tabs>
        <w:tab w:val="center" w:pos="9270"/>
      </w:tabs>
      <w:spacing w:after="240"/>
    </w:pPr>
    <w:rPr>
      <w:spacing w:val="-2"/>
    </w:rPr>
  </w:style>
  <w:style w:type="paragraph" w:customStyle="1" w:styleId="Bullet">
    <w:name w:val="Bullet"/>
    <w:basedOn w:val="Normal"/>
    <w:rsid w:val="00976272"/>
    <w:pPr>
      <w:tabs>
        <w:tab w:val="left" w:pos="2160"/>
      </w:tabs>
      <w:spacing w:after="220"/>
      <w:ind w:left="2160" w:hanging="720"/>
    </w:pPr>
  </w:style>
  <w:style w:type="paragraph" w:customStyle="1" w:styleId="TableFormat">
    <w:name w:val="TableFormat"/>
    <w:basedOn w:val="Bullet"/>
    <w:rsid w:val="00976272"/>
    <w:pPr>
      <w:tabs>
        <w:tab w:val="clear" w:pos="2160"/>
        <w:tab w:val="left" w:pos="5040"/>
      </w:tabs>
      <w:ind w:left="5040" w:hanging="3600"/>
    </w:pPr>
  </w:style>
  <w:style w:type="paragraph" w:customStyle="1" w:styleId="TOCTitle">
    <w:name w:val="TOC Title"/>
    <w:basedOn w:val="Normal"/>
    <w:rsid w:val="0097627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76272"/>
    <w:pPr>
      <w:jc w:val="center"/>
    </w:pPr>
    <w:rPr>
      <w:rFonts w:ascii="Times New Roman Bold" w:hAnsi="Times New Roman Bold"/>
      <w:b/>
      <w:bCs/>
      <w:caps/>
      <w:szCs w:val="22"/>
    </w:rPr>
  </w:style>
  <w:style w:type="character" w:customStyle="1" w:styleId="CharChar2">
    <w:name w:val="Char Char2"/>
    <w:uiPriority w:val="99"/>
    <w:semiHidden/>
    <w:rsid w:val="00727576"/>
    <w:rPr>
      <w:lang w:val="en-US" w:eastAsia="en-US"/>
    </w:rPr>
  </w:style>
  <w:style w:type="character" w:customStyle="1" w:styleId="ALTSFOOTNOTEChar">
    <w:name w:val="ALTS FOOTNOTE Char"/>
    <w:aliases w:val="fn Char,Footnote Text Char2 Char Char"/>
    <w:uiPriority w:val="99"/>
    <w:locked/>
    <w:rsid w:val="00A21EBD"/>
    <w:rPr>
      <w:lang w:val="en-US" w:eastAsia="en-US"/>
    </w:rPr>
  </w:style>
  <w:style w:type="character" w:styleId="PlaceholderText">
    <w:name w:val="Placeholder Text"/>
    <w:uiPriority w:val="99"/>
    <w:semiHidden/>
    <w:rsid w:val="004278F5"/>
    <w:rPr>
      <w:color w:val="808080"/>
    </w:rPr>
  </w:style>
  <w:style w:type="paragraph" w:styleId="BodyTextIndent3">
    <w:name w:val="Body Text Indent 3"/>
    <w:basedOn w:val="Normal"/>
    <w:link w:val="BodyTextIndent3Char"/>
    <w:rsid w:val="00E67813"/>
    <w:pPr>
      <w:widowControl/>
      <w:tabs>
        <w:tab w:val="left" w:pos="1440"/>
      </w:tabs>
      <w:ind w:firstLine="720"/>
      <w:jc w:val="both"/>
    </w:pPr>
    <w:rPr>
      <w:sz w:val="24"/>
    </w:rPr>
  </w:style>
  <w:style w:type="character" w:customStyle="1" w:styleId="BodyTextIndent3Char">
    <w:name w:val="Body Text Indent 3 Char"/>
    <w:link w:val="BodyTextIndent3"/>
    <w:rsid w:val="00E67813"/>
    <w:rPr>
      <w:sz w:val="24"/>
      <w:szCs w:val="20"/>
    </w:rPr>
  </w:style>
  <w:style w:type="character" w:customStyle="1" w:styleId="ParaNumChar1">
    <w:name w:val="ParaNum Char1"/>
    <w:locked/>
    <w:rsid w:val="00E67813"/>
    <w:rPr>
      <w:snapToGrid w:val="0"/>
      <w:kern w:val="28"/>
      <w:sz w:val="22"/>
      <w:lang w:val="en-US" w:eastAsia="en-US" w:bidi="ar-SA"/>
    </w:rPr>
  </w:style>
  <w:style w:type="paragraph" w:customStyle="1" w:styleId="LightGrid-Accent31">
    <w:name w:val="Light Grid - Accent 31"/>
    <w:basedOn w:val="Normal"/>
    <w:uiPriority w:val="34"/>
    <w:qFormat/>
    <w:rsid w:val="00E67813"/>
    <w:pPr>
      <w:widowControl/>
      <w:ind w:left="720"/>
    </w:pPr>
    <w:rPr>
      <w:sz w:val="20"/>
    </w:rPr>
  </w:style>
  <w:style w:type="paragraph" w:styleId="ListParagraph">
    <w:name w:val="List Paragraph"/>
    <w:basedOn w:val="Normal"/>
    <w:uiPriority w:val="34"/>
    <w:qFormat/>
    <w:rsid w:val="00D329AB"/>
    <w:pPr>
      <w:ind w:left="720"/>
      <w:contextualSpacing/>
    </w:pPr>
  </w:style>
  <w:style w:type="paragraph" w:styleId="Revision">
    <w:name w:val="Revision"/>
    <w:hidden/>
    <w:uiPriority w:val="99"/>
    <w:semiHidden/>
    <w:rsid w:val="00440C2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uiPriority="0"/>
    <w:lsdException w:name="annotation text" w:uiPriority="0"/>
    <w:lsdException w:name="header" w:uiPriority="0"/>
    <w:lsdException w:name="footer" w:uiPriority="0"/>
    <w:lsdException w:name="caption" w:locked="1" w:uiPriority="0" w:qFormat="1"/>
    <w:lsdException w:name="footnote reference" w:uiPriority="0"/>
    <w:lsdException w:name="page number" w:uiPriority="0"/>
    <w:lsdException w:name="endnote reference" w:uiPriority="0"/>
    <w:lsdException w:name="endnote text" w:uiPriority="0"/>
    <w:lsdException w:name="toa heading" w:uiPriority="0"/>
    <w:lsdException w:name="Title" w:locked="1" w:semiHidden="0" w:uiPriority="0" w:unhideWhenUsed="0" w:qFormat="1"/>
    <w:lsdException w:name="Default Paragraph Font" w:locked="1" w:semiHidden="0" w:uiPriority="1"/>
    <w:lsdException w:name="Subtitle" w:locked="1" w:semiHidden="0" w:uiPriority="0" w:unhideWhenUsed="0" w:qFormat="1"/>
    <w:lsdException w:name="Body Text Indent 3" w:uiPriority="0"/>
    <w:lsdException w:name="Block Text" w:uiPriority="0"/>
    <w:lsdException w:name="Hyperlink" w:uiPriority="0"/>
    <w:lsdException w:name="Strong" w:locked="1" w:semiHidden="0" w:uiPriority="0" w:unhideWhenUsed="0" w:qFormat="1"/>
    <w:lsdException w:name="Emphasis" w:locked="1" w:semiHidden="0" w:uiPriority="0" w:unhideWhenUsed="0" w:qFormat="1"/>
    <w:lsdException w:name="No List" w:locked="1" w:semiHidden="0"/>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272"/>
    <w:pPr>
      <w:widowControl w:val="0"/>
    </w:pPr>
    <w:rPr>
      <w:snapToGrid w:val="0"/>
      <w:kern w:val="28"/>
      <w:sz w:val="22"/>
    </w:rPr>
  </w:style>
  <w:style w:type="paragraph" w:styleId="Heading1">
    <w:name w:val="heading 1"/>
    <w:basedOn w:val="Normal"/>
    <w:next w:val="ParaNum"/>
    <w:link w:val="Heading1Char"/>
    <w:qFormat/>
    <w:rsid w:val="0097627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976272"/>
    <w:pPr>
      <w:keepNext/>
      <w:numPr>
        <w:ilvl w:val="1"/>
        <w:numId w:val="3"/>
      </w:numPr>
      <w:spacing w:after="120"/>
      <w:outlineLvl w:val="1"/>
    </w:pPr>
    <w:rPr>
      <w:b/>
    </w:rPr>
  </w:style>
  <w:style w:type="paragraph" w:styleId="Heading3">
    <w:name w:val="heading 3"/>
    <w:basedOn w:val="Normal"/>
    <w:next w:val="ParaNum"/>
    <w:link w:val="Heading3Char"/>
    <w:qFormat/>
    <w:rsid w:val="00976272"/>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976272"/>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976272"/>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976272"/>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976272"/>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97627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97627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7627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76272"/>
  </w:style>
  <w:style w:type="character" w:customStyle="1" w:styleId="Heading1Char">
    <w:name w:val="Heading 1 Char"/>
    <w:link w:val="Heading1"/>
    <w:locked/>
    <w:rPr>
      <w:rFonts w:ascii="Times New Roman Bold" w:hAnsi="Times New Roman Bold"/>
      <w:b/>
      <w:caps/>
      <w:snapToGrid w:val="0"/>
      <w:kern w:val="28"/>
      <w:sz w:val="22"/>
    </w:rPr>
  </w:style>
  <w:style w:type="character" w:customStyle="1" w:styleId="Heading2Char">
    <w:name w:val="Heading 2 Char"/>
    <w:link w:val="Heading2"/>
    <w:locked/>
    <w:rPr>
      <w:b/>
      <w:snapToGrid w:val="0"/>
      <w:kern w:val="28"/>
      <w:sz w:val="22"/>
    </w:rPr>
  </w:style>
  <w:style w:type="character" w:customStyle="1" w:styleId="Heading3Char">
    <w:name w:val="Heading 3 Char"/>
    <w:link w:val="Heading3"/>
    <w:locked/>
    <w:rPr>
      <w:b/>
      <w:snapToGrid w:val="0"/>
      <w:kern w:val="28"/>
      <w:sz w:val="22"/>
    </w:rPr>
  </w:style>
  <w:style w:type="character" w:customStyle="1" w:styleId="Heading4Char">
    <w:name w:val="Heading 4 Char"/>
    <w:link w:val="Heading4"/>
    <w:locked/>
    <w:rPr>
      <w:b/>
      <w:snapToGrid w:val="0"/>
      <w:kern w:val="28"/>
      <w:sz w:val="22"/>
    </w:rPr>
  </w:style>
  <w:style w:type="character" w:customStyle="1" w:styleId="Heading5Char">
    <w:name w:val="Heading 5 Char"/>
    <w:link w:val="Heading5"/>
    <w:locked/>
    <w:rPr>
      <w:b/>
      <w:snapToGrid w:val="0"/>
      <w:kern w:val="28"/>
      <w:sz w:val="22"/>
    </w:rPr>
  </w:style>
  <w:style w:type="character" w:customStyle="1" w:styleId="Heading6Char">
    <w:name w:val="Heading 6 Char"/>
    <w:link w:val="Heading6"/>
    <w:locked/>
    <w:rPr>
      <w:b/>
      <w:snapToGrid w:val="0"/>
      <w:kern w:val="28"/>
      <w:sz w:val="22"/>
    </w:rPr>
  </w:style>
  <w:style w:type="character" w:customStyle="1" w:styleId="Heading7Char">
    <w:name w:val="Heading 7 Char"/>
    <w:link w:val="Heading7"/>
    <w:locked/>
    <w:rPr>
      <w:b/>
      <w:snapToGrid w:val="0"/>
      <w:kern w:val="28"/>
      <w:sz w:val="22"/>
    </w:rPr>
  </w:style>
  <w:style w:type="character" w:customStyle="1" w:styleId="Heading8Char">
    <w:name w:val="Heading 8 Char"/>
    <w:link w:val="Heading8"/>
    <w:locked/>
    <w:rPr>
      <w:b/>
      <w:snapToGrid w:val="0"/>
      <w:kern w:val="28"/>
      <w:sz w:val="22"/>
    </w:rPr>
  </w:style>
  <w:style w:type="character" w:customStyle="1" w:styleId="Heading9Char">
    <w:name w:val="Heading 9 Char"/>
    <w:link w:val="Heading9"/>
    <w:locked/>
    <w:rPr>
      <w:b/>
      <w:snapToGrid w:val="0"/>
      <w:kern w:val="28"/>
      <w:sz w:val="22"/>
    </w:rPr>
  </w:style>
  <w:style w:type="paragraph" w:styleId="Footer">
    <w:name w:val="footer"/>
    <w:basedOn w:val="Normal"/>
    <w:link w:val="FooterChar"/>
    <w:rsid w:val="00976272"/>
    <w:pPr>
      <w:tabs>
        <w:tab w:val="center" w:pos="4320"/>
        <w:tab w:val="right" w:pos="8640"/>
      </w:tabs>
    </w:pPr>
  </w:style>
  <w:style w:type="character" w:customStyle="1" w:styleId="FooterChar">
    <w:name w:val="Footer Char"/>
    <w:link w:val="Footer"/>
    <w:locked/>
    <w:rPr>
      <w:snapToGrid w:val="0"/>
      <w:kern w:val="28"/>
      <w:sz w:val="22"/>
    </w:rPr>
  </w:style>
  <w:style w:type="paragraph" w:styleId="FootnoteText">
    <w:name w:val="footnote text"/>
    <w:aliases w:val="Footnote Text Char,Footnote Text Char1 Char,Footnote Text Char Char Char,rrfootnote Char Char Char,Footnote Text Char1 Char Char Char,Footnote Text Char Char Char Char Char,Footnote Text Char1 Char Char Char Char Char,Footnote Text Char1,f"/>
    <w:link w:val="FootnoteTextChar2"/>
    <w:rsid w:val="00976272"/>
    <w:pPr>
      <w:spacing w:after="120"/>
    </w:pPr>
  </w:style>
  <w:style w:type="character" w:customStyle="1" w:styleId="FootnoteTextChar2">
    <w:name w:val="Footnote Text Char2"/>
    <w:aliases w:val="Footnote Text Char Char,Footnote Text Char1 Char Char,Footnote Text Char Char Char Char,rrfootnote Char Char Char Char,Footnote Text Char1 Char Char Char Char,Footnote Text Char Char Char Char Char Char,Footnote Text Char1 Char1"/>
    <w:link w:val="FootnoteText"/>
    <w:locked/>
    <w:rsid w:val="00F9071A"/>
  </w:style>
  <w:style w:type="character" w:styleId="FootnoteReference">
    <w:name w:val="footnote reference"/>
    <w:aliases w:val="Style 4,Appel note de bas de p,Style 12,(NECG) Footnote Reference,Style 124,Style 13,o,fr,Style 3,FR,Style 17,Footnote Reference/,Style 6"/>
    <w:rsid w:val="00976272"/>
    <w:rPr>
      <w:rFonts w:ascii="Times New Roman" w:hAnsi="Times New Roman"/>
      <w:dstrike w:val="0"/>
      <w:color w:val="auto"/>
      <w:sz w:val="20"/>
      <w:vertAlign w:val="superscript"/>
    </w:rPr>
  </w:style>
  <w:style w:type="paragraph" w:customStyle="1" w:styleId="ParaNum">
    <w:name w:val="ParaNum"/>
    <w:basedOn w:val="Normal"/>
    <w:link w:val="ParaNumChar"/>
    <w:rsid w:val="00976272"/>
    <w:pPr>
      <w:numPr>
        <w:numId w:val="1"/>
      </w:numPr>
      <w:tabs>
        <w:tab w:val="clear" w:pos="1080"/>
        <w:tab w:val="num" w:pos="1440"/>
      </w:tabs>
      <w:spacing w:after="120"/>
    </w:pPr>
  </w:style>
  <w:style w:type="paragraph" w:styleId="Header">
    <w:name w:val="header"/>
    <w:basedOn w:val="Normal"/>
    <w:link w:val="HeaderChar"/>
    <w:autoRedefine/>
    <w:rsid w:val="00976272"/>
    <w:pPr>
      <w:tabs>
        <w:tab w:val="center" w:pos="4680"/>
        <w:tab w:val="right" w:pos="9360"/>
      </w:tabs>
    </w:pPr>
    <w:rPr>
      <w:b/>
    </w:rPr>
  </w:style>
  <w:style w:type="character" w:customStyle="1" w:styleId="HeaderChar">
    <w:name w:val="Header Char"/>
    <w:link w:val="Header"/>
    <w:locked/>
    <w:rPr>
      <w:b/>
      <w:snapToGrid w:val="0"/>
      <w:kern w:val="28"/>
      <w:sz w:val="22"/>
    </w:rPr>
  </w:style>
  <w:style w:type="paragraph" w:styleId="BalloonText">
    <w:name w:val="Balloon Text"/>
    <w:basedOn w:val="Normal"/>
    <w:link w:val="BalloonTextChar"/>
    <w:uiPriority w:val="99"/>
    <w:semiHidden/>
    <w:rsid w:val="00F9071A"/>
    <w:rPr>
      <w:rFonts w:ascii="Tahoma" w:hAnsi="Tahoma" w:cs="Tahoma"/>
      <w:sz w:val="16"/>
      <w:szCs w:val="16"/>
    </w:rPr>
  </w:style>
  <w:style w:type="character" w:customStyle="1" w:styleId="BalloonTextChar">
    <w:name w:val="Balloon Text Char"/>
    <w:link w:val="BalloonText"/>
    <w:uiPriority w:val="99"/>
    <w:semiHidden/>
    <w:locked/>
    <w:rPr>
      <w:rFonts w:cs="Times New Roman"/>
      <w:kern w:val="28"/>
      <w:sz w:val="2"/>
    </w:rPr>
  </w:style>
  <w:style w:type="character" w:styleId="PageNumber">
    <w:name w:val="page number"/>
    <w:basedOn w:val="DefaultParagraphFont"/>
    <w:rsid w:val="00976272"/>
  </w:style>
  <w:style w:type="character" w:styleId="Hyperlink">
    <w:name w:val="Hyperlink"/>
    <w:rsid w:val="00976272"/>
    <w:rPr>
      <w:color w:val="0000FF"/>
      <w:u w:val="single"/>
    </w:rPr>
  </w:style>
  <w:style w:type="character" w:styleId="FollowedHyperlink">
    <w:name w:val="FollowedHyperlink"/>
    <w:uiPriority w:val="99"/>
    <w:rsid w:val="00F9071A"/>
    <w:rPr>
      <w:rFonts w:cs="Times New Roman"/>
      <w:color w:val="800080"/>
      <w:u w:val="single"/>
    </w:rPr>
  </w:style>
  <w:style w:type="character" w:customStyle="1" w:styleId="rrfootnoteCharCharChar1">
    <w:name w:val="rrfootnote Char Char Char1"/>
    <w:aliases w:val="Footnote Text Char1 Char Char Char Char Char2,rrfootnote Char1 Char Char Char Char Char Char"/>
    <w:uiPriority w:val="99"/>
    <w:rsid w:val="00F9071A"/>
    <w:rPr>
      <w:lang w:val="en-US" w:eastAsia="en-US"/>
    </w:rPr>
  </w:style>
  <w:style w:type="paragraph" w:customStyle="1" w:styleId="Style1">
    <w:name w:val="Style1"/>
    <w:basedOn w:val="Heading5"/>
    <w:uiPriority w:val="99"/>
    <w:rsid w:val="00F9071A"/>
  </w:style>
  <w:style w:type="paragraph" w:customStyle="1" w:styleId="Style2">
    <w:name w:val="Style2"/>
    <w:basedOn w:val="Heading5"/>
    <w:uiPriority w:val="99"/>
    <w:rsid w:val="00F9071A"/>
  </w:style>
  <w:style w:type="character" w:styleId="CommentReference">
    <w:name w:val="annotation reference"/>
    <w:uiPriority w:val="99"/>
    <w:semiHidden/>
    <w:rsid w:val="00F9071A"/>
    <w:rPr>
      <w:rFonts w:cs="Times New Roman"/>
      <w:sz w:val="16"/>
    </w:rPr>
  </w:style>
  <w:style w:type="paragraph" w:styleId="CommentText">
    <w:name w:val="annotation text"/>
    <w:basedOn w:val="Normal"/>
    <w:link w:val="CommentTextChar"/>
    <w:semiHidden/>
    <w:rsid w:val="00F9071A"/>
    <w:rPr>
      <w:sz w:val="20"/>
    </w:rPr>
  </w:style>
  <w:style w:type="character" w:customStyle="1" w:styleId="CommentTextChar">
    <w:name w:val="Comment Text Char"/>
    <w:link w:val="CommentText"/>
    <w:uiPriority w:val="99"/>
    <w:semiHidden/>
    <w:locked/>
    <w:rPr>
      <w:rFonts w:cs="Times New Roman"/>
      <w:kern w:val="28"/>
      <w:sz w:val="20"/>
      <w:szCs w:val="20"/>
    </w:rPr>
  </w:style>
  <w:style w:type="paragraph" w:styleId="CommentSubject">
    <w:name w:val="annotation subject"/>
    <w:basedOn w:val="CommentText"/>
    <w:next w:val="CommentText"/>
    <w:link w:val="CommentSubjectChar"/>
    <w:uiPriority w:val="99"/>
    <w:semiHidden/>
    <w:rsid w:val="00F9071A"/>
    <w:rPr>
      <w:b/>
      <w:bCs/>
    </w:rPr>
  </w:style>
  <w:style w:type="character" w:customStyle="1" w:styleId="CommentSubjectChar">
    <w:name w:val="Comment Subject Char"/>
    <w:link w:val="CommentSubject"/>
    <w:uiPriority w:val="99"/>
    <w:semiHidden/>
    <w:locked/>
    <w:rPr>
      <w:rFonts w:cs="Times New Roman"/>
      <w:b/>
      <w:bCs/>
      <w:kern w:val="28"/>
      <w:sz w:val="20"/>
      <w:szCs w:val="20"/>
    </w:rPr>
  </w:style>
  <w:style w:type="character" w:customStyle="1" w:styleId="StyleParaNumLeftChar">
    <w:name w:val="Style ParaNum + Left Char"/>
    <w:link w:val="StyleParaNumLeft"/>
    <w:uiPriority w:val="99"/>
    <w:locked/>
    <w:rsid w:val="00F9071A"/>
    <w:rPr>
      <w:kern w:val="28"/>
      <w:szCs w:val="20"/>
    </w:rPr>
  </w:style>
  <w:style w:type="paragraph" w:customStyle="1" w:styleId="StyleParaNumLeft">
    <w:name w:val="Style ParaNum + Left"/>
    <w:basedOn w:val="Normal"/>
    <w:link w:val="StyleParaNumLeftChar"/>
    <w:uiPriority w:val="99"/>
    <w:rsid w:val="00F9071A"/>
    <w:pPr>
      <w:numPr>
        <w:numId w:val="2"/>
      </w:numPr>
      <w:tabs>
        <w:tab w:val="left" w:pos="720"/>
      </w:tabs>
      <w:snapToGrid w:val="0"/>
      <w:spacing w:after="220"/>
    </w:pPr>
  </w:style>
  <w:style w:type="character" w:customStyle="1" w:styleId="ParaNumChar">
    <w:name w:val="ParaNum Char"/>
    <w:link w:val="ParaNum"/>
    <w:locked/>
    <w:rsid w:val="00F9071A"/>
    <w:rPr>
      <w:snapToGrid w:val="0"/>
      <w:kern w:val="28"/>
      <w:sz w:val="22"/>
    </w:rPr>
  </w:style>
  <w:style w:type="paragraph" w:styleId="Title">
    <w:name w:val="Title"/>
    <w:basedOn w:val="Normal"/>
    <w:link w:val="TitleChar"/>
    <w:uiPriority w:val="99"/>
    <w:qFormat/>
    <w:rsid w:val="00F9071A"/>
    <w:pPr>
      <w:jc w:val="center"/>
    </w:pPr>
    <w:rPr>
      <w:b/>
    </w:rPr>
  </w:style>
  <w:style w:type="character" w:customStyle="1" w:styleId="TitleChar">
    <w:name w:val="Title Char"/>
    <w:link w:val="Title"/>
    <w:uiPriority w:val="99"/>
    <w:locked/>
    <w:rPr>
      <w:rFonts w:ascii="Cambria" w:hAnsi="Cambria" w:cs="Times New Roman"/>
      <w:b/>
      <w:bCs/>
      <w:kern w:val="28"/>
      <w:sz w:val="32"/>
      <w:szCs w:val="32"/>
    </w:rPr>
  </w:style>
  <w:style w:type="paragraph" w:styleId="HTMLPreformatted">
    <w:name w:val="HTML Preformatted"/>
    <w:basedOn w:val="Normal"/>
    <w:link w:val="HTMLPreformattedChar"/>
    <w:uiPriority w:val="99"/>
    <w:rsid w:val="00F90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locked/>
    <w:rsid w:val="00F9071A"/>
    <w:rPr>
      <w:rFonts w:ascii="Courier New" w:hAnsi="Courier New" w:cs="Times New Roman"/>
    </w:rPr>
  </w:style>
  <w:style w:type="paragraph" w:styleId="EndnoteText">
    <w:name w:val="endnote text"/>
    <w:basedOn w:val="Normal"/>
    <w:link w:val="EndnoteTextChar"/>
    <w:semiHidden/>
    <w:rsid w:val="00976272"/>
    <w:rPr>
      <w:sz w:val="20"/>
    </w:rPr>
  </w:style>
  <w:style w:type="character" w:customStyle="1" w:styleId="EndnoteTextChar">
    <w:name w:val="Endnote Text Char"/>
    <w:link w:val="EndnoteText"/>
    <w:semiHidden/>
    <w:locked/>
    <w:rPr>
      <w:snapToGrid w:val="0"/>
      <w:kern w:val="28"/>
    </w:rPr>
  </w:style>
  <w:style w:type="character" w:styleId="EndnoteReference">
    <w:name w:val="endnote reference"/>
    <w:semiHidden/>
    <w:rsid w:val="00976272"/>
    <w:rPr>
      <w:vertAlign w:val="superscript"/>
    </w:rPr>
  </w:style>
  <w:style w:type="paragraph" w:styleId="TOC1">
    <w:name w:val="toc 1"/>
    <w:basedOn w:val="Normal"/>
    <w:next w:val="Normal"/>
    <w:semiHidden/>
    <w:rsid w:val="0097627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76272"/>
    <w:pPr>
      <w:tabs>
        <w:tab w:val="left" w:pos="720"/>
        <w:tab w:val="right" w:leader="dot" w:pos="9360"/>
      </w:tabs>
      <w:suppressAutoHyphens/>
      <w:ind w:left="720" w:right="720" w:hanging="360"/>
    </w:pPr>
    <w:rPr>
      <w:noProof/>
    </w:rPr>
  </w:style>
  <w:style w:type="paragraph" w:styleId="TOC3">
    <w:name w:val="toc 3"/>
    <w:basedOn w:val="Normal"/>
    <w:next w:val="Normal"/>
    <w:semiHidden/>
    <w:rsid w:val="0097627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7627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7627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7627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7627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7627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7627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76272"/>
    <w:pPr>
      <w:tabs>
        <w:tab w:val="right" w:pos="9360"/>
      </w:tabs>
      <w:suppressAutoHyphens/>
    </w:pPr>
  </w:style>
  <w:style w:type="character" w:customStyle="1" w:styleId="EquationCaption">
    <w:name w:val="_Equation Caption"/>
    <w:rsid w:val="00976272"/>
  </w:style>
  <w:style w:type="paragraph" w:styleId="BlockText">
    <w:name w:val="Block Text"/>
    <w:basedOn w:val="Normal"/>
    <w:rsid w:val="00976272"/>
    <w:pPr>
      <w:spacing w:after="240"/>
      <w:ind w:left="1440" w:right="1440"/>
    </w:pPr>
  </w:style>
  <w:style w:type="paragraph" w:customStyle="1" w:styleId="Paratitle">
    <w:name w:val="Para title"/>
    <w:basedOn w:val="Normal"/>
    <w:rsid w:val="00976272"/>
    <w:pPr>
      <w:tabs>
        <w:tab w:val="center" w:pos="9270"/>
      </w:tabs>
      <w:spacing w:after="240"/>
    </w:pPr>
    <w:rPr>
      <w:spacing w:val="-2"/>
    </w:rPr>
  </w:style>
  <w:style w:type="paragraph" w:customStyle="1" w:styleId="Bullet">
    <w:name w:val="Bullet"/>
    <w:basedOn w:val="Normal"/>
    <w:rsid w:val="00976272"/>
    <w:pPr>
      <w:tabs>
        <w:tab w:val="left" w:pos="2160"/>
      </w:tabs>
      <w:spacing w:after="220"/>
      <w:ind w:left="2160" w:hanging="720"/>
    </w:pPr>
  </w:style>
  <w:style w:type="paragraph" w:customStyle="1" w:styleId="TableFormat">
    <w:name w:val="TableFormat"/>
    <w:basedOn w:val="Bullet"/>
    <w:rsid w:val="00976272"/>
    <w:pPr>
      <w:tabs>
        <w:tab w:val="clear" w:pos="2160"/>
        <w:tab w:val="left" w:pos="5040"/>
      </w:tabs>
      <w:ind w:left="5040" w:hanging="3600"/>
    </w:pPr>
  </w:style>
  <w:style w:type="paragraph" w:customStyle="1" w:styleId="TOCTitle">
    <w:name w:val="TOC Title"/>
    <w:basedOn w:val="Normal"/>
    <w:rsid w:val="0097627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76272"/>
    <w:pPr>
      <w:jc w:val="center"/>
    </w:pPr>
    <w:rPr>
      <w:rFonts w:ascii="Times New Roman Bold" w:hAnsi="Times New Roman Bold"/>
      <w:b/>
      <w:bCs/>
      <w:caps/>
      <w:szCs w:val="22"/>
    </w:rPr>
  </w:style>
  <w:style w:type="character" w:customStyle="1" w:styleId="CharChar2">
    <w:name w:val="Char Char2"/>
    <w:uiPriority w:val="99"/>
    <w:semiHidden/>
    <w:rsid w:val="00727576"/>
    <w:rPr>
      <w:lang w:val="en-US" w:eastAsia="en-US"/>
    </w:rPr>
  </w:style>
  <w:style w:type="character" w:customStyle="1" w:styleId="ALTSFOOTNOTEChar">
    <w:name w:val="ALTS FOOTNOTE Char"/>
    <w:aliases w:val="fn Char,Footnote Text Char2 Char Char"/>
    <w:uiPriority w:val="99"/>
    <w:locked/>
    <w:rsid w:val="00A21EBD"/>
    <w:rPr>
      <w:lang w:val="en-US" w:eastAsia="en-US"/>
    </w:rPr>
  </w:style>
  <w:style w:type="character" w:styleId="PlaceholderText">
    <w:name w:val="Placeholder Text"/>
    <w:uiPriority w:val="99"/>
    <w:semiHidden/>
    <w:rsid w:val="004278F5"/>
    <w:rPr>
      <w:color w:val="808080"/>
    </w:rPr>
  </w:style>
  <w:style w:type="paragraph" w:styleId="BodyTextIndent3">
    <w:name w:val="Body Text Indent 3"/>
    <w:basedOn w:val="Normal"/>
    <w:link w:val="BodyTextIndent3Char"/>
    <w:rsid w:val="00E67813"/>
    <w:pPr>
      <w:widowControl/>
      <w:tabs>
        <w:tab w:val="left" w:pos="1440"/>
      </w:tabs>
      <w:ind w:firstLine="720"/>
      <w:jc w:val="both"/>
    </w:pPr>
    <w:rPr>
      <w:sz w:val="24"/>
    </w:rPr>
  </w:style>
  <w:style w:type="character" w:customStyle="1" w:styleId="BodyTextIndent3Char">
    <w:name w:val="Body Text Indent 3 Char"/>
    <w:link w:val="BodyTextIndent3"/>
    <w:rsid w:val="00E67813"/>
    <w:rPr>
      <w:sz w:val="24"/>
      <w:szCs w:val="20"/>
    </w:rPr>
  </w:style>
  <w:style w:type="character" w:customStyle="1" w:styleId="ParaNumChar1">
    <w:name w:val="ParaNum Char1"/>
    <w:locked/>
    <w:rsid w:val="00E67813"/>
    <w:rPr>
      <w:snapToGrid w:val="0"/>
      <w:kern w:val="28"/>
      <w:sz w:val="22"/>
      <w:lang w:val="en-US" w:eastAsia="en-US" w:bidi="ar-SA"/>
    </w:rPr>
  </w:style>
  <w:style w:type="paragraph" w:customStyle="1" w:styleId="LightGrid-Accent31">
    <w:name w:val="Light Grid - Accent 31"/>
    <w:basedOn w:val="Normal"/>
    <w:uiPriority w:val="34"/>
    <w:qFormat/>
    <w:rsid w:val="00E67813"/>
    <w:pPr>
      <w:widowControl/>
      <w:ind w:left="720"/>
    </w:pPr>
    <w:rPr>
      <w:sz w:val="20"/>
    </w:rPr>
  </w:style>
  <w:style w:type="paragraph" w:styleId="ListParagraph">
    <w:name w:val="List Paragraph"/>
    <w:basedOn w:val="Normal"/>
    <w:uiPriority w:val="34"/>
    <w:qFormat/>
    <w:rsid w:val="00D329AB"/>
    <w:pPr>
      <w:ind w:left="720"/>
      <w:contextualSpacing/>
    </w:pPr>
  </w:style>
  <w:style w:type="paragraph" w:styleId="Revision">
    <w:name w:val="Revision"/>
    <w:hidden/>
    <w:uiPriority w:val="99"/>
    <w:semiHidden/>
    <w:rsid w:val="00440C2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86728">
      <w:bodyDiv w:val="1"/>
      <w:marLeft w:val="0"/>
      <w:marRight w:val="0"/>
      <w:marTop w:val="0"/>
      <w:marBottom w:val="0"/>
      <w:divBdr>
        <w:top w:val="none" w:sz="0" w:space="0" w:color="auto"/>
        <w:left w:val="none" w:sz="0" w:space="0" w:color="auto"/>
        <w:bottom w:val="none" w:sz="0" w:space="0" w:color="auto"/>
        <w:right w:val="none" w:sz="0" w:space="0" w:color="auto"/>
      </w:divBdr>
      <w:divsChild>
        <w:div w:id="1351222436">
          <w:marLeft w:val="0"/>
          <w:marRight w:val="0"/>
          <w:marTop w:val="0"/>
          <w:marBottom w:val="0"/>
          <w:divBdr>
            <w:top w:val="none" w:sz="0" w:space="0" w:color="auto"/>
            <w:left w:val="none" w:sz="0" w:space="0" w:color="auto"/>
            <w:bottom w:val="none" w:sz="0" w:space="0" w:color="auto"/>
            <w:right w:val="none" w:sz="0" w:space="0" w:color="auto"/>
          </w:divBdr>
          <w:divsChild>
            <w:div w:id="54047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242380">
      <w:bodyDiv w:val="1"/>
      <w:marLeft w:val="0"/>
      <w:marRight w:val="0"/>
      <w:marTop w:val="0"/>
      <w:marBottom w:val="0"/>
      <w:divBdr>
        <w:top w:val="none" w:sz="0" w:space="0" w:color="auto"/>
        <w:left w:val="none" w:sz="0" w:space="0" w:color="auto"/>
        <w:bottom w:val="none" w:sz="0" w:space="0" w:color="auto"/>
        <w:right w:val="none" w:sz="0" w:space="0" w:color="auto"/>
      </w:divBdr>
      <w:divsChild>
        <w:div w:id="1457214110">
          <w:marLeft w:val="0"/>
          <w:marRight w:val="0"/>
          <w:marTop w:val="0"/>
          <w:marBottom w:val="0"/>
          <w:divBdr>
            <w:top w:val="none" w:sz="0" w:space="0" w:color="auto"/>
            <w:left w:val="none" w:sz="0" w:space="0" w:color="auto"/>
            <w:bottom w:val="none" w:sz="0" w:space="0" w:color="auto"/>
            <w:right w:val="none" w:sz="0" w:space="0" w:color="auto"/>
          </w:divBdr>
          <w:divsChild>
            <w:div w:id="5167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28071">
      <w:bodyDiv w:val="1"/>
      <w:marLeft w:val="0"/>
      <w:marRight w:val="0"/>
      <w:marTop w:val="0"/>
      <w:marBottom w:val="0"/>
      <w:divBdr>
        <w:top w:val="none" w:sz="0" w:space="0" w:color="auto"/>
        <w:left w:val="none" w:sz="0" w:space="0" w:color="auto"/>
        <w:bottom w:val="none" w:sz="0" w:space="0" w:color="auto"/>
        <w:right w:val="none" w:sz="0" w:space="0" w:color="auto"/>
      </w:divBdr>
      <w:divsChild>
        <w:div w:id="1556089257">
          <w:marLeft w:val="0"/>
          <w:marRight w:val="0"/>
          <w:marTop w:val="0"/>
          <w:marBottom w:val="0"/>
          <w:divBdr>
            <w:top w:val="none" w:sz="0" w:space="0" w:color="auto"/>
            <w:left w:val="none" w:sz="0" w:space="0" w:color="auto"/>
            <w:bottom w:val="none" w:sz="0" w:space="0" w:color="auto"/>
            <w:right w:val="none" w:sz="0" w:space="0" w:color="auto"/>
          </w:divBdr>
          <w:divsChild>
            <w:div w:id="211258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504752">
      <w:marLeft w:val="0"/>
      <w:marRight w:val="0"/>
      <w:marTop w:val="0"/>
      <w:marBottom w:val="0"/>
      <w:divBdr>
        <w:top w:val="none" w:sz="0" w:space="0" w:color="auto"/>
        <w:left w:val="none" w:sz="0" w:space="0" w:color="auto"/>
        <w:bottom w:val="none" w:sz="0" w:space="0" w:color="auto"/>
        <w:right w:val="none" w:sz="0" w:space="0" w:color="auto"/>
      </w:divBdr>
    </w:div>
    <w:div w:id="983504753">
      <w:marLeft w:val="0"/>
      <w:marRight w:val="0"/>
      <w:marTop w:val="0"/>
      <w:marBottom w:val="0"/>
      <w:divBdr>
        <w:top w:val="none" w:sz="0" w:space="0" w:color="auto"/>
        <w:left w:val="none" w:sz="0" w:space="0" w:color="auto"/>
        <w:bottom w:val="none" w:sz="0" w:space="0" w:color="auto"/>
        <w:right w:val="none" w:sz="0" w:space="0" w:color="auto"/>
      </w:divBdr>
    </w:div>
    <w:div w:id="983504754">
      <w:marLeft w:val="0"/>
      <w:marRight w:val="0"/>
      <w:marTop w:val="0"/>
      <w:marBottom w:val="0"/>
      <w:divBdr>
        <w:top w:val="none" w:sz="0" w:space="0" w:color="auto"/>
        <w:left w:val="none" w:sz="0" w:space="0" w:color="auto"/>
        <w:bottom w:val="none" w:sz="0" w:space="0" w:color="auto"/>
        <w:right w:val="none" w:sz="0" w:space="0" w:color="auto"/>
      </w:divBdr>
    </w:div>
    <w:div w:id="1087118326">
      <w:bodyDiv w:val="1"/>
      <w:marLeft w:val="0"/>
      <w:marRight w:val="0"/>
      <w:marTop w:val="0"/>
      <w:marBottom w:val="0"/>
      <w:divBdr>
        <w:top w:val="none" w:sz="0" w:space="0" w:color="auto"/>
        <w:left w:val="none" w:sz="0" w:space="0" w:color="auto"/>
        <w:bottom w:val="none" w:sz="0" w:space="0" w:color="auto"/>
        <w:right w:val="none" w:sz="0" w:space="0" w:color="auto"/>
      </w:divBdr>
      <w:divsChild>
        <w:div w:id="1933852528">
          <w:marLeft w:val="0"/>
          <w:marRight w:val="0"/>
          <w:marTop w:val="0"/>
          <w:marBottom w:val="0"/>
          <w:divBdr>
            <w:top w:val="none" w:sz="0" w:space="0" w:color="auto"/>
            <w:left w:val="none" w:sz="0" w:space="0" w:color="auto"/>
            <w:bottom w:val="none" w:sz="0" w:space="0" w:color="auto"/>
            <w:right w:val="none" w:sz="0" w:space="0" w:color="auto"/>
          </w:divBdr>
          <w:divsChild>
            <w:div w:id="151364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callingpost.com/about-callingpost" TargetMode="External"/><Relationship Id="rId1" Type="http://schemas.openxmlformats.org/officeDocument/2006/relationships/hyperlink" Target="http://www.callingpost.com/feature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2380</Words>
  <Characters>13128</Characters>
  <Application>Microsoft Office Word</Application>
  <DocSecurity>0</DocSecurity>
  <Lines>213</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15535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2014-07-11T16:15:00Z</dcterms:created>
  <dcterms:modified xsi:type="dcterms:W3CDTF">2014-07-11T16:15:00Z</dcterms:modified>
  <cp:category> </cp:category>
  <cp:contentStatus> </cp:contentStatus>
</cp:coreProperties>
</file>