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CB2E6" w14:textId="77777777" w:rsidR="00656D1E" w:rsidRPr="00DF7137" w:rsidRDefault="00656D1E" w:rsidP="00F424A5">
      <w:pPr>
        <w:tabs>
          <w:tab w:val="center" w:pos="4680"/>
        </w:tabs>
        <w:suppressAutoHyphens/>
        <w:spacing w:line="240" w:lineRule="atLeast"/>
        <w:jc w:val="center"/>
        <w:outlineLvl w:val="0"/>
        <w:rPr>
          <w:b/>
        </w:rPr>
      </w:pPr>
      <w:bookmarkStart w:id="0" w:name="_GoBack"/>
      <w:bookmarkEnd w:id="0"/>
      <w:r w:rsidRPr="00DF7137">
        <w:rPr>
          <w:b/>
        </w:rPr>
        <w:t>Before the</w:t>
      </w:r>
    </w:p>
    <w:p w14:paraId="1D17D99A" w14:textId="77777777" w:rsidR="00656D1E" w:rsidRPr="00DF7137" w:rsidRDefault="00656D1E" w:rsidP="00BC4C7E">
      <w:pPr>
        <w:tabs>
          <w:tab w:val="center" w:pos="4680"/>
        </w:tabs>
        <w:suppressAutoHyphens/>
        <w:spacing w:line="240" w:lineRule="atLeast"/>
        <w:jc w:val="both"/>
        <w:outlineLvl w:val="0"/>
        <w:rPr>
          <w:b/>
        </w:rPr>
      </w:pPr>
      <w:r w:rsidRPr="00DF7137">
        <w:rPr>
          <w:b/>
        </w:rPr>
        <w:tab/>
        <w:t>Federal Communications Commission</w:t>
      </w:r>
    </w:p>
    <w:p w14:paraId="3703BDB1" w14:textId="77777777" w:rsidR="00656D1E" w:rsidRDefault="00656D1E" w:rsidP="00BC4C7E">
      <w:pPr>
        <w:tabs>
          <w:tab w:val="center" w:pos="4680"/>
        </w:tabs>
        <w:suppressAutoHyphens/>
        <w:spacing w:line="240" w:lineRule="atLeast"/>
        <w:jc w:val="both"/>
        <w:outlineLvl w:val="0"/>
        <w:rPr>
          <w:b/>
        </w:rPr>
      </w:pPr>
      <w:r w:rsidRPr="00DF7137">
        <w:rPr>
          <w:b/>
        </w:rPr>
        <w:tab/>
      </w:r>
      <w:smartTag w:uri="urn:schemas-microsoft-com:office:smarttags" w:element="City">
        <w:smartTag w:uri="urn:schemas-microsoft-com:office:smarttags" w:element="place">
          <w:smartTag w:uri="urn:schemas-microsoft-com:office:smarttags" w:element="City">
            <w:r w:rsidRPr="00DF7137">
              <w:rPr>
                <w:b/>
              </w:rPr>
              <w:t>Washington</w:t>
            </w:r>
          </w:smartTag>
          <w:r w:rsidRPr="00DF7137">
            <w:rPr>
              <w:b/>
            </w:rPr>
            <w:t xml:space="preserve">, </w:t>
          </w:r>
          <w:smartTag w:uri="urn:schemas-microsoft-com:office:smarttags" w:element="State">
            <w:r w:rsidRPr="00DF7137">
              <w:rPr>
                <w:b/>
              </w:rPr>
              <w:t>D.C.</w:t>
            </w:r>
          </w:smartTag>
          <w:r w:rsidRPr="00DF7137">
            <w:rPr>
              <w:b/>
            </w:rPr>
            <w:t xml:space="preserve"> </w:t>
          </w:r>
          <w:smartTag w:uri="urn:schemas-microsoft-com:office:smarttags" w:element="PostalCode">
            <w:r w:rsidRPr="00DF7137">
              <w:rPr>
                <w:b/>
              </w:rPr>
              <w:t>20554</w:t>
            </w:r>
          </w:smartTag>
        </w:smartTag>
      </w:smartTag>
    </w:p>
    <w:p w14:paraId="2590F37D" w14:textId="77777777" w:rsidR="00656D1E" w:rsidRPr="00DF7137" w:rsidRDefault="00656D1E" w:rsidP="00BC4C7E">
      <w:pPr>
        <w:tabs>
          <w:tab w:val="center" w:pos="4680"/>
        </w:tabs>
        <w:suppressAutoHyphens/>
        <w:spacing w:line="240" w:lineRule="atLeast"/>
        <w:jc w:val="both"/>
        <w:outlineLvl w:val="0"/>
        <w:rPr>
          <w:b/>
        </w:rPr>
      </w:pPr>
    </w:p>
    <w:tbl>
      <w:tblPr>
        <w:tblW w:w="0" w:type="auto"/>
        <w:tblLayout w:type="fixed"/>
        <w:tblLook w:val="0000" w:firstRow="0" w:lastRow="0" w:firstColumn="0" w:lastColumn="0" w:noHBand="0" w:noVBand="0"/>
      </w:tblPr>
      <w:tblGrid>
        <w:gridCol w:w="4788"/>
        <w:gridCol w:w="270"/>
        <w:gridCol w:w="4374"/>
      </w:tblGrid>
      <w:tr w:rsidR="004876F8" w:rsidRPr="00DF7137" w14:paraId="3DB08E68" w14:textId="77777777">
        <w:trPr>
          <w:trHeight w:val="1566"/>
        </w:trPr>
        <w:tc>
          <w:tcPr>
            <w:tcW w:w="4788" w:type="dxa"/>
          </w:tcPr>
          <w:p w14:paraId="44D9C120" w14:textId="77777777" w:rsidR="004876F8" w:rsidRPr="00783B16" w:rsidRDefault="004876F8" w:rsidP="00481A25">
            <w:r w:rsidRPr="00783B16">
              <w:t xml:space="preserve">In the Matter of </w:t>
            </w:r>
          </w:p>
          <w:p w14:paraId="70D2C3BC" w14:textId="77777777" w:rsidR="004876F8" w:rsidRPr="00783B16" w:rsidRDefault="004876F8" w:rsidP="00481A25"/>
          <w:p w14:paraId="60ABFEB4" w14:textId="77777777" w:rsidR="004876F8" w:rsidRPr="00783B16" w:rsidRDefault="004876F8" w:rsidP="00481A25">
            <w:pPr>
              <w:rPr>
                <w:color w:val="000000"/>
              </w:rPr>
            </w:pPr>
            <w:r w:rsidRPr="00783B16">
              <w:rPr>
                <w:noProof/>
                <w:color w:val="000000"/>
              </w:rPr>
              <w:t>Latin Broadcasting Company</w:t>
            </w:r>
          </w:p>
          <w:p w14:paraId="41571F86" w14:textId="77777777" w:rsidR="004876F8" w:rsidRPr="00783B16" w:rsidRDefault="004876F8" w:rsidP="00481A25"/>
          <w:p w14:paraId="4661333E" w14:textId="77777777" w:rsidR="004876F8" w:rsidRPr="00783B16" w:rsidRDefault="004876F8" w:rsidP="00481A25">
            <w:pPr>
              <w:rPr>
                <w:color w:val="0000FF"/>
              </w:rPr>
            </w:pPr>
            <w:r w:rsidRPr="00783B16">
              <w:rPr>
                <w:color w:val="000000"/>
              </w:rPr>
              <w:t>Owner of Antenna Structure Number 1250803</w:t>
            </w:r>
          </w:p>
          <w:p w14:paraId="19F7AA04" w14:textId="77777777" w:rsidR="004876F8" w:rsidRPr="00CF5895" w:rsidRDefault="004876F8" w:rsidP="00481A25">
            <w:pPr>
              <w:rPr>
                <w:color w:val="000000"/>
              </w:rPr>
            </w:pPr>
            <w:r w:rsidRPr="00783B16">
              <w:rPr>
                <w:color w:val="000000"/>
              </w:rPr>
              <w:t>Dallas Center, IA</w:t>
            </w:r>
          </w:p>
          <w:p w14:paraId="4D4222C9" w14:textId="77777777" w:rsidR="004876F8" w:rsidRPr="00783B16" w:rsidRDefault="004876F8" w:rsidP="00481A25"/>
        </w:tc>
        <w:tc>
          <w:tcPr>
            <w:tcW w:w="270" w:type="dxa"/>
          </w:tcPr>
          <w:p w14:paraId="7D3D4FDC" w14:textId="77777777" w:rsidR="004876F8" w:rsidRPr="00783B16" w:rsidRDefault="004876F8" w:rsidP="00481A25">
            <w:pPr>
              <w:tabs>
                <w:tab w:val="center" w:pos="4680"/>
              </w:tabs>
              <w:suppressAutoHyphens/>
              <w:spacing w:line="240" w:lineRule="atLeast"/>
              <w:jc w:val="both"/>
              <w:outlineLvl w:val="0"/>
            </w:pPr>
            <w:r w:rsidRPr="00783B16">
              <w:t>)</w:t>
            </w:r>
          </w:p>
          <w:p w14:paraId="342D98C5" w14:textId="77777777" w:rsidR="004876F8" w:rsidRPr="00783B16" w:rsidRDefault="004876F8" w:rsidP="00481A25">
            <w:pPr>
              <w:tabs>
                <w:tab w:val="center" w:pos="4680"/>
              </w:tabs>
              <w:suppressAutoHyphens/>
              <w:spacing w:line="240" w:lineRule="atLeast"/>
              <w:jc w:val="both"/>
              <w:outlineLvl w:val="0"/>
            </w:pPr>
            <w:r w:rsidRPr="00783B16">
              <w:t>)</w:t>
            </w:r>
          </w:p>
          <w:p w14:paraId="544A7C21" w14:textId="77777777" w:rsidR="004876F8" w:rsidRPr="00783B16" w:rsidRDefault="004876F8" w:rsidP="00481A25">
            <w:pPr>
              <w:tabs>
                <w:tab w:val="center" w:pos="4680"/>
              </w:tabs>
              <w:suppressAutoHyphens/>
              <w:spacing w:line="240" w:lineRule="atLeast"/>
              <w:jc w:val="both"/>
              <w:outlineLvl w:val="0"/>
            </w:pPr>
            <w:r w:rsidRPr="00783B16">
              <w:t>)</w:t>
            </w:r>
          </w:p>
          <w:p w14:paraId="4888F187" w14:textId="77777777" w:rsidR="004876F8" w:rsidRPr="00783B16" w:rsidRDefault="004876F8" w:rsidP="00481A25">
            <w:pPr>
              <w:tabs>
                <w:tab w:val="center" w:pos="4680"/>
              </w:tabs>
              <w:suppressAutoHyphens/>
              <w:spacing w:line="240" w:lineRule="atLeast"/>
              <w:jc w:val="both"/>
              <w:outlineLvl w:val="0"/>
            </w:pPr>
            <w:r w:rsidRPr="00783B16">
              <w:t>)</w:t>
            </w:r>
          </w:p>
          <w:p w14:paraId="48A6A554" w14:textId="77777777" w:rsidR="004876F8" w:rsidRPr="00783B16" w:rsidRDefault="004876F8" w:rsidP="00481A25">
            <w:pPr>
              <w:tabs>
                <w:tab w:val="center" w:pos="4680"/>
              </w:tabs>
              <w:suppressAutoHyphens/>
              <w:spacing w:line="240" w:lineRule="atLeast"/>
              <w:jc w:val="both"/>
              <w:outlineLvl w:val="0"/>
            </w:pPr>
            <w:r w:rsidRPr="00783B16">
              <w:t>)</w:t>
            </w:r>
          </w:p>
          <w:p w14:paraId="3C2166D3" w14:textId="77777777" w:rsidR="004876F8" w:rsidRPr="00783B16" w:rsidRDefault="004876F8" w:rsidP="00481A25">
            <w:pPr>
              <w:tabs>
                <w:tab w:val="center" w:pos="4680"/>
              </w:tabs>
              <w:suppressAutoHyphens/>
              <w:spacing w:line="240" w:lineRule="atLeast"/>
              <w:jc w:val="both"/>
              <w:outlineLvl w:val="0"/>
            </w:pPr>
            <w:r w:rsidRPr="00783B16">
              <w:t>)</w:t>
            </w:r>
          </w:p>
          <w:p w14:paraId="6872884A" w14:textId="77777777" w:rsidR="004876F8" w:rsidRPr="00783B16" w:rsidRDefault="004876F8" w:rsidP="00481A25">
            <w:pPr>
              <w:tabs>
                <w:tab w:val="center" w:pos="4680"/>
              </w:tabs>
              <w:suppressAutoHyphens/>
              <w:spacing w:line="240" w:lineRule="atLeast"/>
              <w:jc w:val="both"/>
              <w:outlineLvl w:val="0"/>
            </w:pPr>
          </w:p>
        </w:tc>
        <w:tc>
          <w:tcPr>
            <w:tcW w:w="4374" w:type="dxa"/>
          </w:tcPr>
          <w:p w14:paraId="0CE35E58" w14:textId="77777777" w:rsidR="004876F8" w:rsidRPr="00783B16" w:rsidRDefault="004876F8" w:rsidP="00481A25">
            <w:pPr>
              <w:tabs>
                <w:tab w:val="center" w:pos="4680"/>
              </w:tabs>
              <w:suppressAutoHyphens/>
              <w:spacing w:line="240" w:lineRule="atLeast"/>
              <w:jc w:val="right"/>
              <w:outlineLvl w:val="0"/>
            </w:pPr>
          </w:p>
          <w:p w14:paraId="09A7192F" w14:textId="77777777" w:rsidR="004876F8" w:rsidRPr="00783B16" w:rsidRDefault="004876F8" w:rsidP="00481A25">
            <w:pPr>
              <w:jc w:val="right"/>
            </w:pPr>
          </w:p>
          <w:p w14:paraId="6A7DD0ED" w14:textId="77777777" w:rsidR="004876F8" w:rsidRPr="00783B16" w:rsidRDefault="004876F8" w:rsidP="00481A25">
            <w:pPr>
              <w:rPr>
                <w:color w:val="000000"/>
              </w:rPr>
            </w:pPr>
            <w:r w:rsidRPr="00783B16">
              <w:rPr>
                <w:color w:val="FF00FF"/>
              </w:rPr>
              <w:t xml:space="preserve">    </w:t>
            </w:r>
            <w:r w:rsidRPr="00783B16">
              <w:rPr>
                <w:color w:val="000000"/>
              </w:rPr>
              <w:t>File Number:</w:t>
            </w:r>
            <w:r w:rsidRPr="00783B16">
              <w:rPr>
                <w:color w:val="FF00FF"/>
              </w:rPr>
              <w:t xml:space="preserve">  </w:t>
            </w:r>
            <w:r w:rsidRPr="00783B16">
              <w:rPr>
                <w:noProof/>
                <w:color w:val="000000"/>
              </w:rPr>
              <w:t>EB-FIELDSCR-12-00003967</w:t>
            </w:r>
          </w:p>
          <w:p w14:paraId="77C4FE6B" w14:textId="77777777" w:rsidR="004876F8" w:rsidRPr="009E06D4" w:rsidRDefault="004876F8" w:rsidP="00481A25">
            <w:pPr>
              <w:rPr>
                <w:color w:val="000000"/>
              </w:rPr>
            </w:pPr>
            <w:r w:rsidRPr="00783B16">
              <w:rPr>
                <w:color w:val="FF00FF"/>
              </w:rPr>
              <w:t xml:space="preserve">    </w:t>
            </w:r>
            <w:r w:rsidRPr="00783B16">
              <w:rPr>
                <w:color w:val="000000"/>
              </w:rPr>
              <w:t>NAL/Acct. No.:</w:t>
            </w:r>
            <w:r w:rsidRPr="00783B16">
              <w:rPr>
                <w:color w:val="FF00FF"/>
              </w:rPr>
              <w:t xml:space="preserve"> </w:t>
            </w:r>
            <w:r w:rsidRPr="009E06D4">
              <w:rPr>
                <w:color w:val="000000"/>
              </w:rPr>
              <w:t>201332560004</w:t>
            </w:r>
          </w:p>
          <w:p w14:paraId="5B614568" w14:textId="3E71F638" w:rsidR="004876F8" w:rsidRPr="00C40BE6" w:rsidRDefault="004876F8" w:rsidP="00C40BE6">
            <w:pPr>
              <w:rPr>
                <w:color w:val="FF00FF"/>
              </w:rPr>
            </w:pPr>
            <w:r w:rsidRPr="00783B16">
              <w:rPr>
                <w:color w:val="FF00FF"/>
              </w:rPr>
              <w:t xml:space="preserve">    </w:t>
            </w:r>
            <w:r w:rsidRPr="00783B16">
              <w:rPr>
                <w:color w:val="000000"/>
              </w:rPr>
              <w:t>FRN:</w:t>
            </w:r>
            <w:r w:rsidRPr="00783B16">
              <w:rPr>
                <w:color w:val="FF00FF"/>
              </w:rPr>
              <w:t xml:space="preserve">  </w:t>
            </w:r>
            <w:r w:rsidRPr="00783B16">
              <w:rPr>
                <w:noProof/>
                <w:color w:val="000000"/>
              </w:rPr>
              <w:t>0003763976</w:t>
            </w:r>
          </w:p>
        </w:tc>
      </w:tr>
    </w:tbl>
    <w:p w14:paraId="39540DA3" w14:textId="77777777" w:rsidR="00656D1E" w:rsidRPr="00DF7137" w:rsidRDefault="00656D1E" w:rsidP="00CF5895">
      <w:pPr>
        <w:pStyle w:val="Heading2"/>
        <w:rPr>
          <w:sz w:val="22"/>
          <w:szCs w:val="22"/>
        </w:rPr>
      </w:pPr>
      <w:r w:rsidRPr="00DF7137">
        <w:rPr>
          <w:sz w:val="22"/>
          <w:szCs w:val="22"/>
        </w:rPr>
        <w:t>FORFEITURE ORDER</w:t>
      </w:r>
    </w:p>
    <w:p w14:paraId="689C0898" w14:textId="77777777" w:rsidR="00656D1E" w:rsidRPr="00DF7137" w:rsidRDefault="00656D1E" w:rsidP="00BC4C7E">
      <w:pPr>
        <w:tabs>
          <w:tab w:val="left" w:pos="0"/>
        </w:tabs>
        <w:suppressAutoHyphens/>
        <w:spacing w:line="240" w:lineRule="atLeast"/>
        <w:jc w:val="both"/>
      </w:pPr>
    </w:p>
    <w:p w14:paraId="45029C04" w14:textId="61EF18A0" w:rsidR="00656D1E" w:rsidRPr="00DF7137" w:rsidRDefault="00656D1E" w:rsidP="00BC4C7E">
      <w:pPr>
        <w:tabs>
          <w:tab w:val="left" w:pos="0"/>
          <w:tab w:val="left" w:pos="720"/>
          <w:tab w:val="left" w:pos="5760"/>
        </w:tabs>
        <w:suppressAutoHyphens/>
        <w:spacing w:line="240" w:lineRule="atLeast"/>
      </w:pPr>
      <w:r w:rsidRPr="00DF7137">
        <w:rPr>
          <w:b/>
        </w:rPr>
        <w:t xml:space="preserve">Adopted:  </w:t>
      </w:r>
      <w:r w:rsidR="00DE1CF9">
        <w:rPr>
          <w:b/>
        </w:rPr>
        <w:t>July 15</w:t>
      </w:r>
      <w:r w:rsidR="00CF4AAE">
        <w:rPr>
          <w:b/>
        </w:rPr>
        <w:t>, 2014</w:t>
      </w:r>
      <w:r w:rsidRPr="00DF7137">
        <w:rPr>
          <w:b/>
        </w:rPr>
        <w:tab/>
      </w:r>
      <w:r w:rsidRPr="00DF7137">
        <w:rPr>
          <w:b/>
        </w:rPr>
        <w:tab/>
        <w:t xml:space="preserve">Released: </w:t>
      </w:r>
      <w:r w:rsidR="00DE1CF9">
        <w:rPr>
          <w:b/>
        </w:rPr>
        <w:t xml:space="preserve"> July 15</w:t>
      </w:r>
      <w:r w:rsidR="00CF4AAE">
        <w:rPr>
          <w:b/>
        </w:rPr>
        <w:t>, 2014</w:t>
      </w:r>
    </w:p>
    <w:p w14:paraId="10281568" w14:textId="77777777" w:rsidR="00656D1E" w:rsidRPr="00DF7137" w:rsidRDefault="00656D1E" w:rsidP="00BC4C7E">
      <w:pPr>
        <w:tabs>
          <w:tab w:val="left" w:pos="0"/>
          <w:tab w:val="left" w:pos="720"/>
          <w:tab w:val="left" w:pos="5760"/>
        </w:tabs>
        <w:suppressAutoHyphens/>
        <w:spacing w:line="240" w:lineRule="atLeast"/>
        <w:jc w:val="both"/>
      </w:pPr>
    </w:p>
    <w:p w14:paraId="6CC9E2FD" w14:textId="77777777" w:rsidR="00656D1E" w:rsidRPr="00DF7137" w:rsidRDefault="00656D1E" w:rsidP="00BC4C7E">
      <w:pPr>
        <w:tabs>
          <w:tab w:val="left" w:pos="0"/>
          <w:tab w:val="left" w:pos="720"/>
          <w:tab w:val="left" w:pos="5760"/>
        </w:tabs>
        <w:suppressAutoHyphens/>
        <w:spacing w:line="240" w:lineRule="atLeast"/>
        <w:jc w:val="both"/>
      </w:pPr>
      <w:r w:rsidRPr="00DF7137">
        <w:t>By the Regional Director, South Central Region, Enforcement Bureau:</w:t>
      </w:r>
    </w:p>
    <w:p w14:paraId="1815E432" w14:textId="77777777" w:rsidR="00656D1E" w:rsidRPr="00DF7137" w:rsidRDefault="00656D1E" w:rsidP="00BC4C7E">
      <w:pPr>
        <w:tabs>
          <w:tab w:val="left" w:pos="0"/>
        </w:tabs>
        <w:suppressAutoHyphens/>
        <w:spacing w:line="240" w:lineRule="atLeast"/>
      </w:pPr>
    </w:p>
    <w:p w14:paraId="1AE01561" w14:textId="4B2DEFF3" w:rsidR="00656D1E" w:rsidRPr="00DF7137" w:rsidRDefault="00656D1E" w:rsidP="00C40BE6">
      <w:pPr>
        <w:tabs>
          <w:tab w:val="center" w:pos="720"/>
        </w:tabs>
        <w:suppressAutoHyphens/>
        <w:spacing w:after="120" w:line="240" w:lineRule="atLeast"/>
      </w:pPr>
      <w:r w:rsidRPr="00DF7137">
        <w:rPr>
          <w:b/>
        </w:rPr>
        <w:t xml:space="preserve">I. </w:t>
      </w:r>
      <w:r w:rsidRPr="00DF7137">
        <w:t xml:space="preserve"> </w:t>
      </w:r>
      <w:r>
        <w:tab/>
        <w:t xml:space="preserve">         </w:t>
      </w:r>
      <w:r w:rsidRPr="00DF7137">
        <w:rPr>
          <w:b/>
        </w:rPr>
        <w:t>INTRODUCTIO</w:t>
      </w:r>
      <w:r w:rsidR="003230C3">
        <w:rPr>
          <w:b/>
        </w:rPr>
        <w:t>N</w:t>
      </w:r>
    </w:p>
    <w:p w14:paraId="21A0DB18" w14:textId="14666616" w:rsidR="00CF5895" w:rsidRPr="00CE25BA" w:rsidRDefault="00CF5895" w:rsidP="00CE25BA">
      <w:pPr>
        <w:numPr>
          <w:ilvl w:val="0"/>
          <w:numId w:val="1"/>
        </w:numPr>
        <w:tabs>
          <w:tab w:val="clear" w:pos="1080"/>
          <w:tab w:val="left" w:pos="0"/>
          <w:tab w:val="num" w:pos="1440"/>
        </w:tabs>
        <w:suppressAutoHyphens/>
        <w:autoSpaceDE w:val="0"/>
        <w:autoSpaceDN w:val="0"/>
        <w:adjustRightInd w:val="0"/>
        <w:spacing w:after="120" w:line="240" w:lineRule="atLeast"/>
        <w:rPr>
          <w:spacing w:val="-2"/>
        </w:rPr>
      </w:pPr>
      <w:r>
        <w:rPr>
          <w:spacing w:val="-2"/>
        </w:rPr>
        <w:t xml:space="preserve">We impose a penalty of $11,000 against Latin Broadcasting Company (LBC) for violations of the Commission’s antenna structure rules.  The Enforcement Bureau alleged that LBC failed to exhibit required lighting on its antenna structure, notify the Federal Aviation Administration (FAA) of the lighting outage, and inform the Commission regarding a change in antenna structure </w:t>
      </w:r>
      <w:r w:rsidR="00970F80">
        <w:rPr>
          <w:spacing w:val="-2"/>
        </w:rPr>
        <w:t>ownership information</w:t>
      </w:r>
      <w:r>
        <w:rPr>
          <w:spacing w:val="-2"/>
        </w:rPr>
        <w:t>.  LBC does not dispute the</w:t>
      </w:r>
      <w:r w:rsidR="00970F80">
        <w:rPr>
          <w:spacing w:val="-2"/>
        </w:rPr>
        <w:t>se</w:t>
      </w:r>
      <w:r>
        <w:rPr>
          <w:spacing w:val="-2"/>
        </w:rPr>
        <w:t xml:space="preserve"> violations, b</w:t>
      </w:r>
      <w:r w:rsidR="00970F80">
        <w:rPr>
          <w:spacing w:val="-2"/>
        </w:rPr>
        <w:t xml:space="preserve">ut argues that the </w:t>
      </w:r>
      <w:r>
        <w:rPr>
          <w:spacing w:val="-2"/>
        </w:rPr>
        <w:t>penalty is unenforceable under the Small Business Regulatory Enforcement and Fairness Act of 1996</w:t>
      </w:r>
      <w:r w:rsidR="00CE25BA">
        <w:rPr>
          <w:spacing w:val="-2"/>
        </w:rPr>
        <w:t xml:space="preserve"> </w:t>
      </w:r>
      <w:r w:rsidR="00376688">
        <w:rPr>
          <w:spacing w:val="-2"/>
        </w:rPr>
        <w:t xml:space="preserve">(SBREFA).  </w:t>
      </w:r>
      <w:r w:rsidR="007B3A96">
        <w:rPr>
          <w:spacing w:val="-2"/>
        </w:rPr>
        <w:t>Th</w:t>
      </w:r>
      <w:r w:rsidR="00697EA6">
        <w:rPr>
          <w:spacing w:val="-2"/>
        </w:rPr>
        <w:t xml:space="preserve">e Commission has </w:t>
      </w:r>
      <w:r w:rsidR="006E7725">
        <w:rPr>
          <w:spacing w:val="-2"/>
        </w:rPr>
        <w:t xml:space="preserve">previously determined </w:t>
      </w:r>
      <w:r w:rsidR="00697EA6">
        <w:rPr>
          <w:spacing w:val="-2"/>
        </w:rPr>
        <w:t>that its forfeiture policy complies with SBREFA</w:t>
      </w:r>
      <w:r w:rsidR="006E7725">
        <w:rPr>
          <w:spacing w:val="-2"/>
        </w:rPr>
        <w:t>,</w:t>
      </w:r>
      <w:r w:rsidR="00697EA6">
        <w:rPr>
          <w:spacing w:val="-2"/>
        </w:rPr>
        <w:t xml:space="preserve"> and the process for determining the penalty against LBC took into account</w:t>
      </w:r>
      <w:r w:rsidR="007B3A96">
        <w:rPr>
          <w:spacing w:val="-2"/>
        </w:rPr>
        <w:t xml:space="preserve"> its status </w:t>
      </w:r>
      <w:r w:rsidR="00697EA6">
        <w:rPr>
          <w:spacing w:val="-2"/>
        </w:rPr>
        <w:t>as a small busin</w:t>
      </w:r>
      <w:r w:rsidR="007B3A96">
        <w:rPr>
          <w:spacing w:val="-2"/>
        </w:rPr>
        <w:t xml:space="preserve">ess, as required by </w:t>
      </w:r>
      <w:r w:rsidR="00697EA6">
        <w:rPr>
          <w:spacing w:val="-2"/>
        </w:rPr>
        <w:t xml:space="preserve">statute.  </w:t>
      </w:r>
      <w:r w:rsidR="00CE25BA">
        <w:rPr>
          <w:spacing w:val="-2"/>
        </w:rPr>
        <w:t>We also reject LBC’</w:t>
      </w:r>
      <w:r w:rsidR="00970F80">
        <w:rPr>
          <w:spacing w:val="-2"/>
        </w:rPr>
        <w:t xml:space="preserve">s argument that it deserves a forfeiture reduction regarding the ownership reporting violation </w:t>
      </w:r>
      <w:r w:rsidR="00CE25BA">
        <w:rPr>
          <w:spacing w:val="-2"/>
        </w:rPr>
        <w:t>because it acquired the antenna structure as part of a “pro forma” change in control.  However</w:t>
      </w:r>
      <w:r w:rsidR="007B3A96" w:rsidRPr="00CE25BA">
        <w:rPr>
          <w:spacing w:val="-2"/>
        </w:rPr>
        <w:t xml:space="preserve">, </w:t>
      </w:r>
      <w:r w:rsidR="00970F80">
        <w:rPr>
          <w:spacing w:val="-2"/>
        </w:rPr>
        <w:t xml:space="preserve">we reduce the forfeiture </w:t>
      </w:r>
      <w:r w:rsidR="007B3A96" w:rsidRPr="00CE25BA">
        <w:rPr>
          <w:spacing w:val="-2"/>
        </w:rPr>
        <w:t>based on LBC’s history of compliance with the Commission’s rules.</w:t>
      </w:r>
      <w:r w:rsidR="00697EA6" w:rsidRPr="00CE25BA">
        <w:rPr>
          <w:spacing w:val="-2"/>
        </w:rPr>
        <w:t xml:space="preserve"> </w:t>
      </w:r>
    </w:p>
    <w:p w14:paraId="3301EBAE" w14:textId="5F1A5CF7" w:rsidR="00656D1E" w:rsidRPr="00DF4DC9" w:rsidRDefault="007B3A96" w:rsidP="00C40BE6">
      <w:pPr>
        <w:numPr>
          <w:ilvl w:val="0"/>
          <w:numId w:val="1"/>
        </w:numPr>
        <w:tabs>
          <w:tab w:val="clear" w:pos="1080"/>
          <w:tab w:val="left" w:pos="0"/>
          <w:tab w:val="num" w:pos="1440"/>
        </w:tabs>
        <w:suppressAutoHyphens/>
        <w:autoSpaceDE w:val="0"/>
        <w:autoSpaceDN w:val="0"/>
        <w:adjustRightInd w:val="0"/>
        <w:spacing w:after="120" w:line="240" w:lineRule="atLeast"/>
        <w:rPr>
          <w:spacing w:val="-2"/>
        </w:rPr>
      </w:pPr>
      <w:r>
        <w:t>Specifically,</w:t>
      </w:r>
      <w:r w:rsidR="00CF5895">
        <w:t xml:space="preserve"> </w:t>
      </w:r>
      <w:r w:rsidR="00656D1E" w:rsidRPr="00DF7137">
        <w:t>we issue a monet</w:t>
      </w:r>
      <w:r w:rsidR="00656D1E">
        <w:t xml:space="preserve">ary forfeiture </w:t>
      </w:r>
      <w:r w:rsidR="00CF5895">
        <w:t xml:space="preserve">to </w:t>
      </w:r>
      <w:r w:rsidR="004876F8" w:rsidRPr="00783B16">
        <w:rPr>
          <w:noProof/>
          <w:color w:val="000000"/>
        </w:rPr>
        <w:t>LBC</w:t>
      </w:r>
      <w:r w:rsidR="004876F8" w:rsidRPr="00783B16">
        <w:rPr>
          <w:color w:val="000000"/>
        </w:rPr>
        <w:t xml:space="preserve">, owner of antenna structure number </w:t>
      </w:r>
      <w:r w:rsidR="004876F8">
        <w:rPr>
          <w:color w:val="000000"/>
        </w:rPr>
        <w:t>1250803 (the Antenna Structure), located</w:t>
      </w:r>
      <w:r w:rsidR="004876F8" w:rsidRPr="00783B16">
        <w:rPr>
          <w:color w:val="000000"/>
        </w:rPr>
        <w:t xml:space="preserve"> in Dallas Center, Iowa</w:t>
      </w:r>
      <w:r w:rsidR="00656D1E">
        <w:t>,</w:t>
      </w:r>
      <w:r w:rsidR="00656D1E">
        <w:rPr>
          <w:spacing w:val="-2"/>
        </w:rPr>
        <w:t xml:space="preserve"> </w:t>
      </w:r>
      <w:r w:rsidR="00656D1E" w:rsidRPr="00DF7137">
        <w:t xml:space="preserve">for </w:t>
      </w:r>
      <w:r w:rsidR="00656D1E">
        <w:t xml:space="preserve">willful and repeated violation of </w:t>
      </w:r>
      <w:r w:rsidR="004876F8" w:rsidRPr="00783B16">
        <w:t>Section 303(q) of the Communications Act of 1934, as amended (Act)</w:t>
      </w:r>
      <w:r w:rsidR="004876F8" w:rsidRPr="00783B16">
        <w:rPr>
          <w:rStyle w:val="FootnoteReference"/>
        </w:rPr>
        <w:footnoteReference w:id="2"/>
      </w:r>
      <w:r w:rsidR="004876F8" w:rsidRPr="00783B16">
        <w:t xml:space="preserve"> and Sections 17.48(a), 17.51(a), and 17.57</w:t>
      </w:r>
      <w:r w:rsidR="004876F8" w:rsidRPr="00783B16">
        <w:rPr>
          <w:b/>
        </w:rPr>
        <w:t xml:space="preserve"> </w:t>
      </w:r>
      <w:r w:rsidR="004876F8" w:rsidRPr="00783B16">
        <w:t>of the Commission’s rules (Rules)</w:t>
      </w:r>
      <w:r w:rsidR="004876F8">
        <w:t>.</w:t>
      </w:r>
      <w:r w:rsidR="004876F8" w:rsidRPr="00783B16">
        <w:rPr>
          <w:rStyle w:val="FootnoteReference"/>
        </w:rPr>
        <w:footnoteReference w:id="3"/>
      </w:r>
      <w:r w:rsidR="00656D1E">
        <w:t xml:space="preserve">  </w:t>
      </w:r>
    </w:p>
    <w:p w14:paraId="6BBB4262" w14:textId="77777777" w:rsidR="00656D1E" w:rsidRPr="00DF7137" w:rsidRDefault="00656D1E" w:rsidP="00C40BE6">
      <w:pPr>
        <w:pStyle w:val="ParaNum"/>
        <w:numPr>
          <w:ilvl w:val="0"/>
          <w:numId w:val="0"/>
        </w:numPr>
        <w:tabs>
          <w:tab w:val="left" w:pos="720"/>
        </w:tabs>
        <w:spacing w:after="120"/>
        <w:rPr>
          <w:b/>
        </w:rPr>
      </w:pPr>
      <w:r w:rsidRPr="00DF7137">
        <w:rPr>
          <w:b/>
        </w:rPr>
        <w:t xml:space="preserve">II.  </w:t>
      </w:r>
      <w:r w:rsidR="00BE403E">
        <w:rPr>
          <w:b/>
        </w:rPr>
        <w:tab/>
      </w:r>
      <w:r w:rsidRPr="00DF7137">
        <w:rPr>
          <w:b/>
        </w:rPr>
        <w:t>BACKGROUND</w:t>
      </w:r>
    </w:p>
    <w:p w14:paraId="09EE9115" w14:textId="541C3A89" w:rsidR="00656D1E" w:rsidRPr="0057487E" w:rsidRDefault="00656D1E" w:rsidP="00C40BE6">
      <w:pPr>
        <w:numPr>
          <w:ilvl w:val="0"/>
          <w:numId w:val="1"/>
        </w:numPr>
        <w:tabs>
          <w:tab w:val="clear" w:pos="1080"/>
          <w:tab w:val="left" w:pos="0"/>
          <w:tab w:val="num" w:pos="1440"/>
        </w:tabs>
        <w:suppressAutoHyphens/>
        <w:autoSpaceDE w:val="0"/>
        <w:autoSpaceDN w:val="0"/>
        <w:adjustRightInd w:val="0"/>
        <w:spacing w:after="120" w:line="240" w:lineRule="atLeast"/>
        <w:rPr>
          <w:sz w:val="24"/>
          <w:szCs w:val="24"/>
        </w:rPr>
      </w:pPr>
      <w:r w:rsidRPr="009F5005">
        <w:rPr>
          <w:spacing w:val="-2"/>
        </w:rPr>
        <w:t xml:space="preserve">  On </w:t>
      </w:r>
      <w:r w:rsidR="004876F8">
        <w:rPr>
          <w:spacing w:val="-2"/>
        </w:rPr>
        <w:t>March 11</w:t>
      </w:r>
      <w:r w:rsidR="00DF0F50">
        <w:rPr>
          <w:spacing w:val="-2"/>
        </w:rPr>
        <w:t>, 2013</w:t>
      </w:r>
      <w:r w:rsidRPr="009F5005">
        <w:rPr>
          <w:spacing w:val="-2"/>
        </w:rPr>
        <w:t xml:space="preserve">, the Enforcement Bureau’s </w:t>
      </w:r>
      <w:r w:rsidR="004876F8">
        <w:rPr>
          <w:spacing w:val="-2"/>
        </w:rPr>
        <w:t>Kansas City</w:t>
      </w:r>
      <w:r w:rsidR="007B3A96">
        <w:rPr>
          <w:spacing w:val="-2"/>
        </w:rPr>
        <w:t xml:space="preserve"> Office</w:t>
      </w:r>
      <w:r w:rsidR="00C77C37">
        <w:rPr>
          <w:spacing w:val="-2"/>
        </w:rPr>
        <w:t xml:space="preserve"> </w:t>
      </w:r>
      <w:r w:rsidRPr="009F5005">
        <w:rPr>
          <w:spacing w:val="-2"/>
        </w:rPr>
        <w:t>issued a Notice of Apparent Liability for Forfeiture and Order</w:t>
      </w:r>
      <w:r w:rsidRPr="009F5005">
        <w:rPr>
          <w:i/>
          <w:spacing w:val="-2"/>
        </w:rPr>
        <w:t xml:space="preserve"> </w:t>
      </w:r>
      <w:r w:rsidRPr="009F5005">
        <w:rPr>
          <w:spacing w:val="-2"/>
        </w:rPr>
        <w:t>(</w:t>
      </w:r>
      <w:r w:rsidRPr="009F5005">
        <w:rPr>
          <w:i/>
          <w:spacing w:val="-2"/>
        </w:rPr>
        <w:t>NAL</w:t>
      </w:r>
      <w:r w:rsidRPr="009F5005">
        <w:rPr>
          <w:spacing w:val="-2"/>
        </w:rPr>
        <w:t>)</w:t>
      </w:r>
      <w:r w:rsidRPr="009F5005">
        <w:rPr>
          <w:rStyle w:val="FootnoteReference"/>
          <w:spacing w:val="-2"/>
          <w:szCs w:val="20"/>
        </w:rPr>
        <w:t xml:space="preserve"> </w:t>
      </w:r>
      <w:r w:rsidRPr="009F5005">
        <w:rPr>
          <w:spacing w:val="-2"/>
        </w:rPr>
        <w:t xml:space="preserve">to </w:t>
      </w:r>
      <w:r w:rsidR="004876F8">
        <w:rPr>
          <w:spacing w:val="-2"/>
        </w:rPr>
        <w:t xml:space="preserve">LBC </w:t>
      </w:r>
      <w:r w:rsidR="007B3A96">
        <w:rPr>
          <w:spacing w:val="-2"/>
        </w:rPr>
        <w:t xml:space="preserve">proposing a $14,000 forfeiture </w:t>
      </w:r>
      <w:r w:rsidR="004876F8">
        <w:rPr>
          <w:spacing w:val="-2"/>
        </w:rPr>
        <w:t>for violations of the Commission’s antenna structure rules.</w:t>
      </w:r>
      <w:r w:rsidR="007B3A96">
        <w:rPr>
          <w:rStyle w:val="FootnoteReference"/>
          <w:spacing w:val="-2"/>
          <w:szCs w:val="20"/>
        </w:rPr>
        <w:footnoteReference w:id="4"/>
      </w:r>
      <w:r w:rsidR="004876F8">
        <w:rPr>
          <w:spacing w:val="-2"/>
        </w:rPr>
        <w:t xml:space="preserve">  LBC</w:t>
      </w:r>
      <w:r>
        <w:rPr>
          <w:spacing w:val="-2"/>
        </w:rPr>
        <w:t xml:space="preserve"> </w:t>
      </w:r>
      <w:r>
        <w:t xml:space="preserve">submitted a </w:t>
      </w:r>
      <w:r w:rsidR="007B3A96">
        <w:t xml:space="preserve">response to the </w:t>
      </w:r>
      <w:r w:rsidR="007B3A96" w:rsidRPr="007B3A96">
        <w:rPr>
          <w:i/>
        </w:rPr>
        <w:t>NAL</w:t>
      </w:r>
      <w:r w:rsidR="007B3A96">
        <w:t>,</w:t>
      </w:r>
      <w:r w:rsidR="007B3A96" w:rsidRPr="00C40BE6">
        <w:t xml:space="preserve"> </w:t>
      </w:r>
      <w:r w:rsidR="0057487E" w:rsidRPr="007B3A96">
        <w:rPr>
          <w:spacing w:val="-2"/>
        </w:rPr>
        <w:t>arguing that the</w:t>
      </w:r>
      <w:r w:rsidR="007B3A96" w:rsidRPr="007B3A96">
        <w:rPr>
          <w:spacing w:val="-2"/>
        </w:rPr>
        <w:t xml:space="preserve"> proposed forfeiture was</w:t>
      </w:r>
      <w:r w:rsidR="0057487E" w:rsidRPr="007B3A96">
        <w:rPr>
          <w:spacing w:val="-2"/>
        </w:rPr>
        <w:t xml:space="preserve"> unenforceable because the Commiss</w:t>
      </w:r>
      <w:r w:rsidR="0057487E">
        <w:rPr>
          <w:spacing w:val="-2"/>
        </w:rPr>
        <w:t>ion</w:t>
      </w:r>
      <w:r w:rsidR="00970F80">
        <w:rPr>
          <w:spacing w:val="-2"/>
        </w:rPr>
        <w:t xml:space="preserve"> </w:t>
      </w:r>
      <w:r w:rsidR="0057487E">
        <w:rPr>
          <w:spacing w:val="-2"/>
        </w:rPr>
        <w:t xml:space="preserve">“never complied with its obligation under the Small Business Regulatory Enforcement </w:t>
      </w:r>
      <w:r w:rsidR="00970F80">
        <w:rPr>
          <w:spacing w:val="-2"/>
        </w:rPr>
        <w:t>and Fairness Act of 1996 . . . .</w:t>
      </w:r>
      <w:r w:rsidR="0057487E">
        <w:rPr>
          <w:spacing w:val="-2"/>
        </w:rPr>
        <w:t>”</w:t>
      </w:r>
      <w:r w:rsidR="0057487E">
        <w:rPr>
          <w:rStyle w:val="FootnoteReference"/>
        </w:rPr>
        <w:footnoteReference w:id="5"/>
      </w:r>
      <w:r w:rsidR="0057487E">
        <w:rPr>
          <w:spacing w:val="-2"/>
        </w:rPr>
        <w:t xml:space="preserve">  LBC also argues that the </w:t>
      </w:r>
      <w:r w:rsidR="0057487E">
        <w:rPr>
          <w:spacing w:val="-2"/>
        </w:rPr>
        <w:lastRenderedPageBreak/>
        <w:t>proposed forfeiture s</w:t>
      </w:r>
      <w:r w:rsidR="00C20B17">
        <w:rPr>
          <w:spacing w:val="-2"/>
        </w:rPr>
        <w:t>hould be reduced because of its</w:t>
      </w:r>
      <w:r w:rsidR="0057487E">
        <w:rPr>
          <w:spacing w:val="-2"/>
        </w:rPr>
        <w:t xml:space="preserve"> history of compliance with the Rules and because LBC</w:t>
      </w:r>
      <w:r w:rsidR="00C20B17">
        <w:rPr>
          <w:spacing w:val="-2"/>
        </w:rPr>
        <w:t xml:space="preserve">’s “pro forma” name change resulted in </w:t>
      </w:r>
      <w:r w:rsidR="0057487E">
        <w:rPr>
          <w:spacing w:val="-2"/>
        </w:rPr>
        <w:t>no substantial change in ownership.</w:t>
      </w:r>
      <w:r w:rsidR="0057487E">
        <w:rPr>
          <w:rStyle w:val="FootnoteReference"/>
        </w:rPr>
        <w:footnoteReference w:id="6"/>
      </w:r>
      <w:r w:rsidR="0057487E">
        <w:rPr>
          <w:sz w:val="24"/>
          <w:szCs w:val="24"/>
        </w:rPr>
        <w:t xml:space="preserve"> </w:t>
      </w:r>
    </w:p>
    <w:p w14:paraId="20408043" w14:textId="77777777" w:rsidR="00656D1E" w:rsidRPr="00DF4DC9" w:rsidRDefault="00656D1E" w:rsidP="00C40BE6">
      <w:pPr>
        <w:numPr>
          <w:ilvl w:val="0"/>
          <w:numId w:val="3"/>
        </w:numPr>
        <w:tabs>
          <w:tab w:val="clear" w:pos="1080"/>
          <w:tab w:val="num" w:pos="720"/>
        </w:tabs>
        <w:suppressAutoHyphens/>
        <w:autoSpaceDE w:val="0"/>
        <w:autoSpaceDN w:val="0"/>
        <w:adjustRightInd w:val="0"/>
        <w:spacing w:after="120" w:line="240" w:lineRule="atLeast"/>
        <w:ind w:left="0" w:firstLine="0"/>
        <w:rPr>
          <w:b/>
        </w:rPr>
      </w:pPr>
      <w:r w:rsidRPr="00DF7137">
        <w:rPr>
          <w:b/>
        </w:rPr>
        <w:t>DISCUSSION</w:t>
      </w:r>
    </w:p>
    <w:p w14:paraId="65855591" w14:textId="77777777" w:rsidR="00C77C37" w:rsidRPr="00C77C37" w:rsidRDefault="00C77C37" w:rsidP="00C77C37">
      <w:pPr>
        <w:numPr>
          <w:ilvl w:val="0"/>
          <w:numId w:val="1"/>
        </w:numPr>
        <w:tabs>
          <w:tab w:val="clear" w:pos="1080"/>
          <w:tab w:val="num" w:pos="1440"/>
          <w:tab w:val="left" w:pos="4680"/>
          <w:tab w:val="left" w:pos="5760"/>
        </w:tabs>
        <w:autoSpaceDE w:val="0"/>
        <w:autoSpaceDN w:val="0"/>
        <w:adjustRightInd w:val="0"/>
        <w:spacing w:after="120" w:line="226" w:lineRule="auto"/>
        <w:rPr>
          <w:color w:val="000000"/>
        </w:rPr>
      </w:pPr>
      <w:r>
        <w:t>As LBC</w:t>
      </w:r>
      <w:r w:rsidRPr="00AD7DF9">
        <w:t xml:space="preserve"> does not deny any of the facts stated in the </w:t>
      </w:r>
      <w:r w:rsidRPr="00C77C37">
        <w:rPr>
          <w:i/>
        </w:rPr>
        <w:t>NAL</w:t>
      </w:r>
      <w:r>
        <w:t>,</w:t>
      </w:r>
      <w:r w:rsidRPr="00C77C37">
        <w:rPr>
          <w:i/>
        </w:rPr>
        <w:t xml:space="preserve"> </w:t>
      </w:r>
      <w:r>
        <w:t>we affirm the</w:t>
      </w:r>
      <w:r w:rsidR="00970F80">
        <w:t xml:space="preserve"> </w:t>
      </w:r>
      <w:r w:rsidR="00970F80">
        <w:rPr>
          <w:i/>
        </w:rPr>
        <w:t>NAL</w:t>
      </w:r>
      <w:r>
        <w:t>’s</w:t>
      </w:r>
      <w:r w:rsidRPr="00AD7DF9">
        <w:t xml:space="preserve"> findi</w:t>
      </w:r>
      <w:r>
        <w:t>ngs and conclude that LBC</w:t>
      </w:r>
      <w:r w:rsidRPr="00AD7DF9">
        <w:t xml:space="preserve"> willfully and repeatedly violated </w:t>
      </w:r>
      <w:r>
        <w:t xml:space="preserve">Section 303(q) of the Act and Sections 17.48(a), 17.51(a), and 1757 of the Rules by failing to </w:t>
      </w:r>
      <w:r w:rsidRPr="00783B16">
        <w:t xml:space="preserve">(1) exhibit </w:t>
      </w:r>
      <w:r>
        <w:t>required lighting on the Antenna Structure</w:t>
      </w:r>
      <w:r w:rsidRPr="00783B16">
        <w:t xml:space="preserve">, (2) notify </w:t>
      </w:r>
      <w:r>
        <w:t>the FAA</w:t>
      </w:r>
      <w:r w:rsidRPr="00783B16">
        <w:t xml:space="preserve"> of a known</w:t>
      </w:r>
      <w:r>
        <w:t xml:space="preserve"> lighting outage, and (3) inform</w:t>
      </w:r>
      <w:r w:rsidRPr="00783B16">
        <w:t xml:space="preserve"> the Commission upon a change in ownership information for the Antenna Structure</w:t>
      </w:r>
      <w:r>
        <w:t>.</w:t>
      </w:r>
    </w:p>
    <w:p w14:paraId="4730839A" w14:textId="62BE132D" w:rsidR="00772B98" w:rsidRPr="00CC0056" w:rsidRDefault="00656D1E" w:rsidP="00C40BE6">
      <w:pPr>
        <w:numPr>
          <w:ilvl w:val="0"/>
          <w:numId w:val="1"/>
        </w:numPr>
        <w:tabs>
          <w:tab w:val="clear" w:pos="1080"/>
          <w:tab w:val="num" w:pos="1440"/>
          <w:tab w:val="left" w:pos="4680"/>
          <w:tab w:val="left" w:pos="5760"/>
        </w:tabs>
        <w:autoSpaceDE w:val="0"/>
        <w:autoSpaceDN w:val="0"/>
        <w:adjustRightInd w:val="0"/>
        <w:spacing w:after="120" w:line="226" w:lineRule="auto"/>
        <w:rPr>
          <w:color w:val="000000"/>
        </w:rPr>
      </w:pPr>
      <w:r w:rsidRPr="00DF7137">
        <w:t>The proposed forfeiture amount</w:t>
      </w:r>
      <w:r>
        <w:t xml:space="preserve"> in this case was </w:t>
      </w:r>
      <w:r w:rsidRPr="00DF7137">
        <w:t xml:space="preserve">assessed in accordance with </w:t>
      </w:r>
      <w:r>
        <w:t>S</w:t>
      </w:r>
      <w:r w:rsidRPr="00DF7137">
        <w:t xml:space="preserve">ection 503(b) of the </w:t>
      </w:r>
      <w:r>
        <w:t>Act</w:t>
      </w:r>
      <w:r w:rsidRPr="00DF7137">
        <w:t>,</w:t>
      </w:r>
      <w:r w:rsidRPr="00DF7137">
        <w:rPr>
          <w:rStyle w:val="FootnoteReference"/>
          <w:szCs w:val="20"/>
        </w:rPr>
        <w:footnoteReference w:id="7"/>
      </w:r>
      <w:r w:rsidRPr="00DF7137">
        <w:t xml:space="preserve"> </w:t>
      </w:r>
      <w:r>
        <w:t>S</w:t>
      </w:r>
      <w:r w:rsidRPr="00DF7137">
        <w:t xml:space="preserve">ection 1.80 of the </w:t>
      </w:r>
      <w:r>
        <w:t>Rules</w:t>
      </w:r>
      <w:r w:rsidRPr="00DF7137">
        <w:t>,</w:t>
      </w:r>
      <w:r w:rsidRPr="00DF7137">
        <w:rPr>
          <w:rStyle w:val="FootnoteReference"/>
          <w:szCs w:val="20"/>
        </w:rPr>
        <w:footnoteReference w:id="8"/>
      </w:r>
      <w:r w:rsidRPr="00DF7137">
        <w:t xml:space="preserve"> and</w:t>
      </w:r>
      <w:r>
        <w:t xml:space="preserve"> the </w:t>
      </w:r>
      <w:r w:rsidRPr="00DF7137">
        <w:rPr>
          <w:i/>
        </w:rPr>
        <w:t>Forfeiture Policy Statement</w:t>
      </w:r>
      <w:r w:rsidRPr="00DF7137">
        <w:t>.</w:t>
      </w:r>
      <w:r>
        <w:rPr>
          <w:rStyle w:val="FootnoteReference"/>
          <w:szCs w:val="20"/>
        </w:rPr>
        <w:footnoteReference w:id="9"/>
      </w:r>
      <w:r w:rsidRPr="00DF7137">
        <w:t xml:space="preserve">  In examining </w:t>
      </w:r>
      <w:r w:rsidR="0057487E">
        <w:t>LBC</w:t>
      </w:r>
      <w:r>
        <w:t>’s</w:t>
      </w:r>
      <w:r w:rsidR="00C20B17">
        <w:t xml:space="preserve"> </w:t>
      </w:r>
      <w:r w:rsidR="00C20B17">
        <w:rPr>
          <w:i/>
        </w:rPr>
        <w:t>NAL Response</w:t>
      </w:r>
      <w:r w:rsidRPr="00DF7137">
        <w:t xml:space="preserve">, </w:t>
      </w:r>
      <w:r>
        <w:t>S</w:t>
      </w:r>
      <w:r w:rsidRPr="00DF7137">
        <w:t>ection 503(b)</w:t>
      </w:r>
      <w:r>
        <w:t>(2)(E)</w:t>
      </w:r>
      <w:r w:rsidRPr="00DF7137">
        <w:t xml:space="preserve"> of the Act requires that the Commission take into account the nature, circumstances, extent</w:t>
      </w:r>
      <w:r>
        <w:t>,</w:t>
      </w:r>
      <w:r w:rsidRPr="00DF7137">
        <w:t xml:space="preserve"> and gravity of the violation and, with respect to the violator, the degree of culpability, any </w:t>
      </w:r>
      <w:r w:rsidRPr="00CC0056">
        <w:rPr>
          <w:color w:val="000000"/>
        </w:rPr>
        <w:t>history of prior offenses, ability to pay, and other such matters as justice may require.</w:t>
      </w:r>
      <w:r w:rsidRPr="00CC0056">
        <w:rPr>
          <w:rStyle w:val="FootnoteReference"/>
          <w:color w:val="000000"/>
          <w:szCs w:val="20"/>
        </w:rPr>
        <w:footnoteReference w:id="10"/>
      </w:r>
      <w:r w:rsidRPr="00CC0056">
        <w:rPr>
          <w:color w:val="000000"/>
        </w:rPr>
        <w:t xml:space="preserve">  As discussed below, we have considered </w:t>
      </w:r>
      <w:r w:rsidR="0057487E" w:rsidRPr="00CC0056">
        <w:rPr>
          <w:color w:val="000000"/>
        </w:rPr>
        <w:t>LBC</w:t>
      </w:r>
      <w:r w:rsidRPr="00CC0056">
        <w:rPr>
          <w:color w:val="000000"/>
        </w:rPr>
        <w:t xml:space="preserve">’s </w:t>
      </w:r>
      <w:r w:rsidR="00C20B17">
        <w:rPr>
          <w:i/>
          <w:color w:val="000000"/>
        </w:rPr>
        <w:t>NAL Response</w:t>
      </w:r>
      <w:r w:rsidR="00C20B17" w:rsidRPr="00C40BE6">
        <w:rPr>
          <w:i/>
          <w:color w:val="000000"/>
        </w:rPr>
        <w:t xml:space="preserve"> </w:t>
      </w:r>
      <w:r w:rsidRPr="00CC0056">
        <w:rPr>
          <w:color w:val="000000"/>
        </w:rPr>
        <w:t xml:space="preserve">in light of these statutory </w:t>
      </w:r>
      <w:r w:rsidR="00C20B17">
        <w:rPr>
          <w:color w:val="000000"/>
        </w:rPr>
        <w:t>factors</w:t>
      </w:r>
      <w:r w:rsidRPr="00CC0056">
        <w:rPr>
          <w:color w:val="000000"/>
        </w:rPr>
        <w:t xml:space="preserve"> and find that a reduction of the forfeiture is warranted</w:t>
      </w:r>
      <w:r w:rsidR="00934B98" w:rsidRPr="00CC0056">
        <w:rPr>
          <w:color w:val="000000"/>
        </w:rPr>
        <w:t xml:space="preserve"> based </w:t>
      </w:r>
      <w:r w:rsidR="004511DA" w:rsidRPr="00CC0056">
        <w:rPr>
          <w:color w:val="000000"/>
        </w:rPr>
        <w:t>on its history of compliance with the Rules</w:t>
      </w:r>
      <w:r w:rsidRPr="00CC0056">
        <w:rPr>
          <w:color w:val="000000"/>
        </w:rPr>
        <w:t xml:space="preserve">.  </w:t>
      </w:r>
    </w:p>
    <w:p w14:paraId="2B358250" w14:textId="649BF866" w:rsidR="0057487E" w:rsidRPr="00C77C37" w:rsidRDefault="00EA2C1F" w:rsidP="007B3A96">
      <w:pPr>
        <w:pStyle w:val="ParaNum"/>
        <w:numPr>
          <w:ilvl w:val="0"/>
          <w:numId w:val="1"/>
        </w:numPr>
        <w:tabs>
          <w:tab w:val="clear" w:pos="1080"/>
          <w:tab w:val="left" w:pos="1440"/>
        </w:tabs>
        <w:snapToGrid w:val="0"/>
        <w:spacing w:after="120"/>
      </w:pPr>
      <w:bookmarkStart w:id="1" w:name="_Toc70235218"/>
      <w:r>
        <w:t>LBC</w:t>
      </w:r>
      <w:r w:rsidR="0057487E">
        <w:t xml:space="preserve"> contends that </w:t>
      </w:r>
      <w:r w:rsidR="00C77C37">
        <w:t xml:space="preserve">the $14,000 forfeiture proposed in </w:t>
      </w:r>
      <w:r w:rsidR="0057487E">
        <w:t xml:space="preserve">the </w:t>
      </w:r>
      <w:r w:rsidR="0057487E">
        <w:rPr>
          <w:i/>
        </w:rPr>
        <w:t xml:space="preserve">NAL </w:t>
      </w:r>
      <w:r w:rsidR="00C77C37">
        <w:t>is unenforceable</w:t>
      </w:r>
      <w:r w:rsidR="0057487E">
        <w:t xml:space="preserve"> because </w:t>
      </w:r>
      <w:r>
        <w:t>LBC</w:t>
      </w:r>
      <w:r w:rsidR="0057487E">
        <w:t xml:space="preserve"> is a “small entity” and the Com</w:t>
      </w:r>
      <w:r w:rsidR="00C77C37">
        <w:t>mission</w:t>
      </w:r>
      <w:r w:rsidR="0057487E">
        <w:t xml:space="preserve"> never complie</w:t>
      </w:r>
      <w:r w:rsidR="00C77C37">
        <w:t xml:space="preserve">d with its obligation under </w:t>
      </w:r>
      <w:r w:rsidR="0057487E">
        <w:t>SBREFA</w:t>
      </w:r>
      <w:r w:rsidR="0057487E">
        <w:rPr>
          <w:rStyle w:val="FootnoteReference"/>
        </w:rPr>
        <w:footnoteReference w:id="11"/>
      </w:r>
      <w:r w:rsidR="0057487E">
        <w:t xml:space="preserve"> “to adopt a specific policy or program concerning the reduction or waiver of forfeiture for small entities.”</w:t>
      </w:r>
      <w:r w:rsidR="0057487E">
        <w:rPr>
          <w:rStyle w:val="FootnoteReference"/>
        </w:rPr>
        <w:footnoteReference w:id="12"/>
      </w:r>
      <w:r w:rsidR="0057487E">
        <w:t xml:space="preserve">  We find no merit in </w:t>
      </w:r>
      <w:r>
        <w:t>L</w:t>
      </w:r>
      <w:r w:rsidR="0057487E">
        <w:t>BC’s contention.  The Commission</w:t>
      </w:r>
      <w:r w:rsidR="0057487E">
        <w:rPr>
          <w:spacing w:val="-2"/>
        </w:rPr>
        <w:t xml:space="preserve"> has previously </w:t>
      </w:r>
      <w:r w:rsidR="006E7725">
        <w:rPr>
          <w:spacing w:val="-2"/>
        </w:rPr>
        <w:t xml:space="preserve">determined that its policies for assessing penalties established in the </w:t>
      </w:r>
      <w:r w:rsidR="006E7725">
        <w:rPr>
          <w:i/>
          <w:spacing w:val="-2"/>
        </w:rPr>
        <w:t xml:space="preserve">Forfeiture Policy Statement </w:t>
      </w:r>
      <w:r w:rsidR="006E7725">
        <w:rPr>
          <w:spacing w:val="-2"/>
        </w:rPr>
        <w:t xml:space="preserve">complied with the </w:t>
      </w:r>
      <w:r w:rsidR="0057487E">
        <w:rPr>
          <w:spacing w:val="-2"/>
        </w:rPr>
        <w:t>SBREFA.</w:t>
      </w:r>
      <w:r w:rsidR="0057487E">
        <w:rPr>
          <w:rStyle w:val="FootnoteReference"/>
          <w:spacing w:val="-2"/>
        </w:rPr>
        <w:footnoteReference w:id="13"/>
      </w:r>
      <w:r w:rsidR="0057487E">
        <w:rPr>
          <w:spacing w:val="-2"/>
        </w:rPr>
        <w:t xml:space="preserve">  </w:t>
      </w:r>
      <w:r w:rsidR="004C7AA1">
        <w:t xml:space="preserve">In particular, the Commission found that its forfeiture policy complied with SBREFA by </w:t>
      </w:r>
      <w:r w:rsidR="004C7AA1" w:rsidRPr="00260538">
        <w:t>requir</w:t>
      </w:r>
      <w:r w:rsidR="004C7AA1">
        <w:t>ing</w:t>
      </w:r>
      <w:r w:rsidR="004C7AA1" w:rsidRPr="00260538">
        <w:t xml:space="preserve"> consideration of a small ent</w:t>
      </w:r>
      <w:r w:rsidR="004C7AA1">
        <w:t xml:space="preserve">ity’s ability to pay, </w:t>
      </w:r>
      <w:r w:rsidR="004C7AA1" w:rsidRPr="00260538">
        <w:t>any g</w:t>
      </w:r>
      <w:r w:rsidR="004C7AA1">
        <w:t xml:space="preserve">ood faith efforts </w:t>
      </w:r>
      <w:r w:rsidR="004C7AA1" w:rsidRPr="00260538">
        <w:t>to comply with the law</w:t>
      </w:r>
      <w:r w:rsidR="004C7AA1">
        <w:t xml:space="preserve">, and other upward and downward adjustment factors that encompass many of SBREFA’s exclusions and </w:t>
      </w:r>
      <w:r w:rsidR="004C7AA1">
        <w:lastRenderedPageBreak/>
        <w:t>conditions</w:t>
      </w:r>
      <w:r w:rsidR="004C7AA1" w:rsidRPr="00260538">
        <w:t>.</w:t>
      </w:r>
      <w:r w:rsidR="004C7AA1" w:rsidRPr="00260538">
        <w:rPr>
          <w:vertAlign w:val="superscript"/>
        </w:rPr>
        <w:footnoteReference w:id="14"/>
      </w:r>
      <w:r w:rsidR="004C7AA1">
        <w:t xml:space="preserve">  </w:t>
      </w:r>
      <w:r w:rsidR="0057487E" w:rsidRPr="00EA2C1F">
        <w:rPr>
          <w:spacing w:val="-2"/>
        </w:rPr>
        <w:t xml:space="preserve">In the instant case, we have no evidence of </w:t>
      </w:r>
      <w:r>
        <w:rPr>
          <w:spacing w:val="-2"/>
        </w:rPr>
        <w:t>L</w:t>
      </w:r>
      <w:r w:rsidR="0057487E" w:rsidRPr="00EA2C1F">
        <w:rPr>
          <w:spacing w:val="-2"/>
        </w:rPr>
        <w:t>BC’s inability to pay</w:t>
      </w:r>
      <w:r w:rsidR="004C7AA1">
        <w:rPr>
          <w:spacing w:val="-2"/>
        </w:rPr>
        <w:t xml:space="preserve"> or good faith efforts to comply with the law</w:t>
      </w:r>
      <w:r w:rsidR="0057487E" w:rsidRPr="00EA2C1F">
        <w:rPr>
          <w:spacing w:val="-2"/>
        </w:rPr>
        <w:t>.</w:t>
      </w:r>
      <w:r w:rsidR="0057487E">
        <w:rPr>
          <w:rStyle w:val="FootnoteReference"/>
          <w:spacing w:val="-2"/>
        </w:rPr>
        <w:footnoteReference w:id="15"/>
      </w:r>
      <w:r w:rsidR="004C7AA1">
        <w:rPr>
          <w:spacing w:val="-2"/>
        </w:rPr>
        <w:t xml:space="preserve">  As a </w:t>
      </w:r>
      <w:r w:rsidR="00CE25BA">
        <w:rPr>
          <w:spacing w:val="-2"/>
        </w:rPr>
        <w:t>result, we find no basis to cancel the forfeiture under the SBREFA.</w:t>
      </w:r>
      <w:r w:rsidR="0057487E" w:rsidRPr="00EA2C1F">
        <w:rPr>
          <w:spacing w:val="-2"/>
        </w:rPr>
        <w:t xml:space="preserve"> </w:t>
      </w:r>
    </w:p>
    <w:p w14:paraId="3ED508F6" w14:textId="020FB660" w:rsidR="00C77C37" w:rsidRPr="00EA2C1F" w:rsidRDefault="00C77C37" w:rsidP="00C40BE6">
      <w:pPr>
        <w:pStyle w:val="ParaNum"/>
        <w:numPr>
          <w:ilvl w:val="0"/>
          <w:numId w:val="1"/>
        </w:numPr>
        <w:tabs>
          <w:tab w:val="clear" w:pos="1080"/>
          <w:tab w:val="left" w:pos="1440"/>
        </w:tabs>
        <w:snapToGrid w:val="0"/>
        <w:spacing w:after="120"/>
      </w:pPr>
      <w:r>
        <w:t xml:space="preserve">LBC </w:t>
      </w:r>
      <w:r w:rsidR="00CE25BA">
        <w:t>also request</w:t>
      </w:r>
      <w:r w:rsidR="00970F80">
        <w:t>s</w:t>
      </w:r>
      <w:r>
        <w:t xml:space="preserve"> </w:t>
      </w:r>
      <w:r w:rsidR="00CE25BA">
        <w:t>a forfeiture reduction because it</w:t>
      </w:r>
      <w:r>
        <w:t xml:space="preserve"> acquired the Antenna Structure from Perry Broadcasting Company as part of a pro forma name change</w:t>
      </w:r>
      <w:r>
        <w:rPr>
          <w:rStyle w:val="FootnoteReference"/>
        </w:rPr>
        <w:footnoteReference w:id="16"/>
      </w:r>
      <w:r>
        <w:t xml:space="preserve"> with no change in the “actual ownership and the identity of the individuals to be contacted.”</w:t>
      </w:r>
      <w:r>
        <w:rPr>
          <w:rStyle w:val="FootnoteReference"/>
        </w:rPr>
        <w:footnoteReference w:id="17"/>
      </w:r>
      <w:r w:rsidR="00CE25BA">
        <w:t xml:space="preserve">  W</w:t>
      </w:r>
      <w:r>
        <w:t xml:space="preserve">e are </w:t>
      </w:r>
      <w:r w:rsidR="00CE25BA">
        <w:t>not persuaded by this argument</w:t>
      </w:r>
      <w:r>
        <w:t xml:space="preserve">.  </w:t>
      </w:r>
      <w:r w:rsidR="00CE25BA">
        <w:t xml:space="preserve">LBC does not dispute that it acquired the Antenna Structure in December 2008, but did not update the Antenna Structure’s ownership information until August 20, 2012. </w:t>
      </w:r>
      <w:r w:rsidR="00970F80">
        <w:t xml:space="preserve"> </w:t>
      </w:r>
      <w:r w:rsidR="00CE25BA">
        <w:t xml:space="preserve">Section 17.57 of the Rules requires owners to notify the Commission of </w:t>
      </w:r>
      <w:r w:rsidR="00CE25BA" w:rsidRPr="00CE25BA">
        <w:rPr>
          <w:i/>
        </w:rPr>
        <w:t xml:space="preserve">any </w:t>
      </w:r>
      <w:r w:rsidR="00CE25BA">
        <w:t>change in ownership information, not only those involving a change of control.</w:t>
      </w:r>
      <w:r w:rsidR="00CE25BA">
        <w:rPr>
          <w:rStyle w:val="FootnoteReference"/>
        </w:rPr>
        <w:footnoteReference w:id="18"/>
      </w:r>
      <w:r w:rsidR="00CE25BA">
        <w:t xml:space="preserve">  </w:t>
      </w:r>
      <w:r>
        <w:t xml:space="preserve">LBC failed to comply with that requirement for over three and a half years.  Moreover, when LBC updated the </w:t>
      </w:r>
      <w:r w:rsidR="00CE25BA">
        <w:t>Commission’s</w:t>
      </w:r>
      <w:r>
        <w:t xml:space="preserve"> database to reflect its ownership of the Antenna Structure, it changed more than just the entity name.  LBC </w:t>
      </w:r>
      <w:r w:rsidR="00CE25BA">
        <w:t xml:space="preserve">also </w:t>
      </w:r>
      <w:r>
        <w:t xml:space="preserve">updated the contact address, phone number, and e-mail.  Thus, we find no </w:t>
      </w:r>
      <w:r w:rsidR="00970F80">
        <w:t xml:space="preserve">basis to </w:t>
      </w:r>
      <w:r>
        <w:t>reduce the</w:t>
      </w:r>
      <w:r w:rsidR="00CE25BA">
        <w:t xml:space="preserve"> forfeiture associated with the ownership reporting violation under Section 17.57 of the Rules</w:t>
      </w:r>
      <w:r>
        <w:t xml:space="preserve">. </w:t>
      </w:r>
    </w:p>
    <w:p w14:paraId="0DC58D4D" w14:textId="2FD6C53B" w:rsidR="007176AE" w:rsidRDefault="0057487E" w:rsidP="00C40BE6">
      <w:pPr>
        <w:numPr>
          <w:ilvl w:val="0"/>
          <w:numId w:val="1"/>
        </w:numPr>
        <w:tabs>
          <w:tab w:val="clear" w:pos="1080"/>
          <w:tab w:val="left" w:pos="1440"/>
          <w:tab w:val="left" w:pos="4680"/>
          <w:tab w:val="left" w:pos="5760"/>
        </w:tabs>
        <w:autoSpaceDE w:val="0"/>
        <w:autoSpaceDN w:val="0"/>
        <w:adjustRightInd w:val="0"/>
        <w:spacing w:after="120" w:line="226" w:lineRule="auto"/>
      </w:pPr>
      <w:r w:rsidRPr="00105F38">
        <w:rPr>
          <w:spacing w:val="-2"/>
        </w:rPr>
        <w:t xml:space="preserve"> </w:t>
      </w:r>
      <w:r w:rsidR="00CE25BA">
        <w:rPr>
          <w:spacing w:val="-2"/>
        </w:rPr>
        <w:t>Finally, LBC requested</w:t>
      </w:r>
      <w:r w:rsidR="00945284">
        <w:rPr>
          <w:spacing w:val="-2"/>
        </w:rPr>
        <w:t xml:space="preserve"> a reduction in the forfeiture amount due to its overall history of compliance with the Rules.</w:t>
      </w:r>
      <w:r w:rsidR="00CE25BA">
        <w:rPr>
          <w:rStyle w:val="FootnoteReference"/>
          <w:spacing w:val="-2"/>
        </w:rPr>
        <w:footnoteReference w:id="19"/>
      </w:r>
      <w:r w:rsidR="00945284">
        <w:rPr>
          <w:spacing w:val="-2"/>
        </w:rPr>
        <w:t xml:space="preserve">  </w:t>
      </w:r>
      <w:r w:rsidR="00105F38">
        <w:rPr>
          <w:spacing w:val="-2"/>
        </w:rPr>
        <w:t xml:space="preserve">We have reviewed our records and concur that </w:t>
      </w:r>
      <w:r w:rsidR="00945284">
        <w:rPr>
          <w:spacing w:val="-2"/>
        </w:rPr>
        <w:t>LBC</w:t>
      </w:r>
      <w:r w:rsidR="00105F38">
        <w:rPr>
          <w:spacing w:val="-2"/>
        </w:rPr>
        <w:t xml:space="preserve"> has not been previo</w:t>
      </w:r>
      <w:r w:rsidR="00DC1E68">
        <w:rPr>
          <w:spacing w:val="-2"/>
        </w:rPr>
        <w:t>usly cited with a violation of the Rules</w:t>
      </w:r>
      <w:r w:rsidR="00105F38">
        <w:rPr>
          <w:spacing w:val="-2"/>
        </w:rPr>
        <w:t xml:space="preserve">.  Accordingly, we reduce the proposed forfeiture to </w:t>
      </w:r>
      <w:r w:rsidR="00544D81">
        <w:rPr>
          <w:spacing w:val="-2"/>
        </w:rPr>
        <w:t>$</w:t>
      </w:r>
      <w:r w:rsidR="00111013">
        <w:rPr>
          <w:spacing w:val="-2"/>
        </w:rPr>
        <w:t>11,0</w:t>
      </w:r>
      <w:r w:rsidR="00945284">
        <w:rPr>
          <w:spacing w:val="-2"/>
        </w:rPr>
        <w:t>00</w:t>
      </w:r>
      <w:r w:rsidR="00544D81">
        <w:rPr>
          <w:spacing w:val="-2"/>
        </w:rPr>
        <w:t xml:space="preserve"> </w:t>
      </w:r>
      <w:r w:rsidR="00DC1E68">
        <w:rPr>
          <w:spacing w:val="-2"/>
        </w:rPr>
        <w:t xml:space="preserve">based on LBC’s </w:t>
      </w:r>
      <w:r w:rsidR="00544D81">
        <w:rPr>
          <w:spacing w:val="-2"/>
        </w:rPr>
        <w:t xml:space="preserve">history of compliance.  </w:t>
      </w:r>
      <w:r w:rsidR="00105F38">
        <w:t xml:space="preserve">  </w:t>
      </w:r>
    </w:p>
    <w:p w14:paraId="6ECA84D5" w14:textId="77777777" w:rsidR="00656D1E" w:rsidRPr="00DF4DC9" w:rsidRDefault="00656D1E" w:rsidP="00C40BE6">
      <w:pPr>
        <w:numPr>
          <w:ilvl w:val="0"/>
          <w:numId w:val="3"/>
        </w:numPr>
        <w:tabs>
          <w:tab w:val="clear" w:pos="1080"/>
          <w:tab w:val="num" w:pos="720"/>
        </w:tabs>
        <w:suppressAutoHyphens/>
        <w:autoSpaceDE w:val="0"/>
        <w:autoSpaceDN w:val="0"/>
        <w:adjustRightInd w:val="0"/>
        <w:spacing w:after="120" w:line="240" w:lineRule="atLeast"/>
        <w:ind w:left="0" w:firstLine="0"/>
        <w:rPr>
          <w:b/>
        </w:rPr>
      </w:pPr>
      <w:r w:rsidRPr="00DF7137">
        <w:rPr>
          <w:b/>
        </w:rPr>
        <w:t>ORDERING CLAUSS</w:t>
      </w:r>
      <w:bookmarkEnd w:id="1"/>
    </w:p>
    <w:p w14:paraId="6A56D29E" w14:textId="56E112D4" w:rsidR="00656D1E" w:rsidRDefault="00656D1E" w:rsidP="00C40BE6">
      <w:pPr>
        <w:numPr>
          <w:ilvl w:val="0"/>
          <w:numId w:val="1"/>
        </w:numPr>
        <w:tabs>
          <w:tab w:val="clear" w:pos="1080"/>
          <w:tab w:val="left" w:pos="0"/>
          <w:tab w:val="num" w:pos="1440"/>
          <w:tab w:val="num" w:pos="1800"/>
        </w:tabs>
        <w:suppressAutoHyphens/>
        <w:autoSpaceDE w:val="0"/>
        <w:autoSpaceDN w:val="0"/>
        <w:adjustRightInd w:val="0"/>
        <w:spacing w:after="120" w:line="240" w:lineRule="atLeast"/>
      </w:pPr>
      <w:r w:rsidRPr="00DF7137">
        <w:t xml:space="preserve">Accordingly, </w:t>
      </w:r>
      <w:r w:rsidRPr="00DF7137">
        <w:rPr>
          <w:b/>
        </w:rPr>
        <w:t>IT IS ORDERED</w:t>
      </w:r>
      <w:r w:rsidRPr="00DF7137">
        <w:t xml:space="preserve"> that, pursuant to </w:t>
      </w:r>
      <w:r>
        <w:t>S</w:t>
      </w:r>
      <w:r w:rsidR="00DC1E68">
        <w:t>ection 503(b) of the Act</w:t>
      </w:r>
      <w:r w:rsidRPr="00DF7137">
        <w:t xml:space="preserve">, and </w:t>
      </w:r>
      <w:r>
        <w:t>S</w:t>
      </w:r>
      <w:r w:rsidRPr="00DF7137">
        <w:t xml:space="preserve">ections 0.111, </w:t>
      </w:r>
      <w:r>
        <w:t xml:space="preserve">0.204, </w:t>
      </w:r>
      <w:r w:rsidRPr="00DF7137">
        <w:t>0.311</w:t>
      </w:r>
      <w:r>
        <w:t>, 0.314,</w:t>
      </w:r>
      <w:r w:rsidRPr="00DF7137">
        <w:t xml:space="preserve"> and</w:t>
      </w:r>
      <w:r w:rsidR="00DC1E68">
        <w:t xml:space="preserve"> 1.80(f)(4) of the Rules</w:t>
      </w:r>
      <w:r>
        <w:t xml:space="preserve">, </w:t>
      </w:r>
      <w:r w:rsidR="00945284">
        <w:t>Latin Broadcasting Company</w:t>
      </w:r>
      <w:r>
        <w:rPr>
          <w:spacing w:val="-2"/>
        </w:rPr>
        <w:t xml:space="preserve"> </w:t>
      </w:r>
      <w:r w:rsidRPr="00DF7137">
        <w:rPr>
          <w:b/>
        </w:rPr>
        <w:t>IS LIABLE FOR A MONETARY FORFEITURE</w:t>
      </w:r>
      <w:r w:rsidR="00945284">
        <w:t xml:space="preserve"> in the amount of eleven</w:t>
      </w:r>
      <w:r>
        <w:t xml:space="preserve"> thousand </w:t>
      </w:r>
      <w:r w:rsidR="00111013">
        <w:t>dollars ($11,0</w:t>
      </w:r>
      <w:r>
        <w:t>00</w:t>
      </w:r>
      <w:r w:rsidRPr="00DF7137">
        <w:t>) for violation</w:t>
      </w:r>
      <w:r>
        <w:t>s</w:t>
      </w:r>
      <w:r w:rsidRPr="00DF7137">
        <w:t xml:space="preserve"> of </w:t>
      </w:r>
      <w:r w:rsidR="00945284" w:rsidRPr="00783B16">
        <w:t>Section 303(q) of the Act and Sections 17.48(a), 17.51(a), and 17.57</w:t>
      </w:r>
      <w:r w:rsidR="00945284" w:rsidRPr="00783B16">
        <w:rPr>
          <w:b/>
        </w:rPr>
        <w:t xml:space="preserve"> </w:t>
      </w:r>
      <w:r w:rsidR="00DC1E68">
        <w:t>of the Rules</w:t>
      </w:r>
      <w:r w:rsidR="00945284" w:rsidRPr="00783B16">
        <w:t>.</w:t>
      </w:r>
      <w:r w:rsidR="00945284" w:rsidRPr="00783B16">
        <w:rPr>
          <w:rStyle w:val="FootnoteReference"/>
        </w:rPr>
        <w:footnoteReference w:id="20"/>
      </w:r>
      <w:r w:rsidRPr="00DF7137">
        <w:t xml:space="preserve"> </w:t>
      </w:r>
    </w:p>
    <w:p w14:paraId="1FDADF54" w14:textId="757164C9" w:rsidR="00656D1E" w:rsidRPr="00DF4DC9" w:rsidRDefault="00656D1E" w:rsidP="00C40BE6">
      <w:pPr>
        <w:numPr>
          <w:ilvl w:val="0"/>
          <w:numId w:val="1"/>
        </w:numPr>
        <w:tabs>
          <w:tab w:val="clear" w:pos="1080"/>
          <w:tab w:val="left" w:pos="0"/>
          <w:tab w:val="num" w:pos="1440"/>
          <w:tab w:val="num" w:pos="1800"/>
        </w:tabs>
        <w:suppressAutoHyphens/>
        <w:autoSpaceDE w:val="0"/>
        <w:autoSpaceDN w:val="0"/>
        <w:adjustRightInd w:val="0"/>
        <w:spacing w:after="120" w:line="240" w:lineRule="atLeast"/>
      </w:pPr>
      <w:r w:rsidRPr="00947455">
        <w:t>Payment</w:t>
      </w:r>
      <w:r w:rsidRPr="009D09A5">
        <w:rPr>
          <w:rFonts w:eastAsia="MS Mincho"/>
        </w:rPr>
        <w:t xml:space="preserve"> of the forfeiture shall be made in the manner provided for in Section 1.80 of</w:t>
      </w:r>
      <w:r w:rsidR="00DC1E68">
        <w:rPr>
          <w:rFonts w:eastAsia="MS Mincho"/>
        </w:rPr>
        <w:t xml:space="preserve"> the R</w:t>
      </w:r>
      <w:r w:rsidRPr="009D09A5">
        <w:rPr>
          <w:rFonts w:eastAsia="MS Mincho"/>
        </w:rPr>
        <w:t>ules within thirty (30) calendar days after the release date of this Forfeiture Order.</w:t>
      </w:r>
      <w:r w:rsidRPr="00947455">
        <w:rPr>
          <w:rStyle w:val="FootnoteReference"/>
          <w:rFonts w:eastAsia="MS Mincho"/>
          <w:szCs w:val="20"/>
        </w:rPr>
        <w:footnoteReference w:id="21"/>
      </w:r>
      <w:r w:rsidRPr="009D09A5">
        <w:rPr>
          <w:rFonts w:eastAsia="MS Mincho"/>
        </w:rPr>
        <w:t xml:space="preserve">  If the forfeiture is not paid within the period specified, the case may be referred to the U.S. Department of Justice for enforcement of the forfeiture pursuant to Section 504(a) of the Act.</w:t>
      </w:r>
      <w:r w:rsidRPr="00947455">
        <w:rPr>
          <w:rStyle w:val="FootnoteReference"/>
          <w:rFonts w:eastAsia="MS Mincho"/>
          <w:szCs w:val="20"/>
        </w:rPr>
        <w:footnoteReference w:id="22"/>
      </w:r>
      <w:r w:rsidRPr="009D09A5">
        <w:rPr>
          <w:rFonts w:eastAsia="MS Mincho"/>
        </w:rPr>
        <w:t xml:space="preserve">  </w:t>
      </w:r>
      <w:r w:rsidR="00945284">
        <w:rPr>
          <w:rFonts w:eastAsia="MS Mincho"/>
        </w:rPr>
        <w:t>Latin Broadcasting Company s</w:t>
      </w:r>
      <w:r w:rsidRPr="009D09A5">
        <w:rPr>
          <w:rFonts w:eastAsia="MS Mincho"/>
        </w:rPr>
        <w:t xml:space="preserve">hall send electronic notification of payment to </w:t>
      </w:r>
      <w:r w:rsidRPr="00947455">
        <w:t>SCR-Response@fcc.gov</w:t>
      </w:r>
      <w:r w:rsidRPr="009D09A5">
        <w:rPr>
          <w:rFonts w:eastAsia="MS Mincho"/>
        </w:rPr>
        <w:t xml:space="preserve"> on the date said payment is made.</w:t>
      </w:r>
      <w:r w:rsidRPr="00947455">
        <w:t xml:space="preserve">  </w:t>
      </w:r>
      <w:r w:rsidRPr="009D09A5">
        <w:rPr>
          <w:rFonts w:eastAsia="MS Mincho"/>
        </w:rPr>
        <w:t>The </w:t>
      </w:r>
      <w:r w:rsidRPr="00947455">
        <w:t>payment</w:t>
      </w:r>
      <w:r w:rsidRPr="009D09A5">
        <w:rPr>
          <w:rFonts w:eastAsia="MS Mincho"/>
        </w:rPr>
        <w:t xml:space="preserve"> must be made by check or similar instrument, wire transfer, or credit card, and must include </w:t>
      </w:r>
      <w:r w:rsidR="00DC1E68">
        <w:rPr>
          <w:rFonts w:eastAsia="MS Mincho"/>
        </w:rPr>
        <w:t>the NAL/Account N</w:t>
      </w:r>
      <w:r w:rsidRPr="009D09A5">
        <w:rPr>
          <w:rFonts w:eastAsia="MS Mincho"/>
        </w:rPr>
        <w:t>umber and FRN referenced above.  Regardless of the form of payment, a completed FCC Form 159 (Remittance Advice) must be submitted.</w:t>
      </w:r>
      <w:r w:rsidRPr="00947455">
        <w:rPr>
          <w:rStyle w:val="FootnoteReference"/>
          <w:rFonts w:eastAsia="MS Mincho"/>
          <w:szCs w:val="20"/>
        </w:rPr>
        <w:footnoteReference w:id="23"/>
      </w:r>
      <w:r w:rsidRPr="009D09A5">
        <w:rPr>
          <w:rFonts w:eastAsia="MS Mincho"/>
        </w:rPr>
        <w:t xml:space="preserve">  When completing the FCC Form 159, enter the Account Number in block number 23A (call sign/other ID) and enter the letters “FORF” in block nu</w:t>
      </w:r>
      <w:r w:rsidR="00DC1E68">
        <w:rPr>
          <w:rFonts w:eastAsia="MS Mincho"/>
        </w:rPr>
        <w:t>mber 24A (payment type code).  </w:t>
      </w:r>
      <w:r w:rsidRPr="009D09A5">
        <w:rPr>
          <w:color w:val="000000"/>
        </w:rPr>
        <w:t>Below are additional instructions you should follow based on the form of payment you select:</w:t>
      </w:r>
    </w:p>
    <w:p w14:paraId="2AB64A85" w14:textId="77777777" w:rsidR="00656D1E" w:rsidRPr="00947455" w:rsidRDefault="00656D1E" w:rsidP="00C40BE6">
      <w:pPr>
        <w:pStyle w:val="ParaNum"/>
        <w:numPr>
          <w:ilvl w:val="0"/>
          <w:numId w:val="11"/>
        </w:numPr>
        <w:snapToGrid w:val="0"/>
        <w:spacing w:after="120"/>
        <w:rPr>
          <w:rFonts w:eastAsia="MS Mincho"/>
        </w:rPr>
      </w:pPr>
      <w:r w:rsidRPr="00947455">
        <w:rPr>
          <w:rFonts w:eastAsia="MS Mincho"/>
        </w:rPr>
        <w:t xml:space="preserve">Payment by check or money order must be made payable to the order of the Federal Communications Commission.  Such payments (along with the completed Form 159) must be mailed to Federal Communications Commission, </w:t>
      </w:r>
      <w:smartTag w:uri="urn:schemas-microsoft-com:office:smarttags" w:element="PostalCode">
        <w:smartTag w:uri="urn:schemas-microsoft-com:office:smarttags" w:element="PostalCode">
          <w:r w:rsidRPr="00947455">
            <w:rPr>
              <w:rFonts w:eastAsia="MS Mincho"/>
            </w:rPr>
            <w:t>P.O. Box 979088</w:t>
          </w:r>
        </w:smartTag>
        <w:r w:rsidRPr="00947455">
          <w:rPr>
            <w:rFonts w:eastAsia="MS Mincho"/>
          </w:rPr>
          <w:t xml:space="preserve">, </w:t>
        </w:r>
        <w:smartTag w:uri="urn:schemas-microsoft-com:office:smarttags" w:element="PostalCode">
          <w:r w:rsidRPr="00947455">
            <w:rPr>
              <w:rFonts w:eastAsia="MS Mincho"/>
            </w:rPr>
            <w:t>St. Louis</w:t>
          </w:r>
        </w:smartTag>
        <w:r w:rsidRPr="00947455">
          <w:rPr>
            <w:rFonts w:eastAsia="MS Mincho"/>
          </w:rPr>
          <w:t xml:space="preserve">, </w:t>
        </w:r>
        <w:smartTag w:uri="urn:schemas-microsoft-com:office:smarttags" w:element="PostalCode">
          <w:r w:rsidRPr="00947455">
            <w:rPr>
              <w:rFonts w:eastAsia="MS Mincho"/>
            </w:rPr>
            <w:t>MO</w:t>
          </w:r>
        </w:smartTag>
        <w:r w:rsidRPr="00947455">
          <w:rPr>
            <w:rFonts w:eastAsia="MS Mincho"/>
          </w:rPr>
          <w:t xml:space="preserve"> </w:t>
        </w:r>
        <w:smartTag w:uri="urn:schemas-microsoft-com:office:smarttags" w:element="PostalCode">
          <w:r w:rsidRPr="00947455">
            <w:rPr>
              <w:rFonts w:eastAsia="MS Mincho"/>
            </w:rPr>
            <w:t>63197-9000</w:t>
          </w:r>
        </w:smartTag>
      </w:smartTag>
      <w:r w:rsidRPr="00947455">
        <w:rPr>
          <w:rFonts w:eastAsia="MS Mincho"/>
        </w:rPr>
        <w:t xml:space="preserve">, or sent via overnight mail to U.S. Bank – Government Lockbox #979088, SL-MO-C2-GL, 1005 </w:t>
      </w:r>
      <w:smartTag w:uri="urn:schemas-microsoft-com:office:smarttags" w:element="PostalCode">
        <w:r w:rsidRPr="00947455">
          <w:rPr>
            <w:rFonts w:eastAsia="MS Mincho"/>
          </w:rPr>
          <w:t>Convention</w:t>
        </w:r>
      </w:smartTag>
      <w:r w:rsidRPr="00947455">
        <w:rPr>
          <w:rFonts w:eastAsia="MS Mincho"/>
        </w:rPr>
        <w:t xml:space="preserve"> </w:t>
      </w:r>
      <w:smartTag w:uri="urn:schemas-microsoft-com:office:smarttags" w:element="PostalCode">
        <w:r w:rsidRPr="00947455">
          <w:rPr>
            <w:rFonts w:eastAsia="MS Mincho"/>
          </w:rPr>
          <w:t>Plaza</w:t>
        </w:r>
      </w:smartTag>
      <w:r w:rsidRPr="00947455">
        <w:rPr>
          <w:rFonts w:eastAsia="MS Mincho"/>
        </w:rPr>
        <w:t xml:space="preserve">, </w:t>
      </w:r>
      <w:smartTag w:uri="urn:schemas-microsoft-com:office:smarttags" w:element="PostalCode">
        <w:smartTag w:uri="urn:schemas-microsoft-com:office:smarttags" w:element="PostalCode">
          <w:r w:rsidRPr="00947455">
            <w:rPr>
              <w:rFonts w:eastAsia="MS Mincho"/>
            </w:rPr>
            <w:t>St. Louis</w:t>
          </w:r>
        </w:smartTag>
        <w:r w:rsidRPr="00947455">
          <w:rPr>
            <w:rFonts w:eastAsia="MS Mincho"/>
          </w:rPr>
          <w:t xml:space="preserve">, </w:t>
        </w:r>
        <w:smartTag w:uri="urn:schemas-microsoft-com:office:smarttags" w:element="PostalCode">
          <w:r w:rsidRPr="00947455">
            <w:rPr>
              <w:rFonts w:eastAsia="MS Mincho"/>
            </w:rPr>
            <w:t>MO</w:t>
          </w:r>
        </w:smartTag>
        <w:r w:rsidRPr="00947455">
          <w:rPr>
            <w:rFonts w:eastAsia="MS Mincho"/>
          </w:rPr>
          <w:t xml:space="preserve"> </w:t>
        </w:r>
        <w:smartTag w:uri="urn:schemas-microsoft-com:office:smarttags" w:element="PostalCode">
          <w:r w:rsidRPr="00947455">
            <w:rPr>
              <w:rFonts w:eastAsia="MS Mincho"/>
            </w:rPr>
            <w:t>63101</w:t>
          </w:r>
        </w:smartTag>
      </w:smartTag>
      <w:r w:rsidRPr="00947455">
        <w:rPr>
          <w:rFonts w:eastAsia="MS Mincho"/>
        </w:rPr>
        <w:t xml:space="preserve">.  </w:t>
      </w:r>
    </w:p>
    <w:p w14:paraId="2E55A237" w14:textId="77777777" w:rsidR="00656D1E" w:rsidRPr="00947455" w:rsidRDefault="00656D1E" w:rsidP="00C40BE6">
      <w:pPr>
        <w:pStyle w:val="ParaNum"/>
        <w:numPr>
          <w:ilvl w:val="0"/>
          <w:numId w:val="11"/>
        </w:numPr>
        <w:snapToGrid w:val="0"/>
        <w:spacing w:after="120"/>
        <w:rPr>
          <w:rFonts w:eastAsia="MS Mincho"/>
        </w:rPr>
      </w:pPr>
      <w:r w:rsidRPr="00947455">
        <w:rPr>
          <w:rFonts w:eastAsia="MS Mincho"/>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263CDFEA" w14:textId="1A346F41" w:rsidR="00656D1E" w:rsidRPr="00947455" w:rsidRDefault="00656D1E" w:rsidP="00C40BE6">
      <w:pPr>
        <w:pStyle w:val="ParaNum"/>
        <w:numPr>
          <w:ilvl w:val="0"/>
          <w:numId w:val="11"/>
        </w:numPr>
        <w:snapToGrid w:val="0"/>
        <w:spacing w:after="120"/>
        <w:rPr>
          <w:rFonts w:eastAsia="MS Mincho"/>
        </w:rPr>
      </w:pPr>
      <w:r w:rsidRPr="00947455">
        <w:rPr>
          <w:rFonts w:eastAsia="MS Mincho"/>
        </w:rPr>
        <w:t>Payment by credit card must be made by providing the required credit card information on FCC Form 159 and signing and dating the Form 159 to aut</w:t>
      </w:r>
      <w:r w:rsidR="00DC1E68">
        <w:rPr>
          <w:rFonts w:eastAsia="MS Mincho"/>
        </w:rPr>
        <w:t>horize the credit card payment.</w:t>
      </w:r>
      <w:r w:rsidRPr="00947455">
        <w:rPr>
          <w:rFonts w:eastAsia="MS Mincho"/>
        </w:rPr>
        <w:t xml:space="preserve">  The completed Form 159 must then be mailed to Federal Communications Commission, </w:t>
      </w:r>
      <w:smartTag w:uri="urn:schemas-microsoft-com:office:smarttags" w:element="PostalCode">
        <w:smartTag w:uri="urn:schemas-microsoft-com:office:smarttags" w:element="PostalCode">
          <w:r w:rsidRPr="00947455">
            <w:rPr>
              <w:rFonts w:eastAsia="MS Mincho"/>
            </w:rPr>
            <w:t>P.O. Box 979088</w:t>
          </w:r>
        </w:smartTag>
        <w:r w:rsidRPr="00947455">
          <w:rPr>
            <w:rFonts w:eastAsia="MS Mincho"/>
          </w:rPr>
          <w:t xml:space="preserve">, </w:t>
        </w:r>
        <w:smartTag w:uri="urn:schemas-microsoft-com:office:smarttags" w:element="PostalCode">
          <w:r w:rsidRPr="00947455">
            <w:rPr>
              <w:rFonts w:eastAsia="MS Mincho"/>
            </w:rPr>
            <w:t>St. Louis</w:t>
          </w:r>
        </w:smartTag>
        <w:r w:rsidRPr="00947455">
          <w:rPr>
            <w:rFonts w:eastAsia="MS Mincho"/>
          </w:rPr>
          <w:t xml:space="preserve">, </w:t>
        </w:r>
        <w:smartTag w:uri="urn:schemas-microsoft-com:office:smarttags" w:element="PostalCode">
          <w:r w:rsidRPr="00947455">
            <w:rPr>
              <w:rFonts w:eastAsia="MS Mincho"/>
            </w:rPr>
            <w:t>MO</w:t>
          </w:r>
        </w:smartTag>
        <w:r w:rsidRPr="00947455">
          <w:rPr>
            <w:rFonts w:eastAsia="MS Mincho"/>
          </w:rPr>
          <w:t xml:space="preserve"> </w:t>
        </w:r>
        <w:smartTag w:uri="urn:schemas-microsoft-com:office:smarttags" w:element="PostalCode">
          <w:r w:rsidRPr="00947455">
            <w:rPr>
              <w:rFonts w:eastAsia="MS Mincho"/>
            </w:rPr>
            <w:t>63197-9000</w:t>
          </w:r>
        </w:smartTag>
      </w:smartTag>
      <w:r w:rsidRPr="00947455">
        <w:rPr>
          <w:rFonts w:eastAsia="MS Mincho"/>
        </w:rPr>
        <w:t xml:space="preserve">, or sent via overnight mail to U.S. Bank – Government Lockbox #979088, SL-MO-C2-GL, 1005 </w:t>
      </w:r>
      <w:smartTag w:uri="urn:schemas-microsoft-com:office:smarttags" w:element="PostalCode">
        <w:r w:rsidRPr="00947455">
          <w:rPr>
            <w:rFonts w:eastAsia="MS Mincho"/>
          </w:rPr>
          <w:t>Convention</w:t>
        </w:r>
      </w:smartTag>
      <w:r w:rsidRPr="00947455">
        <w:rPr>
          <w:rFonts w:eastAsia="MS Mincho"/>
        </w:rPr>
        <w:t xml:space="preserve"> </w:t>
      </w:r>
      <w:smartTag w:uri="urn:schemas-microsoft-com:office:smarttags" w:element="PostalCode">
        <w:r w:rsidRPr="00947455">
          <w:rPr>
            <w:rFonts w:eastAsia="MS Mincho"/>
          </w:rPr>
          <w:t>Plaza</w:t>
        </w:r>
      </w:smartTag>
      <w:r w:rsidRPr="00947455">
        <w:rPr>
          <w:rFonts w:eastAsia="MS Mincho"/>
        </w:rPr>
        <w:t xml:space="preserve">, </w:t>
      </w:r>
      <w:smartTag w:uri="urn:schemas-microsoft-com:office:smarttags" w:element="PostalCode">
        <w:smartTag w:uri="urn:schemas-microsoft-com:office:smarttags" w:element="PostalCode">
          <w:r w:rsidRPr="00947455">
            <w:rPr>
              <w:rFonts w:eastAsia="MS Mincho"/>
            </w:rPr>
            <w:t>St. Louis</w:t>
          </w:r>
        </w:smartTag>
        <w:r w:rsidRPr="00947455">
          <w:rPr>
            <w:rFonts w:eastAsia="MS Mincho"/>
          </w:rPr>
          <w:t xml:space="preserve">, </w:t>
        </w:r>
        <w:smartTag w:uri="urn:schemas-microsoft-com:office:smarttags" w:element="PostalCode">
          <w:r w:rsidRPr="00947455">
            <w:rPr>
              <w:rFonts w:eastAsia="MS Mincho"/>
            </w:rPr>
            <w:t>MO</w:t>
          </w:r>
        </w:smartTag>
        <w:r w:rsidRPr="00947455">
          <w:rPr>
            <w:rFonts w:eastAsia="MS Mincho"/>
          </w:rPr>
          <w:t xml:space="preserve"> </w:t>
        </w:r>
        <w:smartTag w:uri="urn:schemas-microsoft-com:office:smarttags" w:element="PostalCode">
          <w:r w:rsidRPr="00947455">
            <w:rPr>
              <w:rFonts w:eastAsia="MS Mincho"/>
            </w:rPr>
            <w:t>63101</w:t>
          </w:r>
        </w:smartTag>
      </w:smartTag>
      <w:r w:rsidRPr="00947455">
        <w:rPr>
          <w:rFonts w:eastAsia="MS Mincho"/>
        </w:rPr>
        <w:t xml:space="preserve">.  </w:t>
      </w:r>
    </w:p>
    <w:p w14:paraId="0866D5E0" w14:textId="689CCA61" w:rsidR="00DC1E68" w:rsidRPr="00C40BE6" w:rsidRDefault="00656D1E" w:rsidP="00C40BE6">
      <w:pPr>
        <w:numPr>
          <w:ilvl w:val="0"/>
          <w:numId w:val="1"/>
        </w:numPr>
        <w:tabs>
          <w:tab w:val="clear" w:pos="1080"/>
          <w:tab w:val="left" w:pos="0"/>
        </w:tabs>
        <w:suppressAutoHyphens/>
        <w:spacing w:after="120" w:line="240" w:lineRule="atLeast"/>
        <w:rPr>
          <w:rFonts w:eastAsia="MS Mincho"/>
        </w:rPr>
      </w:pPr>
      <w:r w:rsidRPr="00947455">
        <w:t>Any</w:t>
      </w:r>
      <w:r w:rsidRPr="00947455">
        <w:rPr>
          <w:rFonts w:eastAsia="MS Mincho"/>
        </w:rPr>
        <w:t xml:space="preserve"> request for </w:t>
      </w:r>
      <w:r w:rsidR="007176AE">
        <w:rPr>
          <w:rFonts w:eastAsia="MS Mincho"/>
        </w:rPr>
        <w:t xml:space="preserve">making </w:t>
      </w:r>
      <w:r w:rsidRPr="00947455">
        <w:rPr>
          <w:rFonts w:eastAsia="MS Mincho"/>
        </w:rPr>
        <w:t xml:space="preserve">full payment </w:t>
      </w:r>
      <w:r w:rsidR="007176AE">
        <w:rPr>
          <w:rFonts w:eastAsia="MS Mincho"/>
        </w:rPr>
        <w:t xml:space="preserve">over time </w:t>
      </w:r>
      <w:r w:rsidRPr="00947455">
        <w:rPr>
          <w:rFonts w:eastAsia="MS Mincho"/>
        </w:rPr>
        <w:t>under an installment plan should be sent to:  Chief Financial Officer—</w:t>
      </w:r>
      <w:r w:rsidRPr="00947455">
        <w:t>Financial</w:t>
      </w:r>
      <w:r w:rsidRPr="00947455">
        <w:rPr>
          <w:rFonts w:eastAsia="MS Mincho"/>
        </w:rPr>
        <w:t xml:space="preserve"> Operations, Federal Communications Commission, 445 12th Street, S.W., Room 1-A625, Washington, D.C.  20554.</w:t>
      </w:r>
      <w:r w:rsidRPr="00947455">
        <w:rPr>
          <w:rStyle w:val="FootnoteReference"/>
          <w:rFonts w:eastAsia="MS Mincho"/>
          <w:szCs w:val="20"/>
        </w:rPr>
        <w:footnoteReference w:id="24"/>
      </w:r>
      <w:r w:rsidRPr="00947455">
        <w:rPr>
          <w:rFonts w:eastAsia="MS Mincho"/>
        </w:rPr>
        <w:t>  If you have questions regarding payment procedures, please contact the Financial Operations Group Help Desk by phone, 1-877-480-3201, or by e</w:t>
      </w:r>
      <w:r w:rsidRPr="00947455">
        <w:rPr>
          <w:rFonts w:eastAsia="MS Mincho"/>
        </w:rPr>
        <w:noBreakHyphen/>
        <w:t xml:space="preserve">mail, </w:t>
      </w:r>
      <w:r w:rsidR="00DC1E68" w:rsidRPr="00DC1E68">
        <w:rPr>
          <w:rFonts w:eastAsia="MS Mincho"/>
        </w:rPr>
        <w:t>ARINQUIRIES@fcc.gov</w:t>
      </w:r>
      <w:r w:rsidRPr="004E3D57">
        <w:rPr>
          <w:rFonts w:eastAsia="MS Mincho"/>
        </w:rPr>
        <w:t>.</w:t>
      </w:r>
    </w:p>
    <w:p w14:paraId="6C2798E3" w14:textId="620CED2A" w:rsidR="00656D1E" w:rsidRPr="00C40BE6" w:rsidRDefault="00DC1E68" w:rsidP="00C40BE6">
      <w:pPr>
        <w:numPr>
          <w:ilvl w:val="0"/>
          <w:numId w:val="1"/>
        </w:numPr>
        <w:tabs>
          <w:tab w:val="clear" w:pos="1080"/>
          <w:tab w:val="left" w:pos="0"/>
        </w:tabs>
        <w:suppressAutoHyphens/>
        <w:spacing w:after="120" w:line="240" w:lineRule="atLeast"/>
        <w:rPr>
          <w:spacing w:val="-2"/>
        </w:rPr>
      </w:pPr>
      <w:r w:rsidRPr="00DF7137">
        <w:rPr>
          <w:b/>
        </w:rPr>
        <w:t xml:space="preserve"> </w:t>
      </w:r>
      <w:r w:rsidR="00656D1E" w:rsidRPr="00DF7137">
        <w:rPr>
          <w:b/>
        </w:rPr>
        <w:t xml:space="preserve">IT </w:t>
      </w:r>
      <w:r w:rsidR="00656D1E" w:rsidRPr="00334578">
        <w:rPr>
          <w:b/>
        </w:rPr>
        <w:t xml:space="preserve">IS </w:t>
      </w:r>
      <w:r w:rsidR="00656D1E" w:rsidRPr="00DF7137">
        <w:rPr>
          <w:b/>
        </w:rPr>
        <w:t>FURTHER ORDERED</w:t>
      </w:r>
      <w:r w:rsidR="00656D1E" w:rsidRPr="00DF7137">
        <w:t xml:space="preserve"> that a copy of this </w:t>
      </w:r>
      <w:r>
        <w:t xml:space="preserve">Forfeiture </w:t>
      </w:r>
      <w:r w:rsidR="00656D1E" w:rsidRPr="000328B4">
        <w:t>Order</w:t>
      </w:r>
      <w:r w:rsidR="00656D1E" w:rsidRPr="00DF7137">
        <w:t xml:space="preserve"> shall be sent by </w:t>
      </w:r>
      <w:r w:rsidR="00656D1E">
        <w:t xml:space="preserve">both </w:t>
      </w:r>
      <w:r w:rsidR="00656D1E" w:rsidRPr="00DF7137">
        <w:t>First Class and Certified Mail</w:t>
      </w:r>
      <w:r w:rsidR="00656D1E">
        <w:t>,</w:t>
      </w:r>
      <w:r w:rsidR="00656D1E" w:rsidRPr="00DF7137">
        <w:t xml:space="preserve"> Return Receipt Requested</w:t>
      </w:r>
      <w:r w:rsidR="00656D1E">
        <w:t>,</w:t>
      </w:r>
      <w:r w:rsidR="00656D1E" w:rsidRPr="00DF7137">
        <w:t xml:space="preserve"> to </w:t>
      </w:r>
      <w:r w:rsidR="00945284">
        <w:t xml:space="preserve">Latin Broadcasting Company at </w:t>
      </w:r>
      <w:r w:rsidR="00945284" w:rsidRPr="00783B16">
        <w:rPr>
          <w:noProof/>
          <w:color w:val="000000"/>
        </w:rPr>
        <w:t>Latin Broadcasting Company</w:t>
      </w:r>
      <w:r w:rsidR="00945284" w:rsidRPr="00783B16">
        <w:rPr>
          <w:color w:val="000000"/>
        </w:rPr>
        <w:t xml:space="preserve"> at 301 Ashworth Rd., West Des Moines, IA  50265</w:t>
      </w:r>
      <w:r w:rsidR="00945284">
        <w:rPr>
          <w:color w:val="000000"/>
        </w:rPr>
        <w:t xml:space="preserve"> and to its counsel, David Tillotson, 4606 Charleston Terrace, NW, Washington, DC 20007</w:t>
      </w:r>
      <w:r w:rsidR="00656D1E">
        <w:rPr>
          <w:spacing w:val="-2"/>
        </w:rPr>
        <w:t>.</w:t>
      </w:r>
    </w:p>
    <w:p w14:paraId="4621243E" w14:textId="77777777" w:rsidR="00656D1E" w:rsidRDefault="00656D1E" w:rsidP="0081418C">
      <w:pPr>
        <w:pStyle w:val="ListParagraph"/>
        <w:rPr>
          <w:color w:val="000000"/>
        </w:rPr>
      </w:pPr>
    </w:p>
    <w:p w14:paraId="00782808" w14:textId="77777777" w:rsidR="00656D1E" w:rsidRPr="00B75C71" w:rsidRDefault="00656D1E" w:rsidP="00C40BE6">
      <w:pPr>
        <w:widowControl w:val="0"/>
        <w:tabs>
          <w:tab w:val="left" w:pos="0"/>
        </w:tabs>
        <w:suppressAutoHyphens/>
        <w:autoSpaceDE w:val="0"/>
        <w:autoSpaceDN w:val="0"/>
        <w:adjustRightInd w:val="0"/>
        <w:spacing w:line="240" w:lineRule="atLeast"/>
        <w:rPr>
          <w:color w:val="000000"/>
        </w:rPr>
      </w:pPr>
    </w:p>
    <w:p w14:paraId="1CA475A7" w14:textId="77777777" w:rsidR="00656D1E" w:rsidRPr="00DF7137" w:rsidRDefault="00656D1E" w:rsidP="00634FC4">
      <w:pPr>
        <w:pStyle w:val="ParaNum"/>
        <w:numPr>
          <w:ilvl w:val="0"/>
          <w:numId w:val="0"/>
        </w:numPr>
        <w:spacing w:after="0"/>
        <w:ind w:left="4320"/>
      </w:pPr>
      <w:r w:rsidRPr="00DF7137">
        <w:t>FEDERAL COMMUNICATIONS COMMISSION</w:t>
      </w:r>
    </w:p>
    <w:p w14:paraId="6C424ABA" w14:textId="77777777" w:rsidR="00656D1E" w:rsidRPr="00DF7137" w:rsidRDefault="00656D1E" w:rsidP="00634FC4">
      <w:pPr>
        <w:pStyle w:val="ParaNum"/>
        <w:numPr>
          <w:ilvl w:val="0"/>
          <w:numId w:val="0"/>
        </w:numPr>
        <w:spacing w:after="0"/>
        <w:ind w:left="4320"/>
      </w:pPr>
    </w:p>
    <w:p w14:paraId="4639BCB7" w14:textId="77777777" w:rsidR="00656D1E" w:rsidRDefault="00656D1E" w:rsidP="00634FC4">
      <w:pPr>
        <w:pStyle w:val="ParaNum"/>
        <w:numPr>
          <w:ilvl w:val="0"/>
          <w:numId w:val="0"/>
        </w:numPr>
        <w:spacing w:after="0"/>
        <w:ind w:left="4320"/>
      </w:pPr>
    </w:p>
    <w:p w14:paraId="3009935F" w14:textId="77777777" w:rsidR="00656D1E" w:rsidRDefault="00656D1E" w:rsidP="00634FC4">
      <w:pPr>
        <w:pStyle w:val="ParaNum"/>
        <w:numPr>
          <w:ilvl w:val="0"/>
          <w:numId w:val="0"/>
        </w:numPr>
        <w:spacing w:after="0"/>
        <w:ind w:left="4320"/>
      </w:pPr>
    </w:p>
    <w:p w14:paraId="7A6763A6" w14:textId="77777777" w:rsidR="00656D1E" w:rsidRPr="00DF7137" w:rsidRDefault="00656D1E" w:rsidP="00634FC4">
      <w:pPr>
        <w:pStyle w:val="ParaNum"/>
        <w:numPr>
          <w:ilvl w:val="0"/>
          <w:numId w:val="0"/>
        </w:numPr>
        <w:spacing w:after="0"/>
        <w:ind w:left="4320"/>
      </w:pPr>
    </w:p>
    <w:p w14:paraId="6B66C3B9" w14:textId="77777777" w:rsidR="00656D1E" w:rsidRPr="00DF7137" w:rsidRDefault="00656D1E" w:rsidP="00634FC4">
      <w:pPr>
        <w:pStyle w:val="ParaNum"/>
        <w:numPr>
          <w:ilvl w:val="0"/>
          <w:numId w:val="0"/>
        </w:numPr>
        <w:spacing w:after="0"/>
        <w:ind w:left="3600" w:firstLine="720"/>
      </w:pPr>
      <w:r w:rsidRPr="00DF7137">
        <w:t>Dennis P. Carlton</w:t>
      </w:r>
    </w:p>
    <w:p w14:paraId="606F8A1D" w14:textId="77777777" w:rsidR="00656D1E" w:rsidRPr="00DF7137" w:rsidRDefault="00656D1E" w:rsidP="00634FC4">
      <w:pPr>
        <w:pStyle w:val="ParaNum"/>
        <w:numPr>
          <w:ilvl w:val="0"/>
          <w:numId w:val="0"/>
        </w:numPr>
        <w:spacing w:after="0"/>
        <w:ind w:left="3600" w:firstLine="720"/>
      </w:pPr>
      <w:r w:rsidRPr="00DF7137">
        <w:t>Regional Director, South Central Region</w:t>
      </w:r>
    </w:p>
    <w:p w14:paraId="321268C1" w14:textId="77777777" w:rsidR="00656D1E" w:rsidRPr="00DF7137" w:rsidRDefault="00656D1E" w:rsidP="00BE7599">
      <w:pPr>
        <w:pStyle w:val="ParaNum"/>
        <w:numPr>
          <w:ilvl w:val="0"/>
          <w:numId w:val="0"/>
        </w:numPr>
        <w:spacing w:after="0"/>
        <w:ind w:left="3600" w:firstLine="720"/>
      </w:pPr>
      <w:r w:rsidRPr="00DF7137">
        <w:t>Enforcement Bureau</w:t>
      </w:r>
    </w:p>
    <w:sectPr w:rsidR="00656D1E" w:rsidRPr="00DF7137" w:rsidSect="004221E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440" w:header="1008"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61C52" w14:textId="77777777" w:rsidR="008325BD" w:rsidRDefault="008325BD">
      <w:r>
        <w:separator/>
      </w:r>
    </w:p>
  </w:endnote>
  <w:endnote w:type="continuationSeparator" w:id="0">
    <w:p w14:paraId="7CEB27A2" w14:textId="77777777" w:rsidR="008325BD" w:rsidRDefault="008325BD">
      <w:r>
        <w:continuationSeparator/>
      </w:r>
    </w:p>
  </w:endnote>
  <w:endnote w:type="continuationNotice" w:id="1">
    <w:p w14:paraId="486DA5F5" w14:textId="77777777" w:rsidR="008325BD" w:rsidRDefault="008325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D0CA9" w14:textId="77777777" w:rsidR="00656D1E" w:rsidRDefault="00656D1E" w:rsidP="000E5A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EB741A" w14:textId="77777777" w:rsidR="00656D1E" w:rsidRDefault="00656D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7F3D1" w14:textId="77777777" w:rsidR="00656D1E" w:rsidRPr="009C3EAC" w:rsidRDefault="00656D1E" w:rsidP="000E5A45">
    <w:pPr>
      <w:pStyle w:val="Footer"/>
      <w:framePr w:wrap="around" w:vAnchor="text" w:hAnchor="margin" w:xAlign="center" w:y="1"/>
      <w:rPr>
        <w:rStyle w:val="PageNumber"/>
        <w:sz w:val="20"/>
        <w:szCs w:val="20"/>
      </w:rPr>
    </w:pPr>
    <w:r w:rsidRPr="009C3EAC">
      <w:rPr>
        <w:rStyle w:val="PageNumber"/>
        <w:sz w:val="20"/>
        <w:szCs w:val="20"/>
      </w:rPr>
      <w:fldChar w:fldCharType="begin"/>
    </w:r>
    <w:r w:rsidRPr="009C3EAC">
      <w:rPr>
        <w:rStyle w:val="PageNumber"/>
        <w:sz w:val="20"/>
        <w:szCs w:val="20"/>
      </w:rPr>
      <w:instrText xml:space="preserve">PAGE  </w:instrText>
    </w:r>
    <w:r w:rsidRPr="009C3EAC">
      <w:rPr>
        <w:rStyle w:val="PageNumber"/>
        <w:sz w:val="20"/>
        <w:szCs w:val="20"/>
      </w:rPr>
      <w:fldChar w:fldCharType="separate"/>
    </w:r>
    <w:r w:rsidR="005C05F6">
      <w:rPr>
        <w:rStyle w:val="PageNumber"/>
        <w:noProof/>
        <w:sz w:val="20"/>
        <w:szCs w:val="20"/>
      </w:rPr>
      <w:t>2</w:t>
    </w:r>
    <w:r w:rsidRPr="009C3EAC">
      <w:rPr>
        <w:rStyle w:val="PageNumber"/>
        <w:sz w:val="20"/>
        <w:szCs w:val="20"/>
      </w:rPr>
      <w:fldChar w:fldCharType="end"/>
    </w:r>
  </w:p>
  <w:p w14:paraId="76617097" w14:textId="77777777" w:rsidR="00656D1E" w:rsidRDefault="00656D1E" w:rsidP="00B0322B">
    <w:pPr>
      <w:pStyle w:val="Footer"/>
      <w:jc w:val="right"/>
      <w:rPr>
        <w:sz w:val="20"/>
        <w:szCs w:val="20"/>
      </w:rPr>
    </w:pPr>
  </w:p>
  <w:p w14:paraId="30545E03" w14:textId="77777777" w:rsidR="00934B98" w:rsidRPr="00B0322B" w:rsidRDefault="00934B98" w:rsidP="00B0322B">
    <w:pPr>
      <w:pStyle w:val="Footer"/>
      <w:jc w:val="righ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3D746" w14:textId="77777777" w:rsidR="008A0C87" w:rsidRDefault="008A0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7B502" w14:textId="77777777" w:rsidR="008325BD" w:rsidRDefault="008325BD">
      <w:r>
        <w:separator/>
      </w:r>
    </w:p>
  </w:footnote>
  <w:footnote w:type="continuationSeparator" w:id="0">
    <w:p w14:paraId="2D3C6174" w14:textId="77777777" w:rsidR="008325BD" w:rsidRDefault="008325BD">
      <w:r>
        <w:continuationSeparator/>
      </w:r>
    </w:p>
  </w:footnote>
  <w:footnote w:type="continuationNotice" w:id="1">
    <w:p w14:paraId="6651853F" w14:textId="77777777" w:rsidR="008325BD" w:rsidRDefault="008325BD"/>
  </w:footnote>
  <w:footnote w:id="2">
    <w:p w14:paraId="07499560" w14:textId="77777777" w:rsidR="004876F8" w:rsidRPr="004C7AA1" w:rsidRDefault="004876F8" w:rsidP="004C7AA1">
      <w:pPr>
        <w:pStyle w:val="FootnoteText"/>
        <w:widowControl/>
        <w:ind w:firstLine="0"/>
        <w:jc w:val="left"/>
        <w:rPr>
          <w:szCs w:val="20"/>
        </w:rPr>
      </w:pPr>
      <w:r w:rsidRPr="004C7AA1">
        <w:rPr>
          <w:rStyle w:val="FootnoteReference"/>
          <w:szCs w:val="20"/>
        </w:rPr>
        <w:footnoteRef/>
      </w:r>
      <w:r w:rsidRPr="004C7AA1">
        <w:rPr>
          <w:szCs w:val="20"/>
        </w:rPr>
        <w:t xml:space="preserve"> 47 U.S.C. § 303(q).</w:t>
      </w:r>
    </w:p>
  </w:footnote>
  <w:footnote w:id="3">
    <w:p w14:paraId="2CF42E83" w14:textId="77777777" w:rsidR="004876F8" w:rsidRPr="004C7AA1" w:rsidRDefault="004876F8" w:rsidP="004C7AA1">
      <w:pPr>
        <w:pStyle w:val="FootnoteText"/>
        <w:widowControl/>
        <w:ind w:firstLine="0"/>
        <w:jc w:val="left"/>
        <w:rPr>
          <w:szCs w:val="20"/>
        </w:rPr>
      </w:pPr>
      <w:r w:rsidRPr="004C7AA1">
        <w:rPr>
          <w:rStyle w:val="FootnoteReference"/>
          <w:szCs w:val="20"/>
        </w:rPr>
        <w:footnoteRef/>
      </w:r>
      <w:r w:rsidRPr="004C7AA1">
        <w:rPr>
          <w:szCs w:val="20"/>
        </w:rPr>
        <w:t xml:space="preserve"> 47 C.F.R. §§ 17.48(a), 17.51(a), 17.57.</w:t>
      </w:r>
    </w:p>
  </w:footnote>
  <w:footnote w:id="4">
    <w:p w14:paraId="2EA918A1" w14:textId="77777777" w:rsidR="007B3A96" w:rsidRPr="004C7AA1" w:rsidRDefault="007B3A96" w:rsidP="004C7AA1">
      <w:pPr>
        <w:pStyle w:val="FootnoteText"/>
        <w:ind w:firstLine="0"/>
        <w:jc w:val="left"/>
        <w:rPr>
          <w:szCs w:val="20"/>
        </w:rPr>
      </w:pPr>
      <w:r w:rsidRPr="004C7AA1">
        <w:rPr>
          <w:rStyle w:val="FootnoteReference"/>
          <w:szCs w:val="20"/>
        </w:rPr>
        <w:footnoteRef/>
      </w:r>
      <w:r w:rsidRPr="004C7AA1">
        <w:rPr>
          <w:szCs w:val="20"/>
        </w:rPr>
        <w:t xml:space="preserve"> </w:t>
      </w:r>
      <w:r w:rsidRPr="004C7AA1">
        <w:rPr>
          <w:i/>
          <w:szCs w:val="20"/>
        </w:rPr>
        <w:t>Latin Broadcasting Company</w:t>
      </w:r>
      <w:r w:rsidRPr="004C7AA1">
        <w:rPr>
          <w:szCs w:val="20"/>
        </w:rPr>
        <w:t xml:space="preserve">, Notice of Apparent Liability for Forfeiture and Order, 28 FCC Rcd 2170 (Enf. Bur. 2013).  A comprehensive recitation of the facts and history of this case can be found in the </w:t>
      </w:r>
      <w:r w:rsidRPr="004C7AA1">
        <w:rPr>
          <w:i/>
          <w:szCs w:val="20"/>
        </w:rPr>
        <w:t>NAL</w:t>
      </w:r>
      <w:r w:rsidRPr="004C7AA1">
        <w:rPr>
          <w:szCs w:val="20"/>
        </w:rPr>
        <w:t xml:space="preserve"> and is incorporated herein by reference.  </w:t>
      </w:r>
    </w:p>
  </w:footnote>
  <w:footnote w:id="5">
    <w:p w14:paraId="2822A571" w14:textId="77777777" w:rsidR="0057487E" w:rsidRPr="004C7AA1" w:rsidRDefault="0057487E" w:rsidP="004C7AA1">
      <w:pPr>
        <w:pStyle w:val="FootnoteText"/>
        <w:ind w:firstLine="0"/>
        <w:jc w:val="left"/>
        <w:rPr>
          <w:szCs w:val="20"/>
        </w:rPr>
      </w:pPr>
      <w:r w:rsidRPr="004C7AA1">
        <w:rPr>
          <w:rStyle w:val="FootnoteReference"/>
          <w:szCs w:val="20"/>
        </w:rPr>
        <w:footnoteRef/>
      </w:r>
      <w:r w:rsidRPr="004C7AA1">
        <w:rPr>
          <w:szCs w:val="20"/>
        </w:rPr>
        <w:t xml:space="preserve"> Opposition to Notice of Apparent Liability, David Tillotson, Counsel for Latin Broadcasting Company, to District Director, Kansas City Office at 3-4 (Apr. 8, 2013) (on file in EB-FIELDSCR-00003967) (</w:t>
      </w:r>
      <w:r w:rsidRPr="004C7AA1">
        <w:rPr>
          <w:i/>
          <w:szCs w:val="20"/>
        </w:rPr>
        <w:t>NAL Response</w:t>
      </w:r>
      <w:r w:rsidRPr="004C7AA1">
        <w:rPr>
          <w:szCs w:val="20"/>
        </w:rPr>
        <w:t>).</w:t>
      </w:r>
    </w:p>
  </w:footnote>
  <w:footnote w:id="6">
    <w:p w14:paraId="5431A86E" w14:textId="7E5C5178" w:rsidR="0057487E" w:rsidRPr="004C7AA1" w:rsidRDefault="0057487E" w:rsidP="004C7AA1">
      <w:pPr>
        <w:pStyle w:val="FootnoteText"/>
        <w:ind w:firstLine="0"/>
        <w:rPr>
          <w:szCs w:val="20"/>
        </w:rPr>
      </w:pPr>
      <w:r w:rsidRPr="004C7AA1">
        <w:rPr>
          <w:rStyle w:val="FootnoteReference"/>
          <w:szCs w:val="20"/>
        </w:rPr>
        <w:footnoteRef/>
      </w:r>
      <w:r w:rsidRPr="004C7AA1">
        <w:rPr>
          <w:szCs w:val="20"/>
        </w:rPr>
        <w:t xml:space="preserve"> </w:t>
      </w:r>
      <w:r w:rsidRPr="004C7AA1">
        <w:rPr>
          <w:i/>
          <w:szCs w:val="20"/>
        </w:rPr>
        <w:t xml:space="preserve">Id. </w:t>
      </w:r>
      <w:r w:rsidR="00C20B17" w:rsidRPr="004C7AA1">
        <w:rPr>
          <w:szCs w:val="20"/>
        </w:rPr>
        <w:t>at 2–</w:t>
      </w:r>
      <w:r w:rsidRPr="004C7AA1">
        <w:rPr>
          <w:szCs w:val="20"/>
        </w:rPr>
        <w:t>3.</w:t>
      </w:r>
    </w:p>
  </w:footnote>
  <w:footnote w:id="7">
    <w:p w14:paraId="10176FA3" w14:textId="77777777" w:rsidR="00656D1E" w:rsidRPr="004C7AA1" w:rsidRDefault="00656D1E" w:rsidP="004C7AA1">
      <w:pPr>
        <w:pStyle w:val="FootnoteText"/>
        <w:ind w:firstLine="0"/>
        <w:jc w:val="left"/>
        <w:rPr>
          <w:szCs w:val="20"/>
        </w:rPr>
      </w:pPr>
      <w:r w:rsidRPr="004C7AA1">
        <w:rPr>
          <w:rStyle w:val="FootnoteReference"/>
          <w:szCs w:val="20"/>
        </w:rPr>
        <w:footnoteRef/>
      </w:r>
      <w:r w:rsidRPr="004C7AA1">
        <w:rPr>
          <w:szCs w:val="20"/>
        </w:rPr>
        <w:t xml:space="preserve"> 47 U.S.C. § 503(b).</w:t>
      </w:r>
    </w:p>
  </w:footnote>
  <w:footnote w:id="8">
    <w:p w14:paraId="6E22745D" w14:textId="77777777" w:rsidR="00656D1E" w:rsidRPr="004C7AA1" w:rsidRDefault="00656D1E" w:rsidP="004C7AA1">
      <w:pPr>
        <w:pStyle w:val="FootnoteText"/>
        <w:ind w:firstLine="0"/>
        <w:jc w:val="left"/>
        <w:rPr>
          <w:szCs w:val="20"/>
        </w:rPr>
      </w:pPr>
      <w:r w:rsidRPr="004C7AA1">
        <w:rPr>
          <w:rStyle w:val="FootnoteReference"/>
          <w:szCs w:val="20"/>
        </w:rPr>
        <w:footnoteRef/>
      </w:r>
      <w:r w:rsidRPr="004C7AA1">
        <w:rPr>
          <w:szCs w:val="20"/>
        </w:rPr>
        <w:t xml:space="preserve"> 47 C.F.R. § 1.80.</w:t>
      </w:r>
    </w:p>
  </w:footnote>
  <w:footnote w:id="9">
    <w:p w14:paraId="3AD6FDCF" w14:textId="77777777" w:rsidR="00656D1E" w:rsidRPr="004C7AA1" w:rsidRDefault="00656D1E" w:rsidP="004C7AA1">
      <w:pPr>
        <w:pStyle w:val="FootnoteText"/>
        <w:ind w:firstLine="0"/>
        <w:jc w:val="left"/>
        <w:rPr>
          <w:szCs w:val="20"/>
        </w:rPr>
      </w:pPr>
      <w:r w:rsidRPr="004C7AA1">
        <w:rPr>
          <w:rStyle w:val="FootnoteReference"/>
          <w:szCs w:val="20"/>
        </w:rPr>
        <w:footnoteRef/>
      </w:r>
      <w:r w:rsidRPr="004C7AA1">
        <w:rPr>
          <w:szCs w:val="20"/>
        </w:rPr>
        <w:t xml:space="preserve"> </w:t>
      </w:r>
      <w:r w:rsidRPr="004C7AA1">
        <w:rPr>
          <w:i/>
          <w:szCs w:val="20"/>
        </w:rPr>
        <w:t>The Commission’s Forfeiture Policy Statement and Amendment of Section 1.80 of the Rules to Incorporate the Forfeiture Guidelines</w:t>
      </w:r>
      <w:r w:rsidRPr="004C7AA1">
        <w:rPr>
          <w:szCs w:val="20"/>
        </w:rPr>
        <w:t xml:space="preserve">, Report and Order, 12 FCC Rcd 17087 (1997), </w:t>
      </w:r>
      <w:r w:rsidRPr="004C7AA1">
        <w:rPr>
          <w:i/>
          <w:szCs w:val="20"/>
        </w:rPr>
        <w:t>recons. denied</w:t>
      </w:r>
      <w:r w:rsidRPr="004C7AA1">
        <w:rPr>
          <w:szCs w:val="20"/>
        </w:rPr>
        <w:t>, 15 FCC Rcd 303 (1999) (</w:t>
      </w:r>
      <w:r w:rsidRPr="004C7AA1">
        <w:rPr>
          <w:i/>
          <w:szCs w:val="20"/>
        </w:rPr>
        <w:t>Forfeiture Policy Statement</w:t>
      </w:r>
      <w:r w:rsidRPr="004C7AA1">
        <w:rPr>
          <w:szCs w:val="20"/>
        </w:rPr>
        <w:t xml:space="preserve">).  </w:t>
      </w:r>
    </w:p>
  </w:footnote>
  <w:footnote w:id="10">
    <w:p w14:paraId="64D3C8EF" w14:textId="77777777" w:rsidR="00656D1E" w:rsidRPr="004C7AA1" w:rsidRDefault="00656D1E" w:rsidP="004C7AA1">
      <w:pPr>
        <w:pStyle w:val="FootnoteText"/>
        <w:ind w:firstLine="0"/>
        <w:jc w:val="left"/>
        <w:rPr>
          <w:szCs w:val="20"/>
        </w:rPr>
      </w:pPr>
      <w:r w:rsidRPr="004C7AA1">
        <w:rPr>
          <w:rStyle w:val="FootnoteReference"/>
          <w:szCs w:val="20"/>
        </w:rPr>
        <w:footnoteRef/>
      </w:r>
      <w:r w:rsidRPr="004C7AA1">
        <w:rPr>
          <w:szCs w:val="20"/>
        </w:rPr>
        <w:t xml:space="preserve"> 47 U.S.C. § 503(b)(2)(E).</w:t>
      </w:r>
    </w:p>
  </w:footnote>
  <w:footnote w:id="11">
    <w:p w14:paraId="2BD077C1" w14:textId="4D9D4815" w:rsidR="0057487E" w:rsidRPr="004C7AA1" w:rsidRDefault="0057487E" w:rsidP="004C7AA1">
      <w:pPr>
        <w:pStyle w:val="FootnoteText"/>
        <w:ind w:firstLine="0"/>
        <w:rPr>
          <w:szCs w:val="20"/>
        </w:rPr>
      </w:pPr>
      <w:r w:rsidRPr="004C7AA1">
        <w:rPr>
          <w:rStyle w:val="FootnoteReference"/>
          <w:szCs w:val="20"/>
        </w:rPr>
        <w:footnoteRef/>
      </w:r>
      <w:r w:rsidRPr="004C7AA1">
        <w:rPr>
          <w:szCs w:val="20"/>
        </w:rPr>
        <w:t xml:space="preserve"> </w:t>
      </w:r>
      <w:r>
        <w:t>P.</w:t>
      </w:r>
      <w:r w:rsidRPr="004C7AA1">
        <w:rPr>
          <w:szCs w:val="20"/>
        </w:rPr>
        <w:t>P</w:t>
      </w:r>
      <w:r w:rsidR="00C77C37" w:rsidRPr="004C7AA1">
        <w:rPr>
          <w:szCs w:val="20"/>
        </w:rPr>
        <w:t>ub</w:t>
      </w:r>
      <w:r w:rsidRPr="004C7AA1">
        <w:rPr>
          <w:szCs w:val="20"/>
        </w:rPr>
        <w:t>.</w:t>
      </w:r>
      <w:r w:rsidR="00C77C37" w:rsidRPr="004C7AA1">
        <w:rPr>
          <w:szCs w:val="20"/>
        </w:rPr>
        <w:t xml:space="preserve"> </w:t>
      </w:r>
      <w:r w:rsidRPr="004C7AA1">
        <w:rPr>
          <w:szCs w:val="20"/>
        </w:rPr>
        <w:t>L.</w:t>
      </w:r>
      <w:r w:rsidR="00C77C37" w:rsidRPr="004C7AA1">
        <w:rPr>
          <w:szCs w:val="20"/>
        </w:rPr>
        <w:t xml:space="preserve"> No.</w:t>
      </w:r>
      <w:r w:rsidRPr="004C7AA1">
        <w:rPr>
          <w:szCs w:val="20"/>
        </w:rPr>
        <w:t xml:space="preserve"> 104-121, </w:t>
      </w:r>
      <w:r>
        <w:t xml:space="preserve">March 29, </w:t>
      </w:r>
      <w:r w:rsidR="00C77C37" w:rsidRPr="004C7AA1">
        <w:rPr>
          <w:szCs w:val="20"/>
        </w:rPr>
        <w:t>110 Stat. 847 (</w:t>
      </w:r>
      <w:r w:rsidRPr="004C7AA1">
        <w:rPr>
          <w:szCs w:val="20"/>
        </w:rPr>
        <w:t>1996</w:t>
      </w:r>
      <w:r>
        <w:t>,</w:t>
      </w:r>
      <w:r w:rsidR="00C77C37" w:rsidRPr="004C7AA1">
        <w:rPr>
          <w:szCs w:val="20"/>
        </w:rPr>
        <w:t>)</w:t>
      </w:r>
      <w:r w:rsidRPr="004C7AA1">
        <w:rPr>
          <w:szCs w:val="20"/>
        </w:rPr>
        <w:t xml:space="preserve">, as amended by </w:t>
      </w:r>
      <w:r>
        <w:t>P.</w:t>
      </w:r>
      <w:r w:rsidRPr="004C7AA1">
        <w:rPr>
          <w:szCs w:val="20"/>
        </w:rPr>
        <w:t>P</w:t>
      </w:r>
      <w:r w:rsidR="00C77C37" w:rsidRPr="004C7AA1">
        <w:rPr>
          <w:szCs w:val="20"/>
        </w:rPr>
        <w:t>ub</w:t>
      </w:r>
      <w:r w:rsidRPr="004C7AA1">
        <w:rPr>
          <w:szCs w:val="20"/>
        </w:rPr>
        <w:t>.</w:t>
      </w:r>
      <w:r w:rsidR="00C77C37" w:rsidRPr="004C7AA1">
        <w:rPr>
          <w:szCs w:val="20"/>
        </w:rPr>
        <w:t xml:space="preserve"> </w:t>
      </w:r>
      <w:r w:rsidRPr="004C7AA1">
        <w:rPr>
          <w:szCs w:val="20"/>
        </w:rPr>
        <w:t>L.</w:t>
      </w:r>
      <w:r w:rsidR="00C77C37" w:rsidRPr="004C7AA1">
        <w:rPr>
          <w:szCs w:val="20"/>
        </w:rPr>
        <w:t xml:space="preserve"> </w:t>
      </w:r>
      <w:r>
        <w:t xml:space="preserve">May 25, </w:t>
      </w:r>
      <w:r w:rsidR="00C77C37" w:rsidRPr="004C7AA1">
        <w:rPr>
          <w:szCs w:val="20"/>
        </w:rPr>
        <w:t>No. 110-28, 121 Stat. 112 (</w:t>
      </w:r>
      <w:r w:rsidRPr="004C7AA1">
        <w:rPr>
          <w:szCs w:val="20"/>
        </w:rPr>
        <w:t>2007</w:t>
      </w:r>
      <w:r>
        <w:t>.</w:t>
      </w:r>
      <w:r w:rsidR="00C77C37" w:rsidRPr="004C7AA1">
        <w:rPr>
          <w:szCs w:val="20"/>
        </w:rPr>
        <w:t>)</w:t>
      </w:r>
      <w:r w:rsidRPr="004C7AA1">
        <w:rPr>
          <w:szCs w:val="20"/>
        </w:rPr>
        <w:t>.</w:t>
      </w:r>
    </w:p>
  </w:footnote>
  <w:footnote w:id="12">
    <w:p w14:paraId="778EF569" w14:textId="77777777" w:rsidR="0057487E" w:rsidRPr="004C7AA1" w:rsidRDefault="0057487E" w:rsidP="004C7AA1">
      <w:pPr>
        <w:pStyle w:val="FootnoteText"/>
        <w:ind w:firstLine="0"/>
        <w:rPr>
          <w:szCs w:val="20"/>
        </w:rPr>
      </w:pPr>
      <w:r w:rsidRPr="004C7AA1">
        <w:rPr>
          <w:rStyle w:val="FootnoteReference"/>
          <w:szCs w:val="20"/>
        </w:rPr>
        <w:footnoteRef/>
      </w:r>
      <w:r w:rsidRPr="004C7AA1">
        <w:rPr>
          <w:szCs w:val="20"/>
        </w:rPr>
        <w:t xml:space="preserve"> </w:t>
      </w:r>
      <w:r w:rsidR="00EA2C1F" w:rsidRPr="004C7AA1">
        <w:rPr>
          <w:i/>
          <w:szCs w:val="20"/>
        </w:rPr>
        <w:t>NAL R</w:t>
      </w:r>
      <w:r w:rsidRPr="004C7AA1">
        <w:rPr>
          <w:i/>
          <w:szCs w:val="20"/>
        </w:rPr>
        <w:t>esponse</w:t>
      </w:r>
      <w:r w:rsidR="00EA2C1F" w:rsidRPr="004C7AA1">
        <w:rPr>
          <w:szCs w:val="20"/>
        </w:rPr>
        <w:t xml:space="preserve"> at 3–4</w:t>
      </w:r>
      <w:r w:rsidR="006E7725" w:rsidRPr="004C7AA1">
        <w:rPr>
          <w:szCs w:val="20"/>
        </w:rPr>
        <w:t>.</w:t>
      </w:r>
    </w:p>
  </w:footnote>
  <w:footnote w:id="13">
    <w:p w14:paraId="4269B63B" w14:textId="77777777" w:rsidR="0057487E" w:rsidRPr="004C7AA1" w:rsidRDefault="0057487E" w:rsidP="004C7AA1">
      <w:pPr>
        <w:pStyle w:val="FootnoteText"/>
        <w:ind w:firstLine="0"/>
        <w:rPr>
          <w:szCs w:val="20"/>
        </w:rPr>
      </w:pPr>
      <w:r w:rsidRPr="004C7AA1">
        <w:rPr>
          <w:rStyle w:val="FootnoteReference"/>
          <w:szCs w:val="20"/>
        </w:rPr>
        <w:footnoteRef/>
      </w:r>
      <w:r w:rsidRPr="004C7AA1">
        <w:rPr>
          <w:szCs w:val="20"/>
        </w:rPr>
        <w:t xml:space="preserve"> </w:t>
      </w:r>
      <w:r w:rsidRPr="004C7AA1">
        <w:rPr>
          <w:i/>
          <w:szCs w:val="20"/>
        </w:rPr>
        <w:t>Forfeiture Policy Statement</w:t>
      </w:r>
      <w:r w:rsidRPr="004C7AA1">
        <w:rPr>
          <w:szCs w:val="20"/>
        </w:rPr>
        <w:t>, 12 FCC Rcd at 17109</w:t>
      </w:r>
      <w:r w:rsidR="006E7725" w:rsidRPr="004C7AA1">
        <w:rPr>
          <w:szCs w:val="20"/>
        </w:rPr>
        <w:t>, para. 52</w:t>
      </w:r>
      <w:r w:rsidRPr="004C7AA1">
        <w:rPr>
          <w:szCs w:val="20"/>
        </w:rPr>
        <w:t>.</w:t>
      </w:r>
      <w:r w:rsidR="006E7725" w:rsidRPr="004C7AA1">
        <w:rPr>
          <w:szCs w:val="20"/>
        </w:rPr>
        <w:t xml:space="preserve">  </w:t>
      </w:r>
      <w:r w:rsidR="006E7725" w:rsidRPr="004C7AA1">
        <w:rPr>
          <w:i/>
          <w:szCs w:val="20"/>
        </w:rPr>
        <w:t>See Jerry Szoka</w:t>
      </w:r>
      <w:r w:rsidR="006E7725" w:rsidRPr="004C7AA1">
        <w:rPr>
          <w:szCs w:val="20"/>
        </w:rPr>
        <w:t>, Decision, 14 FCC Rcd 9857, 9866, para. 23 (1999) (“In amending our rules to adopt our forfeiture guidelines, we made clear that our existing policies comply with  . . . SBREFA.”)</w:t>
      </w:r>
    </w:p>
  </w:footnote>
  <w:footnote w:id="14">
    <w:p w14:paraId="6C80BD4A" w14:textId="77777777" w:rsidR="004C7AA1" w:rsidRPr="004C7AA1" w:rsidRDefault="004C7AA1" w:rsidP="004C7AA1">
      <w:pPr>
        <w:autoSpaceDE w:val="0"/>
        <w:autoSpaceDN w:val="0"/>
        <w:adjustRightInd w:val="0"/>
        <w:spacing w:after="120"/>
        <w:rPr>
          <w:sz w:val="20"/>
          <w:szCs w:val="20"/>
        </w:rPr>
      </w:pPr>
      <w:r w:rsidRPr="004C7AA1">
        <w:rPr>
          <w:rStyle w:val="FootnoteReference"/>
          <w:szCs w:val="20"/>
        </w:rPr>
        <w:footnoteRef/>
      </w:r>
      <w:r w:rsidRPr="004C7AA1">
        <w:rPr>
          <w:sz w:val="20"/>
          <w:szCs w:val="20"/>
        </w:rPr>
        <w:t xml:space="preserve"> </w:t>
      </w:r>
      <w:r w:rsidRPr="004C7AA1">
        <w:rPr>
          <w:i/>
          <w:sz w:val="20"/>
          <w:szCs w:val="20"/>
        </w:rPr>
        <w:t>Forfeiture Policy Statement</w:t>
      </w:r>
      <w:r w:rsidRPr="004C7AA1">
        <w:rPr>
          <w:sz w:val="20"/>
          <w:szCs w:val="20"/>
        </w:rPr>
        <w:t xml:space="preserve">, 12 FCC Rcd at 17109, para. 52.  </w:t>
      </w:r>
      <w:r w:rsidRPr="004C7AA1">
        <w:rPr>
          <w:i/>
          <w:sz w:val="20"/>
          <w:szCs w:val="20"/>
        </w:rPr>
        <w:t>See United States v. Neely</w:t>
      </w:r>
      <w:r w:rsidRPr="004C7AA1">
        <w:rPr>
          <w:sz w:val="20"/>
          <w:szCs w:val="20"/>
        </w:rPr>
        <w:t>,</w:t>
      </w:r>
      <w:r w:rsidRPr="004C7AA1">
        <w:rPr>
          <w:i/>
          <w:sz w:val="20"/>
          <w:szCs w:val="20"/>
        </w:rPr>
        <w:t xml:space="preserve"> </w:t>
      </w:r>
      <w:r w:rsidRPr="004C7AA1">
        <w:rPr>
          <w:sz w:val="20"/>
          <w:szCs w:val="20"/>
        </w:rPr>
        <w:t xml:space="preserve">595 F. Supp. 2d 662 (D.S.C. 2009) (SBREFA does not require reduction of a forfeiture assessed by the Commission where the </w:t>
      </w:r>
      <w:r w:rsidRPr="004C7AA1">
        <w:rPr>
          <w:i/>
          <w:sz w:val="20"/>
          <w:szCs w:val="20"/>
        </w:rPr>
        <w:t>Forfeiture Policy Statement</w:t>
      </w:r>
      <w:r w:rsidRPr="004C7AA1" w:rsidDel="007A7E25">
        <w:rPr>
          <w:sz w:val="20"/>
          <w:szCs w:val="20"/>
        </w:rPr>
        <w:t xml:space="preserve"> </w:t>
      </w:r>
      <w:r w:rsidRPr="004C7AA1">
        <w:rPr>
          <w:sz w:val="20"/>
          <w:szCs w:val="20"/>
        </w:rPr>
        <w:t>established procedures and guidelines through which the Commission could consider whether small entities had the ability to pay a particular forfeiture amount or the ability to submit the same kind of documentation as larger entities to corro</w:t>
      </w:r>
      <w:r>
        <w:rPr>
          <w:sz w:val="20"/>
          <w:szCs w:val="20"/>
        </w:rPr>
        <w:t>borate their inability to pay</w:t>
      </w:r>
      <w:r w:rsidRPr="004C7AA1">
        <w:rPr>
          <w:sz w:val="20"/>
          <w:szCs w:val="20"/>
        </w:rPr>
        <w:t xml:space="preserve">); </w:t>
      </w:r>
      <w:r w:rsidRPr="004C7AA1">
        <w:rPr>
          <w:i/>
          <w:sz w:val="20"/>
          <w:szCs w:val="20"/>
        </w:rPr>
        <w:t xml:space="preserve">see also </w:t>
      </w:r>
      <w:r>
        <w:rPr>
          <w:i/>
          <w:sz w:val="20"/>
          <w:szCs w:val="20"/>
        </w:rPr>
        <w:t>N. Cnty. Broad. Corp.</w:t>
      </w:r>
      <w:r>
        <w:rPr>
          <w:sz w:val="20"/>
          <w:szCs w:val="20"/>
        </w:rPr>
        <w:t xml:space="preserve">, Memorandum Opinion and Order, 29 FCC Rcd 2624 (Enf. Bur. 2014) (assessment of forfeiture against small radio licensee </w:t>
      </w:r>
      <w:r w:rsidRPr="004C7AA1">
        <w:rPr>
          <w:sz w:val="20"/>
          <w:szCs w:val="20"/>
        </w:rPr>
        <w:t>that took into account the broadcaster’s history of compliance and ability to pay was consistent with the SBREFA</w:t>
      </w:r>
      <w:r>
        <w:rPr>
          <w:sz w:val="20"/>
          <w:szCs w:val="20"/>
        </w:rPr>
        <w:t xml:space="preserve">);  </w:t>
      </w:r>
      <w:r w:rsidRPr="004C7AA1">
        <w:rPr>
          <w:i/>
          <w:iCs/>
          <w:sz w:val="20"/>
          <w:szCs w:val="20"/>
        </w:rPr>
        <w:t>Pac. Empire Radio Corp.</w:t>
      </w:r>
      <w:r w:rsidRPr="004C7AA1">
        <w:rPr>
          <w:sz w:val="20"/>
          <w:szCs w:val="20"/>
        </w:rPr>
        <w:t>, Forfeiture Order,</w:t>
      </w:r>
      <w:r>
        <w:rPr>
          <w:sz w:val="20"/>
          <w:szCs w:val="20"/>
        </w:rPr>
        <w:t xml:space="preserve"> 29 FCC Rcd 1177 </w:t>
      </w:r>
      <w:r w:rsidRPr="004C7AA1">
        <w:rPr>
          <w:sz w:val="20"/>
          <w:szCs w:val="20"/>
        </w:rPr>
        <w:t>(Enf. Bur. 2014) (</w:t>
      </w:r>
      <w:r>
        <w:rPr>
          <w:sz w:val="20"/>
          <w:szCs w:val="20"/>
        </w:rPr>
        <w:t>same</w:t>
      </w:r>
      <w:r w:rsidRPr="004C7AA1">
        <w:rPr>
          <w:sz w:val="20"/>
          <w:szCs w:val="20"/>
        </w:rPr>
        <w:t>).</w:t>
      </w:r>
    </w:p>
  </w:footnote>
  <w:footnote w:id="15">
    <w:p w14:paraId="21EAA124" w14:textId="77777777" w:rsidR="0057487E" w:rsidRPr="004C7AA1" w:rsidRDefault="0057487E" w:rsidP="004C7AA1">
      <w:pPr>
        <w:pStyle w:val="FootnoteText"/>
        <w:ind w:firstLine="0"/>
        <w:jc w:val="left"/>
        <w:rPr>
          <w:szCs w:val="20"/>
        </w:rPr>
      </w:pPr>
      <w:r w:rsidRPr="004C7AA1">
        <w:rPr>
          <w:rStyle w:val="FootnoteReference"/>
          <w:szCs w:val="20"/>
        </w:rPr>
        <w:footnoteRef/>
      </w:r>
      <w:r w:rsidR="00EA2C1F" w:rsidRPr="004C7AA1">
        <w:rPr>
          <w:szCs w:val="20"/>
        </w:rPr>
        <w:t xml:space="preserve"> L</w:t>
      </w:r>
      <w:r w:rsidRPr="004C7AA1">
        <w:rPr>
          <w:szCs w:val="20"/>
        </w:rPr>
        <w:t xml:space="preserve">BC </w:t>
      </w:r>
      <w:r w:rsidR="00EA2C1F" w:rsidRPr="004C7AA1">
        <w:rPr>
          <w:szCs w:val="20"/>
        </w:rPr>
        <w:t>does not allege or request a reduction based an inability to pay</w:t>
      </w:r>
      <w:r w:rsidRPr="004C7AA1">
        <w:rPr>
          <w:szCs w:val="20"/>
        </w:rPr>
        <w:t>.</w:t>
      </w:r>
      <w:r w:rsidR="004C7AA1">
        <w:rPr>
          <w:szCs w:val="20"/>
        </w:rPr>
        <w:t xml:space="preserve">  </w:t>
      </w:r>
      <w:r w:rsidRPr="004C7AA1">
        <w:rPr>
          <w:szCs w:val="20"/>
        </w:rPr>
        <w:t xml:space="preserve">   </w:t>
      </w:r>
    </w:p>
  </w:footnote>
  <w:footnote w:id="16">
    <w:p w14:paraId="4134B33A" w14:textId="77777777" w:rsidR="00C77C37" w:rsidRPr="004C7AA1" w:rsidRDefault="00C77C37" w:rsidP="004C7AA1">
      <w:pPr>
        <w:pStyle w:val="FootnoteText"/>
        <w:ind w:firstLine="0"/>
        <w:rPr>
          <w:szCs w:val="20"/>
        </w:rPr>
      </w:pPr>
      <w:r w:rsidRPr="004C7AA1">
        <w:rPr>
          <w:rStyle w:val="FootnoteReference"/>
          <w:szCs w:val="20"/>
        </w:rPr>
        <w:footnoteRef/>
      </w:r>
      <w:r w:rsidRPr="004C7AA1">
        <w:rPr>
          <w:szCs w:val="20"/>
        </w:rPr>
        <w:t xml:space="preserve"> </w:t>
      </w:r>
      <w:r w:rsidRPr="004C7AA1">
        <w:rPr>
          <w:i/>
          <w:szCs w:val="20"/>
        </w:rPr>
        <w:t xml:space="preserve">See </w:t>
      </w:r>
      <w:r w:rsidRPr="004C7AA1">
        <w:rPr>
          <w:szCs w:val="20"/>
        </w:rPr>
        <w:t>License File No. BALH-20081201BQW.</w:t>
      </w:r>
    </w:p>
  </w:footnote>
  <w:footnote w:id="17">
    <w:p w14:paraId="1DCC870C" w14:textId="77777777" w:rsidR="00C77C37" w:rsidRPr="004C7AA1" w:rsidRDefault="00C77C37" w:rsidP="004C7AA1">
      <w:pPr>
        <w:pStyle w:val="FootnoteText"/>
        <w:ind w:firstLine="0"/>
        <w:rPr>
          <w:szCs w:val="20"/>
        </w:rPr>
      </w:pPr>
      <w:r w:rsidRPr="004C7AA1">
        <w:rPr>
          <w:rStyle w:val="FootnoteReference"/>
          <w:szCs w:val="20"/>
        </w:rPr>
        <w:footnoteRef/>
      </w:r>
      <w:r w:rsidRPr="004C7AA1">
        <w:rPr>
          <w:szCs w:val="20"/>
        </w:rPr>
        <w:t xml:space="preserve"> </w:t>
      </w:r>
      <w:r w:rsidRPr="004C7AA1">
        <w:rPr>
          <w:i/>
          <w:szCs w:val="20"/>
        </w:rPr>
        <w:t>See NAL Response</w:t>
      </w:r>
      <w:r w:rsidR="00CE25BA">
        <w:rPr>
          <w:szCs w:val="20"/>
        </w:rPr>
        <w:t xml:space="preserve"> at 2–</w:t>
      </w:r>
      <w:r w:rsidRPr="004C7AA1">
        <w:rPr>
          <w:szCs w:val="20"/>
        </w:rPr>
        <w:t xml:space="preserve">3. </w:t>
      </w:r>
    </w:p>
  </w:footnote>
  <w:footnote w:id="18">
    <w:p w14:paraId="4A659C11" w14:textId="77777777" w:rsidR="00CE25BA" w:rsidRDefault="00CE25BA" w:rsidP="00CE25BA">
      <w:pPr>
        <w:pStyle w:val="FootnoteText"/>
        <w:tabs>
          <w:tab w:val="clear" w:pos="720"/>
        </w:tabs>
        <w:ind w:firstLine="0"/>
      </w:pPr>
      <w:r>
        <w:rPr>
          <w:rStyle w:val="FootnoteReference"/>
        </w:rPr>
        <w:footnoteRef/>
      </w:r>
      <w:r>
        <w:t xml:space="preserve"> 47 C.F.R. § 17.57.</w:t>
      </w:r>
    </w:p>
  </w:footnote>
  <w:footnote w:id="19">
    <w:p w14:paraId="372127AC" w14:textId="6F103F5B" w:rsidR="00CE25BA" w:rsidRPr="00CE25BA" w:rsidRDefault="00CE25BA" w:rsidP="00CE25BA">
      <w:pPr>
        <w:pStyle w:val="FootnoteText"/>
        <w:tabs>
          <w:tab w:val="clear" w:pos="720"/>
        </w:tabs>
        <w:ind w:firstLine="0"/>
        <w:rPr>
          <w:b/>
        </w:rPr>
      </w:pPr>
      <w:r>
        <w:rPr>
          <w:rStyle w:val="FootnoteReference"/>
        </w:rPr>
        <w:footnoteRef/>
      </w:r>
      <w:r w:rsidR="00C40BE6">
        <w:rPr>
          <w:b/>
        </w:rPr>
        <w:t xml:space="preserve"> </w:t>
      </w:r>
      <w:r w:rsidR="00C40BE6" w:rsidRPr="00C40BE6">
        <w:rPr>
          <w:i/>
        </w:rPr>
        <w:t>See NAL Response</w:t>
      </w:r>
      <w:r w:rsidR="00C40BE6" w:rsidRPr="00C40BE6">
        <w:t xml:space="preserve"> at 3.</w:t>
      </w:r>
    </w:p>
  </w:footnote>
  <w:footnote w:id="20">
    <w:p w14:paraId="0DFBAFC1" w14:textId="5D5B70AE" w:rsidR="00945284" w:rsidRPr="004C7AA1" w:rsidRDefault="00945284" w:rsidP="004C7AA1">
      <w:pPr>
        <w:pStyle w:val="FootnoteText"/>
        <w:widowControl/>
        <w:ind w:firstLine="0"/>
        <w:jc w:val="left"/>
        <w:rPr>
          <w:szCs w:val="20"/>
        </w:rPr>
      </w:pPr>
      <w:r w:rsidRPr="004C7AA1">
        <w:rPr>
          <w:rStyle w:val="FootnoteReference"/>
          <w:szCs w:val="20"/>
        </w:rPr>
        <w:footnoteRef/>
      </w:r>
      <w:r w:rsidRPr="004C7AA1">
        <w:rPr>
          <w:szCs w:val="20"/>
        </w:rPr>
        <w:t xml:space="preserve"> 47 U.S.C. §§ 303(q), 503(b); 47 C.F.R. §§ 0.111, 0.204, 0.311, 0.314, 1.80</w:t>
      </w:r>
      <w:r w:rsidR="00DC1E68">
        <w:rPr>
          <w:szCs w:val="20"/>
        </w:rPr>
        <w:t>(f)(4)</w:t>
      </w:r>
      <w:r w:rsidRPr="004C7AA1">
        <w:rPr>
          <w:szCs w:val="20"/>
        </w:rPr>
        <w:t>, 17.48(a), 17.51(a), 17.57.</w:t>
      </w:r>
    </w:p>
  </w:footnote>
  <w:footnote w:id="21">
    <w:p w14:paraId="0B92306B" w14:textId="77777777" w:rsidR="00656D1E" w:rsidRPr="004C7AA1" w:rsidRDefault="00656D1E" w:rsidP="004C7AA1">
      <w:pPr>
        <w:pStyle w:val="FootnoteText"/>
        <w:ind w:firstLine="0"/>
        <w:rPr>
          <w:szCs w:val="20"/>
        </w:rPr>
      </w:pPr>
      <w:r w:rsidRPr="004C7AA1">
        <w:rPr>
          <w:rStyle w:val="FootnoteReference"/>
          <w:szCs w:val="20"/>
        </w:rPr>
        <w:footnoteRef/>
      </w:r>
      <w:r w:rsidRPr="004C7AA1">
        <w:rPr>
          <w:szCs w:val="20"/>
        </w:rPr>
        <w:t xml:space="preserve"> 47 C.F.R. § 1.80.</w:t>
      </w:r>
    </w:p>
  </w:footnote>
  <w:footnote w:id="22">
    <w:p w14:paraId="02584048" w14:textId="77777777" w:rsidR="00656D1E" w:rsidRPr="004C7AA1" w:rsidRDefault="00656D1E" w:rsidP="004C7AA1">
      <w:pPr>
        <w:pStyle w:val="FootnoteText"/>
        <w:ind w:firstLine="0"/>
        <w:rPr>
          <w:szCs w:val="20"/>
        </w:rPr>
      </w:pPr>
      <w:r w:rsidRPr="004C7AA1">
        <w:rPr>
          <w:rStyle w:val="FootnoteReference"/>
          <w:szCs w:val="20"/>
        </w:rPr>
        <w:footnoteRef/>
      </w:r>
      <w:r w:rsidRPr="004C7AA1">
        <w:rPr>
          <w:szCs w:val="20"/>
        </w:rPr>
        <w:t xml:space="preserve"> 47 U.S.C. § 504(a).</w:t>
      </w:r>
    </w:p>
  </w:footnote>
  <w:footnote w:id="23">
    <w:p w14:paraId="0EA6C19B" w14:textId="77777777" w:rsidR="00656D1E" w:rsidRPr="004C7AA1" w:rsidRDefault="00656D1E" w:rsidP="004C7AA1">
      <w:pPr>
        <w:pStyle w:val="FootnoteText"/>
        <w:ind w:firstLine="0"/>
        <w:jc w:val="left"/>
        <w:rPr>
          <w:szCs w:val="20"/>
        </w:rPr>
      </w:pPr>
      <w:r w:rsidRPr="004C7AA1">
        <w:rPr>
          <w:rStyle w:val="FootnoteReference"/>
          <w:szCs w:val="20"/>
        </w:rPr>
        <w:footnoteRef/>
      </w:r>
      <w:r w:rsidRPr="004C7AA1">
        <w:rPr>
          <w:szCs w:val="20"/>
        </w:rPr>
        <w:t xml:space="preserve"> </w:t>
      </w:r>
      <w:r w:rsidRPr="004C7AA1">
        <w:rPr>
          <w:rFonts w:eastAsia="MS Mincho" w:cs="Arial"/>
          <w:szCs w:val="20"/>
        </w:rPr>
        <w:t>An FCC Form 159 and detailed instructions for completing the form may be obtained at http://www.fcc.gov/Forms/Form159/159.pdf.</w:t>
      </w:r>
    </w:p>
  </w:footnote>
  <w:footnote w:id="24">
    <w:p w14:paraId="2E5E1AAC" w14:textId="77777777" w:rsidR="00656D1E" w:rsidRPr="004C7AA1" w:rsidRDefault="00656D1E" w:rsidP="004C7AA1">
      <w:pPr>
        <w:pStyle w:val="FootnoteText"/>
        <w:ind w:firstLine="0"/>
        <w:jc w:val="left"/>
        <w:rPr>
          <w:szCs w:val="20"/>
        </w:rPr>
      </w:pPr>
      <w:r w:rsidRPr="004C7AA1">
        <w:rPr>
          <w:rStyle w:val="FootnoteReference"/>
          <w:szCs w:val="20"/>
        </w:rPr>
        <w:footnoteRef/>
      </w:r>
      <w:r w:rsidRPr="004C7AA1">
        <w:rPr>
          <w:szCs w:val="20"/>
        </w:rPr>
        <w:t xml:space="preserve"> </w:t>
      </w:r>
      <w:r w:rsidRPr="004C7AA1">
        <w:rPr>
          <w:i/>
          <w:szCs w:val="20"/>
        </w:rPr>
        <w:t>See</w:t>
      </w:r>
      <w:r w:rsidRPr="004C7AA1">
        <w:rPr>
          <w:szCs w:val="20"/>
        </w:rP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941CD" w14:textId="77777777" w:rsidR="008A0C87" w:rsidRDefault="008A0C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EE0F1" w14:textId="33B77800" w:rsidR="00656D1E" w:rsidRDefault="00656D1E" w:rsidP="00107C4E">
    <w:pPr>
      <w:tabs>
        <w:tab w:val="center" w:pos="4680"/>
        <w:tab w:val="right" w:pos="9360"/>
      </w:tabs>
      <w:suppressAutoHyphens/>
      <w:spacing w:line="227" w:lineRule="auto"/>
      <w:jc w:val="both"/>
      <w:rPr>
        <w:b/>
      </w:rPr>
    </w:pPr>
    <w:r>
      <w:rPr>
        <w:b/>
      </w:rPr>
      <w:tab/>
      <w:t>Federal</w:t>
    </w:r>
    <w:r w:rsidR="00697EA6">
      <w:rPr>
        <w:b/>
      </w:rPr>
      <w:t xml:space="preserve"> Communications Commission</w:t>
    </w:r>
    <w:r w:rsidR="00697EA6">
      <w:rPr>
        <w:b/>
      </w:rPr>
      <w:tab/>
      <w:t>DA 14</w:t>
    </w:r>
    <w:r>
      <w:rPr>
        <w:b/>
      </w:rPr>
      <w:t>-</w:t>
    </w:r>
    <w:r w:rsidR="00CF4AAE">
      <w:rPr>
        <w:b/>
      </w:rPr>
      <w:t>975</w:t>
    </w:r>
  </w:p>
  <w:p w14:paraId="58C88458" w14:textId="1288AC46" w:rsidR="00656D1E" w:rsidRPr="000E5A45" w:rsidRDefault="000551AD" w:rsidP="000E5A45">
    <w:pPr>
      <w:pStyle w:val="Header"/>
      <w:jc w:val="both"/>
      <w:rPr>
        <w:b/>
      </w:rPr>
    </w:pPr>
    <w:r>
      <w:rPr>
        <w:noProof/>
      </w:rPr>
      <mc:AlternateContent>
        <mc:Choice Requires="wps">
          <w:drawing>
            <wp:anchor distT="0" distB="0" distL="114300" distR="114300" simplePos="0" relativeHeight="251657216" behindDoc="1" locked="0" layoutInCell="0" allowOverlap="1" wp14:anchorId="2DFAE379" wp14:editId="49C12A82">
              <wp:simplePos x="0" y="0"/>
              <wp:positionH relativeFrom="margin">
                <wp:posOffset>0</wp:posOffset>
              </wp:positionH>
              <wp:positionV relativeFrom="paragraph">
                <wp:posOffset>-8890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C53310" id="Rectangle 1" o:spid="_x0000_s1026" style="position:absolute;margin-left:0;margin-top:-.7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DE0E7" w14:textId="285EC963" w:rsidR="00656D1E" w:rsidRDefault="00656D1E" w:rsidP="00107C4E">
    <w:pPr>
      <w:tabs>
        <w:tab w:val="center" w:pos="4680"/>
        <w:tab w:val="right" w:pos="9360"/>
      </w:tabs>
      <w:suppressAutoHyphens/>
      <w:spacing w:line="227" w:lineRule="auto"/>
      <w:jc w:val="both"/>
      <w:rPr>
        <w:spacing w:val="-2"/>
      </w:rPr>
    </w:pPr>
    <w:r>
      <w:rPr>
        <w:b/>
        <w:spacing w:val="-2"/>
      </w:rPr>
      <w:tab/>
      <w:t>Federal</w:t>
    </w:r>
    <w:r w:rsidR="00697EA6">
      <w:rPr>
        <w:b/>
        <w:spacing w:val="-2"/>
      </w:rPr>
      <w:t xml:space="preserve"> Communications Commission</w:t>
    </w:r>
    <w:r w:rsidR="00697EA6">
      <w:rPr>
        <w:b/>
        <w:spacing w:val="-2"/>
      </w:rPr>
      <w:tab/>
      <w:t>DA 14</w:t>
    </w:r>
    <w:r>
      <w:rPr>
        <w:b/>
        <w:spacing w:val="-2"/>
      </w:rPr>
      <w:t>-</w:t>
    </w:r>
    <w:r w:rsidR="00CF4AAE">
      <w:rPr>
        <w:b/>
        <w:spacing w:val="-2"/>
      </w:rPr>
      <w:t>975</w:t>
    </w:r>
  </w:p>
  <w:p w14:paraId="1AC9E060" w14:textId="7992A8E6" w:rsidR="00656D1E" w:rsidRDefault="000551AD" w:rsidP="00107C4E">
    <w:pPr>
      <w:tabs>
        <w:tab w:val="left" w:pos="-1440"/>
        <w:tab w:val="left" w:pos="-720"/>
      </w:tabs>
      <w:suppressAutoHyphens/>
      <w:spacing w:line="19" w:lineRule="exact"/>
      <w:jc w:val="both"/>
      <w:rPr>
        <w:spacing w:val="-2"/>
      </w:rPr>
    </w:pPr>
    <w:r>
      <w:rPr>
        <w:noProof/>
      </w:rPr>
      <mc:AlternateContent>
        <mc:Choice Requires="wps">
          <w:drawing>
            <wp:anchor distT="0" distB="0" distL="114300" distR="114300" simplePos="0" relativeHeight="251658240" behindDoc="1" locked="0" layoutInCell="0" allowOverlap="1" wp14:anchorId="655D34F9" wp14:editId="53FBAFC3">
              <wp:simplePos x="0" y="0"/>
              <wp:positionH relativeFrom="margin">
                <wp:posOffset>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6B320E46" w14:textId="77777777" w:rsidR="00656D1E" w:rsidRDefault="00656D1E" w:rsidP="00107C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5D34F9" id="Rectangle 2" o:spid="_x0000_s1026" style="position:absolute;left:0;text-align:left;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" o:allowincell="f" fillcolor="black" stroked="f" strokeweight=".05pt">
              <v:textbox>
                <w:txbxContent>
                  <w:p w14:paraId="6B320E46" w14:textId="77777777" w:rsidR="00656D1E" w:rsidRDefault="00656D1E" w:rsidP="00107C4E"/>
                </w:txbxContent>
              </v:textbox>
              <w10:wrap anchorx="margin"/>
            </v:rect>
          </w:pict>
        </mc:Fallback>
      </mc:AlternateContent>
    </w:r>
  </w:p>
  <w:p w14:paraId="4DB19047" w14:textId="77777777" w:rsidR="00656D1E" w:rsidRDefault="00656D1E" w:rsidP="00107C4E">
    <w:pPr>
      <w:pStyle w:val="Header"/>
      <w:pBdr>
        <w:between w:val="single" w:sz="4" w:space="1" w:color="auto"/>
      </w:pBdr>
      <w:tabs>
        <w:tab w:val="center" w:pos="4680"/>
        <w:tab w:val="left" w:pos="8434"/>
      </w:tabs>
      <w:rPr>
        <w:b/>
      </w:rPr>
    </w:pPr>
    <w:r>
      <w:rPr>
        <w:b/>
      </w:rPr>
      <w:t xml:space="preserve">      </w:t>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B4623"/>
    <w:multiLevelType w:val="hybridMultilevel"/>
    <w:tmpl w:val="3B860DE8"/>
    <w:lvl w:ilvl="0" w:tplc="CABAE556">
      <w:start w:val="1"/>
      <w:numFmt w:val="decimal"/>
      <w:lvlText w:val="%1."/>
      <w:lvlJc w:val="left"/>
      <w:pPr>
        <w:tabs>
          <w:tab w:val="num" w:pos="1260"/>
        </w:tabs>
        <w:ind w:left="180" w:firstLine="72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9BB274C"/>
    <w:multiLevelType w:val="hybridMultilevel"/>
    <w:tmpl w:val="92BE03C4"/>
    <w:lvl w:ilvl="0" w:tplc="6D1AE0AA">
      <w:start w:val="2"/>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2CCD7CCE"/>
    <w:multiLevelType w:val="hybridMultilevel"/>
    <w:tmpl w:val="3DB6DD78"/>
    <w:lvl w:ilvl="0" w:tplc="36049E4C">
      <w:start w:val="3"/>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8222D9A"/>
    <w:multiLevelType w:val="singleLevel"/>
    <w:tmpl w:val="E0B2BEC6"/>
    <w:lvl w:ilvl="0">
      <w:start w:val="1"/>
      <w:numFmt w:val="decimal"/>
      <w:lvlText w:val="%1."/>
      <w:legacy w:legacy="1" w:legacySpace="0" w:legacyIndent="720"/>
      <w:lvlJc w:val="left"/>
      <w:rPr>
        <w:rFonts w:ascii="Times New Roman" w:hAnsi="Times New Roman" w:cs="Times New Roman" w:hint="default"/>
      </w:rPr>
    </w:lvl>
  </w:abstractNum>
  <w:abstractNum w:abstractNumId="4">
    <w:nsid w:val="3D0F1B3D"/>
    <w:multiLevelType w:val="singleLevel"/>
    <w:tmpl w:val="FBEE92A4"/>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start w:val="1"/>
      <w:numFmt w:val="lowerLetter"/>
      <w:lvlText w:val="%2."/>
      <w:lvlJc w:val="left"/>
      <w:pPr>
        <w:tabs>
          <w:tab w:val="num" w:pos="0"/>
        </w:tabs>
        <w:ind w:hanging="360"/>
      </w:pPr>
      <w:rPr>
        <w:rFonts w:cs="Times New Roman"/>
      </w:rPr>
    </w:lvl>
    <w:lvl w:ilvl="2" w:tplc="0409001B">
      <w:start w:val="1"/>
      <w:numFmt w:val="lowerRoman"/>
      <w:lvlText w:val="%3."/>
      <w:lvlJc w:val="right"/>
      <w:pPr>
        <w:tabs>
          <w:tab w:val="num" w:pos="720"/>
        </w:tabs>
        <w:ind w:left="720" w:hanging="180"/>
      </w:pPr>
      <w:rPr>
        <w:rFonts w:cs="Times New Roman"/>
      </w:rPr>
    </w:lvl>
    <w:lvl w:ilvl="3" w:tplc="0409000F">
      <w:start w:val="1"/>
      <w:numFmt w:val="decimal"/>
      <w:lvlText w:val="%4."/>
      <w:lvlJc w:val="left"/>
      <w:pPr>
        <w:tabs>
          <w:tab w:val="num" w:pos="1440"/>
        </w:tabs>
        <w:ind w:left="1440" w:hanging="360"/>
      </w:pPr>
      <w:rPr>
        <w:rFonts w:cs="Times New Roman"/>
      </w:rPr>
    </w:lvl>
    <w:lvl w:ilvl="4" w:tplc="04090019">
      <w:start w:val="1"/>
      <w:numFmt w:val="lowerLetter"/>
      <w:lvlText w:val="%5."/>
      <w:lvlJc w:val="left"/>
      <w:pPr>
        <w:tabs>
          <w:tab w:val="num" w:pos="2160"/>
        </w:tabs>
        <w:ind w:left="2160" w:hanging="360"/>
      </w:pPr>
      <w:rPr>
        <w:rFonts w:cs="Times New Roman"/>
      </w:rPr>
    </w:lvl>
    <w:lvl w:ilvl="5" w:tplc="0409001B">
      <w:start w:val="1"/>
      <w:numFmt w:val="lowerRoman"/>
      <w:lvlText w:val="%6."/>
      <w:lvlJc w:val="right"/>
      <w:pPr>
        <w:tabs>
          <w:tab w:val="num" w:pos="2880"/>
        </w:tabs>
        <w:ind w:left="2880" w:hanging="180"/>
      </w:pPr>
      <w:rPr>
        <w:rFonts w:cs="Times New Roman"/>
      </w:rPr>
    </w:lvl>
    <w:lvl w:ilvl="6" w:tplc="0409000F">
      <w:start w:val="1"/>
      <w:numFmt w:val="decimal"/>
      <w:lvlText w:val="%7."/>
      <w:lvlJc w:val="left"/>
      <w:pPr>
        <w:tabs>
          <w:tab w:val="num" w:pos="3600"/>
        </w:tabs>
        <w:ind w:left="3600" w:hanging="360"/>
      </w:pPr>
      <w:rPr>
        <w:rFonts w:cs="Times New Roman"/>
      </w:rPr>
    </w:lvl>
    <w:lvl w:ilvl="7" w:tplc="04090019">
      <w:start w:val="1"/>
      <w:numFmt w:val="lowerLetter"/>
      <w:lvlText w:val="%8."/>
      <w:lvlJc w:val="left"/>
      <w:pPr>
        <w:tabs>
          <w:tab w:val="num" w:pos="4320"/>
        </w:tabs>
        <w:ind w:left="4320" w:hanging="360"/>
      </w:pPr>
      <w:rPr>
        <w:rFonts w:cs="Times New Roman"/>
      </w:rPr>
    </w:lvl>
    <w:lvl w:ilvl="8" w:tplc="0409001B">
      <w:start w:val="1"/>
      <w:numFmt w:val="lowerRoman"/>
      <w:lvlText w:val="%9."/>
      <w:lvlJc w:val="right"/>
      <w:pPr>
        <w:tabs>
          <w:tab w:val="num" w:pos="5040"/>
        </w:tabs>
        <w:ind w:left="5040" w:hanging="180"/>
      </w:pPr>
      <w:rPr>
        <w:rFonts w:cs="Times New Roman"/>
      </w:rPr>
    </w:lvl>
  </w:abstractNum>
  <w:abstractNum w:abstractNumId="6">
    <w:nsid w:val="432817C4"/>
    <w:multiLevelType w:val="singleLevel"/>
    <w:tmpl w:val="C2CC7D36"/>
    <w:lvl w:ilvl="0">
      <w:start w:val="1"/>
      <w:numFmt w:val="decimal"/>
      <w:lvlText w:val="%1."/>
      <w:lvlJc w:val="left"/>
      <w:pPr>
        <w:tabs>
          <w:tab w:val="num" w:pos="1080"/>
        </w:tabs>
        <w:ind w:firstLine="720"/>
      </w:pPr>
      <w:rPr>
        <w:rFonts w:ascii="Times New Roman" w:hAnsi="Times New Roman" w:cs="Times New Roman" w:hint="default"/>
        <w:b w:val="0"/>
        <w:i w:val="0"/>
        <w:sz w:val="22"/>
        <w:szCs w:val="22"/>
      </w:rPr>
    </w:lvl>
  </w:abstractNum>
  <w:abstractNum w:abstractNumId="7">
    <w:nsid w:val="50A21FC2"/>
    <w:multiLevelType w:val="hybridMultilevel"/>
    <w:tmpl w:val="DBBAF81E"/>
    <w:lvl w:ilvl="0" w:tplc="ABA4337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tplc="43429F42">
      <w:start w:val="1"/>
      <w:numFmt w:val="bullet"/>
      <w:lvlText w:val=""/>
      <w:lvlJc w:val="left"/>
      <w:pPr>
        <w:tabs>
          <w:tab w:val="num" w:pos="1440"/>
        </w:tabs>
        <w:ind w:left="1440" w:hanging="360"/>
      </w:pPr>
      <w:rPr>
        <w:rFonts w:ascii="Wingdings" w:hAnsi="Wingdings" w:hint="default"/>
        <w:b w:val="0"/>
        <w:color w:val="auto"/>
        <w:sz w:val="16"/>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1182925"/>
    <w:multiLevelType w:val="singleLevel"/>
    <w:tmpl w:val="D5A8460C"/>
    <w:lvl w:ilvl="0">
      <w:start w:val="1"/>
      <w:numFmt w:val="decimal"/>
      <w:lvlText w:val="%1."/>
      <w:lvlJc w:val="left"/>
      <w:pPr>
        <w:tabs>
          <w:tab w:val="num" w:pos="1080"/>
        </w:tabs>
        <w:ind w:firstLine="720"/>
      </w:pPr>
      <w:rPr>
        <w:rFonts w:cs="Times New Roman"/>
        <w:b w:val="0"/>
      </w:rPr>
    </w:lvl>
  </w:abstractNum>
  <w:abstractNum w:abstractNumId="9">
    <w:nsid w:val="6496261D"/>
    <w:multiLevelType w:val="singleLevel"/>
    <w:tmpl w:val="459AAAC2"/>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7E5C6F81"/>
    <w:multiLevelType w:val="hybridMultilevel"/>
    <w:tmpl w:val="F0E4DE98"/>
    <w:lvl w:ilvl="0" w:tplc="CABAE556">
      <w:start w:val="1"/>
      <w:numFmt w:val="decimal"/>
      <w:lvlText w:val="%1."/>
      <w:lvlJc w:val="left"/>
      <w:pPr>
        <w:tabs>
          <w:tab w:val="num" w:pos="1080"/>
        </w:tabs>
        <w:ind w:firstLine="720"/>
      </w:pPr>
      <w:rPr>
        <w:rFonts w:ascii="Times New Roman" w:hAnsi="Times New Roman" w:cs="Times New Roman" w:hint="default"/>
        <w:b w:val="0"/>
        <w:i w:val="0"/>
        <w:sz w:val="22"/>
        <w:szCs w:val="22"/>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6"/>
  </w:num>
  <w:num w:numId="2">
    <w:abstractNumId w:val="4"/>
  </w:num>
  <w:num w:numId="3">
    <w:abstractNumId w:val="2"/>
  </w:num>
  <w:num w:numId="4">
    <w:abstractNumId w:val="9"/>
  </w:num>
  <w:num w:numId="5">
    <w:abstractNumId w:val="1"/>
  </w:num>
  <w:num w:numId="6">
    <w:abstractNumId w:val="3"/>
  </w:num>
  <w:num w:numId="7">
    <w:abstractNumId w:val="0"/>
  </w:num>
  <w:num w:numId="8">
    <w:abstractNumId w:val="10"/>
  </w:num>
  <w:num w:numId="9">
    <w:abstractNumId w:val="8"/>
  </w:num>
  <w:num w:numId="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C7E"/>
    <w:rsid w:val="00004C66"/>
    <w:rsid w:val="00005ED1"/>
    <w:rsid w:val="00006E66"/>
    <w:rsid w:val="00010B20"/>
    <w:rsid w:val="00010D16"/>
    <w:rsid w:val="00012A79"/>
    <w:rsid w:val="00016C33"/>
    <w:rsid w:val="00020ACF"/>
    <w:rsid w:val="000215E7"/>
    <w:rsid w:val="00023623"/>
    <w:rsid w:val="00023FA1"/>
    <w:rsid w:val="00025088"/>
    <w:rsid w:val="0002716F"/>
    <w:rsid w:val="00027814"/>
    <w:rsid w:val="000328B4"/>
    <w:rsid w:val="000331F8"/>
    <w:rsid w:val="00033D68"/>
    <w:rsid w:val="00034521"/>
    <w:rsid w:val="00037772"/>
    <w:rsid w:val="00043262"/>
    <w:rsid w:val="00043566"/>
    <w:rsid w:val="00045185"/>
    <w:rsid w:val="0004728C"/>
    <w:rsid w:val="00047622"/>
    <w:rsid w:val="00052480"/>
    <w:rsid w:val="0005495B"/>
    <w:rsid w:val="00054A49"/>
    <w:rsid w:val="000551AD"/>
    <w:rsid w:val="0006117E"/>
    <w:rsid w:val="00061A0C"/>
    <w:rsid w:val="00062C07"/>
    <w:rsid w:val="00065BE5"/>
    <w:rsid w:val="00066BF2"/>
    <w:rsid w:val="00067E7D"/>
    <w:rsid w:val="00071997"/>
    <w:rsid w:val="00072672"/>
    <w:rsid w:val="00076726"/>
    <w:rsid w:val="00080218"/>
    <w:rsid w:val="00081BD1"/>
    <w:rsid w:val="00085A2A"/>
    <w:rsid w:val="00085C8D"/>
    <w:rsid w:val="00087A47"/>
    <w:rsid w:val="00087E1E"/>
    <w:rsid w:val="00091E06"/>
    <w:rsid w:val="00092984"/>
    <w:rsid w:val="0009444D"/>
    <w:rsid w:val="0009710D"/>
    <w:rsid w:val="000A1C81"/>
    <w:rsid w:val="000A2BB5"/>
    <w:rsid w:val="000A3648"/>
    <w:rsid w:val="000A5A7D"/>
    <w:rsid w:val="000A7151"/>
    <w:rsid w:val="000A7FB7"/>
    <w:rsid w:val="000B1979"/>
    <w:rsid w:val="000B47CF"/>
    <w:rsid w:val="000B732F"/>
    <w:rsid w:val="000B7404"/>
    <w:rsid w:val="000C3295"/>
    <w:rsid w:val="000C5881"/>
    <w:rsid w:val="000C7D09"/>
    <w:rsid w:val="000D0EDC"/>
    <w:rsid w:val="000D1060"/>
    <w:rsid w:val="000D3A8C"/>
    <w:rsid w:val="000D3F35"/>
    <w:rsid w:val="000D694D"/>
    <w:rsid w:val="000D6F6D"/>
    <w:rsid w:val="000E0545"/>
    <w:rsid w:val="000E10F2"/>
    <w:rsid w:val="000E4CF5"/>
    <w:rsid w:val="000E5584"/>
    <w:rsid w:val="000E5A45"/>
    <w:rsid w:val="000E77EC"/>
    <w:rsid w:val="000E7A73"/>
    <w:rsid w:val="000F1798"/>
    <w:rsid w:val="000F225F"/>
    <w:rsid w:val="000F511F"/>
    <w:rsid w:val="000F6C94"/>
    <w:rsid w:val="00100381"/>
    <w:rsid w:val="001012D9"/>
    <w:rsid w:val="00103F08"/>
    <w:rsid w:val="00105BD3"/>
    <w:rsid w:val="00105F38"/>
    <w:rsid w:val="00107178"/>
    <w:rsid w:val="00107C4E"/>
    <w:rsid w:val="00111013"/>
    <w:rsid w:val="00113359"/>
    <w:rsid w:val="00120029"/>
    <w:rsid w:val="00121D2E"/>
    <w:rsid w:val="001251E4"/>
    <w:rsid w:val="0013160C"/>
    <w:rsid w:val="00131B7D"/>
    <w:rsid w:val="001325C5"/>
    <w:rsid w:val="00134C72"/>
    <w:rsid w:val="00135430"/>
    <w:rsid w:val="00135C7A"/>
    <w:rsid w:val="001367DC"/>
    <w:rsid w:val="00137599"/>
    <w:rsid w:val="00137BED"/>
    <w:rsid w:val="0014034B"/>
    <w:rsid w:val="001410DB"/>
    <w:rsid w:val="0014185F"/>
    <w:rsid w:val="00142EDB"/>
    <w:rsid w:val="00162CB9"/>
    <w:rsid w:val="0016422F"/>
    <w:rsid w:val="00164CC7"/>
    <w:rsid w:val="0016755C"/>
    <w:rsid w:val="00170F25"/>
    <w:rsid w:val="00175A80"/>
    <w:rsid w:val="001803C2"/>
    <w:rsid w:val="00180ADB"/>
    <w:rsid w:val="00182605"/>
    <w:rsid w:val="00182E9F"/>
    <w:rsid w:val="001830CD"/>
    <w:rsid w:val="001870CF"/>
    <w:rsid w:val="001878C4"/>
    <w:rsid w:val="00187EFD"/>
    <w:rsid w:val="00191BF4"/>
    <w:rsid w:val="00192F68"/>
    <w:rsid w:val="001A524B"/>
    <w:rsid w:val="001A5594"/>
    <w:rsid w:val="001A5AE2"/>
    <w:rsid w:val="001A6308"/>
    <w:rsid w:val="001A7DCB"/>
    <w:rsid w:val="001B0225"/>
    <w:rsid w:val="001B1D85"/>
    <w:rsid w:val="001B26F3"/>
    <w:rsid w:val="001B3680"/>
    <w:rsid w:val="001B54C3"/>
    <w:rsid w:val="001C7B27"/>
    <w:rsid w:val="001D0072"/>
    <w:rsid w:val="001D0752"/>
    <w:rsid w:val="001D3040"/>
    <w:rsid w:val="001D4BC5"/>
    <w:rsid w:val="001D753D"/>
    <w:rsid w:val="001F04AB"/>
    <w:rsid w:val="001F11BE"/>
    <w:rsid w:val="001F133D"/>
    <w:rsid w:val="001F2812"/>
    <w:rsid w:val="001F3952"/>
    <w:rsid w:val="002016B4"/>
    <w:rsid w:val="002018D3"/>
    <w:rsid w:val="002023BC"/>
    <w:rsid w:val="002033E0"/>
    <w:rsid w:val="00206057"/>
    <w:rsid w:val="00210EF6"/>
    <w:rsid w:val="002126D4"/>
    <w:rsid w:val="0021359A"/>
    <w:rsid w:val="00213C47"/>
    <w:rsid w:val="00214AE6"/>
    <w:rsid w:val="0021664D"/>
    <w:rsid w:val="002169FE"/>
    <w:rsid w:val="00217F47"/>
    <w:rsid w:val="00220563"/>
    <w:rsid w:val="0022251C"/>
    <w:rsid w:val="002238E1"/>
    <w:rsid w:val="002265C5"/>
    <w:rsid w:val="0022676F"/>
    <w:rsid w:val="00230EB5"/>
    <w:rsid w:val="00231426"/>
    <w:rsid w:val="00231EFF"/>
    <w:rsid w:val="00233E40"/>
    <w:rsid w:val="002340E2"/>
    <w:rsid w:val="00234D07"/>
    <w:rsid w:val="002376DD"/>
    <w:rsid w:val="00244FA8"/>
    <w:rsid w:val="0024770E"/>
    <w:rsid w:val="00251496"/>
    <w:rsid w:val="002526AB"/>
    <w:rsid w:val="00252711"/>
    <w:rsid w:val="00253049"/>
    <w:rsid w:val="00256050"/>
    <w:rsid w:val="00256E45"/>
    <w:rsid w:val="00257724"/>
    <w:rsid w:val="00263081"/>
    <w:rsid w:val="00266A10"/>
    <w:rsid w:val="00267055"/>
    <w:rsid w:val="00270FE8"/>
    <w:rsid w:val="00275C76"/>
    <w:rsid w:val="00275F25"/>
    <w:rsid w:val="002774C2"/>
    <w:rsid w:val="002775EF"/>
    <w:rsid w:val="00286264"/>
    <w:rsid w:val="00286E98"/>
    <w:rsid w:val="00290DA2"/>
    <w:rsid w:val="00292A73"/>
    <w:rsid w:val="00293C64"/>
    <w:rsid w:val="002A0640"/>
    <w:rsid w:val="002A1FD1"/>
    <w:rsid w:val="002A582C"/>
    <w:rsid w:val="002A5D6E"/>
    <w:rsid w:val="002A6E15"/>
    <w:rsid w:val="002B32B5"/>
    <w:rsid w:val="002B388B"/>
    <w:rsid w:val="002B5518"/>
    <w:rsid w:val="002B6957"/>
    <w:rsid w:val="002C07DB"/>
    <w:rsid w:val="002C6E41"/>
    <w:rsid w:val="002D030D"/>
    <w:rsid w:val="002D1CFB"/>
    <w:rsid w:val="002D25D5"/>
    <w:rsid w:val="002D7ED7"/>
    <w:rsid w:val="002E0130"/>
    <w:rsid w:val="002E1701"/>
    <w:rsid w:val="002E3A8D"/>
    <w:rsid w:val="002F062C"/>
    <w:rsid w:val="002F0C0E"/>
    <w:rsid w:val="002F43BE"/>
    <w:rsid w:val="002F44E7"/>
    <w:rsid w:val="002F45EF"/>
    <w:rsid w:val="002F6103"/>
    <w:rsid w:val="002F6319"/>
    <w:rsid w:val="002F7F3A"/>
    <w:rsid w:val="00302212"/>
    <w:rsid w:val="003102E7"/>
    <w:rsid w:val="0031047E"/>
    <w:rsid w:val="00312D3D"/>
    <w:rsid w:val="00315345"/>
    <w:rsid w:val="00322ACA"/>
    <w:rsid w:val="00322EDA"/>
    <w:rsid w:val="003230C3"/>
    <w:rsid w:val="0032438C"/>
    <w:rsid w:val="0032768D"/>
    <w:rsid w:val="0033202F"/>
    <w:rsid w:val="00333020"/>
    <w:rsid w:val="00334578"/>
    <w:rsid w:val="003402B3"/>
    <w:rsid w:val="00340910"/>
    <w:rsid w:val="003435E5"/>
    <w:rsid w:val="0034371D"/>
    <w:rsid w:val="003442D9"/>
    <w:rsid w:val="00352D05"/>
    <w:rsid w:val="003531BA"/>
    <w:rsid w:val="00354D2C"/>
    <w:rsid w:val="003557F9"/>
    <w:rsid w:val="0036312B"/>
    <w:rsid w:val="0036490D"/>
    <w:rsid w:val="00365C97"/>
    <w:rsid w:val="003666DD"/>
    <w:rsid w:val="00371827"/>
    <w:rsid w:val="00371AC3"/>
    <w:rsid w:val="00373FE0"/>
    <w:rsid w:val="00376688"/>
    <w:rsid w:val="00382DF5"/>
    <w:rsid w:val="00390E33"/>
    <w:rsid w:val="00391531"/>
    <w:rsid w:val="00393379"/>
    <w:rsid w:val="00394A9C"/>
    <w:rsid w:val="003968C0"/>
    <w:rsid w:val="00396CD7"/>
    <w:rsid w:val="003A377E"/>
    <w:rsid w:val="003A52C5"/>
    <w:rsid w:val="003A5F0D"/>
    <w:rsid w:val="003B1149"/>
    <w:rsid w:val="003B3C1A"/>
    <w:rsid w:val="003B3C6D"/>
    <w:rsid w:val="003B3F5D"/>
    <w:rsid w:val="003C21FF"/>
    <w:rsid w:val="003C2EC9"/>
    <w:rsid w:val="003C35B4"/>
    <w:rsid w:val="003C3C66"/>
    <w:rsid w:val="003C3DFB"/>
    <w:rsid w:val="003C7553"/>
    <w:rsid w:val="003D3C16"/>
    <w:rsid w:val="003D64B0"/>
    <w:rsid w:val="003E06D1"/>
    <w:rsid w:val="003E094A"/>
    <w:rsid w:val="003E220F"/>
    <w:rsid w:val="003E29B6"/>
    <w:rsid w:val="003E480A"/>
    <w:rsid w:val="003E5435"/>
    <w:rsid w:val="003F60BB"/>
    <w:rsid w:val="003F6A9D"/>
    <w:rsid w:val="004059BB"/>
    <w:rsid w:val="00405A29"/>
    <w:rsid w:val="0041098D"/>
    <w:rsid w:val="00410B99"/>
    <w:rsid w:val="00411DF7"/>
    <w:rsid w:val="004170A1"/>
    <w:rsid w:val="004201A0"/>
    <w:rsid w:val="00420B85"/>
    <w:rsid w:val="004221E9"/>
    <w:rsid w:val="00423B42"/>
    <w:rsid w:val="00432F07"/>
    <w:rsid w:val="00435A09"/>
    <w:rsid w:val="00441BB1"/>
    <w:rsid w:val="0044560F"/>
    <w:rsid w:val="004511DA"/>
    <w:rsid w:val="0045187D"/>
    <w:rsid w:val="004518F0"/>
    <w:rsid w:val="00453EFF"/>
    <w:rsid w:val="00465D43"/>
    <w:rsid w:val="004716B6"/>
    <w:rsid w:val="004731E5"/>
    <w:rsid w:val="00473654"/>
    <w:rsid w:val="00473BD5"/>
    <w:rsid w:val="00473F86"/>
    <w:rsid w:val="00475446"/>
    <w:rsid w:val="0047762A"/>
    <w:rsid w:val="0048116B"/>
    <w:rsid w:val="00481A25"/>
    <w:rsid w:val="004821C9"/>
    <w:rsid w:val="00482846"/>
    <w:rsid w:val="00484071"/>
    <w:rsid w:val="00485F0C"/>
    <w:rsid w:val="00486AAC"/>
    <w:rsid w:val="0048723A"/>
    <w:rsid w:val="004873F5"/>
    <w:rsid w:val="004876F8"/>
    <w:rsid w:val="004929E1"/>
    <w:rsid w:val="00496B34"/>
    <w:rsid w:val="0049740F"/>
    <w:rsid w:val="004A552C"/>
    <w:rsid w:val="004B043D"/>
    <w:rsid w:val="004B0D5E"/>
    <w:rsid w:val="004B2ABF"/>
    <w:rsid w:val="004B5660"/>
    <w:rsid w:val="004C1E58"/>
    <w:rsid w:val="004C1E7E"/>
    <w:rsid w:val="004C5AFD"/>
    <w:rsid w:val="004C6F9B"/>
    <w:rsid w:val="004C7AA1"/>
    <w:rsid w:val="004D3B0B"/>
    <w:rsid w:val="004D4085"/>
    <w:rsid w:val="004D586B"/>
    <w:rsid w:val="004D79CD"/>
    <w:rsid w:val="004E3D57"/>
    <w:rsid w:val="004E7018"/>
    <w:rsid w:val="004F083F"/>
    <w:rsid w:val="004F25D9"/>
    <w:rsid w:val="004F4E94"/>
    <w:rsid w:val="004F75BD"/>
    <w:rsid w:val="005013AB"/>
    <w:rsid w:val="00502EBA"/>
    <w:rsid w:val="00505137"/>
    <w:rsid w:val="00506867"/>
    <w:rsid w:val="00506F2C"/>
    <w:rsid w:val="00507025"/>
    <w:rsid w:val="00507397"/>
    <w:rsid w:val="00513CDB"/>
    <w:rsid w:val="0051437A"/>
    <w:rsid w:val="0051504E"/>
    <w:rsid w:val="00516166"/>
    <w:rsid w:val="00516706"/>
    <w:rsid w:val="00517A3E"/>
    <w:rsid w:val="005231E2"/>
    <w:rsid w:val="00523242"/>
    <w:rsid w:val="00527BF4"/>
    <w:rsid w:val="0053085E"/>
    <w:rsid w:val="00533CC6"/>
    <w:rsid w:val="005354D1"/>
    <w:rsid w:val="00536252"/>
    <w:rsid w:val="0053643D"/>
    <w:rsid w:val="00540D84"/>
    <w:rsid w:val="005418EF"/>
    <w:rsid w:val="00544CB5"/>
    <w:rsid w:val="00544D81"/>
    <w:rsid w:val="0054523B"/>
    <w:rsid w:val="00555892"/>
    <w:rsid w:val="00555CE2"/>
    <w:rsid w:val="005621F7"/>
    <w:rsid w:val="005642A2"/>
    <w:rsid w:val="00566482"/>
    <w:rsid w:val="00570062"/>
    <w:rsid w:val="0057039E"/>
    <w:rsid w:val="00570881"/>
    <w:rsid w:val="0057093A"/>
    <w:rsid w:val="0057487E"/>
    <w:rsid w:val="005820DC"/>
    <w:rsid w:val="00583EE9"/>
    <w:rsid w:val="00584193"/>
    <w:rsid w:val="00587FB3"/>
    <w:rsid w:val="00592AE6"/>
    <w:rsid w:val="005959F8"/>
    <w:rsid w:val="00597068"/>
    <w:rsid w:val="005A0D1A"/>
    <w:rsid w:val="005A425C"/>
    <w:rsid w:val="005A5DA7"/>
    <w:rsid w:val="005B1CE8"/>
    <w:rsid w:val="005B2719"/>
    <w:rsid w:val="005B4D43"/>
    <w:rsid w:val="005B63A6"/>
    <w:rsid w:val="005C0524"/>
    <w:rsid w:val="005C05F6"/>
    <w:rsid w:val="005C0C74"/>
    <w:rsid w:val="005C55FC"/>
    <w:rsid w:val="005D25AE"/>
    <w:rsid w:val="005D3484"/>
    <w:rsid w:val="005D4F79"/>
    <w:rsid w:val="005D647D"/>
    <w:rsid w:val="005E1A93"/>
    <w:rsid w:val="005E1CFC"/>
    <w:rsid w:val="005E44DA"/>
    <w:rsid w:val="005E66FB"/>
    <w:rsid w:val="005F1D73"/>
    <w:rsid w:val="005F42A6"/>
    <w:rsid w:val="005F5D70"/>
    <w:rsid w:val="005F7A13"/>
    <w:rsid w:val="005F7E73"/>
    <w:rsid w:val="00602630"/>
    <w:rsid w:val="0060503D"/>
    <w:rsid w:val="006115A7"/>
    <w:rsid w:val="0061339F"/>
    <w:rsid w:val="00614DB0"/>
    <w:rsid w:val="006159AB"/>
    <w:rsid w:val="00615A8B"/>
    <w:rsid w:val="00615F2E"/>
    <w:rsid w:val="00617978"/>
    <w:rsid w:val="00621C24"/>
    <w:rsid w:val="00622B0F"/>
    <w:rsid w:val="00624119"/>
    <w:rsid w:val="00634FC4"/>
    <w:rsid w:val="00636191"/>
    <w:rsid w:val="00636D3F"/>
    <w:rsid w:val="00640D17"/>
    <w:rsid w:val="006438EE"/>
    <w:rsid w:val="00643E68"/>
    <w:rsid w:val="006440EE"/>
    <w:rsid w:val="006515A7"/>
    <w:rsid w:val="0065482F"/>
    <w:rsid w:val="00654884"/>
    <w:rsid w:val="00655742"/>
    <w:rsid w:val="00655980"/>
    <w:rsid w:val="006569CC"/>
    <w:rsid w:val="00656D1E"/>
    <w:rsid w:val="006570BF"/>
    <w:rsid w:val="00660779"/>
    <w:rsid w:val="006672FA"/>
    <w:rsid w:val="00667680"/>
    <w:rsid w:val="00672EDE"/>
    <w:rsid w:val="00680A69"/>
    <w:rsid w:val="00693EE2"/>
    <w:rsid w:val="0069412E"/>
    <w:rsid w:val="00694C7A"/>
    <w:rsid w:val="00695AA8"/>
    <w:rsid w:val="00696FB5"/>
    <w:rsid w:val="00697EA6"/>
    <w:rsid w:val="006A5122"/>
    <w:rsid w:val="006B3D89"/>
    <w:rsid w:val="006B5045"/>
    <w:rsid w:val="006C1BAB"/>
    <w:rsid w:val="006C1F32"/>
    <w:rsid w:val="006C3A56"/>
    <w:rsid w:val="006D6879"/>
    <w:rsid w:val="006D7C6F"/>
    <w:rsid w:val="006E0A26"/>
    <w:rsid w:val="006E1B88"/>
    <w:rsid w:val="006E2744"/>
    <w:rsid w:val="006E3E83"/>
    <w:rsid w:val="006E7725"/>
    <w:rsid w:val="006F13F5"/>
    <w:rsid w:val="006F1546"/>
    <w:rsid w:val="006F38F7"/>
    <w:rsid w:val="006F608F"/>
    <w:rsid w:val="006F6797"/>
    <w:rsid w:val="006F771F"/>
    <w:rsid w:val="00700434"/>
    <w:rsid w:val="00701F9E"/>
    <w:rsid w:val="0070367F"/>
    <w:rsid w:val="0070794E"/>
    <w:rsid w:val="0071011C"/>
    <w:rsid w:val="00710B11"/>
    <w:rsid w:val="007176AE"/>
    <w:rsid w:val="00717E90"/>
    <w:rsid w:val="007263DC"/>
    <w:rsid w:val="00727DE3"/>
    <w:rsid w:val="00731647"/>
    <w:rsid w:val="00732E64"/>
    <w:rsid w:val="00733DC8"/>
    <w:rsid w:val="0074011D"/>
    <w:rsid w:val="00746683"/>
    <w:rsid w:val="00751DA3"/>
    <w:rsid w:val="0075471F"/>
    <w:rsid w:val="007549A4"/>
    <w:rsid w:val="00760B2A"/>
    <w:rsid w:val="007642B5"/>
    <w:rsid w:val="007666ED"/>
    <w:rsid w:val="00772B98"/>
    <w:rsid w:val="00775249"/>
    <w:rsid w:val="00776B8F"/>
    <w:rsid w:val="007803CE"/>
    <w:rsid w:val="00791FA7"/>
    <w:rsid w:val="007927CF"/>
    <w:rsid w:val="00795E46"/>
    <w:rsid w:val="007A02CD"/>
    <w:rsid w:val="007A1154"/>
    <w:rsid w:val="007A310F"/>
    <w:rsid w:val="007A4994"/>
    <w:rsid w:val="007A5F78"/>
    <w:rsid w:val="007B27D4"/>
    <w:rsid w:val="007B3624"/>
    <w:rsid w:val="007B3A96"/>
    <w:rsid w:val="007B3D07"/>
    <w:rsid w:val="007C34DE"/>
    <w:rsid w:val="007C3F84"/>
    <w:rsid w:val="007C40D5"/>
    <w:rsid w:val="007C6404"/>
    <w:rsid w:val="007C6E5B"/>
    <w:rsid w:val="007C78CF"/>
    <w:rsid w:val="007D1BFA"/>
    <w:rsid w:val="007E33E7"/>
    <w:rsid w:val="007E417B"/>
    <w:rsid w:val="007E48B7"/>
    <w:rsid w:val="007F004A"/>
    <w:rsid w:val="007F2659"/>
    <w:rsid w:val="007F4731"/>
    <w:rsid w:val="007F4F08"/>
    <w:rsid w:val="007F54EB"/>
    <w:rsid w:val="0080219E"/>
    <w:rsid w:val="00802C9D"/>
    <w:rsid w:val="008100AE"/>
    <w:rsid w:val="00811137"/>
    <w:rsid w:val="00811792"/>
    <w:rsid w:val="0081418C"/>
    <w:rsid w:val="0081520B"/>
    <w:rsid w:val="00815A10"/>
    <w:rsid w:val="00816366"/>
    <w:rsid w:val="00816452"/>
    <w:rsid w:val="00825423"/>
    <w:rsid w:val="00825467"/>
    <w:rsid w:val="00825CC3"/>
    <w:rsid w:val="008262DC"/>
    <w:rsid w:val="008325BD"/>
    <w:rsid w:val="00833564"/>
    <w:rsid w:val="00834CAC"/>
    <w:rsid w:val="0084395B"/>
    <w:rsid w:val="008442E3"/>
    <w:rsid w:val="0084472E"/>
    <w:rsid w:val="00844994"/>
    <w:rsid w:val="008473D7"/>
    <w:rsid w:val="00854353"/>
    <w:rsid w:val="00854B7D"/>
    <w:rsid w:val="008574F4"/>
    <w:rsid w:val="00860624"/>
    <w:rsid w:val="00861493"/>
    <w:rsid w:val="00861810"/>
    <w:rsid w:val="00864A40"/>
    <w:rsid w:val="008656B4"/>
    <w:rsid w:val="00866EF3"/>
    <w:rsid w:val="00870524"/>
    <w:rsid w:val="008705CC"/>
    <w:rsid w:val="00872BC7"/>
    <w:rsid w:val="00881D47"/>
    <w:rsid w:val="008867E7"/>
    <w:rsid w:val="00890713"/>
    <w:rsid w:val="008931C3"/>
    <w:rsid w:val="00893445"/>
    <w:rsid w:val="008937E6"/>
    <w:rsid w:val="00894823"/>
    <w:rsid w:val="008959ED"/>
    <w:rsid w:val="00896939"/>
    <w:rsid w:val="008979CF"/>
    <w:rsid w:val="008A0B68"/>
    <w:rsid w:val="008A0C87"/>
    <w:rsid w:val="008A14D9"/>
    <w:rsid w:val="008A4DF3"/>
    <w:rsid w:val="008A6E3D"/>
    <w:rsid w:val="008B0686"/>
    <w:rsid w:val="008B0FDB"/>
    <w:rsid w:val="008B14FC"/>
    <w:rsid w:val="008B34EF"/>
    <w:rsid w:val="008B397B"/>
    <w:rsid w:val="008B5B13"/>
    <w:rsid w:val="008B6BA9"/>
    <w:rsid w:val="008B7EC9"/>
    <w:rsid w:val="008C1762"/>
    <w:rsid w:val="008C4450"/>
    <w:rsid w:val="008C4A5A"/>
    <w:rsid w:val="008C6870"/>
    <w:rsid w:val="008D2087"/>
    <w:rsid w:val="008D31C9"/>
    <w:rsid w:val="008E1E05"/>
    <w:rsid w:val="008E20F5"/>
    <w:rsid w:val="008E31F0"/>
    <w:rsid w:val="008E5E1A"/>
    <w:rsid w:val="008E674A"/>
    <w:rsid w:val="008E6E31"/>
    <w:rsid w:val="008F060F"/>
    <w:rsid w:val="008F3398"/>
    <w:rsid w:val="008F564E"/>
    <w:rsid w:val="008F5730"/>
    <w:rsid w:val="00902557"/>
    <w:rsid w:val="009057DA"/>
    <w:rsid w:val="00905946"/>
    <w:rsid w:val="0091083D"/>
    <w:rsid w:val="0091088F"/>
    <w:rsid w:val="00912797"/>
    <w:rsid w:val="00913D12"/>
    <w:rsid w:val="0092141D"/>
    <w:rsid w:val="00922DC5"/>
    <w:rsid w:val="00924898"/>
    <w:rsid w:val="009267C7"/>
    <w:rsid w:val="00930430"/>
    <w:rsid w:val="009304D3"/>
    <w:rsid w:val="009308E0"/>
    <w:rsid w:val="00932412"/>
    <w:rsid w:val="0093331C"/>
    <w:rsid w:val="00934A3D"/>
    <w:rsid w:val="00934B98"/>
    <w:rsid w:val="009401CF"/>
    <w:rsid w:val="00945284"/>
    <w:rsid w:val="00945FCF"/>
    <w:rsid w:val="0094650E"/>
    <w:rsid w:val="009465C0"/>
    <w:rsid w:val="00947455"/>
    <w:rsid w:val="00950C7B"/>
    <w:rsid w:val="009605CE"/>
    <w:rsid w:val="0097008D"/>
    <w:rsid w:val="00970F80"/>
    <w:rsid w:val="00974406"/>
    <w:rsid w:val="009766C8"/>
    <w:rsid w:val="00981092"/>
    <w:rsid w:val="00982091"/>
    <w:rsid w:val="0098217F"/>
    <w:rsid w:val="00983BB8"/>
    <w:rsid w:val="00983C33"/>
    <w:rsid w:val="009845C1"/>
    <w:rsid w:val="00986906"/>
    <w:rsid w:val="00990997"/>
    <w:rsid w:val="00993E9F"/>
    <w:rsid w:val="0099746F"/>
    <w:rsid w:val="009A0876"/>
    <w:rsid w:val="009A23AF"/>
    <w:rsid w:val="009A3A55"/>
    <w:rsid w:val="009A3E95"/>
    <w:rsid w:val="009A3EAF"/>
    <w:rsid w:val="009A52E6"/>
    <w:rsid w:val="009A6A9A"/>
    <w:rsid w:val="009B013F"/>
    <w:rsid w:val="009B31B2"/>
    <w:rsid w:val="009B79B5"/>
    <w:rsid w:val="009C040C"/>
    <w:rsid w:val="009C3EAC"/>
    <w:rsid w:val="009C401F"/>
    <w:rsid w:val="009C4AFB"/>
    <w:rsid w:val="009C6746"/>
    <w:rsid w:val="009D09A5"/>
    <w:rsid w:val="009D1C42"/>
    <w:rsid w:val="009D398D"/>
    <w:rsid w:val="009D419D"/>
    <w:rsid w:val="009D5921"/>
    <w:rsid w:val="009D75C5"/>
    <w:rsid w:val="009D7DEB"/>
    <w:rsid w:val="009E1E71"/>
    <w:rsid w:val="009E7380"/>
    <w:rsid w:val="009E7B09"/>
    <w:rsid w:val="009E7F4B"/>
    <w:rsid w:val="009F11C9"/>
    <w:rsid w:val="009F2232"/>
    <w:rsid w:val="009F365B"/>
    <w:rsid w:val="009F5005"/>
    <w:rsid w:val="009F6B4E"/>
    <w:rsid w:val="00A01C6E"/>
    <w:rsid w:val="00A02A03"/>
    <w:rsid w:val="00A04AD7"/>
    <w:rsid w:val="00A0773C"/>
    <w:rsid w:val="00A07D4B"/>
    <w:rsid w:val="00A10B2A"/>
    <w:rsid w:val="00A11E22"/>
    <w:rsid w:val="00A17B03"/>
    <w:rsid w:val="00A20EC9"/>
    <w:rsid w:val="00A218D2"/>
    <w:rsid w:val="00A22B70"/>
    <w:rsid w:val="00A248F1"/>
    <w:rsid w:val="00A304DD"/>
    <w:rsid w:val="00A3243D"/>
    <w:rsid w:val="00A3245A"/>
    <w:rsid w:val="00A367D0"/>
    <w:rsid w:val="00A40A6D"/>
    <w:rsid w:val="00A44195"/>
    <w:rsid w:val="00A44C5D"/>
    <w:rsid w:val="00A512D8"/>
    <w:rsid w:val="00A5288E"/>
    <w:rsid w:val="00A53CF7"/>
    <w:rsid w:val="00A56F33"/>
    <w:rsid w:val="00A60B2A"/>
    <w:rsid w:val="00A60FC2"/>
    <w:rsid w:val="00A667F6"/>
    <w:rsid w:val="00A675B6"/>
    <w:rsid w:val="00A70DE1"/>
    <w:rsid w:val="00A70F5B"/>
    <w:rsid w:val="00A7249B"/>
    <w:rsid w:val="00A72E12"/>
    <w:rsid w:val="00A73747"/>
    <w:rsid w:val="00A76DA1"/>
    <w:rsid w:val="00A77564"/>
    <w:rsid w:val="00A82B70"/>
    <w:rsid w:val="00A833BC"/>
    <w:rsid w:val="00A83CE4"/>
    <w:rsid w:val="00A854C9"/>
    <w:rsid w:val="00A86990"/>
    <w:rsid w:val="00A909AD"/>
    <w:rsid w:val="00A929B8"/>
    <w:rsid w:val="00A9521B"/>
    <w:rsid w:val="00AA1D6C"/>
    <w:rsid w:val="00AA3B2D"/>
    <w:rsid w:val="00AA591D"/>
    <w:rsid w:val="00AA7F25"/>
    <w:rsid w:val="00AB1C43"/>
    <w:rsid w:val="00AB252C"/>
    <w:rsid w:val="00AB33E8"/>
    <w:rsid w:val="00AB59D6"/>
    <w:rsid w:val="00AB5F80"/>
    <w:rsid w:val="00AC0499"/>
    <w:rsid w:val="00AC171A"/>
    <w:rsid w:val="00AC23D8"/>
    <w:rsid w:val="00AC320F"/>
    <w:rsid w:val="00AC43A9"/>
    <w:rsid w:val="00AC5AF5"/>
    <w:rsid w:val="00AC5E30"/>
    <w:rsid w:val="00AD0F40"/>
    <w:rsid w:val="00AD17BC"/>
    <w:rsid w:val="00AE3B53"/>
    <w:rsid w:val="00AE3E84"/>
    <w:rsid w:val="00AE63AA"/>
    <w:rsid w:val="00AE650E"/>
    <w:rsid w:val="00AF2147"/>
    <w:rsid w:val="00AF5F9A"/>
    <w:rsid w:val="00AF79B8"/>
    <w:rsid w:val="00B00F35"/>
    <w:rsid w:val="00B02957"/>
    <w:rsid w:val="00B03093"/>
    <w:rsid w:val="00B0322B"/>
    <w:rsid w:val="00B10672"/>
    <w:rsid w:val="00B11F1F"/>
    <w:rsid w:val="00B174A0"/>
    <w:rsid w:val="00B20029"/>
    <w:rsid w:val="00B20471"/>
    <w:rsid w:val="00B22CC1"/>
    <w:rsid w:val="00B24F14"/>
    <w:rsid w:val="00B315CE"/>
    <w:rsid w:val="00B316AE"/>
    <w:rsid w:val="00B31E28"/>
    <w:rsid w:val="00B32130"/>
    <w:rsid w:val="00B32560"/>
    <w:rsid w:val="00B35F5C"/>
    <w:rsid w:val="00B42453"/>
    <w:rsid w:val="00B42E28"/>
    <w:rsid w:val="00B54FFB"/>
    <w:rsid w:val="00B576CC"/>
    <w:rsid w:val="00B62B01"/>
    <w:rsid w:val="00B62FCB"/>
    <w:rsid w:val="00B6371B"/>
    <w:rsid w:val="00B6589F"/>
    <w:rsid w:val="00B6734C"/>
    <w:rsid w:val="00B74CEB"/>
    <w:rsid w:val="00B75C71"/>
    <w:rsid w:val="00B76C31"/>
    <w:rsid w:val="00B863F7"/>
    <w:rsid w:val="00B87C01"/>
    <w:rsid w:val="00B922D9"/>
    <w:rsid w:val="00B925B7"/>
    <w:rsid w:val="00B9410C"/>
    <w:rsid w:val="00B9660E"/>
    <w:rsid w:val="00B96F5A"/>
    <w:rsid w:val="00BA1906"/>
    <w:rsid w:val="00BA32FE"/>
    <w:rsid w:val="00BA4966"/>
    <w:rsid w:val="00BB002C"/>
    <w:rsid w:val="00BB3217"/>
    <w:rsid w:val="00BB5EDA"/>
    <w:rsid w:val="00BC4C7E"/>
    <w:rsid w:val="00BC644F"/>
    <w:rsid w:val="00BD1EA0"/>
    <w:rsid w:val="00BD69B1"/>
    <w:rsid w:val="00BE2198"/>
    <w:rsid w:val="00BE403E"/>
    <w:rsid w:val="00BE5000"/>
    <w:rsid w:val="00BE72AF"/>
    <w:rsid w:val="00BE7599"/>
    <w:rsid w:val="00BE79E6"/>
    <w:rsid w:val="00BF027D"/>
    <w:rsid w:val="00BF0527"/>
    <w:rsid w:val="00BF1AA6"/>
    <w:rsid w:val="00BF261C"/>
    <w:rsid w:val="00BF2F2B"/>
    <w:rsid w:val="00BF34FA"/>
    <w:rsid w:val="00BF7E12"/>
    <w:rsid w:val="00C0055C"/>
    <w:rsid w:val="00C01179"/>
    <w:rsid w:val="00C034D5"/>
    <w:rsid w:val="00C05074"/>
    <w:rsid w:val="00C05CFC"/>
    <w:rsid w:val="00C06606"/>
    <w:rsid w:val="00C07166"/>
    <w:rsid w:val="00C105AA"/>
    <w:rsid w:val="00C13F42"/>
    <w:rsid w:val="00C141DF"/>
    <w:rsid w:val="00C14421"/>
    <w:rsid w:val="00C20B17"/>
    <w:rsid w:val="00C261DD"/>
    <w:rsid w:val="00C33258"/>
    <w:rsid w:val="00C3394B"/>
    <w:rsid w:val="00C35962"/>
    <w:rsid w:val="00C374E1"/>
    <w:rsid w:val="00C40BE6"/>
    <w:rsid w:val="00C40C39"/>
    <w:rsid w:val="00C41408"/>
    <w:rsid w:val="00C430A1"/>
    <w:rsid w:val="00C4318D"/>
    <w:rsid w:val="00C44E0D"/>
    <w:rsid w:val="00C46166"/>
    <w:rsid w:val="00C46245"/>
    <w:rsid w:val="00C4708C"/>
    <w:rsid w:val="00C52F8A"/>
    <w:rsid w:val="00C56CDE"/>
    <w:rsid w:val="00C6077C"/>
    <w:rsid w:val="00C645EB"/>
    <w:rsid w:val="00C6620D"/>
    <w:rsid w:val="00C67AEB"/>
    <w:rsid w:val="00C71824"/>
    <w:rsid w:val="00C71D4E"/>
    <w:rsid w:val="00C754A1"/>
    <w:rsid w:val="00C77C37"/>
    <w:rsid w:val="00C77FCF"/>
    <w:rsid w:val="00C8030F"/>
    <w:rsid w:val="00C8069F"/>
    <w:rsid w:val="00C85DDC"/>
    <w:rsid w:val="00C94128"/>
    <w:rsid w:val="00C94686"/>
    <w:rsid w:val="00C958C1"/>
    <w:rsid w:val="00C97128"/>
    <w:rsid w:val="00CA3D5F"/>
    <w:rsid w:val="00CA7B95"/>
    <w:rsid w:val="00CA7F2E"/>
    <w:rsid w:val="00CB2A8B"/>
    <w:rsid w:val="00CB5C94"/>
    <w:rsid w:val="00CB7D62"/>
    <w:rsid w:val="00CC0056"/>
    <w:rsid w:val="00CC09E1"/>
    <w:rsid w:val="00CC1790"/>
    <w:rsid w:val="00CC1818"/>
    <w:rsid w:val="00CC1927"/>
    <w:rsid w:val="00CC25A8"/>
    <w:rsid w:val="00CC25C0"/>
    <w:rsid w:val="00CC331C"/>
    <w:rsid w:val="00CC4198"/>
    <w:rsid w:val="00CD24CA"/>
    <w:rsid w:val="00CD2AF5"/>
    <w:rsid w:val="00CD3DB1"/>
    <w:rsid w:val="00CD5EB6"/>
    <w:rsid w:val="00CD6D19"/>
    <w:rsid w:val="00CD7544"/>
    <w:rsid w:val="00CE03E1"/>
    <w:rsid w:val="00CE25BA"/>
    <w:rsid w:val="00CE3E28"/>
    <w:rsid w:val="00CF080D"/>
    <w:rsid w:val="00CF1804"/>
    <w:rsid w:val="00CF183E"/>
    <w:rsid w:val="00CF4AAE"/>
    <w:rsid w:val="00CF5895"/>
    <w:rsid w:val="00CF6544"/>
    <w:rsid w:val="00CF7F44"/>
    <w:rsid w:val="00D0096F"/>
    <w:rsid w:val="00D01AB1"/>
    <w:rsid w:val="00D01D90"/>
    <w:rsid w:val="00D06CCD"/>
    <w:rsid w:val="00D072F2"/>
    <w:rsid w:val="00D104BB"/>
    <w:rsid w:val="00D1084D"/>
    <w:rsid w:val="00D13BA2"/>
    <w:rsid w:val="00D16015"/>
    <w:rsid w:val="00D16BDC"/>
    <w:rsid w:val="00D20215"/>
    <w:rsid w:val="00D217E4"/>
    <w:rsid w:val="00D35094"/>
    <w:rsid w:val="00D42502"/>
    <w:rsid w:val="00D434A7"/>
    <w:rsid w:val="00D4525F"/>
    <w:rsid w:val="00D46F40"/>
    <w:rsid w:val="00D4755C"/>
    <w:rsid w:val="00D47B8E"/>
    <w:rsid w:val="00D5031D"/>
    <w:rsid w:val="00D52D4C"/>
    <w:rsid w:val="00D5536D"/>
    <w:rsid w:val="00D57221"/>
    <w:rsid w:val="00D60AF7"/>
    <w:rsid w:val="00D65B28"/>
    <w:rsid w:val="00D702A4"/>
    <w:rsid w:val="00D9169A"/>
    <w:rsid w:val="00D96B6D"/>
    <w:rsid w:val="00D97648"/>
    <w:rsid w:val="00DA104F"/>
    <w:rsid w:val="00DA4E29"/>
    <w:rsid w:val="00DA6944"/>
    <w:rsid w:val="00DC1E68"/>
    <w:rsid w:val="00DC2487"/>
    <w:rsid w:val="00DD29EE"/>
    <w:rsid w:val="00DD63A3"/>
    <w:rsid w:val="00DD6690"/>
    <w:rsid w:val="00DE030B"/>
    <w:rsid w:val="00DE1CF9"/>
    <w:rsid w:val="00DE426B"/>
    <w:rsid w:val="00DE4597"/>
    <w:rsid w:val="00DE570B"/>
    <w:rsid w:val="00DF0F50"/>
    <w:rsid w:val="00DF17FC"/>
    <w:rsid w:val="00DF4DC9"/>
    <w:rsid w:val="00DF58D4"/>
    <w:rsid w:val="00DF7137"/>
    <w:rsid w:val="00E07CEB"/>
    <w:rsid w:val="00E10A7C"/>
    <w:rsid w:val="00E1350F"/>
    <w:rsid w:val="00E15F6B"/>
    <w:rsid w:val="00E16BA2"/>
    <w:rsid w:val="00E2322D"/>
    <w:rsid w:val="00E254DB"/>
    <w:rsid w:val="00E25672"/>
    <w:rsid w:val="00E30B2A"/>
    <w:rsid w:val="00E339AD"/>
    <w:rsid w:val="00E34AAE"/>
    <w:rsid w:val="00E361B9"/>
    <w:rsid w:val="00E37C21"/>
    <w:rsid w:val="00E407D7"/>
    <w:rsid w:val="00E41D5A"/>
    <w:rsid w:val="00E45B25"/>
    <w:rsid w:val="00E501A8"/>
    <w:rsid w:val="00E56F2D"/>
    <w:rsid w:val="00E66768"/>
    <w:rsid w:val="00E67469"/>
    <w:rsid w:val="00E67687"/>
    <w:rsid w:val="00E75229"/>
    <w:rsid w:val="00E75444"/>
    <w:rsid w:val="00E854A7"/>
    <w:rsid w:val="00E92367"/>
    <w:rsid w:val="00E94B5F"/>
    <w:rsid w:val="00E94F7E"/>
    <w:rsid w:val="00EA1400"/>
    <w:rsid w:val="00EA2C1F"/>
    <w:rsid w:val="00EA384E"/>
    <w:rsid w:val="00EB3F98"/>
    <w:rsid w:val="00EB4F2A"/>
    <w:rsid w:val="00EB535E"/>
    <w:rsid w:val="00EC045A"/>
    <w:rsid w:val="00EC1CAF"/>
    <w:rsid w:val="00EC44D4"/>
    <w:rsid w:val="00EC6C9D"/>
    <w:rsid w:val="00ED6D5A"/>
    <w:rsid w:val="00ED73FC"/>
    <w:rsid w:val="00EE20E5"/>
    <w:rsid w:val="00EE4F45"/>
    <w:rsid w:val="00EE5182"/>
    <w:rsid w:val="00EE5DB6"/>
    <w:rsid w:val="00EE6463"/>
    <w:rsid w:val="00EE66B0"/>
    <w:rsid w:val="00EF36E7"/>
    <w:rsid w:val="00EF55CE"/>
    <w:rsid w:val="00EF6E37"/>
    <w:rsid w:val="00EF6E55"/>
    <w:rsid w:val="00F03E9C"/>
    <w:rsid w:val="00F20DAB"/>
    <w:rsid w:val="00F22D54"/>
    <w:rsid w:val="00F24099"/>
    <w:rsid w:val="00F25B88"/>
    <w:rsid w:val="00F304A2"/>
    <w:rsid w:val="00F350FE"/>
    <w:rsid w:val="00F35F66"/>
    <w:rsid w:val="00F375A6"/>
    <w:rsid w:val="00F37C42"/>
    <w:rsid w:val="00F40A21"/>
    <w:rsid w:val="00F424A5"/>
    <w:rsid w:val="00F44D97"/>
    <w:rsid w:val="00F516E9"/>
    <w:rsid w:val="00F52779"/>
    <w:rsid w:val="00F53026"/>
    <w:rsid w:val="00F538A0"/>
    <w:rsid w:val="00F54F1B"/>
    <w:rsid w:val="00F5771C"/>
    <w:rsid w:val="00F60DCC"/>
    <w:rsid w:val="00F63D42"/>
    <w:rsid w:val="00F64225"/>
    <w:rsid w:val="00F6750F"/>
    <w:rsid w:val="00F709FD"/>
    <w:rsid w:val="00F729F3"/>
    <w:rsid w:val="00F73729"/>
    <w:rsid w:val="00F7441D"/>
    <w:rsid w:val="00F74669"/>
    <w:rsid w:val="00F747CA"/>
    <w:rsid w:val="00F75CF3"/>
    <w:rsid w:val="00F81076"/>
    <w:rsid w:val="00F815EF"/>
    <w:rsid w:val="00F823EE"/>
    <w:rsid w:val="00F82DE9"/>
    <w:rsid w:val="00F8338D"/>
    <w:rsid w:val="00F861CC"/>
    <w:rsid w:val="00F91ECA"/>
    <w:rsid w:val="00F93703"/>
    <w:rsid w:val="00F96584"/>
    <w:rsid w:val="00F9750C"/>
    <w:rsid w:val="00FA6905"/>
    <w:rsid w:val="00FB389A"/>
    <w:rsid w:val="00FB546E"/>
    <w:rsid w:val="00FB5B6F"/>
    <w:rsid w:val="00FB7037"/>
    <w:rsid w:val="00FC1439"/>
    <w:rsid w:val="00FC541A"/>
    <w:rsid w:val="00FC6E6B"/>
    <w:rsid w:val="00FD1373"/>
    <w:rsid w:val="00FD1E64"/>
    <w:rsid w:val="00FE025E"/>
    <w:rsid w:val="00FE05E0"/>
    <w:rsid w:val="00FE0FE8"/>
    <w:rsid w:val="00FE16FB"/>
    <w:rsid w:val="00FE53AC"/>
    <w:rsid w:val="00FF039B"/>
    <w:rsid w:val="00FF4A6F"/>
    <w:rsid w:val="00FF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44"/>
    <w:rPr>
      <w:sz w:val="22"/>
      <w:szCs w:val="22"/>
    </w:rPr>
  </w:style>
  <w:style w:type="paragraph" w:styleId="Heading1">
    <w:name w:val="heading 1"/>
    <w:basedOn w:val="Normal"/>
    <w:next w:val="Normal"/>
    <w:link w:val="Heading1Char"/>
    <w:uiPriority w:val="99"/>
    <w:qFormat/>
    <w:rsid w:val="00634F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C4C7E"/>
    <w:pPr>
      <w:keepNext/>
      <w:widowControl w:val="0"/>
      <w:tabs>
        <w:tab w:val="center" w:pos="4680"/>
      </w:tabs>
      <w:suppressAutoHyphens/>
      <w:autoSpaceDE w:val="0"/>
      <w:autoSpaceDN w:val="0"/>
      <w:adjustRightInd w:val="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3C6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6C3C6B"/>
    <w:rPr>
      <w:rFonts w:ascii="Cambria" w:eastAsia="Times New Roman" w:hAnsi="Cambria" w:cs="Times New Roman"/>
      <w:b/>
      <w:bCs/>
      <w:i/>
      <w:iCs/>
      <w:sz w:val="28"/>
      <w:szCs w:val="28"/>
    </w:rPr>
  </w:style>
  <w:style w:type="character" w:styleId="FootnoteReference">
    <w:name w:val="footnote reference"/>
    <w:aliases w:val="Style 4,Style 12,(NECG) Footnote Reference,Appel note de bas de p,Style 124,Style 13,o,fr,Style 3"/>
    <w:semiHidden/>
    <w:rsid w:val="00BC4C7E"/>
    <w:rPr>
      <w:rFonts w:cs="Times New Roman"/>
      <w:sz w:val="20"/>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basedOn w:val="Normal"/>
    <w:link w:val="FootnoteTextChar"/>
    <w:rsid w:val="00B0322B"/>
    <w:pPr>
      <w:widowControl w:val="0"/>
      <w:tabs>
        <w:tab w:val="left" w:pos="720"/>
      </w:tabs>
      <w:suppressAutoHyphens/>
      <w:spacing w:after="120"/>
      <w:ind w:firstLine="360"/>
      <w:jc w:val="both"/>
    </w:pPr>
    <w:rPr>
      <w:sz w:val="20"/>
    </w:r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
    <w:link w:val="FootnoteText"/>
    <w:locked/>
    <w:rsid w:val="00B0322B"/>
    <w:rPr>
      <w:snapToGrid w:val="0"/>
      <w:sz w:val="22"/>
      <w:lang w:val="en-US" w:eastAsia="en-US"/>
    </w:rPr>
  </w:style>
  <w:style w:type="paragraph" w:styleId="BodyText2">
    <w:name w:val="Body Text 2"/>
    <w:basedOn w:val="Normal"/>
    <w:link w:val="BodyText2Char"/>
    <w:uiPriority w:val="99"/>
    <w:rsid w:val="00BC4C7E"/>
    <w:pPr>
      <w:widowControl w:val="0"/>
      <w:tabs>
        <w:tab w:val="center" w:pos="4680"/>
      </w:tabs>
      <w:suppressAutoHyphens/>
      <w:autoSpaceDE w:val="0"/>
      <w:autoSpaceDN w:val="0"/>
      <w:adjustRightInd w:val="0"/>
      <w:spacing w:line="240" w:lineRule="atLeast"/>
      <w:jc w:val="center"/>
      <w:outlineLvl w:val="0"/>
    </w:pPr>
    <w:rPr>
      <w:spacing w:val="-2"/>
      <w:sz w:val="24"/>
      <w:szCs w:val="24"/>
    </w:rPr>
  </w:style>
  <w:style w:type="character" w:customStyle="1" w:styleId="BodyText2Char">
    <w:name w:val="Body Text 2 Char"/>
    <w:basedOn w:val="DefaultParagraphFont"/>
    <w:link w:val="BodyText2"/>
    <w:uiPriority w:val="99"/>
    <w:semiHidden/>
    <w:rsid w:val="006C3C6B"/>
  </w:style>
  <w:style w:type="paragraph" w:customStyle="1" w:styleId="ParaNum">
    <w:name w:val="ParaNum"/>
    <w:basedOn w:val="Normal"/>
    <w:link w:val="ParaNumChar"/>
    <w:rsid w:val="00BC4C7E"/>
    <w:pPr>
      <w:numPr>
        <w:numId w:val="2"/>
      </w:numPr>
      <w:tabs>
        <w:tab w:val="num" w:pos="1440"/>
      </w:tabs>
      <w:spacing w:after="220"/>
    </w:pPr>
  </w:style>
  <w:style w:type="paragraph" w:styleId="Header">
    <w:name w:val="header"/>
    <w:basedOn w:val="Normal"/>
    <w:link w:val="HeaderChar"/>
    <w:uiPriority w:val="99"/>
    <w:rsid w:val="00085A2A"/>
    <w:pPr>
      <w:tabs>
        <w:tab w:val="center" w:pos="4320"/>
        <w:tab w:val="right" w:pos="8640"/>
      </w:tabs>
    </w:pPr>
  </w:style>
  <w:style w:type="character" w:customStyle="1" w:styleId="HeaderChar">
    <w:name w:val="Header Char"/>
    <w:basedOn w:val="DefaultParagraphFont"/>
    <w:link w:val="Header"/>
    <w:uiPriority w:val="99"/>
    <w:semiHidden/>
    <w:rsid w:val="006C3C6B"/>
  </w:style>
  <w:style w:type="paragraph" w:styleId="Footer">
    <w:name w:val="footer"/>
    <w:basedOn w:val="Normal"/>
    <w:link w:val="FooterChar"/>
    <w:uiPriority w:val="99"/>
    <w:rsid w:val="00085A2A"/>
    <w:pPr>
      <w:tabs>
        <w:tab w:val="center" w:pos="4320"/>
        <w:tab w:val="right" w:pos="8640"/>
      </w:tabs>
    </w:pPr>
  </w:style>
  <w:style w:type="character" w:customStyle="1" w:styleId="FooterChar">
    <w:name w:val="Footer Char"/>
    <w:basedOn w:val="DefaultParagraphFont"/>
    <w:link w:val="Footer"/>
    <w:uiPriority w:val="99"/>
    <w:semiHidden/>
    <w:rsid w:val="006C3C6B"/>
  </w:style>
  <w:style w:type="character" w:styleId="PageNumber">
    <w:name w:val="page number"/>
    <w:uiPriority w:val="99"/>
    <w:rsid w:val="00085A2A"/>
    <w:rPr>
      <w:rFonts w:cs="Times New Roman"/>
    </w:rPr>
  </w:style>
  <w:style w:type="character" w:customStyle="1" w:styleId="documentbody">
    <w:name w:val="documentbody"/>
    <w:uiPriority w:val="99"/>
    <w:rsid w:val="00A44195"/>
    <w:rPr>
      <w:rFonts w:cs="Times New Roman"/>
    </w:rPr>
  </w:style>
  <w:style w:type="character" w:styleId="Hyperlink">
    <w:name w:val="Hyperlink"/>
    <w:uiPriority w:val="99"/>
    <w:rsid w:val="00A44195"/>
    <w:rPr>
      <w:rFonts w:cs="Times New Roman"/>
      <w:color w:val="0000FF"/>
      <w:u w:val="single"/>
    </w:rPr>
  </w:style>
  <w:style w:type="character" w:customStyle="1" w:styleId="searchterm">
    <w:name w:val="searchterm"/>
    <w:uiPriority w:val="99"/>
    <w:rsid w:val="00A44195"/>
    <w:rPr>
      <w:rFonts w:cs="Times New Roman"/>
    </w:rPr>
  </w:style>
  <w:style w:type="character" w:customStyle="1" w:styleId="documentbody1">
    <w:name w:val="documentbody1"/>
    <w:uiPriority w:val="99"/>
    <w:rsid w:val="00634FC4"/>
    <w:rPr>
      <w:rFonts w:ascii="Verdana" w:hAnsi="Verdana"/>
      <w:sz w:val="19"/>
    </w:rPr>
  </w:style>
  <w:style w:type="paragraph" w:styleId="HTMLPreformatted">
    <w:name w:val="HTML Preformatted"/>
    <w:basedOn w:val="Normal"/>
    <w:link w:val="HTMLPreformattedChar"/>
    <w:uiPriority w:val="99"/>
    <w:rsid w:val="004D4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6C3C6B"/>
    <w:rPr>
      <w:rFonts w:ascii="Courier New" w:hAnsi="Courier New" w:cs="Courier New"/>
      <w:sz w:val="20"/>
      <w:szCs w:val="20"/>
    </w:rPr>
  </w:style>
  <w:style w:type="paragraph" w:styleId="TOC3">
    <w:name w:val="toc 3"/>
    <w:basedOn w:val="Normal"/>
    <w:next w:val="Normal"/>
    <w:uiPriority w:val="99"/>
    <w:semiHidden/>
    <w:rsid w:val="00F861CC"/>
    <w:pPr>
      <w:widowControl w:val="0"/>
      <w:tabs>
        <w:tab w:val="left" w:pos="2160"/>
        <w:tab w:val="right" w:leader="dot" w:pos="9360"/>
      </w:tabs>
      <w:suppressAutoHyphens/>
      <w:autoSpaceDE w:val="0"/>
      <w:autoSpaceDN w:val="0"/>
      <w:adjustRightInd w:val="0"/>
      <w:ind w:left="2160" w:right="720" w:hanging="720"/>
      <w:jc w:val="both"/>
    </w:pPr>
    <w:rPr>
      <w:sz w:val="20"/>
      <w:szCs w:val="20"/>
    </w:rPr>
  </w:style>
  <w:style w:type="character" w:customStyle="1" w:styleId="term">
    <w:name w:val="term"/>
    <w:uiPriority w:val="99"/>
    <w:rsid w:val="002F062C"/>
    <w:rPr>
      <w:rFonts w:cs="Times New Roman"/>
    </w:rPr>
  </w:style>
  <w:style w:type="character" w:customStyle="1" w:styleId="pmterms2">
    <w:name w:val="pmterms2"/>
    <w:uiPriority w:val="99"/>
    <w:rsid w:val="003A377E"/>
    <w:rPr>
      <w:rFonts w:cs="Times New Roman"/>
    </w:rPr>
  </w:style>
  <w:style w:type="character" w:customStyle="1" w:styleId="rrfootnoteCharChar">
    <w:name w:val="rrfootnote Char Char"/>
    <w:aliases w:val="rrfootnote Char Char Char1 Char,rrfootnote Char1 Char Char,rrfootnote Char Char1"/>
    <w:uiPriority w:val="99"/>
    <w:rsid w:val="00286E98"/>
    <w:rPr>
      <w:lang w:val="en-US" w:eastAsia="en-US"/>
    </w:rPr>
  </w:style>
  <w:style w:type="character" w:customStyle="1" w:styleId="rrfootnoteCharCharCharCharChar">
    <w:name w:val="rrfootnote Char Char Char Char Char"/>
    <w:aliases w:val="Footnote Text Char Char Char Char Char Char"/>
    <w:uiPriority w:val="99"/>
    <w:locked/>
    <w:rsid w:val="00234D07"/>
    <w:rPr>
      <w:color w:val="000000"/>
      <w:lang w:val="en-US" w:eastAsia="en-US"/>
    </w:rPr>
  </w:style>
  <w:style w:type="paragraph" w:styleId="BodyTextIndent3">
    <w:name w:val="Body Text Indent 3"/>
    <w:basedOn w:val="Normal"/>
    <w:link w:val="BodyTextIndent3Char"/>
    <w:uiPriority w:val="99"/>
    <w:rsid w:val="00BF027D"/>
    <w:pPr>
      <w:spacing w:after="120"/>
      <w:ind w:left="360"/>
    </w:pPr>
    <w:rPr>
      <w:sz w:val="16"/>
      <w:szCs w:val="16"/>
    </w:rPr>
  </w:style>
  <w:style w:type="character" w:customStyle="1" w:styleId="BodyTextIndent3Char">
    <w:name w:val="Body Text Indent 3 Char"/>
    <w:link w:val="BodyTextIndent3"/>
    <w:uiPriority w:val="99"/>
    <w:semiHidden/>
    <w:rsid w:val="006C3C6B"/>
    <w:rPr>
      <w:sz w:val="16"/>
      <w:szCs w:val="16"/>
    </w:rPr>
  </w:style>
  <w:style w:type="character" w:customStyle="1" w:styleId="NOVBodyindented">
    <w:name w:val="NOV Body indented"/>
    <w:uiPriority w:val="99"/>
    <w:rsid w:val="00B6734C"/>
    <w:rPr>
      <w:sz w:val="22"/>
    </w:rPr>
  </w:style>
  <w:style w:type="paragraph" w:styleId="BodyText">
    <w:name w:val="Body Text"/>
    <w:basedOn w:val="Normal"/>
    <w:link w:val="BodyTextChar"/>
    <w:uiPriority w:val="99"/>
    <w:rsid w:val="00081BD1"/>
    <w:pPr>
      <w:spacing w:after="120"/>
    </w:pPr>
  </w:style>
  <w:style w:type="character" w:customStyle="1" w:styleId="BodyTextChar">
    <w:name w:val="Body Text Char"/>
    <w:basedOn w:val="DefaultParagraphFont"/>
    <w:link w:val="BodyText"/>
    <w:uiPriority w:val="99"/>
    <w:semiHidden/>
    <w:rsid w:val="006C3C6B"/>
  </w:style>
  <w:style w:type="character" w:customStyle="1" w:styleId="starpage">
    <w:name w:val="starpage"/>
    <w:uiPriority w:val="99"/>
    <w:rsid w:val="000C3295"/>
    <w:rPr>
      <w:rFonts w:cs="Times New Roman"/>
    </w:rPr>
  </w:style>
  <w:style w:type="character" w:styleId="CommentReference">
    <w:name w:val="annotation reference"/>
    <w:uiPriority w:val="99"/>
    <w:semiHidden/>
    <w:rsid w:val="00244FA8"/>
    <w:rPr>
      <w:rFonts w:cs="Times New Roman"/>
      <w:sz w:val="16"/>
    </w:rPr>
  </w:style>
  <w:style w:type="paragraph" w:customStyle="1" w:styleId="textinfo">
    <w:name w:val="textinfo"/>
    <w:basedOn w:val="Normal"/>
    <w:uiPriority w:val="99"/>
    <w:rsid w:val="00244FA8"/>
    <w:pPr>
      <w:spacing w:before="100" w:beforeAutospacing="1" w:after="100" w:afterAutospacing="1"/>
    </w:pPr>
    <w:rPr>
      <w:sz w:val="24"/>
      <w:szCs w:val="24"/>
    </w:rPr>
  </w:style>
  <w:style w:type="paragraph" w:styleId="CommentText">
    <w:name w:val="annotation text"/>
    <w:basedOn w:val="Normal"/>
    <w:link w:val="CommentTextChar"/>
    <w:uiPriority w:val="99"/>
    <w:semiHidden/>
    <w:rsid w:val="007E33E7"/>
    <w:rPr>
      <w:sz w:val="20"/>
      <w:szCs w:val="20"/>
    </w:rPr>
  </w:style>
  <w:style w:type="character" w:customStyle="1" w:styleId="CommentTextChar">
    <w:name w:val="Comment Text Char"/>
    <w:link w:val="CommentText"/>
    <w:uiPriority w:val="99"/>
    <w:semiHidden/>
    <w:rsid w:val="006C3C6B"/>
    <w:rPr>
      <w:sz w:val="20"/>
      <w:szCs w:val="20"/>
    </w:rPr>
  </w:style>
  <w:style w:type="paragraph" w:styleId="CommentSubject">
    <w:name w:val="annotation subject"/>
    <w:basedOn w:val="CommentText"/>
    <w:next w:val="CommentText"/>
    <w:link w:val="CommentSubjectChar"/>
    <w:uiPriority w:val="99"/>
    <w:semiHidden/>
    <w:rsid w:val="007E33E7"/>
    <w:rPr>
      <w:b/>
      <w:bCs/>
    </w:rPr>
  </w:style>
  <w:style w:type="character" w:customStyle="1" w:styleId="CommentSubjectChar">
    <w:name w:val="Comment Subject Char"/>
    <w:link w:val="CommentSubject"/>
    <w:uiPriority w:val="99"/>
    <w:semiHidden/>
    <w:rsid w:val="006C3C6B"/>
    <w:rPr>
      <w:b/>
      <w:bCs/>
      <w:sz w:val="20"/>
      <w:szCs w:val="20"/>
    </w:rPr>
  </w:style>
  <w:style w:type="paragraph" w:styleId="BalloonText">
    <w:name w:val="Balloon Text"/>
    <w:basedOn w:val="Normal"/>
    <w:link w:val="BalloonTextChar"/>
    <w:uiPriority w:val="99"/>
    <w:semiHidden/>
    <w:rsid w:val="007E33E7"/>
    <w:rPr>
      <w:rFonts w:ascii="Tahoma" w:hAnsi="Tahoma" w:cs="Tahoma"/>
      <w:sz w:val="16"/>
      <w:szCs w:val="16"/>
    </w:rPr>
  </w:style>
  <w:style w:type="character" w:customStyle="1" w:styleId="BalloonTextChar">
    <w:name w:val="Balloon Text Char"/>
    <w:link w:val="BalloonText"/>
    <w:uiPriority w:val="99"/>
    <w:semiHidden/>
    <w:rsid w:val="006C3C6B"/>
    <w:rPr>
      <w:sz w:val="0"/>
      <w:szCs w:val="0"/>
    </w:rPr>
  </w:style>
  <w:style w:type="paragraph" w:styleId="ListParagraph">
    <w:name w:val="List Paragraph"/>
    <w:basedOn w:val="Normal"/>
    <w:uiPriority w:val="99"/>
    <w:qFormat/>
    <w:rsid w:val="0081418C"/>
    <w:pPr>
      <w:ind w:left="720"/>
    </w:pPr>
  </w:style>
  <w:style w:type="paragraph" w:styleId="TOAHeading">
    <w:name w:val="toa heading"/>
    <w:basedOn w:val="Normal"/>
    <w:next w:val="Normal"/>
    <w:uiPriority w:val="99"/>
    <w:rsid w:val="00E501A8"/>
    <w:pPr>
      <w:widowControl w:val="0"/>
      <w:tabs>
        <w:tab w:val="right" w:pos="9360"/>
      </w:tabs>
      <w:suppressAutoHyphens/>
    </w:pPr>
    <w:rPr>
      <w:kern w:val="28"/>
      <w:szCs w:val="20"/>
    </w:rPr>
  </w:style>
  <w:style w:type="character" w:customStyle="1" w:styleId="FootnoteCharacters">
    <w:name w:val="Footnote Characters"/>
    <w:uiPriority w:val="99"/>
    <w:rsid w:val="006F608F"/>
    <w:rPr>
      <w:rFonts w:ascii="Times New Roman" w:hAnsi="Times New Roman"/>
      <w:color w:val="auto"/>
      <w:sz w:val="20"/>
      <w:vertAlign w:val="superscript"/>
    </w:rPr>
  </w:style>
  <w:style w:type="character" w:customStyle="1" w:styleId="FootnoteTextChar2">
    <w:name w:val="Footnote Text Char2"/>
    <w:aliases w:val="Footnote Text Char1 Char1,Footnote Text Char Char Char1,Footnote Text Char1 Char Char Char1,rrfootnote Char Char Char Char1,Footnote Text Char Char Char Char Char1,Footnote Text Char1 Char Char Char Char Char1,rrfootnote Char2"/>
    <w:rsid w:val="006F608F"/>
    <w:rPr>
      <w:sz w:val="20"/>
      <w:lang w:eastAsia="ar-SA" w:bidi="ar-SA"/>
    </w:rPr>
  </w:style>
  <w:style w:type="character" w:customStyle="1" w:styleId="apple-converted-space">
    <w:name w:val="apple-converted-space"/>
    <w:rsid w:val="00E30B2A"/>
  </w:style>
  <w:style w:type="character" w:customStyle="1" w:styleId="ParaNumChar">
    <w:name w:val="ParaNum Char"/>
    <w:link w:val="ParaNum"/>
    <w:locked/>
    <w:rsid w:val="009D09A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44"/>
    <w:rPr>
      <w:sz w:val="22"/>
      <w:szCs w:val="22"/>
    </w:rPr>
  </w:style>
  <w:style w:type="paragraph" w:styleId="Heading1">
    <w:name w:val="heading 1"/>
    <w:basedOn w:val="Normal"/>
    <w:next w:val="Normal"/>
    <w:link w:val="Heading1Char"/>
    <w:uiPriority w:val="99"/>
    <w:qFormat/>
    <w:rsid w:val="00634F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C4C7E"/>
    <w:pPr>
      <w:keepNext/>
      <w:widowControl w:val="0"/>
      <w:tabs>
        <w:tab w:val="center" w:pos="4680"/>
      </w:tabs>
      <w:suppressAutoHyphens/>
      <w:autoSpaceDE w:val="0"/>
      <w:autoSpaceDN w:val="0"/>
      <w:adjustRightInd w:val="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3C6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6C3C6B"/>
    <w:rPr>
      <w:rFonts w:ascii="Cambria" w:eastAsia="Times New Roman" w:hAnsi="Cambria" w:cs="Times New Roman"/>
      <w:b/>
      <w:bCs/>
      <w:i/>
      <w:iCs/>
      <w:sz w:val="28"/>
      <w:szCs w:val="28"/>
    </w:rPr>
  </w:style>
  <w:style w:type="character" w:styleId="FootnoteReference">
    <w:name w:val="footnote reference"/>
    <w:aliases w:val="Style 4,Style 12,(NECG) Footnote Reference,Appel note de bas de p,Style 124,Style 13,o,fr,Style 3"/>
    <w:semiHidden/>
    <w:rsid w:val="00BC4C7E"/>
    <w:rPr>
      <w:rFonts w:cs="Times New Roman"/>
      <w:sz w:val="20"/>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basedOn w:val="Normal"/>
    <w:link w:val="FootnoteTextChar"/>
    <w:rsid w:val="00B0322B"/>
    <w:pPr>
      <w:widowControl w:val="0"/>
      <w:tabs>
        <w:tab w:val="left" w:pos="720"/>
      </w:tabs>
      <w:suppressAutoHyphens/>
      <w:spacing w:after="120"/>
      <w:ind w:firstLine="360"/>
      <w:jc w:val="both"/>
    </w:pPr>
    <w:rPr>
      <w:sz w:val="20"/>
    </w:r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
    <w:link w:val="FootnoteText"/>
    <w:locked/>
    <w:rsid w:val="00B0322B"/>
    <w:rPr>
      <w:snapToGrid w:val="0"/>
      <w:sz w:val="22"/>
      <w:lang w:val="en-US" w:eastAsia="en-US"/>
    </w:rPr>
  </w:style>
  <w:style w:type="paragraph" w:styleId="BodyText2">
    <w:name w:val="Body Text 2"/>
    <w:basedOn w:val="Normal"/>
    <w:link w:val="BodyText2Char"/>
    <w:uiPriority w:val="99"/>
    <w:rsid w:val="00BC4C7E"/>
    <w:pPr>
      <w:widowControl w:val="0"/>
      <w:tabs>
        <w:tab w:val="center" w:pos="4680"/>
      </w:tabs>
      <w:suppressAutoHyphens/>
      <w:autoSpaceDE w:val="0"/>
      <w:autoSpaceDN w:val="0"/>
      <w:adjustRightInd w:val="0"/>
      <w:spacing w:line="240" w:lineRule="atLeast"/>
      <w:jc w:val="center"/>
      <w:outlineLvl w:val="0"/>
    </w:pPr>
    <w:rPr>
      <w:spacing w:val="-2"/>
      <w:sz w:val="24"/>
      <w:szCs w:val="24"/>
    </w:rPr>
  </w:style>
  <w:style w:type="character" w:customStyle="1" w:styleId="BodyText2Char">
    <w:name w:val="Body Text 2 Char"/>
    <w:basedOn w:val="DefaultParagraphFont"/>
    <w:link w:val="BodyText2"/>
    <w:uiPriority w:val="99"/>
    <w:semiHidden/>
    <w:rsid w:val="006C3C6B"/>
  </w:style>
  <w:style w:type="paragraph" w:customStyle="1" w:styleId="ParaNum">
    <w:name w:val="ParaNum"/>
    <w:basedOn w:val="Normal"/>
    <w:link w:val="ParaNumChar"/>
    <w:rsid w:val="00BC4C7E"/>
    <w:pPr>
      <w:numPr>
        <w:numId w:val="2"/>
      </w:numPr>
      <w:tabs>
        <w:tab w:val="num" w:pos="1440"/>
      </w:tabs>
      <w:spacing w:after="220"/>
    </w:pPr>
  </w:style>
  <w:style w:type="paragraph" w:styleId="Header">
    <w:name w:val="header"/>
    <w:basedOn w:val="Normal"/>
    <w:link w:val="HeaderChar"/>
    <w:uiPriority w:val="99"/>
    <w:rsid w:val="00085A2A"/>
    <w:pPr>
      <w:tabs>
        <w:tab w:val="center" w:pos="4320"/>
        <w:tab w:val="right" w:pos="8640"/>
      </w:tabs>
    </w:pPr>
  </w:style>
  <w:style w:type="character" w:customStyle="1" w:styleId="HeaderChar">
    <w:name w:val="Header Char"/>
    <w:basedOn w:val="DefaultParagraphFont"/>
    <w:link w:val="Header"/>
    <w:uiPriority w:val="99"/>
    <w:semiHidden/>
    <w:rsid w:val="006C3C6B"/>
  </w:style>
  <w:style w:type="paragraph" w:styleId="Footer">
    <w:name w:val="footer"/>
    <w:basedOn w:val="Normal"/>
    <w:link w:val="FooterChar"/>
    <w:uiPriority w:val="99"/>
    <w:rsid w:val="00085A2A"/>
    <w:pPr>
      <w:tabs>
        <w:tab w:val="center" w:pos="4320"/>
        <w:tab w:val="right" w:pos="8640"/>
      </w:tabs>
    </w:pPr>
  </w:style>
  <w:style w:type="character" w:customStyle="1" w:styleId="FooterChar">
    <w:name w:val="Footer Char"/>
    <w:basedOn w:val="DefaultParagraphFont"/>
    <w:link w:val="Footer"/>
    <w:uiPriority w:val="99"/>
    <w:semiHidden/>
    <w:rsid w:val="006C3C6B"/>
  </w:style>
  <w:style w:type="character" w:styleId="PageNumber">
    <w:name w:val="page number"/>
    <w:uiPriority w:val="99"/>
    <w:rsid w:val="00085A2A"/>
    <w:rPr>
      <w:rFonts w:cs="Times New Roman"/>
    </w:rPr>
  </w:style>
  <w:style w:type="character" w:customStyle="1" w:styleId="documentbody">
    <w:name w:val="documentbody"/>
    <w:uiPriority w:val="99"/>
    <w:rsid w:val="00A44195"/>
    <w:rPr>
      <w:rFonts w:cs="Times New Roman"/>
    </w:rPr>
  </w:style>
  <w:style w:type="character" w:styleId="Hyperlink">
    <w:name w:val="Hyperlink"/>
    <w:uiPriority w:val="99"/>
    <w:rsid w:val="00A44195"/>
    <w:rPr>
      <w:rFonts w:cs="Times New Roman"/>
      <w:color w:val="0000FF"/>
      <w:u w:val="single"/>
    </w:rPr>
  </w:style>
  <w:style w:type="character" w:customStyle="1" w:styleId="searchterm">
    <w:name w:val="searchterm"/>
    <w:uiPriority w:val="99"/>
    <w:rsid w:val="00A44195"/>
    <w:rPr>
      <w:rFonts w:cs="Times New Roman"/>
    </w:rPr>
  </w:style>
  <w:style w:type="character" w:customStyle="1" w:styleId="documentbody1">
    <w:name w:val="documentbody1"/>
    <w:uiPriority w:val="99"/>
    <w:rsid w:val="00634FC4"/>
    <w:rPr>
      <w:rFonts w:ascii="Verdana" w:hAnsi="Verdana"/>
      <w:sz w:val="19"/>
    </w:rPr>
  </w:style>
  <w:style w:type="paragraph" w:styleId="HTMLPreformatted">
    <w:name w:val="HTML Preformatted"/>
    <w:basedOn w:val="Normal"/>
    <w:link w:val="HTMLPreformattedChar"/>
    <w:uiPriority w:val="99"/>
    <w:rsid w:val="004D4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6C3C6B"/>
    <w:rPr>
      <w:rFonts w:ascii="Courier New" w:hAnsi="Courier New" w:cs="Courier New"/>
      <w:sz w:val="20"/>
      <w:szCs w:val="20"/>
    </w:rPr>
  </w:style>
  <w:style w:type="paragraph" w:styleId="TOC3">
    <w:name w:val="toc 3"/>
    <w:basedOn w:val="Normal"/>
    <w:next w:val="Normal"/>
    <w:uiPriority w:val="99"/>
    <w:semiHidden/>
    <w:rsid w:val="00F861CC"/>
    <w:pPr>
      <w:widowControl w:val="0"/>
      <w:tabs>
        <w:tab w:val="left" w:pos="2160"/>
        <w:tab w:val="right" w:leader="dot" w:pos="9360"/>
      </w:tabs>
      <w:suppressAutoHyphens/>
      <w:autoSpaceDE w:val="0"/>
      <w:autoSpaceDN w:val="0"/>
      <w:adjustRightInd w:val="0"/>
      <w:ind w:left="2160" w:right="720" w:hanging="720"/>
      <w:jc w:val="both"/>
    </w:pPr>
    <w:rPr>
      <w:sz w:val="20"/>
      <w:szCs w:val="20"/>
    </w:rPr>
  </w:style>
  <w:style w:type="character" w:customStyle="1" w:styleId="term">
    <w:name w:val="term"/>
    <w:uiPriority w:val="99"/>
    <w:rsid w:val="002F062C"/>
    <w:rPr>
      <w:rFonts w:cs="Times New Roman"/>
    </w:rPr>
  </w:style>
  <w:style w:type="character" w:customStyle="1" w:styleId="pmterms2">
    <w:name w:val="pmterms2"/>
    <w:uiPriority w:val="99"/>
    <w:rsid w:val="003A377E"/>
    <w:rPr>
      <w:rFonts w:cs="Times New Roman"/>
    </w:rPr>
  </w:style>
  <w:style w:type="character" w:customStyle="1" w:styleId="rrfootnoteCharChar">
    <w:name w:val="rrfootnote Char Char"/>
    <w:aliases w:val="rrfootnote Char Char Char1 Char,rrfootnote Char1 Char Char,rrfootnote Char Char1"/>
    <w:uiPriority w:val="99"/>
    <w:rsid w:val="00286E98"/>
    <w:rPr>
      <w:lang w:val="en-US" w:eastAsia="en-US"/>
    </w:rPr>
  </w:style>
  <w:style w:type="character" w:customStyle="1" w:styleId="rrfootnoteCharCharCharCharChar">
    <w:name w:val="rrfootnote Char Char Char Char Char"/>
    <w:aliases w:val="Footnote Text Char Char Char Char Char Char"/>
    <w:uiPriority w:val="99"/>
    <w:locked/>
    <w:rsid w:val="00234D07"/>
    <w:rPr>
      <w:color w:val="000000"/>
      <w:lang w:val="en-US" w:eastAsia="en-US"/>
    </w:rPr>
  </w:style>
  <w:style w:type="paragraph" w:styleId="BodyTextIndent3">
    <w:name w:val="Body Text Indent 3"/>
    <w:basedOn w:val="Normal"/>
    <w:link w:val="BodyTextIndent3Char"/>
    <w:uiPriority w:val="99"/>
    <w:rsid w:val="00BF027D"/>
    <w:pPr>
      <w:spacing w:after="120"/>
      <w:ind w:left="360"/>
    </w:pPr>
    <w:rPr>
      <w:sz w:val="16"/>
      <w:szCs w:val="16"/>
    </w:rPr>
  </w:style>
  <w:style w:type="character" w:customStyle="1" w:styleId="BodyTextIndent3Char">
    <w:name w:val="Body Text Indent 3 Char"/>
    <w:link w:val="BodyTextIndent3"/>
    <w:uiPriority w:val="99"/>
    <w:semiHidden/>
    <w:rsid w:val="006C3C6B"/>
    <w:rPr>
      <w:sz w:val="16"/>
      <w:szCs w:val="16"/>
    </w:rPr>
  </w:style>
  <w:style w:type="character" w:customStyle="1" w:styleId="NOVBodyindented">
    <w:name w:val="NOV Body indented"/>
    <w:uiPriority w:val="99"/>
    <w:rsid w:val="00B6734C"/>
    <w:rPr>
      <w:sz w:val="22"/>
    </w:rPr>
  </w:style>
  <w:style w:type="paragraph" w:styleId="BodyText">
    <w:name w:val="Body Text"/>
    <w:basedOn w:val="Normal"/>
    <w:link w:val="BodyTextChar"/>
    <w:uiPriority w:val="99"/>
    <w:rsid w:val="00081BD1"/>
    <w:pPr>
      <w:spacing w:after="120"/>
    </w:pPr>
  </w:style>
  <w:style w:type="character" w:customStyle="1" w:styleId="BodyTextChar">
    <w:name w:val="Body Text Char"/>
    <w:basedOn w:val="DefaultParagraphFont"/>
    <w:link w:val="BodyText"/>
    <w:uiPriority w:val="99"/>
    <w:semiHidden/>
    <w:rsid w:val="006C3C6B"/>
  </w:style>
  <w:style w:type="character" w:customStyle="1" w:styleId="starpage">
    <w:name w:val="starpage"/>
    <w:uiPriority w:val="99"/>
    <w:rsid w:val="000C3295"/>
    <w:rPr>
      <w:rFonts w:cs="Times New Roman"/>
    </w:rPr>
  </w:style>
  <w:style w:type="character" w:styleId="CommentReference">
    <w:name w:val="annotation reference"/>
    <w:uiPriority w:val="99"/>
    <w:semiHidden/>
    <w:rsid w:val="00244FA8"/>
    <w:rPr>
      <w:rFonts w:cs="Times New Roman"/>
      <w:sz w:val="16"/>
    </w:rPr>
  </w:style>
  <w:style w:type="paragraph" w:customStyle="1" w:styleId="textinfo">
    <w:name w:val="textinfo"/>
    <w:basedOn w:val="Normal"/>
    <w:uiPriority w:val="99"/>
    <w:rsid w:val="00244FA8"/>
    <w:pPr>
      <w:spacing w:before="100" w:beforeAutospacing="1" w:after="100" w:afterAutospacing="1"/>
    </w:pPr>
    <w:rPr>
      <w:sz w:val="24"/>
      <w:szCs w:val="24"/>
    </w:rPr>
  </w:style>
  <w:style w:type="paragraph" w:styleId="CommentText">
    <w:name w:val="annotation text"/>
    <w:basedOn w:val="Normal"/>
    <w:link w:val="CommentTextChar"/>
    <w:uiPriority w:val="99"/>
    <w:semiHidden/>
    <w:rsid w:val="007E33E7"/>
    <w:rPr>
      <w:sz w:val="20"/>
      <w:szCs w:val="20"/>
    </w:rPr>
  </w:style>
  <w:style w:type="character" w:customStyle="1" w:styleId="CommentTextChar">
    <w:name w:val="Comment Text Char"/>
    <w:link w:val="CommentText"/>
    <w:uiPriority w:val="99"/>
    <w:semiHidden/>
    <w:rsid w:val="006C3C6B"/>
    <w:rPr>
      <w:sz w:val="20"/>
      <w:szCs w:val="20"/>
    </w:rPr>
  </w:style>
  <w:style w:type="paragraph" w:styleId="CommentSubject">
    <w:name w:val="annotation subject"/>
    <w:basedOn w:val="CommentText"/>
    <w:next w:val="CommentText"/>
    <w:link w:val="CommentSubjectChar"/>
    <w:uiPriority w:val="99"/>
    <w:semiHidden/>
    <w:rsid w:val="007E33E7"/>
    <w:rPr>
      <w:b/>
      <w:bCs/>
    </w:rPr>
  </w:style>
  <w:style w:type="character" w:customStyle="1" w:styleId="CommentSubjectChar">
    <w:name w:val="Comment Subject Char"/>
    <w:link w:val="CommentSubject"/>
    <w:uiPriority w:val="99"/>
    <w:semiHidden/>
    <w:rsid w:val="006C3C6B"/>
    <w:rPr>
      <w:b/>
      <w:bCs/>
      <w:sz w:val="20"/>
      <w:szCs w:val="20"/>
    </w:rPr>
  </w:style>
  <w:style w:type="paragraph" w:styleId="BalloonText">
    <w:name w:val="Balloon Text"/>
    <w:basedOn w:val="Normal"/>
    <w:link w:val="BalloonTextChar"/>
    <w:uiPriority w:val="99"/>
    <w:semiHidden/>
    <w:rsid w:val="007E33E7"/>
    <w:rPr>
      <w:rFonts w:ascii="Tahoma" w:hAnsi="Tahoma" w:cs="Tahoma"/>
      <w:sz w:val="16"/>
      <w:szCs w:val="16"/>
    </w:rPr>
  </w:style>
  <w:style w:type="character" w:customStyle="1" w:styleId="BalloonTextChar">
    <w:name w:val="Balloon Text Char"/>
    <w:link w:val="BalloonText"/>
    <w:uiPriority w:val="99"/>
    <w:semiHidden/>
    <w:rsid w:val="006C3C6B"/>
    <w:rPr>
      <w:sz w:val="0"/>
      <w:szCs w:val="0"/>
    </w:rPr>
  </w:style>
  <w:style w:type="paragraph" w:styleId="ListParagraph">
    <w:name w:val="List Paragraph"/>
    <w:basedOn w:val="Normal"/>
    <w:uiPriority w:val="99"/>
    <w:qFormat/>
    <w:rsid w:val="0081418C"/>
    <w:pPr>
      <w:ind w:left="720"/>
    </w:pPr>
  </w:style>
  <w:style w:type="paragraph" w:styleId="TOAHeading">
    <w:name w:val="toa heading"/>
    <w:basedOn w:val="Normal"/>
    <w:next w:val="Normal"/>
    <w:uiPriority w:val="99"/>
    <w:rsid w:val="00E501A8"/>
    <w:pPr>
      <w:widowControl w:val="0"/>
      <w:tabs>
        <w:tab w:val="right" w:pos="9360"/>
      </w:tabs>
      <w:suppressAutoHyphens/>
    </w:pPr>
    <w:rPr>
      <w:kern w:val="28"/>
      <w:szCs w:val="20"/>
    </w:rPr>
  </w:style>
  <w:style w:type="character" w:customStyle="1" w:styleId="FootnoteCharacters">
    <w:name w:val="Footnote Characters"/>
    <w:uiPriority w:val="99"/>
    <w:rsid w:val="006F608F"/>
    <w:rPr>
      <w:rFonts w:ascii="Times New Roman" w:hAnsi="Times New Roman"/>
      <w:color w:val="auto"/>
      <w:sz w:val="20"/>
      <w:vertAlign w:val="superscript"/>
    </w:rPr>
  </w:style>
  <w:style w:type="character" w:customStyle="1" w:styleId="FootnoteTextChar2">
    <w:name w:val="Footnote Text Char2"/>
    <w:aliases w:val="Footnote Text Char1 Char1,Footnote Text Char Char Char1,Footnote Text Char1 Char Char Char1,rrfootnote Char Char Char Char1,Footnote Text Char Char Char Char Char1,Footnote Text Char1 Char Char Char Char Char1,rrfootnote Char2"/>
    <w:rsid w:val="006F608F"/>
    <w:rPr>
      <w:sz w:val="20"/>
      <w:lang w:eastAsia="ar-SA" w:bidi="ar-SA"/>
    </w:rPr>
  </w:style>
  <w:style w:type="character" w:customStyle="1" w:styleId="apple-converted-space">
    <w:name w:val="apple-converted-space"/>
    <w:rsid w:val="00E30B2A"/>
  </w:style>
  <w:style w:type="character" w:customStyle="1" w:styleId="ParaNumChar">
    <w:name w:val="ParaNum Char"/>
    <w:link w:val="ParaNum"/>
    <w:locked/>
    <w:rsid w:val="009D09A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61415">
      <w:marLeft w:val="0"/>
      <w:marRight w:val="0"/>
      <w:marTop w:val="0"/>
      <w:marBottom w:val="0"/>
      <w:divBdr>
        <w:top w:val="none" w:sz="0" w:space="0" w:color="auto"/>
        <w:left w:val="none" w:sz="0" w:space="0" w:color="auto"/>
        <w:bottom w:val="none" w:sz="0" w:space="0" w:color="auto"/>
        <w:right w:val="none" w:sz="0" w:space="0" w:color="auto"/>
      </w:divBdr>
    </w:div>
    <w:div w:id="310061416">
      <w:marLeft w:val="0"/>
      <w:marRight w:val="0"/>
      <w:marTop w:val="0"/>
      <w:marBottom w:val="0"/>
      <w:divBdr>
        <w:top w:val="none" w:sz="0" w:space="0" w:color="auto"/>
        <w:left w:val="none" w:sz="0" w:space="0" w:color="auto"/>
        <w:bottom w:val="none" w:sz="0" w:space="0" w:color="auto"/>
        <w:right w:val="none" w:sz="0" w:space="0" w:color="auto"/>
      </w:divBdr>
      <w:divsChild>
        <w:div w:id="310061422">
          <w:marLeft w:val="720"/>
          <w:marRight w:val="720"/>
          <w:marTop w:val="100"/>
          <w:marBottom w:val="100"/>
          <w:divBdr>
            <w:top w:val="none" w:sz="0" w:space="0" w:color="auto"/>
            <w:left w:val="none" w:sz="0" w:space="0" w:color="auto"/>
            <w:bottom w:val="none" w:sz="0" w:space="0" w:color="auto"/>
            <w:right w:val="none" w:sz="0" w:space="0" w:color="auto"/>
          </w:divBdr>
        </w:div>
        <w:div w:id="310061423">
          <w:marLeft w:val="720"/>
          <w:marRight w:val="720"/>
          <w:marTop w:val="100"/>
          <w:marBottom w:val="100"/>
          <w:divBdr>
            <w:top w:val="none" w:sz="0" w:space="0" w:color="auto"/>
            <w:left w:val="none" w:sz="0" w:space="0" w:color="auto"/>
            <w:bottom w:val="none" w:sz="0" w:space="0" w:color="auto"/>
            <w:right w:val="none" w:sz="0" w:space="0" w:color="auto"/>
          </w:divBdr>
        </w:div>
      </w:divsChild>
    </w:div>
    <w:div w:id="310061417">
      <w:marLeft w:val="0"/>
      <w:marRight w:val="0"/>
      <w:marTop w:val="0"/>
      <w:marBottom w:val="0"/>
      <w:divBdr>
        <w:top w:val="none" w:sz="0" w:space="0" w:color="auto"/>
        <w:left w:val="none" w:sz="0" w:space="0" w:color="auto"/>
        <w:bottom w:val="none" w:sz="0" w:space="0" w:color="auto"/>
        <w:right w:val="none" w:sz="0" w:space="0" w:color="auto"/>
      </w:divBdr>
    </w:div>
    <w:div w:id="310061418">
      <w:marLeft w:val="0"/>
      <w:marRight w:val="0"/>
      <w:marTop w:val="0"/>
      <w:marBottom w:val="0"/>
      <w:divBdr>
        <w:top w:val="none" w:sz="0" w:space="0" w:color="auto"/>
        <w:left w:val="none" w:sz="0" w:space="0" w:color="auto"/>
        <w:bottom w:val="none" w:sz="0" w:space="0" w:color="auto"/>
        <w:right w:val="none" w:sz="0" w:space="0" w:color="auto"/>
      </w:divBdr>
    </w:div>
    <w:div w:id="310061419">
      <w:marLeft w:val="0"/>
      <w:marRight w:val="0"/>
      <w:marTop w:val="0"/>
      <w:marBottom w:val="0"/>
      <w:divBdr>
        <w:top w:val="none" w:sz="0" w:space="0" w:color="auto"/>
        <w:left w:val="none" w:sz="0" w:space="0" w:color="auto"/>
        <w:bottom w:val="none" w:sz="0" w:space="0" w:color="auto"/>
        <w:right w:val="none" w:sz="0" w:space="0" w:color="auto"/>
      </w:divBdr>
    </w:div>
    <w:div w:id="310061420">
      <w:marLeft w:val="0"/>
      <w:marRight w:val="0"/>
      <w:marTop w:val="0"/>
      <w:marBottom w:val="0"/>
      <w:divBdr>
        <w:top w:val="none" w:sz="0" w:space="0" w:color="auto"/>
        <w:left w:val="none" w:sz="0" w:space="0" w:color="auto"/>
        <w:bottom w:val="none" w:sz="0" w:space="0" w:color="auto"/>
        <w:right w:val="none" w:sz="0" w:space="0" w:color="auto"/>
      </w:divBdr>
    </w:div>
    <w:div w:id="310061421">
      <w:marLeft w:val="0"/>
      <w:marRight w:val="0"/>
      <w:marTop w:val="0"/>
      <w:marBottom w:val="0"/>
      <w:divBdr>
        <w:top w:val="none" w:sz="0" w:space="0" w:color="auto"/>
        <w:left w:val="none" w:sz="0" w:space="0" w:color="auto"/>
        <w:bottom w:val="none" w:sz="0" w:space="0" w:color="auto"/>
        <w:right w:val="none" w:sz="0" w:space="0" w:color="auto"/>
      </w:divBdr>
    </w:div>
    <w:div w:id="310061424">
      <w:marLeft w:val="0"/>
      <w:marRight w:val="0"/>
      <w:marTop w:val="0"/>
      <w:marBottom w:val="0"/>
      <w:divBdr>
        <w:top w:val="none" w:sz="0" w:space="0" w:color="auto"/>
        <w:left w:val="none" w:sz="0" w:space="0" w:color="auto"/>
        <w:bottom w:val="none" w:sz="0" w:space="0" w:color="auto"/>
        <w:right w:val="none" w:sz="0" w:space="0" w:color="auto"/>
      </w:divBdr>
    </w:div>
    <w:div w:id="998772233">
      <w:bodyDiv w:val="1"/>
      <w:marLeft w:val="0"/>
      <w:marRight w:val="0"/>
      <w:marTop w:val="0"/>
      <w:marBottom w:val="0"/>
      <w:divBdr>
        <w:top w:val="none" w:sz="0" w:space="0" w:color="auto"/>
        <w:left w:val="none" w:sz="0" w:space="0" w:color="auto"/>
        <w:bottom w:val="none" w:sz="0" w:space="0" w:color="auto"/>
        <w:right w:val="none" w:sz="0" w:space="0" w:color="auto"/>
      </w:divBdr>
    </w:div>
    <w:div w:id="180172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1487</Words>
  <Characters>7931</Characters>
  <Application>Microsoft Office Word</Application>
  <DocSecurity>0</DocSecurity>
  <Lines>141</Lines>
  <Paragraphs>42</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9469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2012-02-23T18:40:00Z</cp:lastPrinted>
  <dcterms:created xsi:type="dcterms:W3CDTF">2014-07-15T13:34:00Z</dcterms:created>
  <dcterms:modified xsi:type="dcterms:W3CDTF">2014-07-15T13:34:00Z</dcterms:modified>
  <cp:category> </cp:category>
  <cp:contentStatus> </cp:contentStatus>
</cp:coreProperties>
</file>