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AD1A" w14:textId="2AEF7183" w:rsidR="006B3F4E" w:rsidRDefault="009E5CDC">
      <w:pPr>
        <w:jc w:val="right"/>
        <w:rPr>
          <w:b/>
        </w:rPr>
      </w:pPr>
      <w:bookmarkStart w:id="0" w:name="_GoBack"/>
      <w:bookmarkEnd w:id="0"/>
      <w:r>
        <w:rPr>
          <w:b/>
        </w:rPr>
        <w:t>DA</w:t>
      </w:r>
      <w:r w:rsidR="006B3F4E">
        <w:rPr>
          <w:b/>
        </w:rPr>
        <w:t xml:space="preserve"> 1</w:t>
      </w:r>
      <w:r w:rsidR="005703E2">
        <w:rPr>
          <w:b/>
        </w:rPr>
        <w:t>4</w:t>
      </w:r>
      <w:r w:rsidR="006B3F4E">
        <w:rPr>
          <w:b/>
        </w:rPr>
        <w:t>-</w:t>
      </w:r>
      <w:r w:rsidR="00A2216D">
        <w:rPr>
          <w:b/>
        </w:rPr>
        <w:t>98</w:t>
      </w:r>
      <w:r w:rsidR="00586A36">
        <w:rPr>
          <w:b/>
        </w:rPr>
        <w:t xml:space="preserve"> </w:t>
      </w:r>
    </w:p>
    <w:p w14:paraId="61009762" w14:textId="59C75AE9" w:rsidR="006B3F4E" w:rsidRDefault="006B3F4E">
      <w:pPr>
        <w:jc w:val="right"/>
        <w:rPr>
          <w:b/>
        </w:rPr>
      </w:pPr>
      <w:r>
        <w:rPr>
          <w:b/>
        </w:rPr>
        <w:t>Release</w:t>
      </w:r>
      <w:r w:rsidR="002107A8">
        <w:rPr>
          <w:b/>
        </w:rPr>
        <w:t xml:space="preserve"> Date</w:t>
      </w:r>
      <w:r>
        <w:rPr>
          <w:b/>
        </w:rPr>
        <w:t xml:space="preserve">:  </w:t>
      </w:r>
      <w:r w:rsidR="005703E2">
        <w:rPr>
          <w:b/>
        </w:rPr>
        <w:t>January</w:t>
      </w:r>
      <w:r w:rsidR="00EB49AF">
        <w:rPr>
          <w:b/>
        </w:rPr>
        <w:t xml:space="preserve"> </w:t>
      </w:r>
      <w:r w:rsidR="00B9533D">
        <w:rPr>
          <w:b/>
        </w:rPr>
        <w:t>29</w:t>
      </w:r>
      <w:r w:rsidR="00EB49AF">
        <w:rPr>
          <w:b/>
        </w:rPr>
        <w:t xml:space="preserve">, </w:t>
      </w:r>
      <w:r w:rsidR="005703E2">
        <w:rPr>
          <w:b/>
        </w:rPr>
        <w:t>2014</w:t>
      </w:r>
    </w:p>
    <w:p w14:paraId="6EBC7BBE" w14:textId="77777777" w:rsidR="006B3F4E" w:rsidRDefault="006B3F4E">
      <w:pPr>
        <w:spacing w:before="60"/>
        <w:jc w:val="right"/>
        <w:rPr>
          <w:b/>
        </w:rPr>
      </w:pPr>
    </w:p>
    <w:p w14:paraId="4FE40C80" w14:textId="77777777" w:rsidR="002D23AF" w:rsidRDefault="00BF121E" w:rsidP="006951C9">
      <w:pPr>
        <w:spacing w:before="31"/>
        <w:jc w:val="center"/>
        <w:rPr>
          <w:b/>
          <w:bCs/>
          <w:spacing w:val="-5"/>
        </w:rPr>
      </w:pPr>
      <w:r>
        <w:rPr>
          <w:b/>
          <w:bCs/>
          <w:spacing w:val="-5"/>
        </w:rPr>
        <w:t>OFFICE OF ENGINEE</w:t>
      </w:r>
      <w:r w:rsidR="00B364D4">
        <w:rPr>
          <w:b/>
          <w:bCs/>
          <w:spacing w:val="-5"/>
        </w:rPr>
        <w:t>R</w:t>
      </w:r>
      <w:r>
        <w:rPr>
          <w:b/>
          <w:bCs/>
          <w:spacing w:val="-5"/>
        </w:rPr>
        <w:t xml:space="preserve">ING </w:t>
      </w:r>
      <w:r w:rsidR="002D23AF">
        <w:rPr>
          <w:b/>
          <w:bCs/>
          <w:spacing w:val="-5"/>
        </w:rPr>
        <w:t>AND TECHNOLOGY</w:t>
      </w:r>
    </w:p>
    <w:p w14:paraId="772DCB62" w14:textId="10A1D018" w:rsidR="00E347D0" w:rsidRDefault="00A97BA5" w:rsidP="006951C9">
      <w:pPr>
        <w:spacing w:before="31"/>
        <w:jc w:val="center"/>
        <w:rPr>
          <w:b/>
          <w:bCs/>
          <w:spacing w:val="-5"/>
        </w:rPr>
      </w:pPr>
      <w:r>
        <w:rPr>
          <w:b/>
          <w:bCs/>
          <w:spacing w:val="-5"/>
        </w:rPr>
        <w:t xml:space="preserve">SEEKS </w:t>
      </w:r>
      <w:r w:rsidR="00B8234C">
        <w:rPr>
          <w:b/>
          <w:bCs/>
          <w:spacing w:val="-5"/>
        </w:rPr>
        <w:t xml:space="preserve">TO SUPPLEMENT THE </w:t>
      </w:r>
      <w:r w:rsidR="00E347D0">
        <w:rPr>
          <w:b/>
          <w:bCs/>
          <w:spacing w:val="-5"/>
        </w:rPr>
        <w:t xml:space="preserve">INCENTIVE AUCTION PROCEEDING </w:t>
      </w:r>
      <w:r w:rsidR="00B8234C">
        <w:rPr>
          <w:b/>
          <w:bCs/>
          <w:spacing w:val="-5"/>
        </w:rPr>
        <w:t xml:space="preserve">RECORD </w:t>
      </w:r>
    </w:p>
    <w:p w14:paraId="2B20E5FD" w14:textId="78AFF7A1" w:rsidR="00C2477E" w:rsidRDefault="00E347D0" w:rsidP="006951C9">
      <w:pPr>
        <w:spacing w:before="31"/>
        <w:jc w:val="center"/>
        <w:rPr>
          <w:b/>
          <w:bCs/>
          <w:spacing w:val="-5"/>
        </w:rPr>
      </w:pPr>
      <w:r>
        <w:rPr>
          <w:b/>
          <w:bCs/>
          <w:spacing w:val="-5"/>
        </w:rPr>
        <w:t>REGARDING</w:t>
      </w:r>
      <w:r w:rsidR="00C2477E">
        <w:rPr>
          <w:b/>
          <w:bCs/>
          <w:spacing w:val="-5"/>
        </w:rPr>
        <w:t xml:space="preserve"> POTENTIAL</w:t>
      </w:r>
      <w:r w:rsidR="00B8234C">
        <w:rPr>
          <w:b/>
          <w:bCs/>
          <w:spacing w:val="-5"/>
        </w:rPr>
        <w:t xml:space="preserve"> INTERFERENCE BETWEEN</w:t>
      </w:r>
    </w:p>
    <w:p w14:paraId="7AC07AAA" w14:textId="11BBE283" w:rsidR="002D6CDC" w:rsidRPr="003F192E" w:rsidRDefault="00C2477E" w:rsidP="00B8234C">
      <w:pPr>
        <w:spacing w:before="31"/>
        <w:jc w:val="center"/>
        <w:rPr>
          <w:b/>
          <w:bCs/>
          <w:spacing w:val="-5"/>
        </w:rPr>
      </w:pPr>
      <w:r>
        <w:rPr>
          <w:b/>
          <w:bCs/>
          <w:spacing w:val="-5"/>
        </w:rPr>
        <w:t>BROADCAST TELEVISION</w:t>
      </w:r>
      <w:r w:rsidR="00B8234C">
        <w:rPr>
          <w:b/>
          <w:bCs/>
          <w:spacing w:val="-5"/>
        </w:rPr>
        <w:t xml:space="preserve"> AND </w:t>
      </w:r>
      <w:r>
        <w:rPr>
          <w:b/>
          <w:bCs/>
          <w:spacing w:val="-5"/>
        </w:rPr>
        <w:t xml:space="preserve">WIRELESS </w:t>
      </w:r>
      <w:r w:rsidR="00B8234C">
        <w:rPr>
          <w:b/>
          <w:bCs/>
          <w:spacing w:val="-5"/>
        </w:rPr>
        <w:t>SERVICES</w:t>
      </w:r>
    </w:p>
    <w:p w14:paraId="555FEEAF" w14:textId="77777777" w:rsidR="006B3F4E" w:rsidRDefault="006B3F4E" w:rsidP="003F192E">
      <w:pPr>
        <w:spacing w:before="31"/>
        <w:jc w:val="center"/>
        <w:rPr>
          <w:sz w:val="24"/>
          <w:szCs w:val="24"/>
        </w:rPr>
      </w:pPr>
    </w:p>
    <w:p w14:paraId="5C549FAA" w14:textId="0AB0BD47" w:rsidR="00D40788" w:rsidRDefault="00FD26FD" w:rsidP="006951C9">
      <w:pPr>
        <w:spacing w:before="13" w:line="240" w:lineRule="exact"/>
        <w:jc w:val="center"/>
        <w:rPr>
          <w:b/>
        </w:rPr>
      </w:pPr>
      <w:r>
        <w:rPr>
          <w:b/>
        </w:rPr>
        <w:t>ET</w:t>
      </w:r>
      <w:r w:rsidR="0014350A">
        <w:rPr>
          <w:b/>
        </w:rPr>
        <w:t xml:space="preserve"> </w:t>
      </w:r>
      <w:r w:rsidR="002107A8">
        <w:rPr>
          <w:b/>
        </w:rPr>
        <w:t>Docket No. 1</w:t>
      </w:r>
      <w:r w:rsidR="005703E2">
        <w:rPr>
          <w:b/>
        </w:rPr>
        <w:t>4</w:t>
      </w:r>
      <w:r w:rsidR="002107A8">
        <w:rPr>
          <w:b/>
        </w:rPr>
        <w:t>-</w:t>
      </w:r>
      <w:r w:rsidR="00A2216D">
        <w:rPr>
          <w:b/>
        </w:rPr>
        <w:t>14</w:t>
      </w:r>
    </w:p>
    <w:p w14:paraId="357E32C5" w14:textId="2AB8E7E3" w:rsidR="002107A8" w:rsidRDefault="0014350A" w:rsidP="006951C9">
      <w:pPr>
        <w:spacing w:before="13" w:line="240" w:lineRule="exact"/>
        <w:jc w:val="center"/>
        <w:rPr>
          <w:b/>
        </w:rPr>
      </w:pPr>
      <w:r>
        <w:rPr>
          <w:b/>
        </w:rPr>
        <w:t xml:space="preserve">GN </w:t>
      </w:r>
      <w:r w:rsidR="00DF3EE4">
        <w:rPr>
          <w:b/>
        </w:rPr>
        <w:t>Docket No. 12-2</w:t>
      </w:r>
      <w:r w:rsidR="005703E2">
        <w:rPr>
          <w:b/>
        </w:rPr>
        <w:t>68</w:t>
      </w:r>
    </w:p>
    <w:p w14:paraId="456E8CA1" w14:textId="77777777" w:rsidR="002107A8" w:rsidRDefault="002107A8" w:rsidP="006951C9">
      <w:pPr>
        <w:spacing w:before="13" w:line="240" w:lineRule="exact"/>
        <w:jc w:val="center"/>
        <w:rPr>
          <w:b/>
        </w:rPr>
      </w:pPr>
    </w:p>
    <w:p w14:paraId="3D15C6E5" w14:textId="190ACCFA" w:rsidR="002107A8" w:rsidRDefault="008D036E" w:rsidP="006951C9">
      <w:pPr>
        <w:spacing w:before="13" w:line="240" w:lineRule="exact"/>
        <w:rPr>
          <w:b/>
        </w:rPr>
      </w:pPr>
      <w:r>
        <w:rPr>
          <w:b/>
        </w:rPr>
        <w:t>Comments D</w:t>
      </w:r>
      <w:r w:rsidR="0039078B">
        <w:rPr>
          <w:b/>
        </w:rPr>
        <w:t>ate</w:t>
      </w:r>
      <w:r w:rsidR="002107A8" w:rsidRPr="002107A8">
        <w:rPr>
          <w:b/>
        </w:rPr>
        <w:t xml:space="preserve">:  </w:t>
      </w:r>
      <w:r>
        <w:rPr>
          <w:b/>
        </w:rPr>
        <w:t>February 28, 2014</w:t>
      </w:r>
    </w:p>
    <w:p w14:paraId="3B38A35A" w14:textId="77777777" w:rsidR="00D40788" w:rsidRDefault="00D40788" w:rsidP="006951C9">
      <w:pPr>
        <w:spacing w:before="13" w:line="240" w:lineRule="exact"/>
        <w:jc w:val="center"/>
        <w:rPr>
          <w:sz w:val="24"/>
          <w:szCs w:val="24"/>
        </w:rPr>
      </w:pPr>
    </w:p>
    <w:p w14:paraId="1D0166D7" w14:textId="77777777" w:rsidR="009310F2" w:rsidRDefault="009310F2">
      <w:pPr>
        <w:rPr>
          <w:b/>
          <w:bCs/>
        </w:rPr>
      </w:pPr>
    </w:p>
    <w:p w14:paraId="49337FA2" w14:textId="08874346" w:rsidR="00DA72B6" w:rsidRDefault="009310F2">
      <w:pPr>
        <w:ind w:firstLine="720"/>
        <w:jc w:val="both"/>
      </w:pPr>
      <w:r w:rsidRPr="009310F2">
        <w:rPr>
          <w:bCs/>
        </w:rPr>
        <w:t xml:space="preserve">The FCC’s Office of Engineering and Technology (OET) seeks </w:t>
      </w:r>
      <w:r w:rsidR="00B8234C">
        <w:rPr>
          <w:bCs/>
        </w:rPr>
        <w:t xml:space="preserve">to supplement the record in the incentive auction proceeding </w:t>
      </w:r>
      <w:r w:rsidR="007B0DDC">
        <w:rPr>
          <w:bCs/>
        </w:rPr>
        <w:t xml:space="preserve">by inviting </w:t>
      </w:r>
      <w:r w:rsidRPr="009310F2">
        <w:rPr>
          <w:bCs/>
        </w:rPr>
        <w:t>comment on a methodology for predicting potential interference</w:t>
      </w:r>
      <w:r w:rsidR="007B0DDC">
        <w:rPr>
          <w:bCs/>
        </w:rPr>
        <w:t xml:space="preserve"> </w:t>
      </w:r>
      <w:r w:rsidRPr="009310F2">
        <w:rPr>
          <w:bCs/>
        </w:rPr>
        <w:t xml:space="preserve">between </w:t>
      </w:r>
      <w:r w:rsidR="00496324">
        <w:rPr>
          <w:bCs/>
        </w:rPr>
        <w:t xml:space="preserve">broadcast </w:t>
      </w:r>
      <w:r w:rsidR="00496324" w:rsidRPr="009310F2">
        <w:rPr>
          <w:bCs/>
        </w:rPr>
        <w:t xml:space="preserve">television </w:t>
      </w:r>
      <w:r w:rsidRPr="009310F2">
        <w:rPr>
          <w:bCs/>
        </w:rPr>
        <w:t xml:space="preserve">and </w:t>
      </w:r>
      <w:r w:rsidR="00F06D94">
        <w:rPr>
          <w:bCs/>
        </w:rPr>
        <w:t>licensed</w:t>
      </w:r>
      <w:r w:rsidR="00A66975">
        <w:rPr>
          <w:bCs/>
        </w:rPr>
        <w:t xml:space="preserve"> </w:t>
      </w:r>
      <w:r w:rsidRPr="009310F2">
        <w:rPr>
          <w:bCs/>
        </w:rPr>
        <w:t>wireless services.</w:t>
      </w:r>
      <w:r w:rsidR="007B0DDC">
        <w:t xml:space="preserve">  </w:t>
      </w:r>
      <w:r w:rsidR="007B0DDC" w:rsidRPr="001154F3">
        <w:t xml:space="preserve">In the </w:t>
      </w:r>
      <w:r w:rsidR="007B0DDC" w:rsidRPr="001154F3">
        <w:rPr>
          <w:i/>
          <w:iCs/>
        </w:rPr>
        <w:t>Broadcast Television Incentive Auction NPRM</w:t>
      </w:r>
      <w:r w:rsidR="007B0DDC" w:rsidRPr="001154F3">
        <w:t>, the Commission sought public comment on creating a 600 MHz wireless band plan from the spectrum made available for flexible use through the broadcast television incentive auction.</w:t>
      </w:r>
      <w:r w:rsidR="007B0DDC" w:rsidRPr="001154F3">
        <w:rPr>
          <w:rStyle w:val="FootnoteReference"/>
        </w:rPr>
        <w:footnoteReference w:id="2"/>
      </w:r>
      <w:r w:rsidR="007B0DDC" w:rsidRPr="001154F3">
        <w:t xml:space="preserve">  </w:t>
      </w:r>
      <w:r w:rsidR="007B0DDC">
        <w:t>T</w:t>
      </w:r>
      <w:r w:rsidR="007B0DDC" w:rsidRPr="001154F3">
        <w:t>he Commission expressed a strong interest in establishing a band plan framework that is flexible enough to accommodate market variation</w:t>
      </w:r>
      <w:r w:rsidR="00BB5AAE">
        <w:t xml:space="preserve"> (</w:t>
      </w:r>
      <w:r w:rsidR="007B0DDC" w:rsidRPr="001154F3">
        <w:rPr>
          <w:i/>
          <w:iCs/>
        </w:rPr>
        <w:t>i.e.</w:t>
      </w:r>
      <w:r w:rsidR="007B0DDC" w:rsidRPr="001154F3">
        <w:t xml:space="preserve">, offering varying amounts of spectrum in different geographic locations, depending on the spectrum </w:t>
      </w:r>
      <w:r w:rsidR="005B2DC1">
        <w:t>recovered</w:t>
      </w:r>
      <w:r w:rsidR="007B0DDC" w:rsidRPr="001154F3">
        <w:rPr>
          <w:rStyle w:val="FootnoteReference"/>
        </w:rPr>
        <w:footnoteReference w:id="3"/>
      </w:r>
      <w:r w:rsidR="00BB5AAE">
        <w:t>) to maximize the amount of spectrum repurposed.</w:t>
      </w:r>
    </w:p>
    <w:p w14:paraId="3AB2422C" w14:textId="77777777" w:rsidR="00DA72B6" w:rsidRDefault="00DA72B6">
      <w:pPr>
        <w:ind w:firstLine="720"/>
        <w:jc w:val="both"/>
      </w:pPr>
    </w:p>
    <w:p w14:paraId="720A5836" w14:textId="5C29EA66" w:rsidR="003F192E" w:rsidRDefault="007B0DDC">
      <w:pPr>
        <w:ind w:firstLine="720"/>
        <w:jc w:val="both"/>
      </w:pPr>
      <w:r w:rsidRPr="00885D0F">
        <w:t xml:space="preserve">In response to the </w:t>
      </w:r>
      <w:r w:rsidRPr="00885D0F">
        <w:rPr>
          <w:i/>
        </w:rPr>
        <w:t>NPRM</w:t>
      </w:r>
      <w:r w:rsidRPr="00885D0F">
        <w:t xml:space="preserve"> and the </w:t>
      </w:r>
      <w:r w:rsidRPr="00885D0F">
        <w:rPr>
          <w:i/>
        </w:rPr>
        <w:t>600 MHz Band Plan Supplemental Public Notice</w:t>
      </w:r>
      <w:r w:rsidR="00DC027F">
        <w:t xml:space="preserve">, </w:t>
      </w:r>
      <w:r w:rsidRPr="00885D0F">
        <w:t xml:space="preserve">a number of commenters </w:t>
      </w:r>
      <w:r>
        <w:t xml:space="preserve">raised </w:t>
      </w:r>
      <w:r w:rsidRPr="00885D0F">
        <w:t>concern</w:t>
      </w:r>
      <w:r>
        <w:t>s</w:t>
      </w:r>
      <w:r w:rsidRPr="00885D0F">
        <w:t xml:space="preserve"> about co-channel</w:t>
      </w:r>
      <w:r w:rsidR="003F192E">
        <w:t xml:space="preserve"> and adjacent-channel </w:t>
      </w:r>
      <w:r w:rsidRPr="00885D0F">
        <w:t xml:space="preserve">interference between </w:t>
      </w:r>
      <w:r>
        <w:t xml:space="preserve">television and </w:t>
      </w:r>
      <w:r w:rsidRPr="00885D0F">
        <w:t xml:space="preserve">wireless </w:t>
      </w:r>
      <w:r>
        <w:t>services in nearby markets as a result of accommodating market variation.</w:t>
      </w:r>
      <w:r w:rsidRPr="00885D0F">
        <w:rPr>
          <w:vertAlign w:val="superscript"/>
        </w:rPr>
        <w:footnoteReference w:id="4"/>
      </w:r>
      <w:r>
        <w:t xml:space="preserve">  Some commenters </w:t>
      </w:r>
      <w:r w:rsidR="00084E00">
        <w:lastRenderedPageBreak/>
        <w:t xml:space="preserve">proposed </w:t>
      </w:r>
      <w:r>
        <w:t>separation distances between the</w:t>
      </w:r>
      <w:r w:rsidR="00084E00">
        <w:t xml:space="preserve"> two</w:t>
      </w:r>
      <w:r>
        <w:t xml:space="preserve"> services</w:t>
      </w:r>
      <w:r w:rsidR="00A66975">
        <w:t>.</w:t>
      </w:r>
      <w:r w:rsidR="00084E00">
        <w:t xml:space="preserve"> </w:t>
      </w:r>
      <w:r w:rsidR="00A66975">
        <w:t>T</w:t>
      </w:r>
      <w:r>
        <w:t xml:space="preserve">he most common approach </w:t>
      </w:r>
      <w:r w:rsidR="00A66975">
        <w:t>commenters propos</w:t>
      </w:r>
      <w:r w:rsidR="00785A2C">
        <w:t>e</w:t>
      </w:r>
      <w:r w:rsidR="00A66975">
        <w:t xml:space="preserve"> </w:t>
      </w:r>
      <w:r w:rsidR="00785A2C">
        <w:t>is to</w:t>
      </w:r>
      <w:r w:rsidR="00A66975">
        <w:t xml:space="preserve"> </w:t>
      </w:r>
      <w:r w:rsidR="00084E00">
        <w:t xml:space="preserve">use a pre-defined </w:t>
      </w:r>
      <w:r w:rsidR="003F192E">
        <w:t>separation distance between TV and mobile</w:t>
      </w:r>
      <w:r w:rsidR="00203847">
        <w:t xml:space="preserve"> service areas.</w:t>
      </w:r>
      <w:r w:rsidRPr="00347AD5">
        <w:rPr>
          <w:vertAlign w:val="superscript"/>
        </w:rPr>
        <w:footnoteReference w:id="5"/>
      </w:r>
      <w:r w:rsidR="00CB1EE2">
        <w:t xml:space="preserve">  </w:t>
      </w:r>
      <w:r w:rsidR="005B2DC1">
        <w:t>Commenters</w:t>
      </w:r>
      <w:r>
        <w:t xml:space="preserve"> proposed </w:t>
      </w:r>
      <w:r w:rsidR="005B2DC1">
        <w:t xml:space="preserve">distances that </w:t>
      </w:r>
      <w:r>
        <w:t>varied significantly—ranging from 100 k</w:t>
      </w:r>
      <w:r w:rsidR="00084E00">
        <w:t>ilometers</w:t>
      </w:r>
      <w:r>
        <w:t xml:space="preserve"> to 500 k</w:t>
      </w:r>
      <w:r w:rsidR="00084E00">
        <w:t>ilometers—</w:t>
      </w:r>
      <w:r>
        <w:t xml:space="preserve">and </w:t>
      </w:r>
      <w:r w:rsidR="003F192E">
        <w:t xml:space="preserve">generally </w:t>
      </w:r>
      <w:r w:rsidR="005B2DC1">
        <w:t xml:space="preserve">provided limited </w:t>
      </w:r>
      <w:r>
        <w:t xml:space="preserve">technical analysis </w:t>
      </w:r>
      <w:r w:rsidR="005B2DC1">
        <w:t>in</w:t>
      </w:r>
      <w:r>
        <w:t xml:space="preserve"> support </w:t>
      </w:r>
      <w:r w:rsidR="005B2DC1">
        <w:t>of these proposals</w:t>
      </w:r>
      <w:r>
        <w:t>.</w:t>
      </w:r>
    </w:p>
    <w:p w14:paraId="62548F25" w14:textId="77777777" w:rsidR="00203847" w:rsidRDefault="00203847" w:rsidP="00203847">
      <w:pPr>
        <w:jc w:val="both"/>
      </w:pPr>
    </w:p>
    <w:p w14:paraId="1ECDFA2F" w14:textId="5D264FFB" w:rsidR="00F25A12" w:rsidRDefault="00F457B6" w:rsidP="00BB5AAE">
      <w:pPr>
        <w:ind w:firstLine="720"/>
        <w:jc w:val="both"/>
      </w:pPr>
      <w:r>
        <w:t>T</w:t>
      </w:r>
      <w:r w:rsidR="00203847">
        <w:t xml:space="preserve">he Commission </w:t>
      </w:r>
      <w:r w:rsidR="00CB1EE2">
        <w:t xml:space="preserve">has </w:t>
      </w:r>
      <w:r w:rsidR="00203847">
        <w:t xml:space="preserve">rules </w:t>
      </w:r>
      <w:r w:rsidR="005B2DC1">
        <w:t xml:space="preserve">in place to control co-channel and adjacent-channel interference from mobile operations to digital television (DTV) reception </w:t>
      </w:r>
      <w:r w:rsidR="00203847">
        <w:t xml:space="preserve">for the 470–512 </w:t>
      </w:r>
      <w:r w:rsidR="00DC027F">
        <w:t xml:space="preserve">MHz </w:t>
      </w:r>
      <w:r w:rsidR="005B2DC1">
        <w:t xml:space="preserve">(“T-Band”) </w:t>
      </w:r>
      <w:r w:rsidR="00DC027F">
        <w:t xml:space="preserve">and </w:t>
      </w:r>
      <w:r w:rsidR="00191B83">
        <w:t xml:space="preserve">700 </w:t>
      </w:r>
      <w:r w:rsidR="00DC027F">
        <w:t>MHz bands</w:t>
      </w:r>
      <w:r w:rsidR="00203847">
        <w:t>.</w:t>
      </w:r>
      <w:r w:rsidR="00203847">
        <w:rPr>
          <w:rStyle w:val="FootnoteReference"/>
        </w:rPr>
        <w:footnoteReference w:id="6"/>
      </w:r>
      <w:r w:rsidR="00203847">
        <w:t xml:space="preserve">  However, th</w:t>
      </w:r>
      <w:r w:rsidR="00714105">
        <w:t>e</w:t>
      </w:r>
      <w:r w:rsidR="00203847">
        <w:t xml:space="preserve">se rules </w:t>
      </w:r>
      <w:r w:rsidR="00714105">
        <w:t xml:space="preserve">do not have direct applicability in the incentive auction.  The rules </w:t>
      </w:r>
      <w:r w:rsidR="00203847">
        <w:t xml:space="preserve">were </w:t>
      </w:r>
      <w:r w:rsidR="00714105">
        <w:t>addressing</w:t>
      </w:r>
      <w:r w:rsidR="00203847">
        <w:t xml:space="preserve"> situation</w:t>
      </w:r>
      <w:r>
        <w:t>s</w:t>
      </w:r>
      <w:r w:rsidR="00203847">
        <w:t xml:space="preserve"> where wireless licensee</w:t>
      </w:r>
      <w:r>
        <w:t>s</w:t>
      </w:r>
      <w:r w:rsidR="00203847">
        <w:t xml:space="preserve"> could design </w:t>
      </w:r>
      <w:r>
        <w:t>their</w:t>
      </w:r>
      <w:r w:rsidR="00203847">
        <w:t xml:space="preserve"> systems to avoid causing interference to </w:t>
      </w:r>
      <w:r w:rsidR="007B7983">
        <w:t xml:space="preserve">television </w:t>
      </w:r>
      <w:r w:rsidR="00203847">
        <w:t>reception by techniques such as reducing power and antenna height</w:t>
      </w:r>
      <w:r w:rsidR="007B7983">
        <w:t xml:space="preserve"> or for a transitional period during which relatively few wireless facilities would be constructed</w:t>
      </w:r>
      <w:r w:rsidR="00203847">
        <w:t xml:space="preserve">.  In the </w:t>
      </w:r>
      <w:r w:rsidR="00CB1EE2">
        <w:t>“T-band</w:t>
      </w:r>
      <w:r w:rsidR="00203847">
        <w:t>,</w:t>
      </w:r>
      <w:r w:rsidR="00CB1EE2">
        <w:t>”</w:t>
      </w:r>
      <w:r w:rsidR="00203847">
        <w:t xml:space="preserve"> the </w:t>
      </w:r>
      <w:r w:rsidR="007B7983">
        <w:t xml:space="preserve">pertinent </w:t>
      </w:r>
      <w:r w:rsidR="00203847">
        <w:t xml:space="preserve">wireless systems </w:t>
      </w:r>
      <w:r w:rsidR="00CB1EE2">
        <w:t xml:space="preserve">are conventional </w:t>
      </w:r>
      <w:r w:rsidR="00203847">
        <w:t xml:space="preserve">land mobile </w:t>
      </w:r>
      <w:r w:rsidR="007B7983">
        <w:t xml:space="preserve">facilities </w:t>
      </w:r>
      <w:r w:rsidR="00203847">
        <w:t xml:space="preserve">that do not </w:t>
      </w:r>
      <w:r w:rsidR="007B7983">
        <w:t xml:space="preserve">utilize </w:t>
      </w:r>
      <w:r w:rsidR="00203847">
        <w:t xml:space="preserve">cellular architectures used for commercial wireless service.  In the case of </w:t>
      </w:r>
      <w:r w:rsidR="00191B83">
        <w:t xml:space="preserve">700 </w:t>
      </w:r>
      <w:r w:rsidR="00203847">
        <w:t>MHz, the rules were</w:t>
      </w:r>
      <w:r w:rsidR="00DC027F">
        <w:t xml:space="preserve"> intended as an interim measure for spectrum that was eventually going to be cleared of TV broadcasting. </w:t>
      </w:r>
      <w:r w:rsidR="00203847">
        <w:t xml:space="preserve"> </w:t>
      </w:r>
      <w:r w:rsidR="007B7983">
        <w:t>Further, t</w:t>
      </w:r>
      <w:r w:rsidR="00DC027F">
        <w:t xml:space="preserve">he </w:t>
      </w:r>
      <w:r w:rsidR="007B7983">
        <w:t xml:space="preserve">present </w:t>
      </w:r>
      <w:r w:rsidR="00DC027F">
        <w:t xml:space="preserve">rules </w:t>
      </w:r>
      <w:r w:rsidR="007B7983">
        <w:t xml:space="preserve">do </w:t>
      </w:r>
      <w:r w:rsidR="00203847">
        <w:t xml:space="preserve">not address interference </w:t>
      </w:r>
      <w:r>
        <w:t xml:space="preserve">from DTV </w:t>
      </w:r>
      <w:r w:rsidR="00203847">
        <w:t xml:space="preserve">into wireless systems. </w:t>
      </w:r>
    </w:p>
    <w:p w14:paraId="6A100C22" w14:textId="0F878665" w:rsidR="003B5613" w:rsidRDefault="003B5613" w:rsidP="00DC027F">
      <w:pPr>
        <w:ind w:firstLine="720"/>
        <w:jc w:val="both"/>
      </w:pPr>
    </w:p>
    <w:p w14:paraId="5D3B96BF" w14:textId="77777777" w:rsidR="00074276" w:rsidRDefault="00074276" w:rsidP="00DC027F">
      <w:pPr>
        <w:ind w:firstLine="720"/>
        <w:jc w:val="both"/>
      </w:pPr>
    </w:p>
    <w:p w14:paraId="7A461687" w14:textId="6DDB326D" w:rsidR="007F37A8" w:rsidRPr="00203847" w:rsidRDefault="007F37A8" w:rsidP="00203847">
      <w:pPr>
        <w:jc w:val="both"/>
        <w:rPr>
          <w:b/>
        </w:rPr>
      </w:pPr>
      <w:r w:rsidRPr="00203847">
        <w:rPr>
          <w:b/>
        </w:rPr>
        <w:t>Potential Interference Scenarios</w:t>
      </w:r>
    </w:p>
    <w:p w14:paraId="3EAFD333" w14:textId="77777777" w:rsidR="007F37A8" w:rsidRDefault="007F37A8">
      <w:pPr>
        <w:ind w:firstLine="720"/>
        <w:jc w:val="both"/>
      </w:pPr>
    </w:p>
    <w:p w14:paraId="47595E60" w14:textId="03717DB1" w:rsidR="008830C0" w:rsidRDefault="00BB19C4" w:rsidP="0073142C">
      <w:pPr>
        <w:autoSpaceDE w:val="0"/>
        <w:autoSpaceDN w:val="0"/>
        <w:ind w:firstLine="720"/>
        <w:jc w:val="both"/>
      </w:pPr>
      <w:r>
        <w:t xml:space="preserve">Four scenarios exist that could result in interference between broadcast television and </w:t>
      </w:r>
      <w:r w:rsidR="00F06D94">
        <w:t xml:space="preserve">licensed </w:t>
      </w:r>
      <w:r>
        <w:t xml:space="preserve">wireless services, depending upon </w:t>
      </w:r>
      <w:r w:rsidR="007B7983">
        <w:t xml:space="preserve">the geographic locations and spectrum </w:t>
      </w:r>
      <w:r>
        <w:t>where DTV operation is permitted relative to wireless operation under the 600 MHz band plan that the Commission ultimately adopts.</w:t>
      </w:r>
      <w:r w:rsidR="003B5613">
        <w:t xml:space="preserve"> </w:t>
      </w:r>
      <w:r>
        <w:t xml:space="preserve"> These scenarios ar</w:t>
      </w:r>
      <w:r w:rsidR="00F138FA">
        <w:t xml:space="preserve">e </w:t>
      </w:r>
      <w:r w:rsidR="007B7983">
        <w:t xml:space="preserve">illustrated </w:t>
      </w:r>
      <w:r w:rsidR="00F138FA">
        <w:t xml:space="preserve">in </w:t>
      </w:r>
      <w:r w:rsidR="007B7983">
        <w:t>F</w:t>
      </w:r>
      <w:r w:rsidR="00F138FA">
        <w:t>igure 1 and are discussed below</w:t>
      </w:r>
      <w:r>
        <w:t>:</w:t>
      </w:r>
      <w:r w:rsidR="007B7983">
        <w:tab/>
      </w:r>
      <w:r>
        <w:t xml:space="preserve"> </w:t>
      </w:r>
    </w:p>
    <w:p w14:paraId="6EFFD2DB" w14:textId="77777777" w:rsidR="003B5613" w:rsidRDefault="003B5613" w:rsidP="0073142C">
      <w:pPr>
        <w:autoSpaceDE w:val="0"/>
        <w:autoSpaceDN w:val="0"/>
        <w:ind w:firstLine="720"/>
        <w:jc w:val="both"/>
      </w:pPr>
    </w:p>
    <w:p w14:paraId="67491E28" w14:textId="4CD3E25F" w:rsidR="003B5613" w:rsidRDefault="003B5613" w:rsidP="003B5613">
      <w:pPr>
        <w:ind w:firstLine="720"/>
        <w:jc w:val="both"/>
      </w:pPr>
    </w:p>
    <w:p w14:paraId="63E5FA74" w14:textId="5A1FEF90" w:rsidR="00F138FA" w:rsidRPr="00F76ADB" w:rsidRDefault="00C101E4" w:rsidP="0073142C">
      <w:pPr>
        <w:autoSpaceDE w:val="0"/>
        <w:autoSpaceDN w:val="0"/>
        <w:jc w:val="center"/>
        <w:rPr>
          <w:rFonts w:eastAsiaTheme="minorEastAsia"/>
          <w:i/>
          <w:sz w:val="20"/>
        </w:rPr>
      </w:pPr>
      <w:r>
        <w:br/>
      </w:r>
      <w:r w:rsidR="00F138FA">
        <w:br/>
      </w:r>
      <w:r w:rsidR="00BB19C4">
        <w:t xml:space="preserve"> </w:t>
      </w:r>
      <w:r w:rsidR="0058403E">
        <w:rPr>
          <w:noProof/>
        </w:rPr>
        <w:lastRenderedPageBreak/>
        <w:drawing>
          <wp:inline distT="0" distB="0" distL="0" distR="0" wp14:anchorId="11D021DC" wp14:editId="270377FC">
            <wp:extent cx="5944800" cy="3776472"/>
            <wp:effectExtent l="19050" t="19050" r="18415"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DiagSimple.gif"/>
                    <pic:cNvPicPr/>
                  </pic:nvPicPr>
                  <pic:blipFill>
                    <a:blip r:embed="rId8">
                      <a:extLst>
                        <a:ext uri="{28A0092B-C50C-407E-A947-70E740481C1C}">
                          <a14:useLocalDpi xmlns:a14="http://schemas.microsoft.com/office/drawing/2010/main" val="0"/>
                        </a:ext>
                      </a:extLst>
                    </a:blip>
                    <a:stretch>
                      <a:fillRect/>
                    </a:stretch>
                  </pic:blipFill>
                  <pic:spPr>
                    <a:xfrm>
                      <a:off x="0" y="0"/>
                      <a:ext cx="5944800" cy="3776472"/>
                    </a:xfrm>
                    <a:prstGeom prst="rect">
                      <a:avLst/>
                    </a:prstGeom>
                    <a:ln>
                      <a:solidFill>
                        <a:schemeClr val="tx1"/>
                      </a:solidFill>
                    </a:ln>
                  </pic:spPr>
                </pic:pic>
              </a:graphicData>
            </a:graphic>
          </wp:inline>
        </w:drawing>
      </w:r>
      <w:r w:rsidR="00F138FA" w:rsidRPr="0073142C">
        <w:rPr>
          <w:rFonts w:eastAsiaTheme="minorEastAsia"/>
          <w:sz w:val="20"/>
        </w:rPr>
        <w:t>Figure 1</w:t>
      </w:r>
      <w:r w:rsidR="00FC0245">
        <w:rPr>
          <w:rFonts w:eastAsiaTheme="minorEastAsia"/>
          <w:sz w:val="20"/>
        </w:rPr>
        <w:t>.</w:t>
      </w:r>
      <w:r w:rsidR="00F138FA" w:rsidRPr="0073142C">
        <w:rPr>
          <w:rFonts w:eastAsiaTheme="minorEastAsia"/>
          <w:sz w:val="20"/>
        </w:rPr>
        <w:t xml:space="preserve">  Interference scenarios</w:t>
      </w:r>
    </w:p>
    <w:p w14:paraId="1B1E6D47" w14:textId="04BF4A29" w:rsidR="0038768E" w:rsidRDefault="0038768E" w:rsidP="00BB19C4">
      <w:pPr>
        <w:ind w:firstLine="720"/>
        <w:jc w:val="both"/>
      </w:pPr>
    </w:p>
    <w:p w14:paraId="37141EDA" w14:textId="3661144A" w:rsidR="00073FF0" w:rsidRDefault="00073FF0" w:rsidP="003B5613">
      <w:pPr>
        <w:ind w:firstLine="720"/>
        <w:jc w:val="both"/>
      </w:pPr>
      <w:r>
        <w:t>(1) DTV transmitter-into-wireless base station (uplink) interference. Based on our calculations and the comments submitted into the record, this case tends to lead to the largest required separation distances because both the base station receive antenna and the DTV transmitting antenna are often located well above the surrounding terrain, potentially creating a line-of-sight path between them.</w:t>
      </w:r>
    </w:p>
    <w:p w14:paraId="19F0650B" w14:textId="77777777" w:rsidR="00073FF0" w:rsidRDefault="00073FF0" w:rsidP="003B5613">
      <w:pPr>
        <w:ind w:firstLine="720"/>
        <w:jc w:val="both"/>
      </w:pPr>
    </w:p>
    <w:p w14:paraId="39F7FFA6" w14:textId="77A040D5" w:rsidR="003B5613" w:rsidRDefault="003B5613" w:rsidP="003B5613">
      <w:pPr>
        <w:ind w:firstLine="720"/>
        <w:jc w:val="both"/>
      </w:pPr>
      <w:r>
        <w:t xml:space="preserve">(2) DTV transmitter-into-wireless user equipment (downlink) interference.  This case </w:t>
      </w:r>
      <w:r w:rsidR="00073FF0">
        <w:t>is not likely to require separation distances as large as Case 1</w:t>
      </w:r>
      <w:r>
        <w:t xml:space="preserve"> because the wireless user equipment (UE) typically operates near ground level </w:t>
      </w:r>
      <w:r w:rsidR="00807E26">
        <w:t xml:space="preserve">or in buildings </w:t>
      </w:r>
      <w:r>
        <w:t xml:space="preserve">where propagation conditions including clutter </w:t>
      </w:r>
      <w:r w:rsidR="00807E26">
        <w:t xml:space="preserve">or other losses are likely to </w:t>
      </w:r>
      <w:r>
        <w:t>greatly reduce the strength of distant co-channel DTV signals.  We note that there is a potential for interference to UE receivers from nearby adjacent-channel DTV transmissions because the off-channel rejection of UE receivers is often limited compared with base station receivers.</w:t>
      </w:r>
    </w:p>
    <w:p w14:paraId="5128FCF7" w14:textId="6728A945" w:rsidR="00F138FA" w:rsidRDefault="003B5613" w:rsidP="00BB19C4">
      <w:pPr>
        <w:ind w:firstLine="720"/>
        <w:jc w:val="both"/>
      </w:pPr>
      <w:r w:rsidDel="003B5613">
        <w:t xml:space="preserve"> </w:t>
      </w:r>
    </w:p>
    <w:p w14:paraId="05935E7A" w14:textId="02241E68" w:rsidR="00F25A12" w:rsidRDefault="00BB19C4" w:rsidP="00BB19C4">
      <w:pPr>
        <w:ind w:firstLine="720"/>
        <w:jc w:val="both"/>
      </w:pPr>
      <w:r>
        <w:t xml:space="preserve">(3) </w:t>
      </w:r>
      <w:r w:rsidR="00F138FA">
        <w:t>W</w:t>
      </w:r>
      <w:r>
        <w:t>ireless base station</w:t>
      </w:r>
      <w:r w:rsidR="009E09EC">
        <w:t xml:space="preserve"> (downlink)</w:t>
      </w:r>
      <w:r>
        <w:t>-into-DTV receiver interference</w:t>
      </w:r>
      <w:r w:rsidR="00F138FA">
        <w:t xml:space="preserve">.  </w:t>
      </w:r>
      <w:r w:rsidR="009E09EC">
        <w:t xml:space="preserve">Although </w:t>
      </w:r>
      <w:r w:rsidR="00FD66B1">
        <w:t>the separation distance</w:t>
      </w:r>
      <w:r w:rsidR="009E09EC">
        <w:t xml:space="preserve"> may be relatively large</w:t>
      </w:r>
      <w:r w:rsidR="00FD66B1">
        <w:t xml:space="preserve"> </w:t>
      </w:r>
      <w:r w:rsidR="009E09EC">
        <w:t xml:space="preserve">between </w:t>
      </w:r>
      <w:r w:rsidR="0063286C">
        <w:t>a</w:t>
      </w:r>
      <w:r w:rsidR="00FD66B1">
        <w:t xml:space="preserve"> </w:t>
      </w:r>
      <w:r w:rsidR="009E09EC">
        <w:t xml:space="preserve">wireless base station and a </w:t>
      </w:r>
      <w:r w:rsidR="00FD66B1">
        <w:t>co-channel DTV</w:t>
      </w:r>
      <w:r w:rsidR="0063286C">
        <w:t xml:space="preserve"> </w:t>
      </w:r>
      <w:r w:rsidR="009E09EC">
        <w:t xml:space="preserve">transmitter operating in </w:t>
      </w:r>
      <w:r w:rsidR="0063286C">
        <w:t xml:space="preserve">the </w:t>
      </w:r>
      <w:r w:rsidR="009E09EC">
        <w:t xml:space="preserve">base station’s </w:t>
      </w:r>
      <w:r w:rsidR="0063286C">
        <w:t xml:space="preserve">uplink </w:t>
      </w:r>
      <w:r w:rsidR="009E09EC">
        <w:t xml:space="preserve">spectrum </w:t>
      </w:r>
      <w:r w:rsidR="0063286C">
        <w:t>(</w:t>
      </w:r>
      <w:r w:rsidR="009E09EC">
        <w:t>C</w:t>
      </w:r>
      <w:r w:rsidR="0063286C">
        <w:t>ase 1)</w:t>
      </w:r>
      <w:r w:rsidR="00FD66B1">
        <w:t xml:space="preserve">, </w:t>
      </w:r>
      <w:r w:rsidR="00191B83">
        <w:t xml:space="preserve">the distance from a wireless base station to DTV receivers at the edge of a </w:t>
      </w:r>
      <w:r w:rsidR="00073FF0">
        <w:t xml:space="preserve">DTV </w:t>
      </w:r>
      <w:r w:rsidR="00191B83">
        <w:t xml:space="preserve">station’s service contour would be much less.  In addition, DTV reception, especially at the edge of a </w:t>
      </w:r>
      <w:r w:rsidR="00073FF0">
        <w:t xml:space="preserve">DTV </w:t>
      </w:r>
      <w:r w:rsidR="00191B83">
        <w:t xml:space="preserve">station’s service contour, would likely use outdoor antennas at rooftop levels.  This would tend to increase the likelihood that a DTV receiver </w:t>
      </w:r>
      <w:r w:rsidR="004B7AA9">
        <w:t>c</w:t>
      </w:r>
      <w:r w:rsidR="00191B83">
        <w:t xml:space="preserve">ould </w:t>
      </w:r>
      <w:r w:rsidR="000A1C17">
        <w:t>experience</w:t>
      </w:r>
      <w:r w:rsidR="00191B83">
        <w:t xml:space="preserve"> interference</w:t>
      </w:r>
      <w:r w:rsidR="000A1C17">
        <w:t xml:space="preserve"> from a wireless base station</w:t>
      </w:r>
      <w:r w:rsidR="00191B83">
        <w:t xml:space="preserve">.  A separate analysis that factors in these conditions needs to be performed relative to the potential for co-channel and adjacent-channel harmful interference that could be caused to DTV reception by the base station downlink transmitter. </w:t>
      </w:r>
      <w:r w:rsidR="00203847">
        <w:t xml:space="preserve"> </w:t>
      </w:r>
    </w:p>
    <w:p w14:paraId="53CD8919" w14:textId="602DA53C" w:rsidR="00FD66B1" w:rsidRDefault="00FD66B1" w:rsidP="00BB19C4">
      <w:pPr>
        <w:ind w:firstLine="720"/>
        <w:jc w:val="both"/>
      </w:pPr>
    </w:p>
    <w:p w14:paraId="5228CCC2" w14:textId="16363BD6" w:rsidR="00F25A12" w:rsidRDefault="00BB19C4" w:rsidP="00BB19C4">
      <w:pPr>
        <w:ind w:firstLine="720"/>
        <w:jc w:val="both"/>
      </w:pPr>
      <w:r>
        <w:t xml:space="preserve">(4) </w:t>
      </w:r>
      <w:r w:rsidR="00FD66B1">
        <w:t>W</w:t>
      </w:r>
      <w:r w:rsidRPr="00776504">
        <w:t xml:space="preserve">ireless </w:t>
      </w:r>
      <w:r>
        <w:t>user equipment</w:t>
      </w:r>
      <w:r w:rsidR="009E09EC">
        <w:t xml:space="preserve"> (uplink)</w:t>
      </w:r>
      <w:r>
        <w:t xml:space="preserve">-into-DTV receiver interference.  </w:t>
      </w:r>
      <w:r w:rsidR="009E09EC">
        <w:t xml:space="preserve">To avoid interference with </w:t>
      </w:r>
      <w:r w:rsidR="00C101E4">
        <w:t>the associated</w:t>
      </w:r>
      <w:r w:rsidR="009E09EC">
        <w:t xml:space="preserve"> uplink spectrum,</w:t>
      </w:r>
      <w:r w:rsidR="00C101E4">
        <w:t xml:space="preserve"> base</w:t>
      </w:r>
      <w:r w:rsidR="006B7EBC">
        <w:t xml:space="preserve"> station receiver</w:t>
      </w:r>
      <w:r w:rsidR="009E09EC">
        <w:t>s</w:t>
      </w:r>
      <w:r w:rsidR="006B7EBC">
        <w:t xml:space="preserve"> require a </w:t>
      </w:r>
      <w:r w:rsidR="009E09EC">
        <w:t xml:space="preserve">relatively </w:t>
      </w:r>
      <w:r w:rsidR="006B7EBC">
        <w:t xml:space="preserve">large separation </w:t>
      </w:r>
      <w:r w:rsidR="00714105">
        <w:t xml:space="preserve">distance </w:t>
      </w:r>
      <w:r w:rsidR="006B7EBC">
        <w:t xml:space="preserve">from co-channel DTV </w:t>
      </w:r>
      <w:r w:rsidR="00073FF0">
        <w:t xml:space="preserve">transmitters </w:t>
      </w:r>
      <w:r w:rsidR="006B7EBC">
        <w:t>(</w:t>
      </w:r>
      <w:r w:rsidR="009E09EC">
        <w:t>C</w:t>
      </w:r>
      <w:r w:rsidR="006B7EBC">
        <w:t>ase 1)</w:t>
      </w:r>
      <w:r w:rsidR="009E09EC">
        <w:t>.</w:t>
      </w:r>
      <w:r w:rsidR="006B7EBC">
        <w:t xml:space="preserve"> </w:t>
      </w:r>
      <w:r w:rsidR="009E09EC">
        <w:t xml:space="preserve"> T</w:t>
      </w:r>
      <w:r w:rsidR="006B7EBC">
        <w:t>here</w:t>
      </w:r>
      <w:r w:rsidR="009E09EC">
        <w:t>fore, we believe that there</w:t>
      </w:r>
      <w:r w:rsidR="006B7EBC">
        <w:t xml:space="preserve"> is no significant risk of co-channel interference to DTV reception from </w:t>
      </w:r>
      <w:r w:rsidR="009E09EC">
        <w:t>UE transmitters</w:t>
      </w:r>
      <w:r w:rsidR="006B7EBC">
        <w:t xml:space="preserve">.  However, </w:t>
      </w:r>
      <w:r w:rsidR="00D75C70">
        <w:t>adjacent</w:t>
      </w:r>
      <w:r w:rsidR="009E09EC">
        <w:t>-</w:t>
      </w:r>
      <w:r w:rsidR="00D75C70">
        <w:t>channel interference</w:t>
      </w:r>
      <w:r w:rsidR="006B7EBC">
        <w:t xml:space="preserve"> </w:t>
      </w:r>
      <w:r w:rsidR="009E09EC">
        <w:t xml:space="preserve">to DTV receivers may result </w:t>
      </w:r>
      <w:r w:rsidR="006B7EBC">
        <w:t>whe</w:t>
      </w:r>
      <w:r w:rsidR="009E09EC">
        <w:t>n</w:t>
      </w:r>
      <w:r w:rsidR="006B7EBC">
        <w:t xml:space="preserve"> wireless user equipment </w:t>
      </w:r>
      <w:r w:rsidR="009E09EC">
        <w:t>operates</w:t>
      </w:r>
      <w:r w:rsidR="006B7EBC">
        <w:t xml:space="preserve"> in c</w:t>
      </w:r>
      <w:r w:rsidR="00203847">
        <w:t>lose proximity to DTV receivers</w:t>
      </w:r>
      <w:r w:rsidR="00D75C70">
        <w:t xml:space="preserve">.  </w:t>
      </w:r>
      <w:r w:rsidR="00FD66B1">
        <w:t xml:space="preserve"> </w:t>
      </w:r>
    </w:p>
    <w:p w14:paraId="04AE6413" w14:textId="77777777" w:rsidR="003B5613" w:rsidRPr="00F76ADB" w:rsidRDefault="003B5613" w:rsidP="00B93257">
      <w:pPr>
        <w:autoSpaceDE w:val="0"/>
        <w:autoSpaceDN w:val="0"/>
        <w:ind w:firstLine="720"/>
        <w:rPr>
          <w:rFonts w:eastAsiaTheme="minorEastAsia"/>
          <w:szCs w:val="22"/>
        </w:rPr>
      </w:pPr>
    </w:p>
    <w:p w14:paraId="29A5ECDA" w14:textId="77777777" w:rsidR="00073FF0" w:rsidRDefault="00073FF0" w:rsidP="00203847">
      <w:pPr>
        <w:spacing w:before="13" w:line="240" w:lineRule="exact"/>
        <w:jc w:val="both"/>
        <w:rPr>
          <w:b/>
          <w:szCs w:val="22"/>
        </w:rPr>
      </w:pPr>
    </w:p>
    <w:p w14:paraId="7D1CD945" w14:textId="66FD89E4" w:rsidR="00B93257" w:rsidRPr="00203847" w:rsidRDefault="006B7EBC" w:rsidP="00203847">
      <w:pPr>
        <w:spacing w:before="13" w:line="240" w:lineRule="exact"/>
        <w:jc w:val="both"/>
        <w:rPr>
          <w:b/>
          <w:szCs w:val="22"/>
        </w:rPr>
      </w:pPr>
      <w:r w:rsidRPr="00203847">
        <w:rPr>
          <w:b/>
          <w:szCs w:val="22"/>
        </w:rPr>
        <w:t>Potential Solutions</w:t>
      </w:r>
    </w:p>
    <w:p w14:paraId="6D8B021B" w14:textId="77777777" w:rsidR="0038768E" w:rsidRPr="00365131" w:rsidRDefault="0038768E" w:rsidP="00B93257">
      <w:pPr>
        <w:spacing w:before="13" w:line="240" w:lineRule="exact"/>
        <w:ind w:firstLine="720"/>
        <w:jc w:val="both"/>
        <w:rPr>
          <w:szCs w:val="22"/>
        </w:rPr>
      </w:pPr>
    </w:p>
    <w:p w14:paraId="1177B4B7" w14:textId="39A23006" w:rsidR="00561FA3" w:rsidRDefault="00073FF0">
      <w:pPr>
        <w:ind w:firstLine="720"/>
        <w:jc w:val="both"/>
      </w:pPr>
      <w:r>
        <w:t>We are concerned that p</w:t>
      </w:r>
      <w:r w:rsidR="00DA72B6">
        <w:t xml:space="preserve">rescribing a </w:t>
      </w:r>
      <w:r w:rsidR="006B7EBC">
        <w:t xml:space="preserve">pre-defined </w:t>
      </w:r>
      <w:r w:rsidR="00DC027F">
        <w:t xml:space="preserve">separation distance </w:t>
      </w:r>
      <w:r w:rsidR="00DA72B6">
        <w:t xml:space="preserve">as proposed by some commenters </w:t>
      </w:r>
      <w:r>
        <w:t>may</w:t>
      </w:r>
      <w:r w:rsidR="00DA72B6">
        <w:t xml:space="preserve"> be spectrally </w:t>
      </w:r>
      <w:r w:rsidR="00DA72B6" w:rsidRPr="00E60B08">
        <w:t>inefficient</w:t>
      </w:r>
      <w:r w:rsidR="00DA72B6">
        <w:t xml:space="preserve"> and overly conservative</w:t>
      </w:r>
      <w:r w:rsidR="006B7EBC">
        <w:t xml:space="preserve">.  </w:t>
      </w:r>
      <w:r w:rsidR="00F06D94">
        <w:t>Specifically, t</w:t>
      </w:r>
      <w:r w:rsidR="00601D10">
        <w:t xml:space="preserve">his approach </w:t>
      </w:r>
      <w:r w:rsidR="006B7EBC">
        <w:t xml:space="preserve">lumps together all of the above cases and </w:t>
      </w:r>
      <w:r w:rsidR="00601D10">
        <w:t>applies</w:t>
      </w:r>
      <w:r w:rsidR="006B7EBC">
        <w:t xml:space="preserve"> separation distances </w:t>
      </w:r>
      <w:r w:rsidR="009A58E9">
        <w:t>based on a worst case scenario</w:t>
      </w:r>
      <w:r w:rsidR="006B7EBC">
        <w:t xml:space="preserve"> </w:t>
      </w:r>
      <w:r w:rsidR="009A58E9">
        <w:t xml:space="preserve">without </w:t>
      </w:r>
      <w:r w:rsidR="00601D10">
        <w:t>considering</w:t>
      </w:r>
      <w:r w:rsidR="00703840">
        <w:t xml:space="preserve"> </w:t>
      </w:r>
      <w:r w:rsidR="00EB490F">
        <w:t xml:space="preserve">factors such as </w:t>
      </w:r>
      <w:r w:rsidR="005A45C6">
        <w:t xml:space="preserve">the </w:t>
      </w:r>
      <w:r w:rsidR="00DA72B6">
        <w:t xml:space="preserve">actual </w:t>
      </w:r>
      <w:r w:rsidR="002F374B">
        <w:t xml:space="preserve">technical characteristics of </w:t>
      </w:r>
      <w:r w:rsidR="00601D10">
        <w:t xml:space="preserve">the DTV </w:t>
      </w:r>
      <w:r w:rsidR="00D45321">
        <w:t xml:space="preserve">transmitter </w:t>
      </w:r>
      <w:r w:rsidR="00B640AF">
        <w:t>(</w:t>
      </w:r>
      <w:r w:rsidR="00601D10" w:rsidRPr="0073142C">
        <w:rPr>
          <w:i/>
        </w:rPr>
        <w:t>e.g</w:t>
      </w:r>
      <w:r w:rsidR="00B640AF">
        <w:t>., power level, antenna height, and radiation pattern</w:t>
      </w:r>
      <w:r w:rsidR="00601D10">
        <w:t>s</w:t>
      </w:r>
      <w:r w:rsidR="00B640AF">
        <w:t>)</w:t>
      </w:r>
      <w:r w:rsidR="005A45C6">
        <w:t xml:space="preserve">, </w:t>
      </w:r>
      <w:r w:rsidR="00DA72B6" w:rsidRPr="005329DF">
        <w:t xml:space="preserve">terrain variability and </w:t>
      </w:r>
      <w:r w:rsidR="00EB490F">
        <w:t>the</w:t>
      </w:r>
      <w:r w:rsidR="005A45C6">
        <w:t xml:space="preserve"> </w:t>
      </w:r>
      <w:r w:rsidR="00601D10">
        <w:t xml:space="preserve">density </w:t>
      </w:r>
      <w:r w:rsidR="00703840">
        <w:t xml:space="preserve">of </w:t>
      </w:r>
      <w:r w:rsidR="00B640AF">
        <w:t xml:space="preserve">population </w:t>
      </w:r>
      <w:r w:rsidR="009A58E9">
        <w:t xml:space="preserve">in </w:t>
      </w:r>
      <w:r w:rsidR="00B640AF">
        <w:t>area</w:t>
      </w:r>
      <w:r w:rsidR="009A58E9">
        <w:t>s</w:t>
      </w:r>
      <w:r w:rsidR="00B640AF">
        <w:t xml:space="preserve"> p</w:t>
      </w:r>
      <w:r w:rsidR="009A58E9">
        <w:t>redicted to receive</w:t>
      </w:r>
      <w:r w:rsidR="00B640AF">
        <w:t xml:space="preserve"> interference.</w:t>
      </w:r>
      <w:r w:rsidR="00DA72B6">
        <w:t xml:space="preserve">  Such an approach also fails to account for </w:t>
      </w:r>
      <w:r w:rsidR="00DA72B6" w:rsidRPr="00CF17C9">
        <w:t xml:space="preserve">technologies and techniques </w:t>
      </w:r>
      <w:r w:rsidR="00703840" w:rsidRPr="00CF17C9">
        <w:t xml:space="preserve">that </w:t>
      </w:r>
      <w:r w:rsidR="00703840">
        <w:t xml:space="preserve">wireless </w:t>
      </w:r>
      <w:r w:rsidR="00714105">
        <w:t xml:space="preserve">licensees </w:t>
      </w:r>
      <w:r w:rsidR="00703840">
        <w:t xml:space="preserve">might employ </w:t>
      </w:r>
      <w:r w:rsidR="0081698A">
        <w:t>to</w:t>
      </w:r>
      <w:r w:rsidR="00703840">
        <w:t xml:space="preserve"> </w:t>
      </w:r>
      <w:r w:rsidR="00703840" w:rsidRPr="00CF17C9">
        <w:t>mitigate</w:t>
      </w:r>
      <w:r w:rsidR="00703840">
        <w:t xml:space="preserve"> potential</w:t>
      </w:r>
      <w:r w:rsidR="00703840" w:rsidRPr="00CF17C9">
        <w:t xml:space="preserve"> interference</w:t>
      </w:r>
      <w:r w:rsidR="00DC027F">
        <w:t>, such as</w:t>
      </w:r>
      <w:r w:rsidR="00DA72B6">
        <w:t xml:space="preserve"> a</w:t>
      </w:r>
      <w:r w:rsidR="00DA72B6" w:rsidRPr="00CF17C9">
        <w:t xml:space="preserve">ntenna </w:t>
      </w:r>
      <w:r w:rsidR="00601D10">
        <w:t>characteristics and resource block provisioning</w:t>
      </w:r>
      <w:r w:rsidR="00DA72B6">
        <w:t xml:space="preserve">.  </w:t>
      </w:r>
    </w:p>
    <w:p w14:paraId="52EE20C4" w14:textId="77777777" w:rsidR="00561FA3" w:rsidRDefault="00561FA3">
      <w:pPr>
        <w:ind w:firstLine="720"/>
        <w:jc w:val="both"/>
      </w:pPr>
    </w:p>
    <w:p w14:paraId="7B301C04" w14:textId="66532821" w:rsidR="008F6BEB" w:rsidRDefault="00D45321">
      <w:pPr>
        <w:ind w:firstLine="720"/>
        <w:jc w:val="both"/>
      </w:pPr>
      <w:r>
        <w:t>Accordingly,</w:t>
      </w:r>
      <w:r w:rsidR="00703840">
        <w:t xml:space="preserve"> </w:t>
      </w:r>
      <w:r>
        <w:t xml:space="preserve">we </w:t>
      </w:r>
      <w:r w:rsidR="00703840">
        <w:t>invit</w:t>
      </w:r>
      <w:r>
        <w:t>e</w:t>
      </w:r>
      <w:r w:rsidR="002F374B">
        <w:t xml:space="preserve"> comment on </w:t>
      </w:r>
      <w:r w:rsidR="00084E00">
        <w:t>a</w:t>
      </w:r>
      <w:r w:rsidR="002F374B">
        <w:t>n alternative</w:t>
      </w:r>
      <w:r w:rsidR="00084E00">
        <w:t xml:space="preserve"> methodo</w:t>
      </w:r>
      <w:r w:rsidR="00DA72B6">
        <w:t xml:space="preserve">logy </w:t>
      </w:r>
      <w:r w:rsidR="00084E00">
        <w:t xml:space="preserve">that </w:t>
      </w:r>
      <w:r w:rsidR="002F374B">
        <w:t>could</w:t>
      </w:r>
      <w:r w:rsidR="00084E00">
        <w:t xml:space="preserve"> enable the Commission to accommodate market variation in a </w:t>
      </w:r>
      <w:r w:rsidR="002F374B">
        <w:t xml:space="preserve">more </w:t>
      </w:r>
      <w:r w:rsidR="00084E00">
        <w:t>spectrally efficient manner</w:t>
      </w:r>
      <w:r w:rsidR="00714105" w:rsidRPr="00714105">
        <w:t xml:space="preserve"> </w:t>
      </w:r>
      <w:r w:rsidR="00714105">
        <w:t>than that proposed by various commenters</w:t>
      </w:r>
      <w:r w:rsidR="00084E00">
        <w:t xml:space="preserve">. </w:t>
      </w:r>
      <w:r w:rsidR="009A58E9">
        <w:t xml:space="preserve"> </w:t>
      </w:r>
      <w:r w:rsidR="00AB2341">
        <w:rPr>
          <w:bCs/>
        </w:rPr>
        <w:t>This alternative methodology uses established planning factors and industry standards to define thresholds of coverage and interference, suggests typical engineering specifications in the absence of industry standards, and applies commonly used protocols, databases, and propagation models to create a predictive model that can be run on a computer.</w:t>
      </w:r>
      <w:r w:rsidR="009A58E9">
        <w:t xml:space="preserve">  </w:t>
      </w:r>
      <w:r w:rsidR="008F6BEB">
        <w:t xml:space="preserve">This </w:t>
      </w:r>
      <w:r w:rsidR="009A58E9">
        <w:t xml:space="preserve">methodology is described in detail in the appendix to this </w:t>
      </w:r>
      <w:r w:rsidR="00601D10">
        <w:t>P</w:t>
      </w:r>
      <w:r w:rsidR="009A58E9">
        <w:t xml:space="preserve">ublic </w:t>
      </w:r>
      <w:r w:rsidR="00601D10">
        <w:t>N</w:t>
      </w:r>
      <w:r w:rsidR="009A58E9">
        <w:t>otice.</w:t>
      </w:r>
    </w:p>
    <w:p w14:paraId="44A7F4BB" w14:textId="77777777" w:rsidR="009A58E9" w:rsidRDefault="009A58E9">
      <w:pPr>
        <w:ind w:firstLine="720"/>
        <w:jc w:val="both"/>
      </w:pPr>
    </w:p>
    <w:p w14:paraId="3550F7C2" w14:textId="77777777" w:rsidR="000469CA" w:rsidRDefault="000469CA">
      <w:pPr>
        <w:ind w:firstLine="720"/>
        <w:jc w:val="both"/>
      </w:pPr>
    </w:p>
    <w:p w14:paraId="7A6475E8" w14:textId="432568E7" w:rsidR="009A58E9" w:rsidRPr="00203847" w:rsidRDefault="009A58E9" w:rsidP="00203847">
      <w:pPr>
        <w:jc w:val="both"/>
        <w:rPr>
          <w:b/>
        </w:rPr>
      </w:pPr>
      <w:r w:rsidRPr="00203847">
        <w:rPr>
          <w:b/>
        </w:rPr>
        <w:t>Specific Topics for Comment</w:t>
      </w:r>
    </w:p>
    <w:p w14:paraId="21E0ABA4" w14:textId="77777777" w:rsidR="009A58E9" w:rsidRDefault="009A58E9">
      <w:pPr>
        <w:ind w:firstLine="720"/>
        <w:jc w:val="both"/>
      </w:pPr>
    </w:p>
    <w:p w14:paraId="4B0876A3" w14:textId="2CF25B33" w:rsidR="00AF41C0" w:rsidRDefault="00681863" w:rsidP="00761A64">
      <w:pPr>
        <w:ind w:firstLine="720"/>
        <w:jc w:val="both"/>
        <w:rPr>
          <w:bCs/>
        </w:rPr>
      </w:pPr>
      <w:r>
        <w:rPr>
          <w:bCs/>
        </w:rPr>
        <w:t xml:space="preserve">OET seeks comment on the </w:t>
      </w:r>
      <w:r w:rsidRPr="009310F2">
        <w:rPr>
          <w:bCs/>
        </w:rPr>
        <w:t xml:space="preserve">methodology </w:t>
      </w:r>
      <w:r w:rsidR="00714105" w:rsidRPr="009310F2">
        <w:rPr>
          <w:bCs/>
        </w:rPr>
        <w:t>for predicting potential interference between television and wireless services</w:t>
      </w:r>
      <w:r w:rsidR="00714105">
        <w:rPr>
          <w:bCs/>
        </w:rPr>
        <w:t xml:space="preserve">, </w:t>
      </w:r>
      <w:r w:rsidR="008F6BEB">
        <w:rPr>
          <w:bCs/>
        </w:rPr>
        <w:t>described</w:t>
      </w:r>
      <w:r>
        <w:rPr>
          <w:bCs/>
        </w:rPr>
        <w:t xml:space="preserve"> in the </w:t>
      </w:r>
      <w:r w:rsidR="00AB2341">
        <w:rPr>
          <w:bCs/>
        </w:rPr>
        <w:t xml:space="preserve">attached appendix (OET </w:t>
      </w:r>
      <w:r w:rsidR="00714105">
        <w:rPr>
          <w:bCs/>
        </w:rPr>
        <w:t>M</w:t>
      </w:r>
      <w:r w:rsidR="00AB2341">
        <w:rPr>
          <w:bCs/>
        </w:rPr>
        <w:t>ethodology)</w:t>
      </w:r>
      <w:r w:rsidRPr="009310F2">
        <w:rPr>
          <w:bCs/>
        </w:rPr>
        <w:t>.</w:t>
      </w:r>
      <w:r>
        <w:rPr>
          <w:bCs/>
        </w:rPr>
        <w:t xml:space="preserve">  Specifically, OET </w:t>
      </w:r>
      <w:r w:rsidR="00714105">
        <w:rPr>
          <w:bCs/>
        </w:rPr>
        <w:t xml:space="preserve">seeks comment on whether this </w:t>
      </w:r>
      <w:r>
        <w:rPr>
          <w:bCs/>
        </w:rPr>
        <w:t xml:space="preserve">methodology </w:t>
      </w:r>
      <w:r w:rsidR="00714105">
        <w:rPr>
          <w:bCs/>
        </w:rPr>
        <w:t xml:space="preserve">can </w:t>
      </w:r>
      <w:r>
        <w:rPr>
          <w:bCs/>
        </w:rPr>
        <w:t xml:space="preserve">provide greater accuracy than a generic separation distance (pre-defined radius) in predicting potential harmful interference between services, thereby </w:t>
      </w:r>
      <w:r w:rsidR="00A34BFD">
        <w:rPr>
          <w:bCs/>
        </w:rPr>
        <w:t>enabl</w:t>
      </w:r>
      <w:r w:rsidR="00714105">
        <w:rPr>
          <w:bCs/>
        </w:rPr>
        <w:t>ing</w:t>
      </w:r>
      <w:r w:rsidR="00A34BFD">
        <w:rPr>
          <w:bCs/>
        </w:rPr>
        <w:t xml:space="preserve"> the Commission to </w:t>
      </w:r>
      <w:r w:rsidR="001207ED">
        <w:rPr>
          <w:bCs/>
        </w:rPr>
        <w:t>repurpose</w:t>
      </w:r>
      <w:r>
        <w:rPr>
          <w:bCs/>
        </w:rPr>
        <w:t xml:space="preserve"> more spectrum </w:t>
      </w:r>
      <w:r w:rsidR="001207ED">
        <w:rPr>
          <w:bCs/>
        </w:rPr>
        <w:t>by accommodating market variation</w:t>
      </w:r>
      <w:r>
        <w:rPr>
          <w:bCs/>
        </w:rPr>
        <w:t xml:space="preserve">.  </w:t>
      </w:r>
    </w:p>
    <w:p w14:paraId="32B29E16" w14:textId="77777777" w:rsidR="00AF41C0" w:rsidRDefault="00AF41C0" w:rsidP="00761A64">
      <w:pPr>
        <w:jc w:val="both"/>
        <w:rPr>
          <w:bCs/>
        </w:rPr>
      </w:pPr>
    </w:p>
    <w:p w14:paraId="0D3633D9" w14:textId="6DC06575" w:rsidR="009A58E9" w:rsidRDefault="00E55E59" w:rsidP="00761A64">
      <w:pPr>
        <w:ind w:firstLine="720"/>
        <w:jc w:val="both"/>
      </w:pPr>
      <w:r>
        <w:t>OET</w:t>
      </w:r>
      <w:r w:rsidR="00AF41C0">
        <w:t xml:space="preserve"> seek</w:t>
      </w:r>
      <w:r>
        <w:t>s</w:t>
      </w:r>
      <w:r w:rsidR="00AF41C0">
        <w:t xml:space="preserve"> comment on whether interference to and from analog television stations should be considered and what assumptions and parameters would be appropriate for studies involving such stations.  </w:t>
      </w:r>
      <w:r>
        <w:t>OET</w:t>
      </w:r>
      <w:r w:rsidR="009A58E9">
        <w:t xml:space="preserve"> </w:t>
      </w:r>
      <w:r w:rsidR="00681863">
        <w:t xml:space="preserve">also </w:t>
      </w:r>
      <w:r w:rsidR="009A58E9">
        <w:t>invite</w:t>
      </w:r>
      <w:r>
        <w:t>s</w:t>
      </w:r>
      <w:r w:rsidR="009A58E9">
        <w:t xml:space="preserve"> comment on a number of specific topics as discussed below.</w:t>
      </w:r>
    </w:p>
    <w:p w14:paraId="448F9F94" w14:textId="77777777" w:rsidR="00084E00" w:rsidRDefault="00084E00">
      <w:pPr>
        <w:ind w:firstLine="720"/>
        <w:jc w:val="both"/>
      </w:pPr>
    </w:p>
    <w:p w14:paraId="3ED68E78" w14:textId="5886BFF8" w:rsidR="00AF41C0" w:rsidRDefault="00AF41C0" w:rsidP="003C462D">
      <w:pPr>
        <w:jc w:val="both"/>
        <w:rPr>
          <w:lang w:eastAsia="ja-JP"/>
        </w:rPr>
      </w:pPr>
      <w:r>
        <w:rPr>
          <w:i/>
          <w:u w:val="single"/>
          <w:lang w:eastAsia="ja-JP"/>
        </w:rPr>
        <w:t xml:space="preserve">General </w:t>
      </w:r>
      <w:r w:rsidRPr="00C96F06">
        <w:rPr>
          <w:i/>
          <w:u w:val="single"/>
          <w:lang w:eastAsia="ja-JP"/>
        </w:rPr>
        <w:t>Methodology</w:t>
      </w:r>
    </w:p>
    <w:p w14:paraId="2537DDE9" w14:textId="60F8D506" w:rsidR="00AB2341" w:rsidRDefault="003B5613" w:rsidP="00AB2341">
      <w:pPr>
        <w:ind w:firstLine="720"/>
        <w:jc w:val="both"/>
      </w:pPr>
      <w:r>
        <w:t>While</w:t>
      </w:r>
      <w:r w:rsidR="00601D10">
        <w:t xml:space="preserve"> the </w:t>
      </w:r>
      <w:r w:rsidR="00AB2341">
        <w:t xml:space="preserve">OET </w:t>
      </w:r>
      <w:r w:rsidR="00E55E59">
        <w:t>M</w:t>
      </w:r>
      <w:r w:rsidR="009A58E9">
        <w:t xml:space="preserve">ethodology </w:t>
      </w:r>
      <w:r w:rsidR="00E55E59">
        <w:t xml:space="preserve">may </w:t>
      </w:r>
      <w:r w:rsidR="007A708B">
        <w:t xml:space="preserve">potentially </w:t>
      </w:r>
      <w:r w:rsidR="00601D10">
        <w:t xml:space="preserve">improve the efficiency of spectrum use compared </w:t>
      </w:r>
      <w:r w:rsidR="00E55E59">
        <w:t>to the use of</w:t>
      </w:r>
      <w:r w:rsidR="00681863">
        <w:t xml:space="preserve"> </w:t>
      </w:r>
      <w:r w:rsidR="007A708B">
        <w:t>fixed separat</w:t>
      </w:r>
      <w:r w:rsidR="007234B3">
        <w:t>io</w:t>
      </w:r>
      <w:r w:rsidR="00681863">
        <w:t>n distances</w:t>
      </w:r>
      <w:r>
        <w:t>,</w:t>
      </w:r>
      <w:r w:rsidR="00681863">
        <w:t xml:space="preserve"> </w:t>
      </w:r>
      <w:r>
        <w:t xml:space="preserve">OET </w:t>
      </w:r>
      <w:r w:rsidR="00945867">
        <w:t xml:space="preserve">recognizes that it also increases the </w:t>
      </w:r>
      <w:r w:rsidR="007A708B">
        <w:t>complexity</w:t>
      </w:r>
      <w:r w:rsidR="00945867">
        <w:t xml:space="preserve"> of the analysis required</w:t>
      </w:r>
      <w:r w:rsidR="007A708B">
        <w:t xml:space="preserve">.  Would this methodology strike a more appropriate balance </w:t>
      </w:r>
      <w:r w:rsidR="00945867">
        <w:t>between efficiency of spectrum use and t</w:t>
      </w:r>
      <w:r w:rsidR="0073142C">
        <w:t xml:space="preserve">he technical analysis </w:t>
      </w:r>
      <w:r w:rsidR="0073142C" w:rsidRPr="0073142C">
        <w:t xml:space="preserve">required </w:t>
      </w:r>
      <w:r w:rsidR="00945867" w:rsidRPr="0073142C">
        <w:t>in the incentive auction</w:t>
      </w:r>
      <w:r w:rsidR="00945867">
        <w:t xml:space="preserve"> </w:t>
      </w:r>
      <w:r w:rsidR="007A708B">
        <w:t>than fixed co-channel and adjacent channel separation distances?</w:t>
      </w:r>
      <w:r w:rsidR="007234B3">
        <w:t xml:space="preserve">  Are there </w:t>
      </w:r>
      <w:r w:rsidR="00AB2341">
        <w:t>variations of the OET methodology or other approaches that would better address these concerns for interference protection and spectrum efficiency?</w:t>
      </w:r>
    </w:p>
    <w:p w14:paraId="2A04E4FE" w14:textId="77777777" w:rsidR="00AF41C0" w:rsidRDefault="00AF41C0" w:rsidP="00AB2341">
      <w:pPr>
        <w:ind w:firstLine="720"/>
        <w:jc w:val="both"/>
      </w:pPr>
    </w:p>
    <w:p w14:paraId="12FD4C66" w14:textId="77777777" w:rsidR="00AF41C0" w:rsidRDefault="00AF41C0" w:rsidP="00AF41C0">
      <w:pPr>
        <w:jc w:val="both"/>
        <w:rPr>
          <w:lang w:eastAsia="ja-JP"/>
        </w:rPr>
      </w:pPr>
      <w:r w:rsidRPr="00C96F06">
        <w:rPr>
          <w:i/>
          <w:u w:val="single"/>
          <w:lang w:eastAsia="ja-JP"/>
        </w:rPr>
        <w:t xml:space="preserve">Methodology to Determine </w:t>
      </w:r>
      <w:r>
        <w:rPr>
          <w:i/>
          <w:u w:val="single"/>
          <w:lang w:eastAsia="ja-JP"/>
        </w:rPr>
        <w:t xml:space="preserve">DTV Interference to </w:t>
      </w:r>
      <w:r w:rsidRPr="00C96F06">
        <w:rPr>
          <w:i/>
          <w:u w:val="single"/>
          <w:lang w:eastAsia="ja-JP"/>
        </w:rPr>
        <w:t>Wireless</w:t>
      </w:r>
    </w:p>
    <w:p w14:paraId="1A68A6B2" w14:textId="7ED9E436" w:rsidR="00AF41C0" w:rsidRDefault="00AF41C0" w:rsidP="00AF41C0">
      <w:pPr>
        <w:ind w:firstLine="720"/>
        <w:jc w:val="both"/>
        <w:rPr>
          <w:lang w:eastAsia="ja-JP"/>
        </w:rPr>
      </w:pPr>
      <w:r>
        <w:rPr>
          <w:lang w:eastAsia="ja-JP"/>
        </w:rPr>
        <w:t xml:space="preserve">We seek comment on the approach described to determine wireless license impairments.  Are there other methods to determine wireless market impairments in the 600 MHz band?  </w:t>
      </w:r>
    </w:p>
    <w:p w14:paraId="3BCFB2A3" w14:textId="77777777" w:rsidR="00AF41C0" w:rsidRDefault="00AF41C0" w:rsidP="00AF41C0">
      <w:pPr>
        <w:jc w:val="both"/>
        <w:rPr>
          <w:lang w:eastAsia="ja-JP"/>
        </w:rPr>
      </w:pPr>
    </w:p>
    <w:p w14:paraId="40239ABE" w14:textId="77777777" w:rsidR="00761A64" w:rsidRDefault="00761A64" w:rsidP="00AF41C0">
      <w:pPr>
        <w:rPr>
          <w:i/>
          <w:u w:val="single"/>
          <w:lang w:eastAsia="ja-JP"/>
        </w:rPr>
      </w:pPr>
    </w:p>
    <w:p w14:paraId="17C266C9" w14:textId="77777777" w:rsidR="00AF41C0" w:rsidRDefault="00AF41C0" w:rsidP="00AF41C0">
      <w:pPr>
        <w:rPr>
          <w:i/>
          <w:u w:val="single"/>
          <w:lang w:eastAsia="ja-JP"/>
        </w:rPr>
      </w:pPr>
      <w:r w:rsidRPr="00C96F06">
        <w:rPr>
          <w:i/>
          <w:u w:val="single"/>
          <w:lang w:eastAsia="ja-JP"/>
        </w:rPr>
        <w:t xml:space="preserve">Methodology to Determine </w:t>
      </w:r>
      <w:r>
        <w:rPr>
          <w:i/>
          <w:u w:val="single"/>
          <w:lang w:eastAsia="ja-JP"/>
        </w:rPr>
        <w:t xml:space="preserve">Wireless </w:t>
      </w:r>
      <w:r w:rsidRPr="00C96F06">
        <w:rPr>
          <w:i/>
          <w:u w:val="single"/>
          <w:lang w:eastAsia="ja-JP"/>
        </w:rPr>
        <w:t>Interference</w:t>
      </w:r>
      <w:r>
        <w:rPr>
          <w:i/>
          <w:u w:val="single"/>
          <w:lang w:eastAsia="ja-JP"/>
        </w:rPr>
        <w:t xml:space="preserve"> to DTV</w:t>
      </w:r>
    </w:p>
    <w:p w14:paraId="17EDDD80" w14:textId="6A2CA02B" w:rsidR="00AF41C0" w:rsidRDefault="00AF41C0" w:rsidP="00AF41C0">
      <w:pPr>
        <w:ind w:firstLine="720"/>
        <w:jc w:val="both"/>
        <w:rPr>
          <w:lang w:eastAsia="ja-JP"/>
        </w:rPr>
      </w:pPr>
      <w:r>
        <w:rPr>
          <w:lang w:eastAsia="ja-JP"/>
        </w:rPr>
        <w:t>We seek comment on the approach described to determine interference to DTV stations.  Should we instead set one or more simple separation distance requirements?  Will calculation of the D/U ratio values on a 2-kilometer grid with base stations spaced uniformly at 10-kilometer intervals provide sufficient resolution when determining possible interference?</w:t>
      </w:r>
    </w:p>
    <w:p w14:paraId="1B573EFC" w14:textId="77777777" w:rsidR="00AF41C0" w:rsidRDefault="00AF41C0" w:rsidP="00AF41C0"/>
    <w:p w14:paraId="7D1807F5" w14:textId="68A177A3" w:rsidR="00AF41C0" w:rsidRDefault="00AF41C0" w:rsidP="00761A64">
      <w:pPr>
        <w:ind w:firstLine="720"/>
        <w:rPr>
          <w:lang w:eastAsia="ja-JP"/>
        </w:rPr>
      </w:pPr>
      <w:r>
        <w:rPr>
          <w:lang w:eastAsia="ja-JP"/>
        </w:rPr>
        <w:t xml:space="preserve">We request comment on the extent of predicted interference to DTV reception based on our grid-based approach.  Should we define areas within a wireless market, such as county boundaries, where if the operations of any given hypothetical wireless base station cause predicted interference to a DTV station, regardless of population impacted, we would infer that all wireless operation in that area would cause interference to that station? </w:t>
      </w:r>
    </w:p>
    <w:p w14:paraId="1D92DD5E" w14:textId="77777777" w:rsidR="00AF41C0" w:rsidRDefault="00AF41C0" w:rsidP="00AF41C0">
      <w:pPr>
        <w:rPr>
          <w:lang w:eastAsia="ja-JP"/>
        </w:rPr>
      </w:pPr>
    </w:p>
    <w:p w14:paraId="37D83544" w14:textId="6DD9DAFB" w:rsidR="004D65D1" w:rsidRPr="00C23F36" w:rsidRDefault="004D65D1" w:rsidP="004D65D1">
      <w:pPr>
        <w:rPr>
          <w:i/>
          <w:u w:val="single"/>
          <w:lang w:eastAsia="ja-JP"/>
        </w:rPr>
      </w:pPr>
      <w:r>
        <w:rPr>
          <w:i/>
          <w:u w:val="single"/>
          <w:lang w:eastAsia="ja-JP"/>
        </w:rPr>
        <w:t xml:space="preserve">Technical </w:t>
      </w:r>
      <w:r w:rsidR="00B438D7">
        <w:rPr>
          <w:i/>
          <w:u w:val="single"/>
          <w:lang w:eastAsia="ja-JP"/>
        </w:rPr>
        <w:t>Assumptions</w:t>
      </w:r>
    </w:p>
    <w:p w14:paraId="600B3F4B" w14:textId="51028383" w:rsidR="007234B3" w:rsidRDefault="007A708B">
      <w:pPr>
        <w:ind w:firstLine="720"/>
        <w:jc w:val="both"/>
      </w:pPr>
      <w:r>
        <w:t xml:space="preserve">The </w:t>
      </w:r>
      <w:r w:rsidR="00AB2341">
        <w:t xml:space="preserve">OET </w:t>
      </w:r>
      <w:r>
        <w:t xml:space="preserve">methodology makes certain assumptions about the characteristics of DTV </w:t>
      </w:r>
      <w:r w:rsidR="00945867">
        <w:t xml:space="preserve">transmission </w:t>
      </w:r>
      <w:r>
        <w:t xml:space="preserve">facilities and DTV receivers as well as wireless </w:t>
      </w:r>
      <w:r w:rsidR="00945867">
        <w:t xml:space="preserve">transmission </w:t>
      </w:r>
      <w:r>
        <w:t xml:space="preserve">facilities and receivers based </w:t>
      </w:r>
      <w:r w:rsidR="00945867">
        <w:t xml:space="preserve">mostly </w:t>
      </w:r>
      <w:r>
        <w:t xml:space="preserve">on existing </w:t>
      </w:r>
      <w:r w:rsidR="00EB5A5C">
        <w:t xml:space="preserve">industry </w:t>
      </w:r>
      <w:r>
        <w:t xml:space="preserve">standards and </w:t>
      </w:r>
      <w:r w:rsidR="00945867">
        <w:t xml:space="preserve">available </w:t>
      </w:r>
      <w:r>
        <w:t xml:space="preserve">technical data.  </w:t>
      </w:r>
      <w:r w:rsidR="007234B3">
        <w:t xml:space="preserve">For digital television, the </w:t>
      </w:r>
      <w:r w:rsidR="0002326C">
        <w:t xml:space="preserve">DTV </w:t>
      </w:r>
      <w:r w:rsidR="007234B3">
        <w:t>planning factors</w:t>
      </w:r>
      <w:r w:rsidR="007234B3">
        <w:rPr>
          <w:rStyle w:val="FootnoteReference"/>
        </w:rPr>
        <w:footnoteReference w:id="7"/>
      </w:r>
      <w:r w:rsidR="007234B3">
        <w:t xml:space="preserve"> </w:t>
      </w:r>
      <w:r w:rsidR="0002326C">
        <w:t xml:space="preserve">underlie the </w:t>
      </w:r>
      <w:r w:rsidR="007234B3">
        <w:t>definition of service</w:t>
      </w:r>
      <w:r w:rsidR="00876039">
        <w:t>.  R</w:t>
      </w:r>
      <w:r w:rsidR="0002326C">
        <w:t xml:space="preserve">eceiver performance expectations were used to develop the interference criteria in </w:t>
      </w:r>
      <w:r w:rsidR="007234B3">
        <w:t>the Commission’s rules</w:t>
      </w:r>
      <w:r w:rsidR="001207ED">
        <w:t>.</w:t>
      </w:r>
      <w:r w:rsidR="007234B3">
        <w:rPr>
          <w:rStyle w:val="FootnoteReference"/>
        </w:rPr>
        <w:footnoteReference w:id="8"/>
      </w:r>
      <w:r w:rsidR="007234B3">
        <w:t xml:space="preserve">  Because </w:t>
      </w:r>
      <w:r w:rsidR="0002326C">
        <w:t xml:space="preserve">600 MHz </w:t>
      </w:r>
      <w:r w:rsidR="007234B3">
        <w:t xml:space="preserve">wireless services are expected to be noise-like and studies have shown that noise-like signals have interference potential nearly identical to </w:t>
      </w:r>
      <w:r w:rsidR="00EB5A5C">
        <w:t>ATSC digital television</w:t>
      </w:r>
      <w:r w:rsidR="007234B3">
        <w:t>,</w:t>
      </w:r>
      <w:r w:rsidR="007234B3">
        <w:rPr>
          <w:rStyle w:val="FootnoteReference"/>
        </w:rPr>
        <w:footnoteReference w:id="9"/>
      </w:r>
      <w:r w:rsidR="007234B3">
        <w:t xml:space="preserve"> we believe that </w:t>
      </w:r>
      <w:r w:rsidR="0002326C">
        <w:t xml:space="preserve">the </w:t>
      </w:r>
      <w:r w:rsidR="007234B3">
        <w:t xml:space="preserve">existing DTV protection criteria can be applied with some adjustments </w:t>
      </w:r>
      <w:r w:rsidR="00681863">
        <w:t>for frequency offsets</w:t>
      </w:r>
      <w:r w:rsidR="005E64C5">
        <w:t xml:space="preserve"> as discussed below.</w:t>
      </w:r>
      <w:r w:rsidR="00681863">
        <w:t xml:space="preserve">  </w:t>
      </w:r>
      <w:r w:rsidR="00EB5A5C">
        <w:t>Similarly, f</w:t>
      </w:r>
      <w:r w:rsidR="007234B3">
        <w:t>or wireless systems operating at 600 MHz, industry standards</w:t>
      </w:r>
      <w:r w:rsidR="007234B3">
        <w:rPr>
          <w:rStyle w:val="FootnoteReference"/>
        </w:rPr>
        <w:footnoteReference w:id="10"/>
      </w:r>
      <w:r w:rsidR="007234B3">
        <w:t xml:space="preserve"> define reception thresholds and provide receiver performance criteria.  </w:t>
      </w:r>
      <w:r w:rsidR="00E55E59">
        <w:t xml:space="preserve">The methodology assumes a uniform distribution of wireless base stations.  We seek comment on whether these assumptions are appropriate.  </w:t>
      </w:r>
      <w:r w:rsidR="007234B3">
        <w:t xml:space="preserve">We </w:t>
      </w:r>
      <w:r w:rsidR="00E55E59">
        <w:t xml:space="preserve">also </w:t>
      </w:r>
      <w:r w:rsidR="007234B3">
        <w:t>seek comment on whether the criteria for service and interference are appropriate for use in a predictive model to establish locations of likely interference between TV broadcast and wireless services operating co-channel</w:t>
      </w:r>
      <w:r w:rsidR="0002326C">
        <w:t xml:space="preserve"> or adjacent-channel</w:t>
      </w:r>
      <w:r w:rsidR="007234B3">
        <w:t xml:space="preserve">.   </w:t>
      </w:r>
    </w:p>
    <w:p w14:paraId="47A02ADC" w14:textId="77777777" w:rsidR="007A708B" w:rsidRDefault="007A708B">
      <w:pPr>
        <w:ind w:firstLine="720"/>
        <w:jc w:val="both"/>
      </w:pPr>
    </w:p>
    <w:p w14:paraId="5F2F0AB3" w14:textId="27A987D3" w:rsidR="00681863" w:rsidRDefault="00681863" w:rsidP="00681863">
      <w:pPr>
        <w:autoSpaceDE w:val="0"/>
        <w:autoSpaceDN w:val="0"/>
        <w:ind w:firstLine="720"/>
        <w:jc w:val="both"/>
      </w:pPr>
      <w:r>
        <w:t xml:space="preserve">One </w:t>
      </w:r>
      <w:r w:rsidR="0014797D">
        <w:t xml:space="preserve">significant </w:t>
      </w:r>
      <w:r>
        <w:t xml:space="preserve">issue that will impact </w:t>
      </w:r>
      <w:r w:rsidR="0014797D">
        <w:t xml:space="preserve">the potential for </w:t>
      </w:r>
      <w:r>
        <w:t xml:space="preserve">co-channel and adjacent-channel interference between TV broadcast and wireless services is the </w:t>
      </w:r>
      <w:r w:rsidR="00614BB9">
        <w:t>varying degree of spectral overlap</w:t>
      </w:r>
      <w:r>
        <w:t xml:space="preserve"> that will exist between the </w:t>
      </w:r>
      <w:r w:rsidR="0014797D">
        <w:t xml:space="preserve">two </w:t>
      </w:r>
      <w:r>
        <w:t xml:space="preserve">services.  </w:t>
      </w:r>
      <w:r w:rsidRPr="00CF17C9">
        <w:t xml:space="preserve">Because </w:t>
      </w:r>
      <w:r>
        <w:t xml:space="preserve">the Commission has proposed to repurpose </w:t>
      </w:r>
      <w:r w:rsidR="00E55E59">
        <w:t>six</w:t>
      </w:r>
      <w:r w:rsidR="00F06D94" w:rsidRPr="00CF17C9">
        <w:t xml:space="preserve"> </w:t>
      </w:r>
      <w:r w:rsidR="00F06D94">
        <w:t>megahert</w:t>
      </w:r>
      <w:r w:rsidR="00F06D94" w:rsidRPr="00CF17C9">
        <w:t xml:space="preserve">z </w:t>
      </w:r>
      <w:r w:rsidR="00F06D94">
        <w:t>TV broadcast</w:t>
      </w:r>
      <w:r w:rsidR="00F06D94" w:rsidRPr="00CF17C9">
        <w:t xml:space="preserve"> channels </w:t>
      </w:r>
      <w:r w:rsidRPr="00CF17C9">
        <w:t xml:space="preserve">as </w:t>
      </w:r>
      <w:r w:rsidR="00E55E59">
        <w:t>five</w:t>
      </w:r>
      <w:r w:rsidRPr="00CF17C9">
        <w:t xml:space="preserve"> </w:t>
      </w:r>
      <w:r>
        <w:t>megahert</w:t>
      </w:r>
      <w:r w:rsidRPr="00CF17C9">
        <w:t>z wireless blocks,</w:t>
      </w:r>
      <w:r w:rsidR="00203847">
        <w:rPr>
          <w:rStyle w:val="FootnoteReference"/>
        </w:rPr>
        <w:footnoteReference w:id="11"/>
      </w:r>
      <w:r w:rsidRPr="00CF17C9">
        <w:t xml:space="preserve"> a single television channel </w:t>
      </w:r>
      <w:r>
        <w:t>may</w:t>
      </w:r>
      <w:r w:rsidRPr="00CF17C9">
        <w:t xml:space="preserve"> o</w:t>
      </w:r>
      <w:r>
        <w:t xml:space="preserve">verlap two wireless channels </w:t>
      </w:r>
      <w:r w:rsidR="00DB2182">
        <w:t>in a nearby wireless license area</w:t>
      </w:r>
      <w:r>
        <w:t>.  T</w:t>
      </w:r>
      <w:r w:rsidRPr="00CF17C9">
        <w:t xml:space="preserve">he difference in channel </w:t>
      </w:r>
      <w:r w:rsidR="0014797D">
        <w:t>bandwidth</w:t>
      </w:r>
      <w:r w:rsidR="0014797D" w:rsidRPr="00CF17C9">
        <w:t xml:space="preserve"> </w:t>
      </w:r>
      <w:r w:rsidRPr="00CF17C9">
        <w:t>(</w:t>
      </w:r>
      <w:r w:rsidR="00E55E59">
        <w:t>six</w:t>
      </w:r>
      <w:r w:rsidRPr="00CF17C9">
        <w:t xml:space="preserve"> </w:t>
      </w:r>
      <w:r w:rsidRPr="0073142C">
        <w:rPr>
          <w:i/>
        </w:rPr>
        <w:t>vs</w:t>
      </w:r>
      <w:r w:rsidRPr="002F1495">
        <w:t>.</w:t>
      </w:r>
      <w:r w:rsidRPr="00CF17C9">
        <w:t xml:space="preserve"> </w:t>
      </w:r>
      <w:r w:rsidR="00E55E59">
        <w:t>five</w:t>
      </w:r>
      <w:r w:rsidRPr="00CF17C9">
        <w:t xml:space="preserve"> </w:t>
      </w:r>
      <w:r>
        <w:t>megahert</w:t>
      </w:r>
      <w:r w:rsidRPr="00CF17C9">
        <w:t xml:space="preserve">z) means that the channels </w:t>
      </w:r>
      <w:r w:rsidR="001207ED">
        <w:t xml:space="preserve">will </w:t>
      </w:r>
      <w:r>
        <w:t>no</w:t>
      </w:r>
      <w:r w:rsidRPr="00CF17C9">
        <w:t>t perfectly align</w:t>
      </w:r>
      <w:r>
        <w:t xml:space="preserve">, and the </w:t>
      </w:r>
      <w:r w:rsidR="0014797D">
        <w:t xml:space="preserve">different </w:t>
      </w:r>
      <w:r>
        <w:t xml:space="preserve">amounts of spectral overlap suggest that protection requirements </w:t>
      </w:r>
      <w:r w:rsidR="0014797D">
        <w:t>should reflect the variation</w:t>
      </w:r>
      <w:r>
        <w:t xml:space="preserve">.  </w:t>
      </w:r>
    </w:p>
    <w:p w14:paraId="2ABA608D" w14:textId="77777777" w:rsidR="00681863" w:rsidRDefault="00681863" w:rsidP="00681863">
      <w:pPr>
        <w:autoSpaceDE w:val="0"/>
        <w:autoSpaceDN w:val="0"/>
        <w:ind w:firstLine="720"/>
        <w:jc w:val="both"/>
      </w:pPr>
    </w:p>
    <w:p w14:paraId="4B16CDCD" w14:textId="341324D5" w:rsidR="00681863" w:rsidRDefault="00681863" w:rsidP="00681863">
      <w:pPr>
        <w:autoSpaceDE w:val="0"/>
        <w:autoSpaceDN w:val="0"/>
        <w:ind w:firstLine="720"/>
        <w:jc w:val="both"/>
      </w:pPr>
      <w:r>
        <w:t>Figure 2 provide</w:t>
      </w:r>
      <w:r w:rsidR="00E55E59">
        <w:t>s</w:t>
      </w:r>
      <w:r>
        <w:t xml:space="preserve"> an </w:t>
      </w:r>
      <w:r w:rsidR="0014797D">
        <w:t xml:space="preserve">example </w:t>
      </w:r>
      <w:r>
        <w:t xml:space="preserve">where </w:t>
      </w:r>
      <w:r w:rsidRPr="00314E0F">
        <w:t xml:space="preserve">the spectral overlap between </w:t>
      </w:r>
      <w:r>
        <w:t xml:space="preserve">potential wireless </w:t>
      </w:r>
      <w:r w:rsidR="0014797D">
        <w:t>B</w:t>
      </w:r>
      <w:r w:rsidR="0014797D" w:rsidRPr="00314E0F">
        <w:t xml:space="preserve">lock </w:t>
      </w:r>
      <w:r>
        <w:t>E</w:t>
      </w:r>
      <w:r w:rsidRPr="00314E0F">
        <w:t xml:space="preserve"> and TV </w:t>
      </w:r>
      <w:r w:rsidR="0014797D">
        <w:t>C</w:t>
      </w:r>
      <w:r w:rsidRPr="00314E0F">
        <w:t xml:space="preserve">hannel </w:t>
      </w:r>
      <w:r>
        <w:t>47</w:t>
      </w:r>
      <w:r w:rsidRPr="00314E0F">
        <w:t xml:space="preserve"> is </w:t>
      </w:r>
      <w:r w:rsidR="00E55E59">
        <w:t>one</w:t>
      </w:r>
      <w:r w:rsidRPr="00314E0F">
        <w:t xml:space="preserve"> </w:t>
      </w:r>
      <w:r>
        <w:t>megahertz</w:t>
      </w:r>
      <w:r w:rsidRPr="00314E0F">
        <w:t xml:space="preserve">, meaning that </w:t>
      </w:r>
      <w:r w:rsidR="00E55E59">
        <w:t>one</w:t>
      </w:r>
      <w:r w:rsidRPr="00314E0F">
        <w:t xml:space="preserve"> </w:t>
      </w:r>
      <w:r>
        <w:t>megahertz</w:t>
      </w:r>
      <w:r w:rsidRPr="00314E0F">
        <w:t xml:space="preserve"> of TV </w:t>
      </w:r>
      <w:r w:rsidR="00FC0245">
        <w:t>C</w:t>
      </w:r>
      <w:r w:rsidRPr="00314E0F">
        <w:t xml:space="preserve">hannel </w:t>
      </w:r>
      <w:r>
        <w:t>47</w:t>
      </w:r>
      <w:r w:rsidRPr="00314E0F">
        <w:t xml:space="preserve"> is co-channel with </w:t>
      </w:r>
      <w:r w:rsidR="001207ED">
        <w:t>B</w:t>
      </w:r>
      <w:r w:rsidRPr="00314E0F">
        <w:t xml:space="preserve">lock </w:t>
      </w:r>
      <w:r>
        <w:t>E</w:t>
      </w:r>
      <w:r w:rsidRPr="00314E0F">
        <w:t xml:space="preserve">.  On the other hand, the spectral overlap between </w:t>
      </w:r>
      <w:r>
        <w:t xml:space="preserve">potential wireless </w:t>
      </w:r>
      <w:r w:rsidR="00FC0245">
        <w:t>B</w:t>
      </w:r>
      <w:r w:rsidRPr="00314E0F">
        <w:t xml:space="preserve">lock </w:t>
      </w:r>
      <w:r>
        <w:t>D</w:t>
      </w:r>
      <w:r w:rsidRPr="00314E0F">
        <w:t xml:space="preserve"> and TV </w:t>
      </w:r>
      <w:r w:rsidR="00FC0245">
        <w:t>C</w:t>
      </w:r>
      <w:r w:rsidRPr="00314E0F">
        <w:t>hannel 4</w:t>
      </w:r>
      <w:r>
        <w:t>7</w:t>
      </w:r>
      <w:r w:rsidRPr="00314E0F">
        <w:t xml:space="preserve"> is</w:t>
      </w:r>
      <w:r>
        <w:t xml:space="preserve"> -4</w:t>
      </w:r>
      <w:r w:rsidRPr="00314E0F">
        <w:t xml:space="preserve"> </w:t>
      </w:r>
      <w:r>
        <w:t>megahert</w:t>
      </w:r>
      <w:r w:rsidRPr="00314E0F">
        <w:t xml:space="preserve">z, because there </w:t>
      </w:r>
      <w:r w:rsidR="00E55E59">
        <w:t>are four</w:t>
      </w:r>
      <w:r w:rsidRPr="00314E0F">
        <w:t xml:space="preserve"> </w:t>
      </w:r>
      <w:r>
        <w:t>megahert</w:t>
      </w:r>
      <w:r w:rsidRPr="00314E0F">
        <w:t xml:space="preserve">z of frequency separation between </w:t>
      </w:r>
      <w:r w:rsidR="00FC0245">
        <w:t>the</w:t>
      </w:r>
      <w:r w:rsidR="00FC0245" w:rsidRPr="00314E0F">
        <w:t xml:space="preserve"> </w:t>
      </w:r>
      <w:r w:rsidRPr="00314E0F">
        <w:t>respective channel edges.</w:t>
      </w:r>
      <w:r>
        <w:t xml:space="preserve">  We invite comment on whether the total power in the spectral overlap should be used in assessing interference.  </w:t>
      </w:r>
      <w:r w:rsidR="00E55E59">
        <w:t xml:space="preserve">Will these assumptions be applicable if </w:t>
      </w:r>
      <w:r>
        <w:t xml:space="preserve">licensees aggregate multiple </w:t>
      </w:r>
      <w:r w:rsidR="00FC0245">
        <w:t xml:space="preserve">spectrum </w:t>
      </w:r>
      <w:r>
        <w:t xml:space="preserve">blocks to provide wider bandwidth channels?  </w:t>
      </w:r>
      <w:r w:rsidR="00925D25">
        <w:t>How should interference power be accounted for</w:t>
      </w:r>
      <w:r>
        <w:t xml:space="preserve"> in cases where there is a potential for interference from two adjacent wireless blocks</w:t>
      </w:r>
      <w:r w:rsidR="008F6BEB">
        <w:t>?</w:t>
      </w:r>
    </w:p>
    <w:p w14:paraId="62B180F2" w14:textId="77777777" w:rsidR="00FC0245" w:rsidRDefault="00FC0245" w:rsidP="00681863">
      <w:pPr>
        <w:autoSpaceDE w:val="0"/>
        <w:autoSpaceDN w:val="0"/>
        <w:ind w:firstLine="720"/>
        <w:jc w:val="both"/>
      </w:pPr>
    </w:p>
    <w:p w14:paraId="2CC225CA" w14:textId="5CE6D64F" w:rsidR="00681863" w:rsidRDefault="008B0C25" w:rsidP="00681863">
      <w:pPr>
        <w:autoSpaceDE w:val="0"/>
        <w:autoSpaceDN w:val="0"/>
        <w:jc w:val="center"/>
      </w:pPr>
      <w:r w:rsidRPr="008B0C25">
        <w:rPr>
          <w:noProof/>
        </w:rPr>
        <w:t xml:space="preserve"> </w:t>
      </w:r>
      <w:r>
        <w:rPr>
          <w:noProof/>
        </w:rPr>
        <w:drawing>
          <wp:inline distT="0" distB="0" distL="0" distR="0" wp14:anchorId="2316BCC0" wp14:editId="3A53E8E4">
            <wp:extent cx="3056890" cy="920750"/>
            <wp:effectExtent l="19050" t="19050" r="10160" b="127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890" cy="920750"/>
                    </a:xfrm>
                    <a:prstGeom prst="rect">
                      <a:avLst/>
                    </a:prstGeom>
                    <a:noFill/>
                    <a:ln w="3175">
                      <a:solidFill>
                        <a:schemeClr val="tx1"/>
                      </a:solidFill>
                    </a:ln>
                  </pic:spPr>
                </pic:pic>
              </a:graphicData>
            </a:graphic>
          </wp:inline>
        </w:drawing>
      </w:r>
    </w:p>
    <w:p w14:paraId="2F308F06" w14:textId="43267BAC" w:rsidR="00681863" w:rsidRPr="0073142C" w:rsidRDefault="00681863" w:rsidP="00761A64">
      <w:pPr>
        <w:autoSpaceDE w:val="0"/>
        <w:autoSpaceDN w:val="0"/>
        <w:spacing w:before="120"/>
        <w:jc w:val="center"/>
        <w:rPr>
          <w:sz w:val="20"/>
        </w:rPr>
      </w:pPr>
      <w:r w:rsidRPr="0073142C">
        <w:rPr>
          <w:sz w:val="20"/>
        </w:rPr>
        <w:t>Figure 2</w:t>
      </w:r>
      <w:r w:rsidR="00FC0245" w:rsidRPr="0073142C">
        <w:rPr>
          <w:sz w:val="20"/>
        </w:rPr>
        <w:t xml:space="preserve">. </w:t>
      </w:r>
      <w:r w:rsidRPr="0073142C">
        <w:rPr>
          <w:sz w:val="20"/>
        </w:rPr>
        <w:t xml:space="preserve"> </w:t>
      </w:r>
      <w:r w:rsidR="00FC0245">
        <w:rPr>
          <w:sz w:val="20"/>
        </w:rPr>
        <w:t xml:space="preserve">6 MHz </w:t>
      </w:r>
      <w:r w:rsidRPr="0073142C">
        <w:rPr>
          <w:sz w:val="20"/>
        </w:rPr>
        <w:t xml:space="preserve">DTV and </w:t>
      </w:r>
      <w:r w:rsidR="00FC0245">
        <w:rPr>
          <w:sz w:val="20"/>
        </w:rPr>
        <w:t xml:space="preserve">5 MHz </w:t>
      </w:r>
      <w:r w:rsidRPr="0073142C">
        <w:rPr>
          <w:sz w:val="20"/>
        </w:rPr>
        <w:t xml:space="preserve">Wireless </w:t>
      </w:r>
      <w:r w:rsidR="00FC0245">
        <w:rPr>
          <w:sz w:val="20"/>
        </w:rPr>
        <w:t>channel</w:t>
      </w:r>
      <w:r w:rsidR="00FC0245" w:rsidRPr="0073142C">
        <w:rPr>
          <w:sz w:val="20"/>
        </w:rPr>
        <w:t xml:space="preserve"> </w:t>
      </w:r>
      <w:r w:rsidRPr="0073142C">
        <w:rPr>
          <w:sz w:val="20"/>
        </w:rPr>
        <w:t>alignment</w:t>
      </w:r>
    </w:p>
    <w:p w14:paraId="1BBF6168" w14:textId="263021E4" w:rsidR="007234B3" w:rsidRDefault="007234B3" w:rsidP="00203847">
      <w:pPr>
        <w:ind w:firstLine="720"/>
        <w:jc w:val="both"/>
      </w:pPr>
    </w:p>
    <w:p w14:paraId="2E9A6A8D" w14:textId="57CC25CF" w:rsidR="007234B3" w:rsidRDefault="007234B3" w:rsidP="00203847">
      <w:pPr>
        <w:ind w:firstLine="720"/>
        <w:jc w:val="both"/>
      </w:pPr>
      <w:r>
        <w:t xml:space="preserve">For predicting television coverage and interference over large distances, the FCC has often applied the </w:t>
      </w:r>
      <w:r w:rsidR="003C0821">
        <w:t>“</w:t>
      </w:r>
      <w:r>
        <w:t>Longley-Rice</w:t>
      </w:r>
      <w:r w:rsidR="003C0821">
        <w:t>”</w:t>
      </w:r>
      <w:r>
        <w:t xml:space="preserve"> </w:t>
      </w:r>
      <w:r w:rsidR="00925D25">
        <w:t xml:space="preserve">radio propagation </w:t>
      </w:r>
      <w:r>
        <w:t>model.</w:t>
      </w:r>
      <w:r>
        <w:rPr>
          <w:rStyle w:val="FootnoteReference"/>
        </w:rPr>
        <w:footnoteReference w:id="12"/>
      </w:r>
      <w:r>
        <w:t xml:space="preserve">  Although</w:t>
      </w:r>
      <w:r w:rsidR="00BF7D5D">
        <w:t xml:space="preserve"> the FCC</w:t>
      </w:r>
      <w:r>
        <w:t xml:space="preserve"> has not previously applied </w:t>
      </w:r>
      <w:r w:rsidR="00BF7D5D">
        <w:t>this model</w:t>
      </w:r>
      <w:r>
        <w:t xml:space="preserve"> in a wireless or inter-service context, it</w:t>
      </w:r>
      <w:r w:rsidR="00BF7D5D">
        <w:t>s use</w:t>
      </w:r>
      <w:r w:rsidR="001207ED">
        <w:t xml:space="preserve"> may</w:t>
      </w:r>
      <w:r>
        <w:t xml:space="preserve"> be appropriate for predicting propagation losses over the </w:t>
      </w:r>
      <w:r w:rsidR="003C0821">
        <w:t xml:space="preserve">range of </w:t>
      </w:r>
      <w:r>
        <w:t>distances and antenna heights involved in three of the four scenarios described above.</w:t>
      </w:r>
      <w:r w:rsidR="003C0821">
        <w:rPr>
          <w:rStyle w:val="FootnoteReference"/>
        </w:rPr>
        <w:footnoteReference w:id="13"/>
      </w:r>
      <w:r w:rsidR="003C0821">
        <w:t xml:space="preserve">  </w:t>
      </w:r>
      <w:r>
        <w:t xml:space="preserve">We seek comment on whether </w:t>
      </w:r>
      <w:r w:rsidR="009456AA">
        <w:t xml:space="preserve">applying </w:t>
      </w:r>
      <w:r>
        <w:t xml:space="preserve">Longley-Rice is an appropriate </w:t>
      </w:r>
      <w:r w:rsidR="003C0821">
        <w:t xml:space="preserve">propagation </w:t>
      </w:r>
      <w:r>
        <w:t xml:space="preserve">model </w:t>
      </w:r>
      <w:r w:rsidR="003C0821">
        <w:t>for</w:t>
      </w:r>
      <w:r>
        <w:t xml:space="preserve"> some or all of the four </w:t>
      </w:r>
      <w:r w:rsidR="009456AA">
        <w:t xml:space="preserve">interference </w:t>
      </w:r>
      <w:r>
        <w:t>scenarios described above, and we seek suggestions for specific alternative propagation models.  We also seek comment on the appropriate configuration parameters to use in each case, as well as whether the consideration of morphology (clutter) is appropriate</w:t>
      </w:r>
      <w:r w:rsidR="004743F2">
        <w:t xml:space="preserve"> and appropriate clutter losses for interference cases involving the user equipment</w:t>
      </w:r>
      <w:r>
        <w:t xml:space="preserve">.  </w:t>
      </w:r>
      <w:r w:rsidR="00B438D7">
        <w:rPr>
          <w:lang w:eastAsia="ja-JP"/>
        </w:rPr>
        <w:t>We also seek comment on the appropriate statistical parameters for the Longley-Rice model, in particular the use of F(50, 50) when examining DTV field strength at the wireless receiver.</w:t>
      </w:r>
      <w:r w:rsidR="00B438D7">
        <w:t xml:space="preserve">  </w:t>
      </w:r>
      <w:r w:rsidR="00925D25">
        <w:t xml:space="preserve">We also request suggestions </w:t>
      </w:r>
      <w:r w:rsidR="00BF7D5D">
        <w:t xml:space="preserve">of </w:t>
      </w:r>
      <w:r w:rsidR="00925D25">
        <w:t>alternative methods for modeling the propagation of signals from mobile devices to DTV receivers.</w:t>
      </w:r>
    </w:p>
    <w:p w14:paraId="79F6FDF3" w14:textId="77777777" w:rsidR="00876039" w:rsidRDefault="00876039" w:rsidP="00203847">
      <w:pPr>
        <w:ind w:firstLine="720"/>
        <w:jc w:val="both"/>
      </w:pPr>
    </w:p>
    <w:p w14:paraId="61A9E2CE" w14:textId="77777777" w:rsidR="00761A64" w:rsidRDefault="00761A64" w:rsidP="001A003E">
      <w:pPr>
        <w:jc w:val="both"/>
        <w:rPr>
          <w:b/>
        </w:rPr>
      </w:pPr>
    </w:p>
    <w:p w14:paraId="4D6ED3CC" w14:textId="77777777" w:rsidR="00761A64" w:rsidRDefault="00761A64" w:rsidP="001A003E">
      <w:pPr>
        <w:jc w:val="both"/>
        <w:rPr>
          <w:b/>
        </w:rPr>
      </w:pPr>
    </w:p>
    <w:p w14:paraId="0A1E3E8A" w14:textId="49F08EE6" w:rsidR="001A003E" w:rsidRPr="00203847" w:rsidRDefault="001A003E" w:rsidP="001A003E">
      <w:pPr>
        <w:jc w:val="both"/>
        <w:rPr>
          <w:b/>
        </w:rPr>
      </w:pPr>
      <w:r>
        <w:rPr>
          <w:b/>
        </w:rPr>
        <w:t>Additional</w:t>
      </w:r>
      <w:r w:rsidRPr="00203847">
        <w:rPr>
          <w:b/>
        </w:rPr>
        <w:t xml:space="preserve"> Topics </w:t>
      </w:r>
    </w:p>
    <w:p w14:paraId="3A1671F3" w14:textId="77777777" w:rsidR="001A003E" w:rsidRDefault="001A003E" w:rsidP="00203847">
      <w:pPr>
        <w:ind w:firstLine="720"/>
        <w:jc w:val="both"/>
      </w:pPr>
    </w:p>
    <w:p w14:paraId="5CC23054" w14:textId="7D835814" w:rsidR="00F25A12" w:rsidRDefault="00BF7D5D" w:rsidP="00203847">
      <w:pPr>
        <w:ind w:firstLine="720"/>
        <w:jc w:val="both"/>
      </w:pPr>
      <w:r>
        <w:t>Further, w</w:t>
      </w:r>
      <w:r w:rsidR="00925D25">
        <w:t xml:space="preserve">e </w:t>
      </w:r>
      <w:r>
        <w:t>invite</w:t>
      </w:r>
      <w:r w:rsidR="00925D25">
        <w:t xml:space="preserve"> comment on </w:t>
      </w:r>
      <w:r w:rsidR="005E64C5">
        <w:t xml:space="preserve">how </w:t>
      </w:r>
      <w:r>
        <w:t xml:space="preserve">to use </w:t>
      </w:r>
      <w:r w:rsidR="005E64C5">
        <w:t xml:space="preserve">the information derived from </w:t>
      </w:r>
      <w:r w:rsidR="00925D25">
        <w:t xml:space="preserve">the OET </w:t>
      </w:r>
      <w:r>
        <w:t>M</w:t>
      </w:r>
      <w:r w:rsidR="005E64C5">
        <w:t xml:space="preserve">ethodology </w:t>
      </w:r>
      <w:r>
        <w:t>in the context</w:t>
      </w:r>
      <w:r w:rsidR="00E9569C">
        <w:t xml:space="preserve"> of the repacking </w:t>
      </w:r>
      <w:r>
        <w:t>of broadcasters</w:t>
      </w:r>
      <w:r w:rsidR="005E64C5">
        <w:t xml:space="preserve">.  </w:t>
      </w:r>
    </w:p>
    <w:p w14:paraId="07CAD420" w14:textId="406360BE" w:rsidR="00561FA3" w:rsidRDefault="00561FA3" w:rsidP="00203847">
      <w:pPr>
        <w:ind w:firstLine="720"/>
        <w:jc w:val="both"/>
      </w:pPr>
    </w:p>
    <w:p w14:paraId="212225E7" w14:textId="408258EF" w:rsidR="00876039" w:rsidRPr="00203847" w:rsidRDefault="00876039" w:rsidP="00876039">
      <w:pPr>
        <w:ind w:firstLine="720"/>
        <w:jc w:val="both"/>
      </w:pPr>
      <w:r>
        <w:t xml:space="preserve">The OET </w:t>
      </w:r>
      <w:r w:rsidR="00E47CB6">
        <w:t>M</w:t>
      </w:r>
      <w:r>
        <w:t>ethodology address</w:t>
      </w:r>
      <w:r w:rsidR="00E47CB6">
        <w:t>es</w:t>
      </w:r>
      <w:r>
        <w:t xml:space="preserve"> adjacent channel interference.  Most commenters have focused </w:t>
      </w:r>
      <w:r w:rsidR="00E47CB6">
        <w:t xml:space="preserve">their concerns </w:t>
      </w:r>
      <w:r>
        <w:t xml:space="preserve">on co-channel interference more than adjacent-channel interference, perhaps due to assumptions that guard bands would be used to prevent adjacent-channel interference.  In the case of market variation, however, guard bands could be </w:t>
      </w:r>
      <w:r w:rsidR="00AF0751">
        <w:t xml:space="preserve">slightly </w:t>
      </w:r>
      <w:r>
        <w:t xml:space="preserve">different in each market, creating the potential for interference between DTV and wireless services that otherwise would not exist.  We </w:t>
      </w:r>
      <w:r w:rsidR="00E47CB6">
        <w:t xml:space="preserve">invite </w:t>
      </w:r>
      <w:r>
        <w:t>comment on the impact of adjacent-channel interference constraints in the context of market variation.</w:t>
      </w:r>
    </w:p>
    <w:p w14:paraId="5A68F533" w14:textId="77777777" w:rsidR="00876039" w:rsidRDefault="00876039" w:rsidP="00203847">
      <w:pPr>
        <w:ind w:firstLine="720"/>
        <w:jc w:val="both"/>
      </w:pPr>
    </w:p>
    <w:p w14:paraId="5B740E10" w14:textId="639AA429" w:rsidR="00E9569C" w:rsidRDefault="00E9569C" w:rsidP="00203847">
      <w:pPr>
        <w:ind w:firstLine="720"/>
        <w:jc w:val="both"/>
      </w:pPr>
      <w:r>
        <w:t xml:space="preserve">The </w:t>
      </w:r>
      <w:r w:rsidR="00925D25">
        <w:t xml:space="preserve">OET </w:t>
      </w:r>
      <w:r w:rsidR="00E47CB6">
        <w:t>M</w:t>
      </w:r>
      <w:r>
        <w:t xml:space="preserve">ethodology provides a </w:t>
      </w:r>
      <w:r w:rsidR="008F6BEB">
        <w:t>technique</w:t>
      </w:r>
      <w:r w:rsidR="008F6BEB" w:rsidDel="008F6BEB">
        <w:t xml:space="preserve"> </w:t>
      </w:r>
      <w:r>
        <w:t xml:space="preserve">for calculating the </w:t>
      </w:r>
      <w:r w:rsidR="001A003E">
        <w:t xml:space="preserve">predicted </w:t>
      </w:r>
      <w:r>
        <w:t>interference to DTV</w:t>
      </w:r>
      <w:r w:rsidR="00925D25">
        <w:t xml:space="preserve"> service</w:t>
      </w:r>
      <w:r>
        <w:t xml:space="preserve">, but does not address </w:t>
      </w:r>
      <w:r w:rsidR="001A003E">
        <w:t>what</w:t>
      </w:r>
      <w:r>
        <w:t xml:space="preserve"> limits should be applied to such interference, whether </w:t>
      </w:r>
      <w:r w:rsidR="001207ED">
        <w:t xml:space="preserve">wireless </w:t>
      </w:r>
      <w:r>
        <w:t>license area</w:t>
      </w:r>
      <w:r w:rsidR="001A003E">
        <w:t>s</w:t>
      </w:r>
      <w:r>
        <w:t xml:space="preserve"> should be auctioned if </w:t>
      </w:r>
      <w:r w:rsidR="001A003E">
        <w:t xml:space="preserve">predicted </w:t>
      </w:r>
      <w:r>
        <w:t xml:space="preserve">interference </w:t>
      </w:r>
      <w:r w:rsidR="00676EF1">
        <w:t xml:space="preserve">to wireless service </w:t>
      </w:r>
      <w:r>
        <w:t>exceeds some threshold, or whether interference</w:t>
      </w:r>
      <w:r w:rsidR="001A003E">
        <w:t xml:space="preserve"> from wireless facilities</w:t>
      </w:r>
      <w:r>
        <w:t xml:space="preserve"> should be accounted for in </w:t>
      </w:r>
      <w:r w:rsidR="001A003E">
        <w:t xml:space="preserve">calculating </w:t>
      </w:r>
      <w:r>
        <w:t xml:space="preserve">a </w:t>
      </w:r>
      <w:r w:rsidR="001207ED">
        <w:t xml:space="preserve">DTV </w:t>
      </w:r>
      <w:r>
        <w:t>station’s service area</w:t>
      </w:r>
      <w:r w:rsidR="001A003E">
        <w:t xml:space="preserve"> and/or population served</w:t>
      </w:r>
      <w:r>
        <w:t xml:space="preserve">.  </w:t>
      </w:r>
      <w:r w:rsidR="001A003E">
        <w:t xml:space="preserve">Should predicted interference from wireless facilities to a DTV station be ignored if it </w:t>
      </w:r>
      <w:r w:rsidR="00AF0751">
        <w:t xml:space="preserve">does not affect the </w:t>
      </w:r>
      <w:r w:rsidR="001A003E">
        <w:t xml:space="preserve">population within the station’s service area?  </w:t>
      </w:r>
      <w:r>
        <w:t>Would it be appropriate to set a low threshold for acceptable interference</w:t>
      </w:r>
      <w:r w:rsidR="00676EF1">
        <w:t xml:space="preserve"> from wireless to DTV service</w:t>
      </w:r>
      <w:r>
        <w:t xml:space="preserve">, such as </w:t>
      </w:r>
      <w:r w:rsidR="00561FA3">
        <w:t xml:space="preserve">allowing </w:t>
      </w:r>
      <w:r w:rsidR="001A003E">
        <w:t xml:space="preserve">a wireless licensee to reduce the coverage of a DTV station by </w:t>
      </w:r>
      <w:r>
        <w:t>no more than 0.</w:t>
      </w:r>
      <w:r w:rsidR="001A003E">
        <w:t>1</w:t>
      </w:r>
      <w:r>
        <w:t xml:space="preserve">% </w:t>
      </w:r>
      <w:r w:rsidR="001A003E">
        <w:t xml:space="preserve">of its population served?  </w:t>
      </w:r>
      <w:r w:rsidR="00676EF1">
        <w:t xml:space="preserve">Would </w:t>
      </w:r>
      <w:r w:rsidR="001A003E">
        <w:t>it</w:t>
      </w:r>
      <w:r w:rsidR="00676EF1">
        <w:t xml:space="preserve"> be</w:t>
      </w:r>
      <w:r w:rsidR="001A003E">
        <w:t xml:space="preserve"> sufficient to consider only interference from base station facilities, or </w:t>
      </w:r>
      <w:r w:rsidR="00676EF1">
        <w:t xml:space="preserve">should </w:t>
      </w:r>
      <w:r w:rsidR="001A003E">
        <w:t xml:space="preserve">interference from </w:t>
      </w:r>
      <w:r w:rsidR="00676EF1">
        <w:t xml:space="preserve">wireless </w:t>
      </w:r>
      <w:r w:rsidR="001A003E">
        <w:t>user equipment also be considered?</w:t>
      </w:r>
    </w:p>
    <w:p w14:paraId="352FCA96" w14:textId="77777777" w:rsidR="007A708B" w:rsidRDefault="007A708B">
      <w:pPr>
        <w:ind w:firstLine="720"/>
        <w:jc w:val="both"/>
      </w:pPr>
    </w:p>
    <w:p w14:paraId="260964A4" w14:textId="3E98A2D8" w:rsidR="004743F2" w:rsidRDefault="004743F2" w:rsidP="00DA7E13">
      <w:pPr>
        <w:ind w:firstLine="720"/>
        <w:jc w:val="both"/>
        <w:rPr>
          <w:lang w:eastAsia="ja-JP"/>
        </w:rPr>
      </w:pPr>
      <w:r>
        <w:rPr>
          <w:lang w:eastAsia="ja-JP"/>
        </w:rPr>
        <w:t xml:space="preserve">The OET </w:t>
      </w:r>
      <w:r w:rsidR="00E47CB6">
        <w:rPr>
          <w:lang w:eastAsia="ja-JP"/>
        </w:rPr>
        <w:t>M</w:t>
      </w:r>
      <w:r>
        <w:rPr>
          <w:lang w:eastAsia="ja-JP"/>
        </w:rPr>
        <w:t xml:space="preserve">ethodology provides a technique for calculating the predicted interference to wireless.  We also seek comment on how this information should be made available to bidders in the forward auction.  Should the Commission set predefined impairment thresholds, </w:t>
      </w:r>
      <w:r w:rsidRPr="00302750">
        <w:rPr>
          <w:i/>
          <w:lang w:eastAsia="ja-JP"/>
        </w:rPr>
        <w:t>e.g</w:t>
      </w:r>
      <w:r>
        <w:rPr>
          <w:lang w:eastAsia="ja-JP"/>
        </w:rPr>
        <w:t>., where less than 5% of the market population may potentially experience interference, should we consider this wireless market to be effectively unimpaired?  What should the thresholds for specifying impairments be?</w:t>
      </w:r>
    </w:p>
    <w:p w14:paraId="5166AEE9" w14:textId="77777777" w:rsidR="004743F2" w:rsidRDefault="004743F2">
      <w:pPr>
        <w:ind w:firstLine="720"/>
        <w:jc w:val="both"/>
      </w:pPr>
    </w:p>
    <w:p w14:paraId="26765388" w14:textId="02D12F92" w:rsidR="0063286C" w:rsidRPr="005B2DC1" w:rsidRDefault="00F95D59" w:rsidP="003776AE">
      <w:pPr>
        <w:ind w:firstLine="720"/>
        <w:jc w:val="both"/>
        <w:rPr>
          <w:color w:val="000000"/>
          <w:szCs w:val="22"/>
        </w:rPr>
      </w:pPr>
      <w:r w:rsidRPr="0041132B">
        <w:rPr>
          <w:color w:val="000000"/>
          <w:szCs w:val="22"/>
        </w:rPr>
        <w:t xml:space="preserve">This Public Notice and the attached </w:t>
      </w:r>
      <w:r>
        <w:rPr>
          <w:color w:val="000000"/>
          <w:szCs w:val="22"/>
        </w:rPr>
        <w:t>a</w:t>
      </w:r>
      <w:r w:rsidRPr="0041132B">
        <w:rPr>
          <w:color w:val="000000"/>
          <w:szCs w:val="22"/>
        </w:rPr>
        <w:t xml:space="preserve">ppendix relate to the technical aspects of </w:t>
      </w:r>
      <w:r>
        <w:rPr>
          <w:color w:val="000000"/>
          <w:szCs w:val="22"/>
        </w:rPr>
        <w:t xml:space="preserve">the </w:t>
      </w:r>
      <w:r w:rsidRPr="0041132B">
        <w:rPr>
          <w:color w:val="000000"/>
          <w:szCs w:val="22"/>
        </w:rPr>
        <w:t>repacking</w:t>
      </w:r>
      <w:r>
        <w:rPr>
          <w:color w:val="000000"/>
          <w:szCs w:val="22"/>
        </w:rPr>
        <w:t xml:space="preserve"> process</w:t>
      </w:r>
      <w:r w:rsidRPr="0041132B">
        <w:rPr>
          <w:color w:val="000000"/>
          <w:szCs w:val="22"/>
        </w:rPr>
        <w:t xml:space="preserve"> and auction design.  We emphasize that </w:t>
      </w:r>
      <w:r>
        <w:t>n</w:t>
      </w:r>
      <w:r w:rsidR="007234B3">
        <w:t xml:space="preserve">othing in this </w:t>
      </w:r>
      <w:r w:rsidR="008C3378">
        <w:t xml:space="preserve">Public Notice </w:t>
      </w:r>
      <w:r w:rsidR="00827BE7">
        <w:t xml:space="preserve">is intended to </w:t>
      </w:r>
      <w:r w:rsidR="0063286C">
        <w:t>signal</w:t>
      </w:r>
      <w:r w:rsidR="007234B3">
        <w:t xml:space="preserve"> </w:t>
      </w:r>
      <w:r w:rsidR="00827BE7">
        <w:t xml:space="preserve">any </w:t>
      </w:r>
      <w:r w:rsidR="00A85AFB">
        <w:t xml:space="preserve">final staff recommendation to the Commission </w:t>
      </w:r>
      <w:r w:rsidR="0063286C">
        <w:t xml:space="preserve">relative </w:t>
      </w:r>
      <w:r w:rsidR="00827BE7">
        <w:t>to the prospective band plan or</w:t>
      </w:r>
      <w:r w:rsidR="0063286C">
        <w:t xml:space="preserve"> </w:t>
      </w:r>
      <w:r w:rsidR="001F145F">
        <w:t xml:space="preserve">other </w:t>
      </w:r>
      <w:r w:rsidR="0063286C">
        <w:t xml:space="preserve">issues </w:t>
      </w:r>
      <w:r>
        <w:t xml:space="preserve">raised in the incentive auctions proceeding, </w:t>
      </w:r>
      <w:r w:rsidR="0063286C">
        <w:t xml:space="preserve">such as whether to make spectrum available </w:t>
      </w:r>
      <w:r w:rsidR="001F145F">
        <w:t xml:space="preserve">only </w:t>
      </w:r>
      <w:r w:rsidR="0063286C">
        <w:t>on a paired basis, provide supplemental downlink</w:t>
      </w:r>
      <w:r w:rsidR="001F145F">
        <w:t xml:space="preserve"> spectrum</w:t>
      </w:r>
      <w:r w:rsidR="0063286C">
        <w:t xml:space="preserve"> or </w:t>
      </w:r>
      <w:r w:rsidR="001F145F">
        <w:t>permit</w:t>
      </w:r>
      <w:r w:rsidR="0063286C">
        <w:t xml:space="preserve"> time-division duplex operation.  </w:t>
      </w:r>
      <w:r w:rsidR="00982252">
        <w:t xml:space="preserve">Further, although we seek input on </w:t>
      </w:r>
      <w:r w:rsidR="002D5D15">
        <w:t xml:space="preserve">the four interference cases discussed above, we note that we may not encounter each of those scenarios in practice, depending on the band plan and repacking methodology the Commission ultimately adopts.  </w:t>
      </w:r>
      <w:r w:rsidR="00982252">
        <w:t xml:space="preserve"> </w:t>
      </w:r>
      <w:r w:rsidR="0063286C">
        <w:t xml:space="preserve">Rather, this </w:t>
      </w:r>
      <w:r w:rsidR="001F145F">
        <w:t>Public N</w:t>
      </w:r>
      <w:r w:rsidR="0063286C">
        <w:t xml:space="preserve">otice seeks </w:t>
      </w:r>
      <w:r w:rsidR="007234B3">
        <w:t xml:space="preserve">only </w:t>
      </w:r>
      <w:r w:rsidR="0063286C">
        <w:t xml:space="preserve">to expand the record by seeking comment </w:t>
      </w:r>
      <w:r>
        <w:t xml:space="preserve">on </w:t>
      </w:r>
      <w:r w:rsidR="0063286C">
        <w:t>a</w:t>
      </w:r>
      <w:r>
        <w:t xml:space="preserve"> potential </w:t>
      </w:r>
      <w:r w:rsidR="0063286C">
        <w:t xml:space="preserve">method </w:t>
      </w:r>
      <w:r w:rsidR="007234B3">
        <w:t>for minimizing</w:t>
      </w:r>
      <w:r w:rsidR="0063286C">
        <w:t xml:space="preserve"> the potential for interference between TV broadcast and </w:t>
      </w:r>
      <w:r w:rsidR="001F145F">
        <w:t xml:space="preserve">wireless </w:t>
      </w:r>
      <w:r w:rsidR="0063286C">
        <w:t>services operating in different markets on the same or adjacent spectrum</w:t>
      </w:r>
      <w:r w:rsidR="007234B3">
        <w:t>.</w:t>
      </w:r>
    </w:p>
    <w:p w14:paraId="0A56CADE" w14:textId="77777777" w:rsidR="005B2DC1" w:rsidRDefault="005B2DC1" w:rsidP="003776AE">
      <w:pPr>
        <w:jc w:val="both"/>
        <w:rPr>
          <w:bCs/>
        </w:rPr>
      </w:pPr>
    </w:p>
    <w:p w14:paraId="142DB13E" w14:textId="707E2330" w:rsidR="005B2DC1" w:rsidRDefault="00761A64" w:rsidP="003776AE">
      <w:pPr>
        <w:jc w:val="both"/>
      </w:pPr>
      <w:r>
        <w:t xml:space="preserve">The Incentive Auction Task Force intends to host a Workshop/Webinar on February 21 to discuss this methodology for predicting potential interference between television and wireless mobile broadband services.  At that time, Task Force staff will also respond to questions and comments about the details of this Public Notice and the attached Technical Appendix.  More information, including how to participate, will be released prior to the Workshop/Webinar.   Details about the Workshop/Webinar will be released by Public Notice and on the LEARN website at: </w:t>
      </w:r>
      <w:hyperlink r:id="rId10" w:history="1">
        <w:r>
          <w:rPr>
            <w:rStyle w:val="Hyperlink"/>
          </w:rPr>
          <w:t>http://www.fcc.gov/learn</w:t>
        </w:r>
      </w:hyperlink>
      <w:r>
        <w:t>.</w:t>
      </w:r>
    </w:p>
    <w:p w14:paraId="44FE1A06" w14:textId="77777777" w:rsidR="00761A64" w:rsidRPr="005B2DC1" w:rsidRDefault="00761A64" w:rsidP="005B2DC1">
      <w:pPr>
        <w:rPr>
          <w:bCs/>
        </w:rPr>
      </w:pPr>
    </w:p>
    <w:p w14:paraId="7D7FEB2C" w14:textId="32B8502C" w:rsidR="00F83ACE" w:rsidRPr="00F95D59" w:rsidRDefault="00F95D59" w:rsidP="00876039">
      <w:pPr>
        <w:ind w:firstLine="720"/>
        <w:rPr>
          <w:szCs w:val="22"/>
        </w:rPr>
      </w:pPr>
      <w:r w:rsidRPr="0041132B">
        <w:rPr>
          <w:color w:val="000000"/>
          <w:szCs w:val="22"/>
        </w:rPr>
        <w:t>This Public Notice is b</w:t>
      </w:r>
      <w:r>
        <w:rPr>
          <w:color w:val="000000"/>
        </w:rPr>
        <w:t>eing issued pursuant to section</w:t>
      </w:r>
      <w:r w:rsidRPr="0041132B">
        <w:rPr>
          <w:color w:val="000000"/>
          <w:szCs w:val="22"/>
        </w:rPr>
        <w:t xml:space="preserve"> 0.31</w:t>
      </w:r>
      <w:r>
        <w:rPr>
          <w:color w:val="000000"/>
        </w:rPr>
        <w:t xml:space="preserve"> of the Commission’</w:t>
      </w:r>
      <w:r w:rsidRPr="0041132B">
        <w:rPr>
          <w:color w:val="000000"/>
          <w:szCs w:val="22"/>
        </w:rPr>
        <w:t xml:space="preserve">s rules by the Office of Engineering and Technology, </w:t>
      </w:r>
      <w:r>
        <w:rPr>
          <w:color w:val="000000"/>
        </w:rPr>
        <w:t xml:space="preserve">a </w:t>
      </w:r>
      <w:r w:rsidRPr="0041132B">
        <w:rPr>
          <w:color w:val="000000"/>
          <w:szCs w:val="22"/>
        </w:rPr>
        <w:t>member of the Incentive Auction Task Force.</w:t>
      </w:r>
      <w:r>
        <w:rPr>
          <w:rStyle w:val="FootnoteReference"/>
          <w:color w:val="000000"/>
        </w:rPr>
        <w:footnoteReference w:id="14"/>
      </w:r>
      <w:r>
        <w:rPr>
          <w:szCs w:val="22"/>
        </w:rPr>
        <w:t xml:space="preserve">  </w:t>
      </w:r>
      <w:r w:rsidR="00F83ACE" w:rsidRPr="00A90A3B">
        <w:t>Comments may be filed using the Commission’s Electronic Comment Filing System (ECFS). See Electronic Filing of Documents in Rulemaking Proceedings, 63 FR 24121 (1998).</w:t>
      </w:r>
    </w:p>
    <w:p w14:paraId="2F6DE0B6" w14:textId="1E0B958D" w:rsidR="00F83ACE" w:rsidRDefault="00F83ACE" w:rsidP="00776504">
      <w:pPr>
        <w:numPr>
          <w:ilvl w:val="0"/>
          <w:numId w:val="24"/>
        </w:numPr>
        <w:spacing w:before="120" w:after="120"/>
        <w:ind w:left="0" w:firstLine="806"/>
        <w:jc w:val="both"/>
      </w:pPr>
      <w:r w:rsidRPr="00A90A3B">
        <w:t xml:space="preserve">Electronic Filers: Comments may be filed electronically using the Internet by accessing the ECFS: </w:t>
      </w:r>
      <w:hyperlink r:id="rId11" w:history="1">
        <w:r w:rsidRPr="00A90A3B">
          <w:rPr>
            <w:rStyle w:val="Hyperlink"/>
          </w:rPr>
          <w:t>http://fjallfoss.fcc.gov/ecfs2/</w:t>
        </w:r>
      </w:hyperlink>
      <w:r w:rsidRPr="00A90A3B">
        <w:t>.</w:t>
      </w:r>
    </w:p>
    <w:p w14:paraId="64F8DA3B" w14:textId="07D9DA23" w:rsidR="00CF44AB" w:rsidRDefault="00F83ACE" w:rsidP="00776504">
      <w:pPr>
        <w:numPr>
          <w:ilvl w:val="0"/>
          <w:numId w:val="24"/>
        </w:numPr>
        <w:spacing w:after="120"/>
        <w:ind w:left="0" w:firstLine="806"/>
        <w:jc w:val="both"/>
      </w:pPr>
      <w:r w:rsidRPr="00A90A3B">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14:paraId="545F5A63" w14:textId="2D067A59" w:rsidR="00CF44AB" w:rsidRDefault="00C07AE6" w:rsidP="00C07AE6">
      <w:pPr>
        <w:numPr>
          <w:ilvl w:val="0"/>
          <w:numId w:val="24"/>
        </w:numPr>
        <w:spacing w:after="120"/>
        <w:ind w:left="0" w:firstLine="806"/>
        <w:jc w:val="both"/>
      </w:pPr>
      <w:r w:rsidRPr="00A90A3B">
        <w:t>Filings can be sent by hand or messenger delivery, by commercial overnight courier, or by first-class or overnight U.S. Postal Service mail. All filings must be addressed to the Commission’s Secretary, Office of the Secretary, Federal Communications Commission</w:t>
      </w:r>
      <w:r>
        <w:t>.</w:t>
      </w:r>
      <w:r w:rsidR="00F83ACE" w:rsidRPr="00A90A3B">
        <w:t xml:space="preserve"> </w:t>
      </w:r>
    </w:p>
    <w:p w14:paraId="691B7BE0" w14:textId="77777777" w:rsidR="00F83ACE" w:rsidRDefault="00F83ACE" w:rsidP="00841D1A">
      <w:pPr>
        <w:numPr>
          <w:ilvl w:val="0"/>
          <w:numId w:val="23"/>
        </w:numPr>
        <w:ind w:left="0" w:firstLine="810"/>
        <w:jc w:val="both"/>
      </w:pPr>
      <w:r w:rsidRPr="00A90A3B">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5E6C4080" w14:textId="77777777" w:rsidR="00F83ACE" w:rsidRDefault="00F83ACE" w:rsidP="00841D1A">
      <w:pPr>
        <w:numPr>
          <w:ilvl w:val="0"/>
          <w:numId w:val="23"/>
        </w:numPr>
        <w:spacing w:before="120"/>
        <w:ind w:left="0" w:firstLine="810"/>
        <w:jc w:val="both"/>
      </w:pPr>
      <w:r w:rsidRPr="00A90A3B">
        <w:t xml:space="preserve">Commercial overnight mail (other than U.S. Postal Service Express Mail and Priority Mail) must be sent to 9300 East Hampton Drive, Capitol Heights, MD 20743. </w:t>
      </w:r>
    </w:p>
    <w:p w14:paraId="79F35F90" w14:textId="77777777" w:rsidR="00F83ACE" w:rsidRDefault="00F83ACE" w:rsidP="00841D1A">
      <w:pPr>
        <w:numPr>
          <w:ilvl w:val="0"/>
          <w:numId w:val="23"/>
        </w:numPr>
        <w:spacing w:before="120"/>
        <w:ind w:left="0" w:firstLine="810"/>
        <w:jc w:val="both"/>
      </w:pPr>
      <w:r w:rsidRPr="00A90A3B">
        <w:t xml:space="preserve">U.S. Postal Service first-class, Express, and Priority mail must be addressed to 445 12th Street, SW, Washington DC 20554. </w:t>
      </w:r>
    </w:p>
    <w:p w14:paraId="08A61B31" w14:textId="77777777" w:rsidR="00CF44AB" w:rsidRDefault="00CF44AB" w:rsidP="00841D1A">
      <w:pPr>
        <w:jc w:val="both"/>
      </w:pPr>
    </w:p>
    <w:p w14:paraId="676DCE49" w14:textId="77777777" w:rsidR="00F83ACE" w:rsidRDefault="00F83ACE" w:rsidP="00841D1A">
      <w:pPr>
        <w:ind w:firstLine="720"/>
        <w:jc w:val="both"/>
      </w:pPr>
      <w:r w:rsidRPr="00560537">
        <w:t xml:space="preserve">People with Disabilities: To request materials in accessible formats for people with disabilities (braille, large print, electronic files, audio format), send an e-mail to fcc504@fcc.gov or call the Consumer &amp; Governmental Affairs Bureau at 202-418-0530 (voice), 202-418-0432 (tty). </w:t>
      </w:r>
    </w:p>
    <w:p w14:paraId="29BD010F" w14:textId="77777777" w:rsidR="000C0635" w:rsidRDefault="000C0635" w:rsidP="00841D1A">
      <w:pPr>
        <w:ind w:firstLine="720"/>
        <w:jc w:val="both"/>
      </w:pPr>
    </w:p>
    <w:p w14:paraId="77322B1C" w14:textId="391AF16F" w:rsidR="00D40788" w:rsidRDefault="00D40788" w:rsidP="00841D1A">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sidR="00CF44AB">
        <w:rPr>
          <w:rStyle w:val="FootnoteReference"/>
          <w:szCs w:val="22"/>
        </w:rPr>
        <w:footnoteReference w:id="15"/>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w:t>
      </w:r>
      <w:r w:rsidR="00F97238">
        <w:rPr>
          <w:szCs w:val="22"/>
        </w:rPr>
        <w:t>c</w:t>
      </w:r>
      <w:r>
        <w:rPr>
          <w:szCs w:val="22"/>
        </w:rPr>
        <w:t xml:space="preserve">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14:paraId="5AACD69E" w14:textId="77777777" w:rsidR="00D40788" w:rsidRDefault="00D40788" w:rsidP="006951C9">
      <w:pPr>
        <w:tabs>
          <w:tab w:val="left" w:pos="8550"/>
        </w:tabs>
        <w:spacing w:before="65" w:line="241" w:lineRule="auto"/>
        <w:ind w:firstLine="720"/>
      </w:pPr>
    </w:p>
    <w:p w14:paraId="33B25892" w14:textId="00D3AD00" w:rsidR="006B3F4E" w:rsidRDefault="006B3F4E" w:rsidP="006951C9">
      <w:pPr>
        <w:tabs>
          <w:tab w:val="left" w:pos="8550"/>
        </w:tabs>
        <w:spacing w:before="65" w:line="241" w:lineRule="auto"/>
        <w:ind w:firstLine="720"/>
      </w:pPr>
      <w:r>
        <w:t>For</w:t>
      </w:r>
      <w:r>
        <w:rPr>
          <w:spacing w:val="-3"/>
        </w:rPr>
        <w:t xml:space="preserve"> </w:t>
      </w:r>
      <w:r>
        <w:t>further</w:t>
      </w:r>
      <w:r>
        <w:rPr>
          <w:spacing w:val="-6"/>
        </w:rPr>
        <w:t xml:space="preserve"> </w:t>
      </w:r>
      <w:r>
        <w:t>i</w:t>
      </w:r>
      <w:r>
        <w:rPr>
          <w:spacing w:val="-1"/>
        </w:rPr>
        <w:t>n</w:t>
      </w:r>
      <w:r>
        <w:t>formation, contact</w:t>
      </w:r>
      <w:r>
        <w:rPr>
          <w:spacing w:val="-6"/>
        </w:rPr>
        <w:t xml:space="preserve"> </w:t>
      </w:r>
      <w:r w:rsidR="008D036E">
        <w:t>Cecilia Sulhoff</w:t>
      </w:r>
      <w:r w:rsidR="00F76ADB">
        <w:t xml:space="preserve"> at</w:t>
      </w:r>
      <w:r w:rsidR="008D036E">
        <w:t xml:space="preserve"> </w:t>
      </w:r>
      <w:hyperlink r:id="rId12" w:history="1">
        <w:r w:rsidR="008D036E" w:rsidRPr="00150A13">
          <w:rPr>
            <w:rStyle w:val="Hyperlink"/>
          </w:rPr>
          <w:t>cecilia.sulhoff@fcc.gov</w:t>
        </w:r>
      </w:hyperlink>
      <w:r w:rsidR="008D036E">
        <w:t>.</w:t>
      </w:r>
    </w:p>
    <w:p w14:paraId="5BFCA577" w14:textId="77777777" w:rsidR="006B3F4E" w:rsidRDefault="006B3F4E" w:rsidP="006951C9">
      <w:pPr>
        <w:spacing w:before="18" w:line="200" w:lineRule="exact"/>
        <w:rPr>
          <w:sz w:val="20"/>
        </w:rPr>
      </w:pPr>
    </w:p>
    <w:p w14:paraId="0664AA90" w14:textId="77777777" w:rsidR="006B3F4E" w:rsidRDefault="006B3F4E" w:rsidP="006951C9">
      <w:pPr>
        <w:jc w:val="center"/>
      </w:pPr>
      <w:r>
        <w:rPr>
          <w:b/>
          <w:bCs/>
        </w:rPr>
        <w:t>–</w:t>
      </w:r>
      <w:r>
        <w:rPr>
          <w:b/>
          <w:bCs/>
          <w:spacing w:val="-1"/>
        </w:rPr>
        <w:t xml:space="preserve"> </w:t>
      </w:r>
      <w:r>
        <w:rPr>
          <w:b/>
          <w:bCs/>
        </w:rPr>
        <w:t>FCC</w:t>
      </w:r>
      <w:r>
        <w:rPr>
          <w:b/>
          <w:bCs/>
          <w:spacing w:val="-5"/>
        </w:rPr>
        <w:t xml:space="preserve"> </w:t>
      </w:r>
      <w:r>
        <w:rPr>
          <w:b/>
          <w:bCs/>
          <w:w w:val="99"/>
        </w:rPr>
        <w:t>–</w:t>
      </w:r>
    </w:p>
    <w:p w14:paraId="64F30F1E" w14:textId="77777777" w:rsidR="005D78D1" w:rsidRDefault="005D78D1" w:rsidP="006B3F4E">
      <w:pPr>
        <w:spacing w:before="60"/>
        <w:jc w:val="center"/>
        <w:rPr>
          <w:sz w:val="24"/>
        </w:rPr>
        <w:sectPr w:rsidR="005D78D1" w:rsidSect="00841D1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440" w:gutter="0"/>
          <w:cols w:space="720"/>
          <w:titlePg/>
        </w:sectPr>
      </w:pPr>
    </w:p>
    <w:p w14:paraId="5EF0121B" w14:textId="55A98F80" w:rsidR="006B3F4E" w:rsidRDefault="006B3F4E" w:rsidP="006B3F4E">
      <w:pPr>
        <w:spacing w:before="60"/>
        <w:jc w:val="center"/>
        <w:rPr>
          <w:sz w:val="24"/>
        </w:rPr>
      </w:pPr>
    </w:p>
    <w:p w14:paraId="71AD53B1" w14:textId="77777777" w:rsidR="00A51903" w:rsidRDefault="00A51903" w:rsidP="006B3F4E">
      <w:pPr>
        <w:spacing w:before="60"/>
        <w:jc w:val="center"/>
        <w:rPr>
          <w:sz w:val="24"/>
        </w:rPr>
      </w:pPr>
    </w:p>
    <w:p w14:paraId="2170B154" w14:textId="77777777" w:rsidR="00A51903" w:rsidRDefault="00A51903" w:rsidP="006B3F4E">
      <w:pPr>
        <w:spacing w:before="60"/>
        <w:jc w:val="center"/>
        <w:rPr>
          <w:sz w:val="24"/>
        </w:rPr>
      </w:pPr>
    </w:p>
    <w:p w14:paraId="7B4F9916" w14:textId="523B2CB1" w:rsidR="00A51903" w:rsidRDefault="00A51903">
      <w:pPr>
        <w:rPr>
          <w:sz w:val="24"/>
        </w:rPr>
      </w:pPr>
      <w:r>
        <w:rPr>
          <w:sz w:val="24"/>
        </w:rPr>
        <w:br w:type="page"/>
      </w:r>
    </w:p>
    <w:p w14:paraId="67D8FCFC" w14:textId="77777777" w:rsidR="00A51903" w:rsidRDefault="00A51903" w:rsidP="00A51903">
      <w:pPr>
        <w:pStyle w:val="Heading1"/>
        <w:numPr>
          <w:ilvl w:val="0"/>
          <w:numId w:val="0"/>
        </w:numPr>
        <w:ind w:left="720" w:right="43" w:hanging="720"/>
        <w:jc w:val="center"/>
        <w:rPr>
          <w:sz w:val="28"/>
          <w:szCs w:val="28"/>
        </w:rPr>
      </w:pPr>
      <w:r>
        <w:rPr>
          <w:sz w:val="28"/>
          <w:szCs w:val="28"/>
        </w:rPr>
        <w:t>Appendix</w:t>
      </w:r>
    </w:p>
    <w:p w14:paraId="42C8A383" w14:textId="77777777" w:rsidR="00A51903" w:rsidRPr="00A95279" w:rsidRDefault="00A51903" w:rsidP="00A51903">
      <w:pPr>
        <w:pStyle w:val="Heading1"/>
        <w:numPr>
          <w:ilvl w:val="0"/>
          <w:numId w:val="0"/>
        </w:numPr>
        <w:ind w:left="720" w:right="43" w:hanging="720"/>
        <w:jc w:val="center"/>
        <w:rPr>
          <w:sz w:val="28"/>
          <w:szCs w:val="28"/>
        </w:rPr>
      </w:pPr>
      <w:r w:rsidRPr="00A95279">
        <w:rPr>
          <w:sz w:val="28"/>
          <w:szCs w:val="28"/>
        </w:rPr>
        <w:t>Methodology for</w:t>
      </w:r>
    </w:p>
    <w:p w14:paraId="2635ABD6" w14:textId="77777777" w:rsidR="00A51903" w:rsidRPr="00A95279" w:rsidRDefault="00A51903" w:rsidP="00A51903">
      <w:pPr>
        <w:pStyle w:val="Heading1"/>
        <w:numPr>
          <w:ilvl w:val="0"/>
          <w:numId w:val="0"/>
        </w:numPr>
        <w:ind w:left="720" w:right="43" w:hanging="720"/>
        <w:jc w:val="center"/>
        <w:rPr>
          <w:sz w:val="28"/>
          <w:szCs w:val="28"/>
        </w:rPr>
      </w:pPr>
      <w:r w:rsidRPr="00A95279">
        <w:rPr>
          <w:sz w:val="28"/>
          <w:szCs w:val="28"/>
        </w:rPr>
        <w:t>Predicting Potential Interference between</w:t>
      </w:r>
    </w:p>
    <w:p w14:paraId="740E0303" w14:textId="77777777" w:rsidR="00A51903" w:rsidRPr="009048C7" w:rsidRDefault="00A51903" w:rsidP="00A51903">
      <w:pPr>
        <w:pStyle w:val="Heading1"/>
        <w:numPr>
          <w:ilvl w:val="0"/>
          <w:numId w:val="0"/>
        </w:numPr>
        <w:ind w:left="720" w:right="43" w:hanging="720"/>
        <w:jc w:val="center"/>
        <w:rPr>
          <w:sz w:val="28"/>
          <w:szCs w:val="28"/>
        </w:rPr>
      </w:pPr>
      <w:r w:rsidRPr="00A95279">
        <w:rPr>
          <w:sz w:val="28"/>
          <w:szCs w:val="28"/>
        </w:rPr>
        <w:t xml:space="preserve">Television and Wireless </w:t>
      </w:r>
      <w:r>
        <w:rPr>
          <w:sz w:val="28"/>
          <w:szCs w:val="28"/>
        </w:rPr>
        <w:t xml:space="preserve">MOBILE BROADBAND </w:t>
      </w:r>
      <w:r w:rsidRPr="00A95279">
        <w:rPr>
          <w:sz w:val="28"/>
          <w:szCs w:val="28"/>
        </w:rPr>
        <w:t>Services</w:t>
      </w:r>
    </w:p>
    <w:p w14:paraId="589674DD" w14:textId="77777777" w:rsidR="00A51903" w:rsidRDefault="00A51903" w:rsidP="00A51903">
      <w:pPr>
        <w:keepNext/>
        <w:autoSpaceDE w:val="0"/>
        <w:autoSpaceDN w:val="0"/>
        <w:adjustRightInd w:val="0"/>
        <w:jc w:val="both"/>
        <w:rPr>
          <w:b/>
          <w:bCs/>
        </w:rPr>
      </w:pPr>
    </w:p>
    <w:p w14:paraId="1F0E15FB" w14:textId="77777777" w:rsidR="00A51903" w:rsidRPr="000B582C" w:rsidRDefault="00A51903" w:rsidP="00A51903">
      <w:pPr>
        <w:keepNext/>
        <w:autoSpaceDE w:val="0"/>
        <w:autoSpaceDN w:val="0"/>
        <w:adjustRightInd w:val="0"/>
        <w:jc w:val="both"/>
        <w:rPr>
          <w:b/>
          <w:bCs/>
        </w:rPr>
      </w:pPr>
      <w:r>
        <w:rPr>
          <w:b/>
        </w:rPr>
        <w:t>Introduction</w:t>
      </w:r>
    </w:p>
    <w:p w14:paraId="7A6E13E6" w14:textId="77777777" w:rsidR="00A51903" w:rsidRPr="00304FDE" w:rsidRDefault="00A51903" w:rsidP="00A51903">
      <w:pPr>
        <w:keepNext/>
      </w:pPr>
    </w:p>
    <w:p w14:paraId="6BFE56F6" w14:textId="77777777" w:rsidR="00A51903" w:rsidRDefault="00A51903" w:rsidP="00A51903">
      <w:pPr>
        <w:autoSpaceDE w:val="0"/>
        <w:autoSpaceDN w:val="0"/>
        <w:adjustRightInd w:val="0"/>
        <w:ind w:firstLine="720"/>
        <w:jc w:val="both"/>
        <w:rPr>
          <w:bCs/>
        </w:rPr>
      </w:pPr>
      <w:r w:rsidRPr="00304FDE">
        <w:rPr>
          <w:bCs/>
        </w:rPr>
        <w:t xml:space="preserve">This </w:t>
      </w:r>
      <w:r>
        <w:rPr>
          <w:bCs/>
        </w:rPr>
        <w:t>appendix sets forth a methodology for predicting interference between broadcast television and wireless services when co-channel or on adjacent channels.  Generally, co-channel interference between wireless services (base stations or mobile user equipment (UE)) and broadcast television becomes unlikely if these services are geographically separated by a predetermined distance.  Likewise, adjacent-channel interference becomes unlikely at a lesser distance than for the co-channel case, depending on the frequency separation between the television channel and the wireless block</w:t>
      </w:r>
      <w:r w:rsidRPr="00304FDE">
        <w:rPr>
          <w:bCs/>
        </w:rPr>
        <w:t>.</w:t>
      </w:r>
      <w:r>
        <w:rPr>
          <w:bCs/>
        </w:rPr>
        <w:t xml:space="preserve">  The methodology described in this appendix may be used to predict whether interference is expected to occur at a location and thereby establish the necessary separation distances in a deterministic way.</w:t>
      </w:r>
    </w:p>
    <w:p w14:paraId="175B17AD" w14:textId="77777777" w:rsidR="00A51903" w:rsidRDefault="00A51903" w:rsidP="00A51903">
      <w:pPr>
        <w:autoSpaceDE w:val="0"/>
        <w:autoSpaceDN w:val="0"/>
        <w:adjustRightInd w:val="0"/>
        <w:jc w:val="both"/>
        <w:rPr>
          <w:bCs/>
        </w:rPr>
      </w:pPr>
    </w:p>
    <w:p w14:paraId="1CA80883" w14:textId="77777777" w:rsidR="00A51903" w:rsidRDefault="00A51903" w:rsidP="00A51903">
      <w:pPr>
        <w:autoSpaceDE w:val="0"/>
        <w:autoSpaceDN w:val="0"/>
        <w:adjustRightInd w:val="0"/>
        <w:ind w:firstLine="720"/>
        <w:jc w:val="both"/>
        <w:rPr>
          <w:bCs/>
        </w:rPr>
      </w:pPr>
      <w:r>
        <w:rPr>
          <w:bCs/>
        </w:rPr>
        <w:t>The methodology described herein uses the Institute of Telecommunications Science’s Irregular Terrain Model (Longley-Rice model) for predicting radio signal propagation losses, established planning factors and industry standards to define thresholds of coverage and interference, suggests typical technical specifications in the absence of industry standards, and generally applies commonly used protocols, databases, and propagation models to describe a predictive methodology that can be run on a computer.  For broadcast television, we assume use of the Advanced Television Systems Committee’s (ATSC) Digital Television (DTV) Standard,</w:t>
      </w:r>
      <w:r>
        <w:rPr>
          <w:rStyle w:val="FootnoteReference"/>
          <w:bCs/>
        </w:rPr>
        <w:footnoteReference w:id="16"/>
      </w:r>
      <w:r>
        <w:rPr>
          <w:bCs/>
        </w:rPr>
        <w:t xml:space="preserve"> although it is possible, especially across international borders, that the National Television Systems Committee (NTSC) analog Television (TV) standard may also be used.</w:t>
      </w:r>
      <w:r>
        <w:rPr>
          <w:rStyle w:val="FootnoteReference"/>
          <w:bCs/>
        </w:rPr>
        <w:footnoteReference w:id="17"/>
      </w:r>
      <w:r>
        <w:rPr>
          <w:bCs/>
        </w:rPr>
        <w:t xml:space="preserve">  For wireless, we assume use of the 3</w:t>
      </w:r>
      <w:r w:rsidRPr="000C09A0">
        <w:rPr>
          <w:bCs/>
          <w:vertAlign w:val="superscript"/>
        </w:rPr>
        <w:t>rd</w:t>
      </w:r>
      <w:r>
        <w:rPr>
          <w:bCs/>
        </w:rPr>
        <w:t xml:space="preserve"> Generation Partnership Project (3GPP) Long-Term Evolution (LTE) standard.</w:t>
      </w:r>
      <w:r>
        <w:rPr>
          <w:rStyle w:val="FootnoteReference"/>
          <w:bCs/>
        </w:rPr>
        <w:footnoteReference w:id="18"/>
      </w:r>
      <w:r>
        <w:rPr>
          <w:bCs/>
        </w:rPr>
        <w:t xml:space="preserve">  We use the</w:t>
      </w:r>
      <w:r w:rsidRPr="00304FDE">
        <w:rPr>
          <w:bCs/>
        </w:rPr>
        <w:t xml:space="preserve"> Longley-Rice radio model</w:t>
      </w:r>
      <w:r>
        <w:rPr>
          <w:bCs/>
        </w:rPr>
        <w:t>, which</w:t>
      </w:r>
      <w:r w:rsidRPr="00304FDE">
        <w:rPr>
          <w:bCs/>
        </w:rPr>
        <w:t xml:space="preserve"> predicts field</w:t>
      </w:r>
      <w:r>
        <w:rPr>
          <w:bCs/>
        </w:rPr>
        <w:t xml:space="preserve"> </w:t>
      </w:r>
      <w:r w:rsidRPr="00304FDE">
        <w:rPr>
          <w:bCs/>
        </w:rPr>
        <w:t xml:space="preserve">strength at </w:t>
      </w:r>
      <w:r>
        <w:rPr>
          <w:bCs/>
        </w:rPr>
        <w:t>receive</w:t>
      </w:r>
      <w:r w:rsidRPr="00304FDE">
        <w:rPr>
          <w:bCs/>
        </w:rPr>
        <w:t xml:space="preserve"> points based on the elevation profile of terrain between the</w:t>
      </w:r>
      <w:r>
        <w:rPr>
          <w:bCs/>
        </w:rPr>
        <w:t xml:space="preserve"> </w:t>
      </w:r>
      <w:r w:rsidRPr="00304FDE">
        <w:rPr>
          <w:bCs/>
        </w:rPr>
        <w:t>transmitter and each specific reception point.</w:t>
      </w:r>
      <w:r>
        <w:rPr>
          <w:rStyle w:val="FootnoteReference"/>
          <w:bCs/>
        </w:rPr>
        <w:footnoteReference w:id="19"/>
      </w:r>
      <w:r>
        <w:rPr>
          <w:bCs/>
        </w:rPr>
        <w:t xml:space="preserve"> </w:t>
      </w:r>
      <w:r w:rsidRPr="00304FDE">
        <w:rPr>
          <w:bCs/>
        </w:rPr>
        <w:t xml:space="preserve"> </w:t>
      </w:r>
      <w:r>
        <w:rPr>
          <w:bCs/>
        </w:rPr>
        <w:t>Predictions are made either over a large area (described as a 2-kilometer grid of calculation cells) or at specific locations, depending upon whether the model is configured to use its broadcast or individual location mode.  The methodology described in this appendix deals primarily with predictions over large areas using the broadcast mode.</w:t>
      </w:r>
    </w:p>
    <w:p w14:paraId="755B5A0F" w14:textId="77777777" w:rsidR="00A51903" w:rsidRDefault="00A51903" w:rsidP="00A51903">
      <w:pPr>
        <w:autoSpaceDE w:val="0"/>
        <w:autoSpaceDN w:val="0"/>
        <w:adjustRightInd w:val="0"/>
        <w:rPr>
          <w:bCs/>
        </w:rPr>
      </w:pPr>
    </w:p>
    <w:p w14:paraId="4C9AF4CC" w14:textId="77777777" w:rsidR="00A51903" w:rsidRPr="003E1ED4" w:rsidRDefault="00A51903" w:rsidP="00A51903">
      <w:pPr>
        <w:pStyle w:val="Heading1"/>
        <w:numPr>
          <w:ilvl w:val="0"/>
          <w:numId w:val="0"/>
        </w:numPr>
        <w:spacing w:after="0"/>
        <w:rPr>
          <w:caps w:val="0"/>
          <w:sz w:val="24"/>
          <w:szCs w:val="24"/>
        </w:rPr>
      </w:pPr>
      <w:r>
        <w:rPr>
          <w:caps w:val="0"/>
          <w:sz w:val="24"/>
          <w:szCs w:val="24"/>
        </w:rPr>
        <w:t xml:space="preserve">Overview of </w:t>
      </w:r>
      <w:r w:rsidRPr="003E1ED4">
        <w:rPr>
          <w:caps w:val="0"/>
          <w:sz w:val="24"/>
          <w:szCs w:val="24"/>
        </w:rPr>
        <w:t>Methodology</w:t>
      </w:r>
    </w:p>
    <w:p w14:paraId="6FAE1FFB" w14:textId="77777777" w:rsidR="00A51903" w:rsidRDefault="00A51903" w:rsidP="00A51903"/>
    <w:p w14:paraId="060DD347" w14:textId="77777777" w:rsidR="00A51903" w:rsidRDefault="00A51903" w:rsidP="00A51903">
      <w:pPr>
        <w:ind w:firstLine="720"/>
        <w:jc w:val="both"/>
      </w:pPr>
      <w:r>
        <w:t>There are f</w:t>
      </w:r>
      <w:r w:rsidRPr="0067643C">
        <w:t xml:space="preserve">our </w:t>
      </w:r>
      <w:r>
        <w:t xml:space="preserve">interference </w:t>
      </w:r>
      <w:r w:rsidRPr="0067643C">
        <w:t xml:space="preserve">scenarios </w:t>
      </w:r>
      <w:r>
        <w:t xml:space="preserve">if digital </w:t>
      </w:r>
      <w:r w:rsidRPr="0067643C">
        <w:t>broadcast television</w:t>
      </w:r>
      <w:r>
        <w:t xml:space="preserve"> (DTV)</w:t>
      </w:r>
      <w:r w:rsidRPr="0067643C">
        <w:t xml:space="preserve"> and wireless services</w:t>
      </w:r>
      <w:r>
        <w:t xml:space="preserve"> are permitted in</w:t>
      </w:r>
      <w:r w:rsidRPr="0067643C">
        <w:t xml:space="preserve"> the 600 MHz band.  These scenarios are </w:t>
      </w:r>
      <w:r>
        <w:t>listed below and are illustrated</w:t>
      </w:r>
      <w:r w:rsidRPr="0067643C">
        <w:t xml:space="preserve"> in </w:t>
      </w:r>
      <w:r>
        <w:fldChar w:fldCharType="begin"/>
      </w:r>
      <w:r>
        <w:instrText xml:space="preserve"> REF _Ref378164359 \h  \* MERGEFORMAT </w:instrText>
      </w:r>
      <w:r>
        <w:fldChar w:fldCharType="separate"/>
      </w:r>
      <w:r w:rsidR="00CC6F3D" w:rsidRPr="001165AF">
        <w:t>Figure A-</w:t>
      </w:r>
      <w:r w:rsidR="00CC6F3D" w:rsidRPr="00CC6F3D">
        <w:t>1</w:t>
      </w:r>
      <w:r>
        <w:fldChar w:fldCharType="end"/>
      </w:r>
      <w:r>
        <w:t>.</w:t>
      </w:r>
    </w:p>
    <w:p w14:paraId="5B6EFE44" w14:textId="77777777" w:rsidR="00A51903" w:rsidRDefault="00A51903" w:rsidP="00A51903">
      <w:pPr>
        <w:ind w:firstLine="720"/>
        <w:jc w:val="both"/>
      </w:pPr>
    </w:p>
    <w:p w14:paraId="4C1D6EBD" w14:textId="77777777" w:rsidR="00A51903" w:rsidRDefault="00A51903" w:rsidP="00A51903">
      <w:pPr>
        <w:pStyle w:val="Bullet"/>
        <w:numPr>
          <w:ilvl w:val="0"/>
          <w:numId w:val="26"/>
        </w:numPr>
        <w:tabs>
          <w:tab w:val="clear" w:pos="360"/>
          <w:tab w:val="left" w:pos="2160"/>
        </w:tabs>
        <w:spacing w:after="0"/>
        <w:ind w:left="2160" w:hanging="720"/>
        <w:jc w:val="left"/>
      </w:pPr>
      <w:r>
        <w:t>Case 1:  DTV Transmitter into Wireless Uplink (base station receiver)</w:t>
      </w:r>
    </w:p>
    <w:p w14:paraId="202E220D" w14:textId="77777777" w:rsidR="00A51903" w:rsidRDefault="00A51903" w:rsidP="00A51903">
      <w:pPr>
        <w:pStyle w:val="Bullet"/>
        <w:numPr>
          <w:ilvl w:val="0"/>
          <w:numId w:val="26"/>
        </w:numPr>
        <w:tabs>
          <w:tab w:val="clear" w:pos="360"/>
          <w:tab w:val="left" w:pos="2160"/>
        </w:tabs>
        <w:spacing w:after="0"/>
        <w:ind w:left="2160" w:hanging="720"/>
        <w:jc w:val="left"/>
      </w:pPr>
      <w:r>
        <w:t>Case 2:  DTV Transmitter into Wireless Downlink (UE receiver)</w:t>
      </w:r>
    </w:p>
    <w:p w14:paraId="24DD1AF3" w14:textId="77777777" w:rsidR="00A51903" w:rsidRDefault="00A51903" w:rsidP="00A51903">
      <w:pPr>
        <w:pStyle w:val="Bullet"/>
        <w:numPr>
          <w:ilvl w:val="0"/>
          <w:numId w:val="26"/>
        </w:numPr>
        <w:tabs>
          <w:tab w:val="clear" w:pos="360"/>
          <w:tab w:val="left" w:pos="2160"/>
        </w:tabs>
        <w:spacing w:after="0"/>
        <w:ind w:left="2160" w:hanging="720"/>
        <w:jc w:val="left"/>
      </w:pPr>
      <w:r>
        <w:t>Case 3:  Base Station Transmitter (downlink) into DTV Receiver</w:t>
      </w:r>
    </w:p>
    <w:p w14:paraId="515FA807" w14:textId="77777777" w:rsidR="00A51903" w:rsidRDefault="00A51903" w:rsidP="00A51903">
      <w:pPr>
        <w:pStyle w:val="Bullet"/>
        <w:numPr>
          <w:ilvl w:val="0"/>
          <w:numId w:val="26"/>
        </w:numPr>
        <w:tabs>
          <w:tab w:val="clear" w:pos="360"/>
          <w:tab w:val="left" w:pos="2160"/>
        </w:tabs>
        <w:spacing w:after="0"/>
        <w:ind w:left="2160" w:hanging="720"/>
        <w:jc w:val="left"/>
      </w:pPr>
      <w:r>
        <w:t>Case 4:  User Equipment Transmitter (uplink) into DTV Receiver</w:t>
      </w:r>
    </w:p>
    <w:p w14:paraId="5DBE06E2" w14:textId="77777777" w:rsidR="00A51903" w:rsidRDefault="00A51903" w:rsidP="00A51903"/>
    <w:p w14:paraId="5E1AECFB" w14:textId="77777777" w:rsidR="00A51903" w:rsidRDefault="00A51903" w:rsidP="00A51903">
      <w:pPr>
        <w:keepNext/>
        <w:jc w:val="center"/>
      </w:pPr>
      <w:r>
        <w:rPr>
          <w:noProof/>
        </w:rPr>
        <w:drawing>
          <wp:inline distT="0" distB="0" distL="0" distR="0" wp14:anchorId="1E4A160B" wp14:editId="1B3C6B41">
            <wp:extent cx="5943600" cy="3775710"/>
            <wp:effectExtent l="25400" t="2540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DiagSimple.gif"/>
                    <pic:cNvPicPr/>
                  </pic:nvPicPr>
                  <pic:blipFill>
                    <a:blip r:embed="rId8">
                      <a:extLst>
                        <a:ext uri="{28A0092B-C50C-407E-A947-70E740481C1C}">
                          <a14:useLocalDpi xmlns:a14="http://schemas.microsoft.com/office/drawing/2010/main" val="0"/>
                        </a:ext>
                      </a:extLst>
                    </a:blip>
                    <a:stretch>
                      <a:fillRect/>
                    </a:stretch>
                  </pic:blipFill>
                  <pic:spPr>
                    <a:xfrm>
                      <a:off x="0" y="0"/>
                      <a:ext cx="5943600" cy="3775710"/>
                    </a:xfrm>
                    <a:prstGeom prst="rect">
                      <a:avLst/>
                    </a:prstGeom>
                    <a:ln>
                      <a:solidFill>
                        <a:schemeClr val="tx1"/>
                      </a:solidFill>
                    </a:ln>
                  </pic:spPr>
                </pic:pic>
              </a:graphicData>
            </a:graphic>
          </wp:inline>
        </w:drawing>
      </w:r>
    </w:p>
    <w:p w14:paraId="4A025411" w14:textId="77777777" w:rsidR="00A51903" w:rsidRPr="001165AF" w:rsidRDefault="00A51903" w:rsidP="00A51903">
      <w:pPr>
        <w:pStyle w:val="Caption"/>
        <w:jc w:val="center"/>
        <w:rPr>
          <w:b w:val="0"/>
        </w:rPr>
      </w:pPr>
      <w:bookmarkStart w:id="2" w:name="_Ref378164359"/>
      <w:r w:rsidRPr="001165AF">
        <w:rPr>
          <w:b w:val="0"/>
        </w:rPr>
        <w:t>Figure A-</w:t>
      </w:r>
      <w:r>
        <w:rPr>
          <w:b w:val="0"/>
        </w:rPr>
        <w:fldChar w:fldCharType="begin"/>
      </w:r>
      <w:r>
        <w:rPr>
          <w:b w:val="0"/>
        </w:rPr>
        <w:instrText xml:space="preserve"> SEQ Figure \* MERGEFORMAT </w:instrText>
      </w:r>
      <w:r>
        <w:rPr>
          <w:b w:val="0"/>
        </w:rPr>
        <w:fldChar w:fldCharType="separate"/>
      </w:r>
      <w:r w:rsidR="00CC6F3D">
        <w:rPr>
          <w:b w:val="0"/>
          <w:noProof/>
        </w:rPr>
        <w:t>1</w:t>
      </w:r>
      <w:r>
        <w:rPr>
          <w:b w:val="0"/>
        </w:rPr>
        <w:fldChar w:fldCharType="end"/>
      </w:r>
      <w:bookmarkEnd w:id="2"/>
      <w:r w:rsidRPr="001165AF">
        <w:rPr>
          <w:b w:val="0"/>
        </w:rPr>
        <w:t>.  Market varia</w:t>
      </w:r>
      <w:r>
        <w:rPr>
          <w:b w:val="0"/>
        </w:rPr>
        <w:t>tion</w:t>
      </w:r>
      <w:r w:rsidRPr="001165AF">
        <w:rPr>
          <w:b w:val="0"/>
        </w:rPr>
        <w:t xml:space="preserve"> interference scenarios</w:t>
      </w:r>
    </w:p>
    <w:p w14:paraId="565FE5D1" w14:textId="77777777" w:rsidR="00A51903" w:rsidRPr="00C96F06" w:rsidRDefault="00A51903" w:rsidP="00A51903">
      <w:pPr>
        <w:rPr>
          <w:lang w:eastAsia="ja-JP"/>
        </w:rPr>
      </w:pPr>
    </w:p>
    <w:p w14:paraId="3800745E" w14:textId="77777777" w:rsidR="00A51903" w:rsidRDefault="00A51903" w:rsidP="00A51903">
      <w:pPr>
        <w:ind w:firstLine="720"/>
        <w:jc w:val="both"/>
      </w:pPr>
      <w:r>
        <w:rPr>
          <w:i/>
          <w:u w:val="single"/>
          <w:lang w:eastAsia="ja-JP"/>
        </w:rPr>
        <w:t>Spectral</w:t>
      </w:r>
      <w:r w:rsidRPr="00C96F06">
        <w:rPr>
          <w:i/>
          <w:u w:val="single"/>
          <w:lang w:eastAsia="ja-JP"/>
        </w:rPr>
        <w:t xml:space="preserve"> O</w:t>
      </w:r>
      <w:r>
        <w:rPr>
          <w:i/>
          <w:u w:val="single"/>
          <w:lang w:eastAsia="ja-JP"/>
        </w:rPr>
        <w:t>verlap.</w:t>
      </w:r>
      <w:r>
        <w:rPr>
          <w:lang w:eastAsia="ja-JP"/>
        </w:rPr>
        <w:t xml:space="preserve">  </w:t>
      </w:r>
      <w:r>
        <w:t xml:space="preserve">A significant issue that will impact the potential for co-channel and adjacent-channel interference between TV broadcast and wireless services is the varying degree of spectral overlap that may exist between the two services in the new 600 MHz band.  </w:t>
      </w:r>
      <w:r w:rsidRPr="00CF17C9">
        <w:t xml:space="preserve">Because </w:t>
      </w:r>
      <w:r>
        <w:t>the</w:t>
      </w:r>
      <w:r w:rsidRPr="00CF17C9">
        <w:t xml:space="preserve"> broadcast</w:t>
      </w:r>
      <w:r>
        <w:t xml:space="preserve"> television</w:t>
      </w:r>
      <w:r w:rsidRPr="00CF17C9">
        <w:t xml:space="preserve"> channels </w:t>
      </w:r>
      <w:r>
        <w:t>to be</w:t>
      </w:r>
      <w:r w:rsidRPr="00CF17C9">
        <w:t xml:space="preserve"> reclaimed </w:t>
      </w:r>
      <w:r>
        <w:t xml:space="preserve">are six megahertz wide </w:t>
      </w:r>
      <w:r w:rsidRPr="00CF17C9">
        <w:t xml:space="preserve">and </w:t>
      </w:r>
      <w:r>
        <w:t>the Commission has proposed to repurpose them</w:t>
      </w:r>
      <w:r w:rsidRPr="00CF17C9">
        <w:t xml:space="preserve"> as </w:t>
      </w:r>
      <w:r>
        <w:t>five</w:t>
      </w:r>
      <w:r w:rsidRPr="00CF17C9">
        <w:t xml:space="preserve"> </w:t>
      </w:r>
      <w:r>
        <w:t>megahert</w:t>
      </w:r>
      <w:r w:rsidRPr="00CF17C9">
        <w:t>z wireless blocks,</w:t>
      </w:r>
      <w:r>
        <w:rPr>
          <w:rStyle w:val="FootnoteReference"/>
        </w:rPr>
        <w:footnoteReference w:id="20"/>
      </w:r>
      <w:r w:rsidRPr="00CF17C9">
        <w:t xml:space="preserve"> a single television channel </w:t>
      </w:r>
      <w:r>
        <w:t>may</w:t>
      </w:r>
      <w:r w:rsidRPr="00CF17C9">
        <w:t xml:space="preserve"> o</w:t>
      </w:r>
      <w:r>
        <w:t>verlap two wireless blocks in a nearby wireless license area.  T</w:t>
      </w:r>
      <w:r w:rsidRPr="00CF17C9">
        <w:t xml:space="preserve">he difference in channel </w:t>
      </w:r>
      <w:r>
        <w:t>bandwidth</w:t>
      </w:r>
      <w:r w:rsidRPr="00CF17C9">
        <w:t xml:space="preserve"> (</w:t>
      </w:r>
      <w:r>
        <w:t>six</w:t>
      </w:r>
      <w:r w:rsidRPr="00CF17C9">
        <w:t xml:space="preserve"> </w:t>
      </w:r>
      <w:r w:rsidRPr="004146B3">
        <w:rPr>
          <w:i/>
        </w:rPr>
        <w:t>vs</w:t>
      </w:r>
      <w:r w:rsidRPr="002F1495">
        <w:t>.</w:t>
      </w:r>
      <w:r w:rsidRPr="00CF17C9">
        <w:t xml:space="preserve"> </w:t>
      </w:r>
      <w:r>
        <w:t>five</w:t>
      </w:r>
      <w:r w:rsidRPr="00CF17C9">
        <w:t xml:space="preserve"> </w:t>
      </w:r>
      <w:r>
        <w:t>megahert</w:t>
      </w:r>
      <w:r w:rsidRPr="00CF17C9">
        <w:t xml:space="preserve">z) means that the channels </w:t>
      </w:r>
      <w:r>
        <w:t xml:space="preserve">and blocks </w:t>
      </w:r>
      <w:r w:rsidRPr="00CF17C9">
        <w:t>do</w:t>
      </w:r>
      <w:r>
        <w:t xml:space="preserve"> no</w:t>
      </w:r>
      <w:r w:rsidRPr="00CF17C9">
        <w:t>t perfectly align</w:t>
      </w:r>
      <w:r>
        <w:t>, and the different amounts of spectral overlap suggest that protection requirements should reflect the variation.</w:t>
      </w:r>
    </w:p>
    <w:p w14:paraId="047D1424" w14:textId="77777777" w:rsidR="00A51903" w:rsidRDefault="00A51903" w:rsidP="00A51903">
      <w:pPr>
        <w:ind w:firstLine="720"/>
        <w:jc w:val="both"/>
      </w:pPr>
    </w:p>
    <w:p w14:paraId="4D7A6253" w14:textId="77777777" w:rsidR="00A51903" w:rsidRDefault="00A51903" w:rsidP="00A51903">
      <w:pPr>
        <w:ind w:firstLine="720"/>
        <w:jc w:val="both"/>
        <w:rPr>
          <w:lang w:eastAsia="ja-JP"/>
        </w:rPr>
      </w:pPr>
      <w:r w:rsidRPr="0097436D">
        <w:fldChar w:fldCharType="begin"/>
      </w:r>
      <w:r w:rsidRPr="0097436D">
        <w:instrText xml:space="preserve"> REF _Ref378164468 \h </w:instrText>
      </w:r>
      <w:r w:rsidRPr="001165AF">
        <w:instrText xml:space="preserve"> \* MERGEFORMAT </w:instrText>
      </w:r>
      <w:r w:rsidRPr="0097436D">
        <w:fldChar w:fldCharType="separate"/>
      </w:r>
      <w:r w:rsidR="00CC6F3D" w:rsidRPr="00CC6F3D">
        <w:t>Figure A-2</w:t>
      </w:r>
      <w:r w:rsidRPr="0097436D">
        <w:fldChar w:fldCharType="end"/>
      </w:r>
      <w:r w:rsidRPr="0097436D">
        <w:t xml:space="preserve"> provides </w:t>
      </w:r>
      <w:r>
        <w:t xml:space="preserve">an example of market variation between two wireless markets where the amount of wireless spectrum in Wireless Market 2 is reduced in order to assign TV channels 47 and 48 to television broadcast in that market.  </w:t>
      </w:r>
      <w:r w:rsidRPr="0097436D">
        <w:fldChar w:fldCharType="begin"/>
      </w:r>
      <w:r w:rsidRPr="00BF3FA3">
        <w:instrText xml:space="preserve"> REF _Ref378164468 \h  \* MERGEFORMAT </w:instrText>
      </w:r>
      <w:r w:rsidRPr="0097436D">
        <w:fldChar w:fldCharType="separate"/>
      </w:r>
      <w:r w:rsidR="00CC6F3D" w:rsidRPr="00CC6F3D">
        <w:t>Figure A-2</w:t>
      </w:r>
      <w:r w:rsidRPr="0097436D">
        <w:fldChar w:fldCharType="end"/>
      </w:r>
      <w:r w:rsidRPr="007C353B">
        <w:t xml:space="preserve"> also shows an </w:t>
      </w:r>
      <w:r>
        <w:t>example</w:t>
      </w:r>
      <w:r w:rsidRPr="007C353B">
        <w:t xml:space="preserve"> guard band between the DTV service and wireless service in Wireless Market 2.</w:t>
      </w:r>
      <w:r>
        <w:rPr>
          <w:rStyle w:val="FootnoteReference"/>
        </w:rPr>
        <w:footnoteReference w:id="21"/>
      </w:r>
      <w:r w:rsidRPr="007C353B">
        <w:t xml:space="preserve">  </w:t>
      </w:r>
      <w:r>
        <w:t>The spectral overlap between wireless Block E in Market 1 and TV Channel 47 in Wireless Market 2 is one megahertz, meaning that one megahertz of TV Channel 47 is co-channel with Block E.  On the other hand, the spectral overlap between potential wireless Block D in Market 1 and TV Channel 47 in Wireless Market 2 is -4 megahertz, because there are four megahertz of frequency separation between the respective channel edges.  In this example, the guard band is eight megahertz in Market 2 between TV channel 48 and wireless block B, but across markets there is sufficient distance separation between Market 1 and Market 2 such that co- and adjacent-channel interference is minimized.</w:t>
      </w:r>
    </w:p>
    <w:p w14:paraId="6B1ADB4C" w14:textId="77777777" w:rsidR="00A51903" w:rsidRDefault="00A51903" w:rsidP="00A51903">
      <w:pPr>
        <w:rPr>
          <w:lang w:eastAsia="ja-JP"/>
        </w:rPr>
      </w:pPr>
    </w:p>
    <w:p w14:paraId="005BE7F4" w14:textId="77777777" w:rsidR="00A51903" w:rsidRDefault="00A51903" w:rsidP="00A51903">
      <w:pPr>
        <w:keepNext/>
        <w:jc w:val="center"/>
        <w:rPr>
          <w:lang w:eastAsia="ja-JP"/>
        </w:rPr>
      </w:pPr>
      <w:r>
        <w:rPr>
          <w:noProof/>
        </w:rPr>
        <w:drawing>
          <wp:inline distT="0" distB="0" distL="0" distR="0" wp14:anchorId="77EB6C7C" wp14:editId="1DADC304">
            <wp:extent cx="5871210" cy="1908175"/>
            <wp:effectExtent l="25400" t="2540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1210" cy="1908175"/>
                    </a:xfrm>
                    <a:prstGeom prst="rect">
                      <a:avLst/>
                    </a:prstGeom>
                    <a:noFill/>
                    <a:ln w="9525">
                      <a:solidFill>
                        <a:schemeClr val="tx1"/>
                      </a:solidFill>
                    </a:ln>
                  </pic:spPr>
                </pic:pic>
              </a:graphicData>
            </a:graphic>
          </wp:inline>
        </w:drawing>
      </w:r>
    </w:p>
    <w:p w14:paraId="60DE1A23" w14:textId="77777777" w:rsidR="00A51903" w:rsidRPr="001165AF" w:rsidRDefault="00A51903" w:rsidP="00A51903">
      <w:pPr>
        <w:pStyle w:val="Caption"/>
        <w:jc w:val="center"/>
        <w:rPr>
          <w:b w:val="0"/>
          <w:szCs w:val="22"/>
        </w:rPr>
      </w:pPr>
      <w:bookmarkStart w:id="3" w:name="_Ref378164468"/>
      <w:r w:rsidRPr="001165AF">
        <w:rPr>
          <w:b w:val="0"/>
          <w:szCs w:val="22"/>
        </w:rPr>
        <w:t>Figure A-</w:t>
      </w:r>
      <w:r>
        <w:rPr>
          <w:b w:val="0"/>
          <w:szCs w:val="22"/>
        </w:rPr>
        <w:fldChar w:fldCharType="begin"/>
      </w:r>
      <w:r>
        <w:rPr>
          <w:b w:val="0"/>
          <w:szCs w:val="22"/>
        </w:rPr>
        <w:instrText xml:space="preserve"> SEQ Figure \* MERGEFORMAT </w:instrText>
      </w:r>
      <w:r>
        <w:rPr>
          <w:b w:val="0"/>
          <w:szCs w:val="22"/>
        </w:rPr>
        <w:fldChar w:fldCharType="separate"/>
      </w:r>
      <w:r w:rsidR="00CC6F3D">
        <w:rPr>
          <w:b w:val="0"/>
          <w:noProof/>
          <w:szCs w:val="22"/>
        </w:rPr>
        <w:t>2</w:t>
      </w:r>
      <w:r>
        <w:rPr>
          <w:b w:val="0"/>
          <w:szCs w:val="22"/>
        </w:rPr>
        <w:fldChar w:fldCharType="end"/>
      </w:r>
      <w:bookmarkEnd w:id="3"/>
      <w:r w:rsidRPr="001165AF">
        <w:rPr>
          <w:b w:val="0"/>
          <w:szCs w:val="22"/>
        </w:rPr>
        <w:t>.  6 MHz TV channel and 5 MHz wireless block alignment</w:t>
      </w:r>
    </w:p>
    <w:p w14:paraId="439D87C8" w14:textId="77777777" w:rsidR="00A51903" w:rsidRDefault="00A51903" w:rsidP="00A51903">
      <w:pPr>
        <w:rPr>
          <w:lang w:eastAsia="ja-JP"/>
        </w:rPr>
      </w:pPr>
    </w:p>
    <w:p w14:paraId="0D6EEE6F" w14:textId="77777777" w:rsidR="00A51903" w:rsidRDefault="00A51903" w:rsidP="00A51903">
      <w:pPr>
        <w:ind w:firstLine="720"/>
        <w:jc w:val="both"/>
        <w:rPr>
          <w:lang w:eastAsia="ja-JP"/>
        </w:rPr>
      </w:pPr>
      <w:r>
        <w:rPr>
          <w:lang w:eastAsia="ja-JP"/>
        </w:rPr>
        <w:t>We define as co-channel those TV channel/wireless block pairs having frequency overlaps of +5 MHz to +1 MHz,</w:t>
      </w:r>
      <w:bookmarkStart w:id="4" w:name="_Ref378166068"/>
      <w:r>
        <w:rPr>
          <w:rStyle w:val="FootnoteReference"/>
        </w:rPr>
        <w:footnoteReference w:id="22"/>
      </w:r>
      <w:bookmarkEnd w:id="4"/>
      <w:r>
        <w:rPr>
          <w:lang w:eastAsia="ja-JP"/>
        </w:rPr>
        <w:t xml:space="preserve"> and to define adjacent-channel relationships as those TV channel/wireless block pairs with frequency overlaps of 0 MHz to -5 MHz.</w:t>
      </w:r>
      <w:r>
        <w:rPr>
          <w:rStyle w:val="FootnoteReference"/>
          <w:lang w:eastAsia="ja-JP"/>
        </w:rPr>
        <w:footnoteReference w:id="23"/>
      </w:r>
      <w:r>
        <w:rPr>
          <w:lang w:eastAsia="ja-JP"/>
        </w:rPr>
        <w:t xml:space="preserve">  Further, we examine all TV channel/wireless block overlaps from +5 MHz to -5 MHz for all cases, in one megahertz increments, considering both DTV interference into wireless as well as wireless interference into DTV.</w:t>
      </w:r>
    </w:p>
    <w:p w14:paraId="73BDC594" w14:textId="77777777" w:rsidR="00A51903" w:rsidRDefault="00A51903" w:rsidP="00A51903">
      <w:pPr>
        <w:jc w:val="both"/>
        <w:rPr>
          <w:lang w:eastAsia="ja-JP"/>
        </w:rPr>
      </w:pPr>
    </w:p>
    <w:p w14:paraId="5251B3E1" w14:textId="77777777" w:rsidR="00A51903" w:rsidRDefault="00A51903" w:rsidP="00A51903">
      <w:pPr>
        <w:ind w:firstLine="720"/>
        <w:jc w:val="both"/>
        <w:rPr>
          <w:lang w:eastAsia="ja-JP"/>
        </w:rPr>
      </w:pPr>
      <w:r w:rsidRPr="00C96F06">
        <w:rPr>
          <w:i/>
          <w:u w:val="single"/>
          <w:lang w:eastAsia="ja-JP"/>
        </w:rPr>
        <w:t xml:space="preserve">Field Strength and D/U Interference </w:t>
      </w:r>
      <w:r>
        <w:rPr>
          <w:i/>
          <w:u w:val="single"/>
          <w:lang w:eastAsia="ja-JP"/>
        </w:rPr>
        <w:t>L</w:t>
      </w:r>
      <w:r w:rsidRPr="00C96F06">
        <w:rPr>
          <w:i/>
          <w:u w:val="single"/>
          <w:lang w:eastAsia="ja-JP"/>
        </w:rPr>
        <w:t xml:space="preserve">imits as a Function of </w:t>
      </w:r>
      <w:r>
        <w:rPr>
          <w:i/>
          <w:u w:val="single"/>
          <w:lang w:eastAsia="ja-JP"/>
        </w:rPr>
        <w:t xml:space="preserve">Spectral </w:t>
      </w:r>
      <w:r w:rsidRPr="00C96F06">
        <w:rPr>
          <w:i/>
          <w:u w:val="single"/>
          <w:lang w:eastAsia="ja-JP"/>
        </w:rPr>
        <w:t>O</w:t>
      </w:r>
      <w:r>
        <w:rPr>
          <w:i/>
          <w:u w:val="single"/>
          <w:lang w:eastAsia="ja-JP"/>
        </w:rPr>
        <w:t>verlap.</w:t>
      </w:r>
      <w:r>
        <w:rPr>
          <w:lang w:eastAsia="ja-JP"/>
        </w:rPr>
        <w:t xml:space="preserve">  To determine potential wireless license impairments, our methodology sets field strength limits at the wireless receive antenna as a function of the amount of spectral overlap between the DTV transmit channel and the wireless receive channel.  For example, a DTV station with an overlap of -5 MHz (</w:t>
      </w:r>
      <w:r w:rsidRPr="00C67851">
        <w:rPr>
          <w:i/>
          <w:lang w:eastAsia="ja-JP"/>
        </w:rPr>
        <w:t>i.e</w:t>
      </w:r>
      <w:r>
        <w:rPr>
          <w:lang w:eastAsia="ja-JP"/>
        </w:rPr>
        <w:t>., adjacent-channel operation) is assumed to be able to produce a higher maximum field strength at the victim receive antenna without causing harmful interference than would a DTV station with an overlap of +5 MHz (</w:t>
      </w:r>
      <w:r w:rsidRPr="00C67851">
        <w:rPr>
          <w:i/>
          <w:lang w:eastAsia="ja-JP"/>
        </w:rPr>
        <w:t>i.e</w:t>
      </w:r>
      <w:r>
        <w:rPr>
          <w:lang w:eastAsia="ja-JP"/>
        </w:rPr>
        <w:t>., co-channel operation).</w:t>
      </w:r>
    </w:p>
    <w:p w14:paraId="236E94FC" w14:textId="77777777" w:rsidR="00A51903" w:rsidRDefault="00A51903" w:rsidP="00A51903">
      <w:pPr>
        <w:jc w:val="both"/>
        <w:rPr>
          <w:lang w:eastAsia="ja-JP"/>
        </w:rPr>
      </w:pPr>
    </w:p>
    <w:p w14:paraId="64563DA5" w14:textId="77777777" w:rsidR="00A51903" w:rsidRDefault="00A51903" w:rsidP="00A51903">
      <w:pPr>
        <w:ind w:firstLine="720"/>
        <w:jc w:val="both"/>
        <w:rPr>
          <w:lang w:eastAsia="ja-JP"/>
        </w:rPr>
      </w:pPr>
      <w:r>
        <w:rPr>
          <w:lang w:eastAsia="ja-JP"/>
        </w:rPr>
        <w:t>Similarly, to assess potential interference to a DTV receiver, our methodology uses the co-channel D/U ratio specified in OET Bulletin No. 69</w:t>
      </w:r>
      <w:r>
        <w:rPr>
          <w:rStyle w:val="FootnoteReference"/>
          <w:lang w:eastAsia="ja-JP"/>
        </w:rPr>
        <w:footnoteReference w:id="24"/>
      </w:r>
      <w:r>
        <w:rPr>
          <w:lang w:eastAsia="ja-JP"/>
        </w:rPr>
        <w:t xml:space="preserve"> for a +5 MHz overlap and adjusts the D/U requirement based on the extent of overlap between the wireless transmitter channel and the DTV receiver channel.  We account for the possibility that a wireless licensee may aggregate several 5 MHz channel </w:t>
      </w:r>
      <w:r w:rsidRPr="00866244">
        <w:rPr>
          <w:lang w:eastAsia="ja-JP"/>
        </w:rPr>
        <w:t xml:space="preserve">blocks </w:t>
      </w:r>
      <w:r w:rsidRPr="00202E7F">
        <w:rPr>
          <w:lang w:eastAsia="ja-JP"/>
        </w:rPr>
        <w:t xml:space="preserve">in </w:t>
      </w:r>
      <w:r w:rsidRPr="00202E7F">
        <w:rPr>
          <w:lang w:eastAsia="ja-JP"/>
        </w:rPr>
        <w:fldChar w:fldCharType="begin"/>
      </w:r>
      <w:r w:rsidRPr="00866244">
        <w:rPr>
          <w:lang w:eastAsia="ja-JP"/>
        </w:rPr>
        <w:instrText xml:space="preserve"> REF _Ref378166378 \h </w:instrText>
      </w:r>
      <w:r>
        <w:rPr>
          <w:lang w:eastAsia="ja-JP"/>
        </w:rPr>
        <w:instrText xml:space="preserve"> \* MERGEFORMAT </w:instrText>
      </w:r>
      <w:r w:rsidRPr="00202E7F">
        <w:rPr>
          <w:lang w:eastAsia="ja-JP"/>
        </w:rPr>
      </w:r>
      <w:r w:rsidRPr="00202E7F">
        <w:rPr>
          <w:lang w:eastAsia="ja-JP"/>
        </w:rPr>
        <w:fldChar w:fldCharType="separate"/>
      </w:r>
      <w:r w:rsidR="00CC6F3D" w:rsidRPr="00CC6F3D">
        <w:t xml:space="preserve">Table </w:t>
      </w:r>
      <w:r w:rsidR="00CC6F3D" w:rsidRPr="00CC6F3D">
        <w:rPr>
          <w:noProof/>
        </w:rPr>
        <w:t>5</w:t>
      </w:r>
      <w:r w:rsidRPr="00202E7F">
        <w:rPr>
          <w:lang w:eastAsia="ja-JP"/>
        </w:rPr>
        <w:fldChar w:fldCharType="end"/>
      </w:r>
      <w:r w:rsidRPr="00202E7F">
        <w:rPr>
          <w:lang w:eastAsia="ja-JP"/>
        </w:rPr>
        <w:t xml:space="preserve">, </w:t>
      </w:r>
      <w:r w:rsidRPr="00202E7F">
        <w:rPr>
          <w:lang w:eastAsia="ja-JP"/>
        </w:rPr>
        <w:fldChar w:fldCharType="begin"/>
      </w:r>
      <w:r w:rsidRPr="00866244">
        <w:rPr>
          <w:lang w:eastAsia="ja-JP"/>
        </w:rPr>
        <w:instrText xml:space="preserve"> REF _Ref378166386 \h </w:instrText>
      </w:r>
      <w:r>
        <w:rPr>
          <w:lang w:eastAsia="ja-JP"/>
        </w:rPr>
        <w:instrText xml:space="preserve"> \* MERGEFORMAT </w:instrText>
      </w:r>
      <w:r w:rsidRPr="00202E7F">
        <w:rPr>
          <w:lang w:eastAsia="ja-JP"/>
        </w:rPr>
      </w:r>
      <w:r w:rsidRPr="00202E7F">
        <w:rPr>
          <w:lang w:eastAsia="ja-JP"/>
        </w:rPr>
        <w:fldChar w:fldCharType="separate"/>
      </w:r>
      <w:r w:rsidR="00CC6F3D" w:rsidRPr="00CC6F3D">
        <w:t xml:space="preserve">Table </w:t>
      </w:r>
      <w:r w:rsidR="00CC6F3D" w:rsidRPr="00CC6F3D">
        <w:rPr>
          <w:noProof/>
        </w:rPr>
        <w:t>6</w:t>
      </w:r>
      <w:r w:rsidRPr="00202E7F">
        <w:rPr>
          <w:lang w:eastAsia="ja-JP"/>
        </w:rPr>
        <w:fldChar w:fldCharType="end"/>
      </w:r>
      <w:r w:rsidRPr="00202E7F">
        <w:rPr>
          <w:lang w:eastAsia="ja-JP"/>
        </w:rPr>
        <w:t xml:space="preserve">, and </w:t>
      </w:r>
      <w:r w:rsidRPr="00202E7F">
        <w:rPr>
          <w:lang w:eastAsia="ja-JP"/>
        </w:rPr>
        <w:fldChar w:fldCharType="begin"/>
      </w:r>
      <w:r w:rsidRPr="00866244">
        <w:rPr>
          <w:lang w:eastAsia="ja-JP"/>
        </w:rPr>
        <w:instrText xml:space="preserve"> REF _Ref378166261 \h </w:instrText>
      </w:r>
      <w:r>
        <w:rPr>
          <w:lang w:eastAsia="ja-JP"/>
        </w:rPr>
        <w:instrText xml:space="preserve"> \* MERGEFORMAT </w:instrText>
      </w:r>
      <w:r w:rsidRPr="00202E7F">
        <w:rPr>
          <w:lang w:eastAsia="ja-JP"/>
        </w:rPr>
      </w:r>
      <w:r w:rsidRPr="00202E7F">
        <w:rPr>
          <w:lang w:eastAsia="ja-JP"/>
        </w:rPr>
        <w:fldChar w:fldCharType="separate"/>
      </w:r>
      <w:r w:rsidR="00CC6F3D" w:rsidRPr="00CC6F3D">
        <w:t xml:space="preserve">Table </w:t>
      </w:r>
      <w:r w:rsidR="00CC6F3D" w:rsidRPr="00CC6F3D">
        <w:rPr>
          <w:noProof/>
        </w:rPr>
        <w:t>10</w:t>
      </w:r>
      <w:r w:rsidRPr="00202E7F">
        <w:rPr>
          <w:lang w:eastAsia="ja-JP"/>
        </w:rPr>
        <w:fldChar w:fldCharType="end"/>
      </w:r>
      <w:r w:rsidRPr="00202E7F">
        <w:rPr>
          <w:lang w:eastAsia="ja-JP"/>
        </w:rPr>
        <w:t xml:space="preserve"> below, as described</w:t>
      </w:r>
      <w:r>
        <w:rPr>
          <w:lang w:eastAsia="ja-JP"/>
        </w:rPr>
        <w:t xml:space="preserve"> in footnote </w:t>
      </w:r>
      <w:r>
        <w:rPr>
          <w:lang w:eastAsia="ja-JP"/>
        </w:rPr>
        <w:fldChar w:fldCharType="begin"/>
      </w:r>
      <w:r>
        <w:rPr>
          <w:lang w:eastAsia="ja-JP"/>
        </w:rPr>
        <w:instrText xml:space="preserve"> NOTEREF _Ref378166068 \h </w:instrText>
      </w:r>
      <w:r>
        <w:rPr>
          <w:lang w:eastAsia="ja-JP"/>
        </w:rPr>
      </w:r>
      <w:r>
        <w:rPr>
          <w:lang w:eastAsia="ja-JP"/>
        </w:rPr>
        <w:fldChar w:fldCharType="separate"/>
      </w:r>
      <w:r w:rsidR="00CC6F3D">
        <w:rPr>
          <w:lang w:eastAsia="ja-JP"/>
        </w:rPr>
        <w:t>7</w:t>
      </w:r>
      <w:r>
        <w:rPr>
          <w:lang w:eastAsia="ja-JP"/>
        </w:rPr>
        <w:fldChar w:fldCharType="end"/>
      </w:r>
      <w:r>
        <w:rPr>
          <w:lang w:eastAsia="ja-JP"/>
        </w:rPr>
        <w:t>.</w:t>
      </w:r>
    </w:p>
    <w:p w14:paraId="5B87C253" w14:textId="77777777" w:rsidR="00A51903" w:rsidRDefault="00A51903" w:rsidP="00A51903">
      <w:pPr>
        <w:jc w:val="both"/>
        <w:rPr>
          <w:lang w:eastAsia="ja-JP"/>
        </w:rPr>
      </w:pPr>
    </w:p>
    <w:p w14:paraId="0236CCC3" w14:textId="77777777" w:rsidR="00A51903" w:rsidRDefault="00A51903" w:rsidP="00A51903">
      <w:pPr>
        <w:ind w:firstLine="720"/>
        <w:jc w:val="both"/>
        <w:rPr>
          <w:lang w:eastAsia="ja-JP"/>
        </w:rPr>
      </w:pPr>
      <w:r w:rsidRPr="00C96F06">
        <w:rPr>
          <w:i/>
          <w:u w:val="single"/>
          <w:lang w:eastAsia="ja-JP"/>
        </w:rPr>
        <w:t xml:space="preserve">Methodology to Determine </w:t>
      </w:r>
      <w:r>
        <w:rPr>
          <w:i/>
          <w:u w:val="single"/>
          <w:lang w:eastAsia="ja-JP"/>
        </w:rPr>
        <w:t xml:space="preserve">DTV Interference to </w:t>
      </w:r>
      <w:r w:rsidRPr="00C96F06">
        <w:rPr>
          <w:i/>
          <w:u w:val="single"/>
          <w:lang w:eastAsia="ja-JP"/>
        </w:rPr>
        <w:t>Wireless</w:t>
      </w:r>
      <w:r>
        <w:rPr>
          <w:i/>
          <w:u w:val="single"/>
          <w:lang w:eastAsia="ja-JP"/>
        </w:rPr>
        <w:t>.</w:t>
      </w:r>
      <w:r>
        <w:rPr>
          <w:lang w:eastAsia="ja-JP"/>
        </w:rPr>
        <w:t xml:space="preserve">  Cases 1 and 2 involve interference caused by a co- or adjacent-channel DTV transmitter to a wireless base station or user equipment located within the wireless license area.  To determine areas of possible wireless interference (wireless service impairments) we divide the wireless license area into a 2-kilometer grid and calculate field strength levels at each grid point for each DTV facility that is assigned a co- or adjacent-channel frequency within approximately 500 km.</w:t>
      </w:r>
      <w:r>
        <w:rPr>
          <w:rStyle w:val="FootnoteReference"/>
          <w:lang w:eastAsia="ja-JP"/>
        </w:rPr>
        <w:footnoteReference w:id="25"/>
      </w:r>
      <w:r>
        <w:rPr>
          <w:lang w:eastAsia="ja-JP"/>
        </w:rPr>
        <w:t xml:space="preserve"> The predicted field strength at each grid point is then compared with the appropriate interference threshold field strength.</w:t>
      </w:r>
    </w:p>
    <w:p w14:paraId="0B5A09D1" w14:textId="77777777" w:rsidR="00A51903" w:rsidRDefault="00A51903" w:rsidP="00A51903">
      <w:pPr>
        <w:jc w:val="both"/>
        <w:rPr>
          <w:lang w:eastAsia="ja-JP"/>
        </w:rPr>
      </w:pPr>
    </w:p>
    <w:p w14:paraId="18375A84" w14:textId="77777777" w:rsidR="00A51903" w:rsidRDefault="00A51903" w:rsidP="00A51903">
      <w:pPr>
        <w:ind w:firstLine="720"/>
        <w:jc w:val="both"/>
        <w:rPr>
          <w:lang w:eastAsia="ja-JP"/>
        </w:rPr>
      </w:pPr>
      <w:r w:rsidRPr="009D7368">
        <w:rPr>
          <w:lang w:eastAsia="ja-JP"/>
        </w:rPr>
        <w:fldChar w:fldCharType="begin"/>
      </w:r>
      <w:r w:rsidRPr="009D7368">
        <w:rPr>
          <w:lang w:eastAsia="ja-JP"/>
        </w:rPr>
        <w:instrText xml:space="preserve"> REF _Ref378165769 \h </w:instrText>
      </w:r>
      <w:r w:rsidRPr="001165AF">
        <w:rPr>
          <w:lang w:eastAsia="ja-JP"/>
        </w:rPr>
        <w:instrText xml:space="preserve"> \* MERGEFORMAT </w:instrText>
      </w:r>
      <w:r w:rsidRPr="009D7368">
        <w:rPr>
          <w:lang w:eastAsia="ja-JP"/>
        </w:rPr>
      </w:r>
      <w:r w:rsidRPr="009D7368">
        <w:rPr>
          <w:lang w:eastAsia="ja-JP"/>
        </w:rPr>
        <w:fldChar w:fldCharType="separate"/>
      </w:r>
      <w:r w:rsidR="00CC6F3D" w:rsidRPr="001165AF">
        <w:t>Figure A-</w:t>
      </w:r>
      <w:r w:rsidR="00CC6F3D" w:rsidRPr="00CC6F3D">
        <w:t>3</w:t>
      </w:r>
      <w:r w:rsidRPr="009D7368">
        <w:rPr>
          <w:lang w:eastAsia="ja-JP"/>
        </w:rPr>
        <w:fldChar w:fldCharType="end"/>
      </w:r>
      <w:r>
        <w:rPr>
          <w:lang w:eastAsia="ja-JP"/>
        </w:rPr>
        <w:t xml:space="preserve"> illustrates how the spectral overlaps and field strength interference limits can be used to determine potential market impairments.  In the illustration, two DTV facilities are assigned co- or adjacent-channel to wireless Block D.  From </w:t>
      </w:r>
      <w:r w:rsidRPr="009D7368">
        <w:rPr>
          <w:lang w:eastAsia="ja-JP"/>
        </w:rPr>
        <w:fldChar w:fldCharType="begin"/>
      </w:r>
      <w:r w:rsidRPr="009D7368">
        <w:rPr>
          <w:lang w:eastAsia="ja-JP"/>
        </w:rPr>
        <w:instrText xml:space="preserve"> REF _Ref378164468 \h  \* MERGEFORMAT </w:instrText>
      </w:r>
      <w:r w:rsidRPr="009D7368">
        <w:rPr>
          <w:lang w:eastAsia="ja-JP"/>
        </w:rPr>
      </w:r>
      <w:r w:rsidRPr="009D7368">
        <w:rPr>
          <w:lang w:eastAsia="ja-JP"/>
        </w:rPr>
        <w:fldChar w:fldCharType="separate"/>
      </w:r>
      <w:r w:rsidR="00CC6F3D" w:rsidRPr="00CC6F3D">
        <w:t>Figure A-2</w:t>
      </w:r>
      <w:r w:rsidRPr="009D7368">
        <w:rPr>
          <w:lang w:eastAsia="ja-JP"/>
        </w:rPr>
        <w:fldChar w:fldCharType="end"/>
      </w:r>
      <w:r w:rsidRPr="009D7368">
        <w:rPr>
          <w:lang w:eastAsia="ja-JP"/>
        </w:rPr>
        <w:t xml:space="preserve"> </w:t>
      </w:r>
      <w:r>
        <w:rPr>
          <w:lang w:eastAsia="ja-JP"/>
        </w:rPr>
        <w:t>we see that the edge of TV Channel 47 is 4 MHz from the D block (overlap = -4 MHz) and TV channel 48 overlaps the D block by 2 MHz (overlap = +2 MHz).</w:t>
      </w:r>
    </w:p>
    <w:p w14:paraId="1E983E48" w14:textId="77777777" w:rsidR="00A51903" w:rsidRDefault="00A51903" w:rsidP="00A51903">
      <w:pPr>
        <w:rPr>
          <w:lang w:eastAsia="ja-JP"/>
        </w:rPr>
      </w:pPr>
    </w:p>
    <w:p w14:paraId="519A0D8F" w14:textId="77777777" w:rsidR="00A51903" w:rsidRDefault="00A51903" w:rsidP="00A51903">
      <w:pPr>
        <w:keepNext/>
        <w:jc w:val="center"/>
        <w:rPr>
          <w:lang w:eastAsia="ja-JP"/>
        </w:rPr>
      </w:pPr>
      <w:r>
        <w:rPr>
          <w:noProof/>
        </w:rPr>
        <w:drawing>
          <wp:inline distT="0" distB="0" distL="0" distR="0" wp14:anchorId="2E1F2E92" wp14:editId="7D4A60C4">
            <wp:extent cx="4754880" cy="3233438"/>
            <wp:effectExtent l="19050" t="1905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4880" cy="3233438"/>
                    </a:xfrm>
                    <a:prstGeom prst="rect">
                      <a:avLst/>
                    </a:prstGeom>
                    <a:noFill/>
                    <a:ln>
                      <a:solidFill>
                        <a:schemeClr val="tx1"/>
                      </a:solidFill>
                    </a:ln>
                  </pic:spPr>
                </pic:pic>
              </a:graphicData>
            </a:graphic>
          </wp:inline>
        </w:drawing>
      </w:r>
    </w:p>
    <w:p w14:paraId="1E070E64" w14:textId="77777777" w:rsidR="00A51903" w:rsidRPr="001165AF" w:rsidRDefault="00A51903" w:rsidP="00A51903">
      <w:pPr>
        <w:pStyle w:val="Caption"/>
        <w:jc w:val="center"/>
        <w:rPr>
          <w:b w:val="0"/>
        </w:rPr>
      </w:pPr>
      <w:bookmarkStart w:id="5" w:name="_Ref378165769"/>
      <w:r w:rsidRPr="001165AF">
        <w:rPr>
          <w:b w:val="0"/>
        </w:rPr>
        <w:t>Figure A-</w:t>
      </w:r>
      <w:r>
        <w:rPr>
          <w:b w:val="0"/>
        </w:rPr>
        <w:fldChar w:fldCharType="begin"/>
      </w:r>
      <w:r>
        <w:rPr>
          <w:b w:val="0"/>
        </w:rPr>
        <w:instrText xml:space="preserve"> SEQ Figure \* MERGEFORMAT </w:instrText>
      </w:r>
      <w:r>
        <w:rPr>
          <w:b w:val="0"/>
        </w:rPr>
        <w:fldChar w:fldCharType="separate"/>
      </w:r>
      <w:r w:rsidR="00CC6F3D">
        <w:rPr>
          <w:b w:val="0"/>
          <w:noProof/>
        </w:rPr>
        <w:t>3</w:t>
      </w:r>
      <w:r>
        <w:rPr>
          <w:b w:val="0"/>
        </w:rPr>
        <w:fldChar w:fldCharType="end"/>
      </w:r>
      <w:bookmarkEnd w:id="5"/>
      <w:r w:rsidRPr="001165AF">
        <w:rPr>
          <w:b w:val="0"/>
        </w:rPr>
        <w:t>.  Illustration of interference prediction from DTV to wireless license area</w:t>
      </w:r>
    </w:p>
    <w:p w14:paraId="0FBFCF9F" w14:textId="77777777" w:rsidR="00A51903" w:rsidRDefault="00A51903" w:rsidP="00A51903">
      <w:pPr>
        <w:rPr>
          <w:lang w:eastAsia="ja-JP"/>
        </w:rPr>
      </w:pPr>
    </w:p>
    <w:p w14:paraId="4C8CD091" w14:textId="77777777" w:rsidR="00A51903" w:rsidRDefault="00A51903" w:rsidP="00A51903">
      <w:pPr>
        <w:ind w:firstLine="720"/>
        <w:jc w:val="both"/>
        <w:rPr>
          <w:lang w:eastAsia="ja-JP"/>
        </w:rPr>
      </w:pPr>
      <w:r>
        <w:rPr>
          <w:lang w:eastAsia="ja-JP"/>
        </w:rPr>
        <w:t xml:space="preserve">We note each grid point where the calculated field strength from a co- or adjacent-channel facility exceeds the appropriate field strength limit.  In </w:t>
      </w:r>
      <w:r w:rsidRPr="009D7368">
        <w:rPr>
          <w:lang w:eastAsia="ja-JP"/>
        </w:rPr>
        <w:fldChar w:fldCharType="begin"/>
      </w:r>
      <w:r w:rsidRPr="009D7368">
        <w:rPr>
          <w:lang w:eastAsia="ja-JP"/>
        </w:rPr>
        <w:instrText xml:space="preserve"> REF _Ref378165769 \h </w:instrText>
      </w:r>
      <w:r w:rsidRPr="001165AF">
        <w:rPr>
          <w:lang w:eastAsia="ja-JP"/>
        </w:rPr>
        <w:instrText xml:space="preserve"> \* MERGEFORMAT </w:instrText>
      </w:r>
      <w:r w:rsidRPr="009D7368">
        <w:rPr>
          <w:lang w:eastAsia="ja-JP"/>
        </w:rPr>
      </w:r>
      <w:r w:rsidRPr="009D7368">
        <w:rPr>
          <w:lang w:eastAsia="ja-JP"/>
        </w:rPr>
        <w:fldChar w:fldCharType="separate"/>
      </w:r>
      <w:r w:rsidR="00CC6F3D" w:rsidRPr="001165AF">
        <w:t>Figure A-</w:t>
      </w:r>
      <w:r w:rsidR="00CC6F3D" w:rsidRPr="00CC6F3D">
        <w:t>3</w:t>
      </w:r>
      <w:r w:rsidRPr="009D7368">
        <w:rPr>
          <w:lang w:eastAsia="ja-JP"/>
        </w:rPr>
        <w:fldChar w:fldCharType="end"/>
      </w:r>
      <w:r>
        <w:rPr>
          <w:lang w:eastAsia="ja-JP"/>
        </w:rPr>
        <w:t>, predicted interference is shown as blue grid cells for “TV-47” and green grid cells for “TV-48.”  The total market impairment would be based on the sum of the populations in those unique grid cells where the calculated field strength exceeds the applicable interference threshold value.  If more than one DTV facility causes predicted interference in a single grid cell, the population associated with that grid cell is only counted once.</w:t>
      </w:r>
      <w:r w:rsidRPr="00320343">
        <w:rPr>
          <w:lang w:eastAsia="ja-JP"/>
        </w:rPr>
        <w:t xml:space="preserve"> </w:t>
      </w:r>
      <w:r>
        <w:rPr>
          <w:lang w:eastAsia="ja-JP"/>
        </w:rPr>
        <w:t xml:space="preserve"> We apply this methodology for each co- and adjacent-channel DTV/wireless spectral overlap condition in the range -5 to +5 MHz in every wireless market.  </w:t>
      </w:r>
    </w:p>
    <w:p w14:paraId="512A214B" w14:textId="77777777" w:rsidR="00A51903" w:rsidRDefault="00A51903" w:rsidP="00A51903">
      <w:pPr>
        <w:jc w:val="both"/>
        <w:rPr>
          <w:lang w:eastAsia="ja-JP"/>
        </w:rPr>
      </w:pPr>
    </w:p>
    <w:p w14:paraId="584C132F" w14:textId="77777777" w:rsidR="00A51903" w:rsidRDefault="00A51903" w:rsidP="00A51903">
      <w:pPr>
        <w:ind w:firstLine="720"/>
        <w:jc w:val="both"/>
        <w:rPr>
          <w:lang w:eastAsia="ja-JP"/>
        </w:rPr>
      </w:pPr>
      <w:r w:rsidRPr="00C96F06">
        <w:rPr>
          <w:i/>
          <w:u w:val="single"/>
          <w:lang w:eastAsia="ja-JP"/>
        </w:rPr>
        <w:t xml:space="preserve">Methodology to Determine </w:t>
      </w:r>
      <w:r>
        <w:rPr>
          <w:i/>
          <w:u w:val="single"/>
          <w:lang w:eastAsia="ja-JP"/>
        </w:rPr>
        <w:t xml:space="preserve">Wireless </w:t>
      </w:r>
      <w:r w:rsidRPr="00C96F06">
        <w:rPr>
          <w:i/>
          <w:u w:val="single"/>
          <w:lang w:eastAsia="ja-JP"/>
        </w:rPr>
        <w:t>Interference</w:t>
      </w:r>
      <w:r>
        <w:rPr>
          <w:i/>
          <w:u w:val="single"/>
          <w:lang w:eastAsia="ja-JP"/>
        </w:rPr>
        <w:t xml:space="preserve"> to DTV.</w:t>
      </w:r>
      <w:r>
        <w:rPr>
          <w:lang w:eastAsia="ja-JP"/>
        </w:rPr>
        <w:t xml:space="preserve">  Cases 3 and 4 involve interference to a co- or adjacent-channel DTV receiver from a wireless transmitter operating within the wireless license area.  We divide the area within a DTV station’s noise limited contour into 2-kilometer cells as specified in OET Bulletin No. 69, Table 2</w:t>
      </w:r>
      <w:r>
        <w:rPr>
          <w:rStyle w:val="FootnoteReference"/>
          <w:lang w:eastAsia="ja-JP"/>
        </w:rPr>
        <w:footnoteReference w:id="26"/>
      </w:r>
      <w:r>
        <w:rPr>
          <w:lang w:eastAsia="ja-JP"/>
        </w:rPr>
        <w:t xml:space="preserve"> and calculate the desired DTV field strength at each grid point.  To calculate the undesired wireless base station transmitter field strength at each cell, we assume a deployment of hypothetical wireless base stations spaced uniformly every 10 kilometers with transmitting antennas at 30 meters above ground in every wireless license area within 500 km of the DTV facility.</w:t>
      </w:r>
      <w:r w:rsidRPr="00C96F06">
        <w:rPr>
          <w:rStyle w:val="FootnoteReference"/>
        </w:rPr>
        <w:footnoteReference w:id="27"/>
      </w:r>
      <w:r>
        <w:rPr>
          <w:lang w:eastAsia="ja-JP"/>
        </w:rPr>
        <w:t xml:space="preserve">  The undesired field strength from each hypothetical base station is then predicted at each grid point within the DTV noise limited contour and a D/U ratio is determined.  The predicted D/U ratio for each grid point/base station pair is then compared with the appropriate D/U ratio limit to determine whether interference is predicted to the DTV station.</w:t>
      </w:r>
    </w:p>
    <w:p w14:paraId="7988E336" w14:textId="77777777" w:rsidR="00A51903" w:rsidRDefault="00A51903" w:rsidP="00A51903">
      <w:pPr>
        <w:jc w:val="both"/>
        <w:rPr>
          <w:lang w:eastAsia="ja-JP"/>
        </w:rPr>
      </w:pPr>
    </w:p>
    <w:p w14:paraId="13819976" w14:textId="77777777" w:rsidR="00A51903" w:rsidRDefault="00A51903" w:rsidP="00A51903">
      <w:pPr>
        <w:ind w:firstLine="720"/>
        <w:jc w:val="both"/>
        <w:rPr>
          <w:lang w:eastAsia="ja-JP"/>
        </w:rPr>
      </w:pPr>
      <w:r w:rsidRPr="009D7368">
        <w:rPr>
          <w:lang w:eastAsia="ja-JP"/>
        </w:rPr>
        <w:fldChar w:fldCharType="begin"/>
      </w:r>
      <w:r w:rsidRPr="009D7368">
        <w:rPr>
          <w:lang w:eastAsia="ja-JP"/>
        </w:rPr>
        <w:instrText xml:space="preserve"> REF _Ref378165871 \h </w:instrText>
      </w:r>
      <w:r w:rsidRPr="001165AF">
        <w:rPr>
          <w:lang w:eastAsia="ja-JP"/>
        </w:rPr>
        <w:instrText xml:space="preserve"> \* MERGEFORMAT </w:instrText>
      </w:r>
      <w:r w:rsidRPr="009D7368">
        <w:rPr>
          <w:lang w:eastAsia="ja-JP"/>
        </w:rPr>
      </w:r>
      <w:r w:rsidRPr="009D7368">
        <w:rPr>
          <w:lang w:eastAsia="ja-JP"/>
        </w:rPr>
        <w:fldChar w:fldCharType="separate"/>
      </w:r>
      <w:r w:rsidR="00CC6F3D" w:rsidRPr="001165AF">
        <w:t>Figure A-</w:t>
      </w:r>
      <w:r w:rsidR="00CC6F3D" w:rsidRPr="00CC6F3D">
        <w:t>4</w:t>
      </w:r>
      <w:r w:rsidRPr="009D7368">
        <w:rPr>
          <w:lang w:eastAsia="ja-JP"/>
        </w:rPr>
        <w:fldChar w:fldCharType="end"/>
      </w:r>
      <w:r>
        <w:rPr>
          <w:lang w:eastAsia="ja-JP"/>
        </w:rPr>
        <w:t xml:space="preserve"> illustrates how the spectral overlaps and D/U interference limits would be used to predict whether a wireless base station transmitter would cause interference to a DTV receiver.  In the example, two DTV stations are assigned channels within the spectrum allocated for wireless use nationally.  Each grid point where the predicted D/U ratio exceeds the appropriate limit is noted along with the corresponding hypothetical base station location causing the predicted interference.  In </w:t>
      </w:r>
      <w:r w:rsidRPr="009D7368">
        <w:rPr>
          <w:lang w:eastAsia="ja-JP"/>
        </w:rPr>
        <w:fldChar w:fldCharType="begin"/>
      </w:r>
      <w:r w:rsidRPr="009D7368">
        <w:rPr>
          <w:lang w:eastAsia="ja-JP"/>
        </w:rPr>
        <w:instrText xml:space="preserve"> REF _Ref378165871 \h </w:instrText>
      </w:r>
      <w:r w:rsidRPr="001165AF">
        <w:rPr>
          <w:lang w:eastAsia="ja-JP"/>
        </w:rPr>
        <w:instrText xml:space="preserve"> \* MERGEFORMAT </w:instrText>
      </w:r>
      <w:r w:rsidRPr="009D7368">
        <w:rPr>
          <w:lang w:eastAsia="ja-JP"/>
        </w:rPr>
      </w:r>
      <w:r w:rsidRPr="009D7368">
        <w:rPr>
          <w:lang w:eastAsia="ja-JP"/>
        </w:rPr>
        <w:fldChar w:fldCharType="separate"/>
      </w:r>
      <w:r w:rsidR="00CC6F3D" w:rsidRPr="001165AF">
        <w:t>Figure A-</w:t>
      </w:r>
      <w:r w:rsidR="00CC6F3D" w:rsidRPr="00CC6F3D">
        <w:t>4</w:t>
      </w:r>
      <w:r w:rsidRPr="009D7368">
        <w:rPr>
          <w:lang w:eastAsia="ja-JP"/>
        </w:rPr>
        <w:fldChar w:fldCharType="end"/>
      </w:r>
      <w:r>
        <w:rPr>
          <w:lang w:eastAsia="ja-JP"/>
        </w:rPr>
        <w:t xml:space="preserve">, this is illustrated with green grid cells inside the “TV-48” contour and the corresponding hypothetical interfering base station locations are highlighted inside the wireless license boundary.  In this example, hypothetical base stations transmitting on the D Block (having an overlap of -4 MHz) do not cause predicted interference within the TV-47 contour, while some base stations (having an overlap of +2 MHz) do cause interference within the TV-48 contour.  </w:t>
      </w:r>
    </w:p>
    <w:p w14:paraId="6DE90DAB" w14:textId="77777777" w:rsidR="00A51903" w:rsidRDefault="00A51903" w:rsidP="00A51903">
      <w:pPr>
        <w:jc w:val="center"/>
        <w:rPr>
          <w:lang w:eastAsia="ja-JP"/>
        </w:rPr>
      </w:pPr>
      <w:r>
        <w:rPr>
          <w:noProof/>
        </w:rPr>
        <w:drawing>
          <wp:inline distT="0" distB="0" distL="0" distR="0" wp14:anchorId="296F3538" wp14:editId="2A595C1E">
            <wp:extent cx="4754880" cy="3233445"/>
            <wp:effectExtent l="25400" t="2540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4880" cy="3233445"/>
                    </a:xfrm>
                    <a:prstGeom prst="rect">
                      <a:avLst/>
                    </a:prstGeom>
                    <a:noFill/>
                    <a:ln>
                      <a:solidFill>
                        <a:schemeClr val="tx1"/>
                      </a:solidFill>
                    </a:ln>
                  </pic:spPr>
                </pic:pic>
              </a:graphicData>
            </a:graphic>
          </wp:inline>
        </w:drawing>
      </w:r>
    </w:p>
    <w:p w14:paraId="20BE561B" w14:textId="77777777" w:rsidR="00A51903" w:rsidRPr="001165AF" w:rsidRDefault="00A51903" w:rsidP="00A51903">
      <w:pPr>
        <w:pStyle w:val="Caption"/>
        <w:jc w:val="center"/>
        <w:rPr>
          <w:b w:val="0"/>
        </w:rPr>
      </w:pPr>
      <w:bookmarkStart w:id="6" w:name="_Ref378165871"/>
      <w:r w:rsidRPr="001165AF">
        <w:rPr>
          <w:b w:val="0"/>
        </w:rPr>
        <w:t>Figure A-</w:t>
      </w:r>
      <w:r>
        <w:rPr>
          <w:b w:val="0"/>
        </w:rPr>
        <w:fldChar w:fldCharType="begin"/>
      </w:r>
      <w:r>
        <w:rPr>
          <w:b w:val="0"/>
        </w:rPr>
        <w:instrText xml:space="preserve"> SEQ Figure \* MERGEFORMAT </w:instrText>
      </w:r>
      <w:r>
        <w:rPr>
          <w:b w:val="0"/>
        </w:rPr>
        <w:fldChar w:fldCharType="separate"/>
      </w:r>
      <w:r w:rsidR="00CC6F3D">
        <w:rPr>
          <w:b w:val="0"/>
          <w:noProof/>
        </w:rPr>
        <w:t>4</w:t>
      </w:r>
      <w:r>
        <w:rPr>
          <w:b w:val="0"/>
        </w:rPr>
        <w:fldChar w:fldCharType="end"/>
      </w:r>
      <w:bookmarkEnd w:id="6"/>
      <w:r w:rsidRPr="001165AF">
        <w:rPr>
          <w:b w:val="0"/>
        </w:rPr>
        <w:t>.  Illustration of interference prediction from wireless to DTV</w:t>
      </w:r>
    </w:p>
    <w:p w14:paraId="40F9FC63" w14:textId="77777777" w:rsidR="00A51903" w:rsidRDefault="00A51903" w:rsidP="00A51903">
      <w:pPr>
        <w:rPr>
          <w:lang w:eastAsia="ja-JP"/>
        </w:rPr>
      </w:pPr>
    </w:p>
    <w:p w14:paraId="51542CBE" w14:textId="77777777" w:rsidR="00A51903" w:rsidRDefault="00A51903" w:rsidP="00A51903">
      <w:pPr>
        <w:ind w:firstLine="720"/>
        <w:jc w:val="both"/>
        <w:rPr>
          <w:lang w:eastAsia="ja-JP"/>
        </w:rPr>
      </w:pPr>
      <w:r>
        <w:rPr>
          <w:lang w:eastAsia="ja-JP"/>
        </w:rPr>
        <w:t xml:space="preserve">This approach would define areas within wireless markets where base station operation may cause interference to a co- or adjacent-channel DTV facility.  To further generalize the areas where wireless operations could cause interference to a DTV station, we define “restricted” areas based on a market sub-area (e.g. county boundaries) which lies within the wireless license boundary.  In </w:t>
      </w:r>
      <w:r w:rsidRPr="009D7368">
        <w:rPr>
          <w:lang w:eastAsia="ja-JP"/>
        </w:rPr>
        <w:fldChar w:fldCharType="begin"/>
      </w:r>
      <w:r w:rsidRPr="009D7368">
        <w:rPr>
          <w:lang w:eastAsia="ja-JP"/>
        </w:rPr>
        <w:instrText xml:space="preserve"> REF _Ref378165969 \h </w:instrText>
      </w:r>
      <w:r w:rsidRPr="001165AF">
        <w:rPr>
          <w:lang w:eastAsia="ja-JP"/>
        </w:rPr>
        <w:instrText xml:space="preserve"> \* MERGEFORMAT </w:instrText>
      </w:r>
      <w:r w:rsidRPr="009D7368">
        <w:rPr>
          <w:lang w:eastAsia="ja-JP"/>
        </w:rPr>
      </w:r>
      <w:r w:rsidRPr="009D7368">
        <w:rPr>
          <w:lang w:eastAsia="ja-JP"/>
        </w:rPr>
        <w:fldChar w:fldCharType="separate"/>
      </w:r>
      <w:r w:rsidR="00CC6F3D" w:rsidRPr="001165AF">
        <w:t>Figure A-</w:t>
      </w:r>
      <w:r w:rsidR="00CC6F3D" w:rsidRPr="00CC6F3D">
        <w:t>5</w:t>
      </w:r>
      <w:r w:rsidRPr="009D7368">
        <w:rPr>
          <w:lang w:eastAsia="ja-JP"/>
        </w:rPr>
        <w:fldChar w:fldCharType="end"/>
      </w:r>
      <w:r>
        <w:rPr>
          <w:lang w:eastAsia="ja-JP"/>
        </w:rPr>
        <w:t xml:space="preserve">, counties within the wireless market are identified because at least one hypothetical base station(s) within a county is predicted to cause co- or adjacent-channel interference to at least one cell on a 2-kilometer grid in the service area of a DTV station. </w:t>
      </w:r>
      <w:r w:rsidDel="009215DF">
        <w:rPr>
          <w:lang w:eastAsia="ja-JP"/>
        </w:rPr>
        <w:t xml:space="preserve"> </w:t>
      </w:r>
    </w:p>
    <w:p w14:paraId="25455981" w14:textId="77777777" w:rsidR="00A51903" w:rsidRDefault="00A51903" w:rsidP="00A51903">
      <w:pPr>
        <w:ind w:firstLine="720"/>
        <w:jc w:val="both"/>
        <w:rPr>
          <w:lang w:eastAsia="ja-JP"/>
        </w:rPr>
      </w:pPr>
    </w:p>
    <w:p w14:paraId="70877397" w14:textId="77777777" w:rsidR="00A51903" w:rsidRDefault="00A51903" w:rsidP="00A51903">
      <w:pPr>
        <w:keepNext/>
        <w:jc w:val="center"/>
        <w:rPr>
          <w:lang w:eastAsia="ja-JP"/>
        </w:rPr>
      </w:pPr>
      <w:r>
        <w:rPr>
          <w:noProof/>
        </w:rPr>
        <w:drawing>
          <wp:inline distT="0" distB="0" distL="0" distR="0" wp14:anchorId="412FBC45" wp14:editId="5F5686F2">
            <wp:extent cx="4754880" cy="3233445"/>
            <wp:effectExtent l="25400" t="2540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4880" cy="3233445"/>
                    </a:xfrm>
                    <a:prstGeom prst="rect">
                      <a:avLst/>
                    </a:prstGeom>
                    <a:noFill/>
                    <a:ln>
                      <a:solidFill>
                        <a:schemeClr val="tx1"/>
                      </a:solidFill>
                    </a:ln>
                  </pic:spPr>
                </pic:pic>
              </a:graphicData>
            </a:graphic>
          </wp:inline>
        </w:drawing>
      </w:r>
    </w:p>
    <w:p w14:paraId="176A5DDF" w14:textId="77777777" w:rsidR="00A51903" w:rsidRPr="001165AF" w:rsidRDefault="00A51903" w:rsidP="00A51903">
      <w:pPr>
        <w:pStyle w:val="Caption"/>
        <w:jc w:val="center"/>
        <w:rPr>
          <w:b w:val="0"/>
        </w:rPr>
      </w:pPr>
      <w:bookmarkStart w:id="7" w:name="_Ref378165969"/>
      <w:r w:rsidRPr="001165AF">
        <w:rPr>
          <w:b w:val="0"/>
        </w:rPr>
        <w:t>Figure A-</w:t>
      </w:r>
      <w:r>
        <w:rPr>
          <w:b w:val="0"/>
        </w:rPr>
        <w:fldChar w:fldCharType="begin"/>
      </w:r>
      <w:r>
        <w:rPr>
          <w:b w:val="0"/>
        </w:rPr>
        <w:instrText xml:space="preserve"> SEQ Figure \* MERGEFORMAT </w:instrText>
      </w:r>
      <w:r>
        <w:rPr>
          <w:b w:val="0"/>
        </w:rPr>
        <w:fldChar w:fldCharType="separate"/>
      </w:r>
      <w:r w:rsidR="00CC6F3D">
        <w:rPr>
          <w:b w:val="0"/>
          <w:noProof/>
        </w:rPr>
        <w:t>5</w:t>
      </w:r>
      <w:r>
        <w:rPr>
          <w:b w:val="0"/>
        </w:rPr>
        <w:fldChar w:fldCharType="end"/>
      </w:r>
      <w:bookmarkEnd w:id="7"/>
      <w:r w:rsidRPr="001165AF">
        <w:rPr>
          <w:b w:val="0"/>
        </w:rPr>
        <w:t>.  Interference from wireless to DTV illustrating restricted operating areas</w:t>
      </w:r>
    </w:p>
    <w:p w14:paraId="669FEAC8" w14:textId="77777777" w:rsidR="00A51903" w:rsidRDefault="00A51903" w:rsidP="00A51903">
      <w:pPr>
        <w:jc w:val="both"/>
        <w:rPr>
          <w:lang w:eastAsia="ja-JP"/>
        </w:rPr>
      </w:pPr>
      <w:r>
        <w:rPr>
          <w:lang w:eastAsia="ja-JP"/>
        </w:rPr>
        <w:tab/>
      </w:r>
      <w:r>
        <w:t xml:space="preserve">In the case of wireless uplink to DTV interference (Case 4), the necessary separation distances are likely to be much smaller than for Cases 1–3.  A uniform separation distance of </w:t>
      </w:r>
      <w:r w:rsidRPr="00C67851">
        <w:t>5 k</w:t>
      </w:r>
      <w:r>
        <w:t>ilometers</w:t>
      </w:r>
      <w:r>
        <w:rPr>
          <w:rStyle w:val="FootnoteReference"/>
        </w:rPr>
        <w:footnoteReference w:id="28"/>
      </w:r>
      <w:r>
        <w:t xml:space="preserve"> has been suggested between a co-channel user equipment and a DTV receiver (</w:t>
      </w:r>
      <w:r w:rsidRPr="00C67851">
        <w:rPr>
          <w:i/>
        </w:rPr>
        <w:t>i.e</w:t>
      </w:r>
      <w:r>
        <w:t>., no UE transmissions would be permitted within 5 km of the co-channel DTV station’s contour).</w:t>
      </w:r>
    </w:p>
    <w:p w14:paraId="1FFEF265" w14:textId="77777777" w:rsidR="00A51903" w:rsidRDefault="00A51903" w:rsidP="00A51903">
      <w:pPr>
        <w:ind w:firstLine="720"/>
        <w:jc w:val="both"/>
        <w:rPr>
          <w:lang w:eastAsia="ja-JP"/>
        </w:rPr>
      </w:pPr>
    </w:p>
    <w:p w14:paraId="12A5CA36" w14:textId="77777777" w:rsidR="00A51903" w:rsidRDefault="00A51903" w:rsidP="00A51903">
      <w:pPr>
        <w:pStyle w:val="Heading1"/>
        <w:numPr>
          <w:ilvl w:val="0"/>
          <w:numId w:val="0"/>
        </w:numPr>
        <w:spacing w:after="0"/>
        <w:rPr>
          <w:caps w:val="0"/>
          <w:sz w:val="24"/>
          <w:szCs w:val="24"/>
        </w:rPr>
      </w:pPr>
    </w:p>
    <w:p w14:paraId="7D4B31F6" w14:textId="77777777" w:rsidR="00A51903" w:rsidRPr="00926A4D" w:rsidRDefault="00A51903" w:rsidP="00A51903">
      <w:pPr>
        <w:pStyle w:val="Heading1"/>
        <w:numPr>
          <w:ilvl w:val="0"/>
          <w:numId w:val="0"/>
        </w:numPr>
        <w:spacing w:after="0"/>
        <w:rPr>
          <w:caps w:val="0"/>
          <w:sz w:val="24"/>
          <w:szCs w:val="24"/>
        </w:rPr>
      </w:pPr>
      <w:r w:rsidRPr="00926A4D">
        <w:rPr>
          <w:caps w:val="0"/>
          <w:sz w:val="24"/>
          <w:szCs w:val="24"/>
        </w:rPr>
        <w:t xml:space="preserve">Propagation Model </w:t>
      </w:r>
    </w:p>
    <w:p w14:paraId="48C89AFC" w14:textId="77777777" w:rsidR="00A51903" w:rsidRPr="00C96F06" w:rsidRDefault="00A51903" w:rsidP="00A51903">
      <w:pPr>
        <w:rPr>
          <w:b/>
          <w:lang w:eastAsia="ja-JP"/>
        </w:rPr>
      </w:pPr>
    </w:p>
    <w:p w14:paraId="52EE8FAF" w14:textId="77777777" w:rsidR="00A51903" w:rsidRPr="001C17EF" w:rsidRDefault="00A51903" w:rsidP="00A51903">
      <w:pPr>
        <w:ind w:firstLine="720"/>
        <w:jc w:val="both"/>
        <w:rPr>
          <w:lang w:eastAsia="ja-JP"/>
        </w:rPr>
      </w:pPr>
      <w:r>
        <w:rPr>
          <w:i/>
          <w:u w:val="single"/>
          <w:lang w:eastAsia="ja-JP"/>
        </w:rPr>
        <w:t>Prediction of Interfering Field Strength</w:t>
      </w:r>
      <w:r w:rsidRPr="00C96F06">
        <w:rPr>
          <w:i/>
          <w:u w:val="single"/>
          <w:lang w:eastAsia="ja-JP"/>
        </w:rPr>
        <w:t>.</w:t>
      </w:r>
      <w:r w:rsidRPr="00926A4D">
        <w:rPr>
          <w:lang w:eastAsia="ja-JP"/>
        </w:rPr>
        <w:t xml:space="preserve"> </w:t>
      </w:r>
      <w:r>
        <w:rPr>
          <w:lang w:eastAsia="ja-JP"/>
        </w:rPr>
        <w:t xml:space="preserve"> For Cases 1–3, w</w:t>
      </w:r>
      <w:r w:rsidRPr="00926A4D">
        <w:rPr>
          <w:lang w:eastAsia="ja-JP"/>
        </w:rPr>
        <w:t xml:space="preserve">e </w:t>
      </w:r>
      <w:r>
        <w:rPr>
          <w:lang w:eastAsia="ja-JP"/>
        </w:rPr>
        <w:t xml:space="preserve">use a version of the Longley-Rice propagation model to make deterministic predictions of desired field strength at receive points.  </w:t>
      </w:r>
      <w:r w:rsidRPr="001C17EF">
        <w:rPr>
          <w:lang w:eastAsia="ja-JP"/>
        </w:rPr>
        <w:t xml:space="preserve">The presence or absence of interference in each grid cell of the area subject to calculation is determined by further application of Longley-Rice methodology, taking into account </w:t>
      </w:r>
      <w:r>
        <w:rPr>
          <w:lang w:eastAsia="ja-JP"/>
        </w:rPr>
        <w:t>c</w:t>
      </w:r>
      <w:r w:rsidRPr="001C17EF">
        <w:rPr>
          <w:lang w:eastAsia="ja-JP"/>
        </w:rPr>
        <w:t xml:space="preserve">lutter </w:t>
      </w:r>
      <w:r>
        <w:rPr>
          <w:lang w:eastAsia="ja-JP"/>
        </w:rPr>
        <w:t>l</w:t>
      </w:r>
      <w:r w:rsidRPr="001C17EF">
        <w:rPr>
          <w:lang w:eastAsia="ja-JP"/>
        </w:rPr>
        <w:t xml:space="preserve">osses, </w:t>
      </w:r>
      <w:r>
        <w:rPr>
          <w:lang w:eastAsia="ja-JP"/>
        </w:rPr>
        <w:t xml:space="preserve">as </w:t>
      </w:r>
      <w:r w:rsidRPr="001C17EF">
        <w:rPr>
          <w:lang w:eastAsia="ja-JP"/>
        </w:rPr>
        <w:t>described below.  Radio paths between undesired transmitters and each 2</w:t>
      </w:r>
      <w:r>
        <w:rPr>
          <w:lang w:eastAsia="ja-JP"/>
        </w:rPr>
        <w:t>-</w:t>
      </w:r>
      <w:r w:rsidRPr="001C17EF">
        <w:rPr>
          <w:lang w:eastAsia="ja-JP"/>
        </w:rPr>
        <w:t>kilometer grid point inside the service area are examined</w:t>
      </w:r>
      <w:r>
        <w:rPr>
          <w:lang w:eastAsia="ja-JP"/>
        </w:rPr>
        <w:t xml:space="preserve"> using the Longley-Rice model</w:t>
      </w:r>
      <w:r w:rsidRPr="001C17EF">
        <w:rPr>
          <w:lang w:eastAsia="ja-JP"/>
        </w:rPr>
        <w:t xml:space="preserve">. </w:t>
      </w:r>
      <w:r>
        <w:rPr>
          <w:lang w:eastAsia="ja-JP"/>
        </w:rPr>
        <w:t xml:space="preserve"> At each point</w:t>
      </w:r>
      <w:r w:rsidRPr="001C17EF">
        <w:rPr>
          <w:lang w:eastAsia="ja-JP"/>
        </w:rPr>
        <w:t xml:space="preserve">, </w:t>
      </w:r>
      <w:r>
        <w:rPr>
          <w:lang w:eastAsia="ja-JP"/>
        </w:rPr>
        <w:t>we use the result obtained for</w:t>
      </w:r>
      <w:r w:rsidRPr="001C17EF">
        <w:rPr>
          <w:lang w:eastAsia="ja-JP"/>
        </w:rPr>
        <w:t xml:space="preserve"> median situations (that is, confidence </w:t>
      </w:r>
      <w:r>
        <w:rPr>
          <w:lang w:eastAsia="ja-JP"/>
        </w:rPr>
        <w:t xml:space="preserve">set to </w:t>
      </w:r>
      <w:r w:rsidRPr="001C17EF">
        <w:rPr>
          <w:lang w:eastAsia="ja-JP"/>
        </w:rPr>
        <w:t>50%), for 50% of locations, 10% of the time for the prediction of potential interference to TV receivers</w:t>
      </w:r>
      <w:r>
        <w:rPr>
          <w:lang w:eastAsia="ja-JP"/>
        </w:rPr>
        <w:t xml:space="preserve"> from wireless base stations (</w:t>
      </w:r>
      <w:r w:rsidRPr="00C67851">
        <w:rPr>
          <w:i/>
          <w:lang w:eastAsia="ja-JP"/>
        </w:rPr>
        <w:t>i.e</w:t>
      </w:r>
      <w:r>
        <w:rPr>
          <w:lang w:eastAsia="ja-JP"/>
        </w:rPr>
        <w:t>., F(50, 10)).</w:t>
      </w:r>
      <w:r w:rsidRPr="001C17EF">
        <w:rPr>
          <w:lang w:eastAsia="ja-JP"/>
        </w:rPr>
        <w:t xml:space="preserve"> </w:t>
      </w:r>
      <w:r>
        <w:rPr>
          <w:lang w:eastAsia="ja-JP"/>
        </w:rPr>
        <w:t xml:space="preserve"> For </w:t>
      </w:r>
      <w:r w:rsidRPr="001C17EF">
        <w:rPr>
          <w:lang w:eastAsia="ja-JP"/>
        </w:rPr>
        <w:t xml:space="preserve">prediction of potential interference </w:t>
      </w:r>
      <w:r>
        <w:rPr>
          <w:lang w:eastAsia="ja-JP"/>
        </w:rPr>
        <w:t xml:space="preserve">from DTV </w:t>
      </w:r>
      <w:r w:rsidRPr="001C17EF">
        <w:rPr>
          <w:lang w:eastAsia="ja-JP"/>
        </w:rPr>
        <w:t>to wireless receivers</w:t>
      </w:r>
      <w:r>
        <w:rPr>
          <w:lang w:eastAsia="ja-JP"/>
        </w:rPr>
        <w:t>, we use the result obtained for median situations,</w:t>
      </w:r>
      <w:r w:rsidRPr="001C17EF">
        <w:rPr>
          <w:lang w:eastAsia="ja-JP"/>
        </w:rPr>
        <w:t xml:space="preserve"> for 50% of locations, 50% of the time </w:t>
      </w:r>
      <w:r>
        <w:rPr>
          <w:lang w:eastAsia="ja-JP"/>
        </w:rPr>
        <w:t>(</w:t>
      </w:r>
      <w:r w:rsidRPr="00C67851">
        <w:rPr>
          <w:i/>
          <w:lang w:eastAsia="ja-JP"/>
        </w:rPr>
        <w:t>i.e</w:t>
      </w:r>
      <w:r>
        <w:rPr>
          <w:lang w:eastAsia="ja-JP"/>
        </w:rPr>
        <w:t>., F(50, 50))</w:t>
      </w:r>
      <w:r w:rsidRPr="001C17EF">
        <w:rPr>
          <w:lang w:eastAsia="ja-JP"/>
        </w:rPr>
        <w:t>.</w:t>
      </w:r>
      <w:r>
        <w:rPr>
          <w:lang w:eastAsia="ja-JP"/>
        </w:rPr>
        <w:t xml:space="preserve">  </w:t>
      </w:r>
    </w:p>
    <w:p w14:paraId="250B1A1F" w14:textId="77777777" w:rsidR="00A51903" w:rsidRDefault="00A51903" w:rsidP="00A51903">
      <w:pPr>
        <w:jc w:val="both"/>
        <w:rPr>
          <w:bCs/>
        </w:rPr>
      </w:pPr>
    </w:p>
    <w:p w14:paraId="35F5E02B" w14:textId="77777777" w:rsidR="00A51903" w:rsidRDefault="00A51903" w:rsidP="00A51903">
      <w:pPr>
        <w:ind w:firstLine="720"/>
        <w:jc w:val="both"/>
      </w:pPr>
      <w:r w:rsidRPr="00C96F06">
        <w:rPr>
          <w:bCs/>
          <w:i/>
          <w:u w:val="single"/>
        </w:rPr>
        <w:t>Methodology to Define DTV Service Area</w:t>
      </w:r>
      <w:r>
        <w:rPr>
          <w:bCs/>
          <w:i/>
          <w:u w:val="single"/>
        </w:rPr>
        <w:t>.</w:t>
      </w:r>
      <w:r>
        <w:t xml:space="preserve">  </w:t>
      </w:r>
      <w:r w:rsidRPr="00DA4F98">
        <w:t xml:space="preserve">For digital television, </w:t>
      </w:r>
      <w:r>
        <w:t xml:space="preserve">the </w:t>
      </w:r>
      <w:r w:rsidRPr="00DA4F98">
        <w:t xml:space="preserve">service </w:t>
      </w:r>
      <w:r>
        <w:t>area of a station us defined in the FCC rules; the</w:t>
      </w:r>
      <w:r w:rsidRPr="00DA4F98">
        <w:t xml:space="preserve"> rules </w:t>
      </w:r>
      <w:r>
        <w:t>also specify</w:t>
      </w:r>
      <w:r w:rsidRPr="00DA4F98">
        <w:t xml:space="preserve"> </w:t>
      </w:r>
      <w:r>
        <w:t xml:space="preserve">standards for determining </w:t>
      </w:r>
      <w:r w:rsidRPr="00DA4F98">
        <w:t>interference</w:t>
      </w:r>
      <w:r>
        <w:t xml:space="preserve"> to DTV service</w:t>
      </w:r>
      <w:r w:rsidRPr="00DA4F98">
        <w:t>.</w:t>
      </w:r>
      <w:r w:rsidRPr="00C96F06">
        <w:rPr>
          <w:szCs w:val="22"/>
          <w:vertAlign w:val="superscript"/>
        </w:rPr>
        <w:footnoteReference w:id="29"/>
      </w:r>
      <w:r w:rsidRPr="00DA4F98">
        <w:t xml:space="preserve">  Because wireless services are expected to be noise-like and studies have shown that noise-like signals have interference potential nearly identical to DTV,</w:t>
      </w:r>
      <w:r w:rsidRPr="00C96F06">
        <w:rPr>
          <w:szCs w:val="22"/>
          <w:vertAlign w:val="superscript"/>
        </w:rPr>
        <w:footnoteReference w:id="30"/>
      </w:r>
      <w:r w:rsidRPr="00DA4F98">
        <w:t xml:space="preserve"> </w:t>
      </w:r>
      <w:r>
        <w:t>the</w:t>
      </w:r>
      <w:r w:rsidRPr="00DA4F98">
        <w:t xml:space="preserve"> existing DTV protection criteria can generally be applied with some adjustments as discussed below.</w:t>
      </w:r>
    </w:p>
    <w:p w14:paraId="34A5A159" w14:textId="77777777" w:rsidR="00A51903" w:rsidRDefault="00A51903" w:rsidP="00A51903">
      <w:pPr>
        <w:jc w:val="both"/>
      </w:pPr>
    </w:p>
    <w:p w14:paraId="512B90FF" w14:textId="77777777" w:rsidR="00A51903" w:rsidRDefault="00A51903" w:rsidP="00A51903">
      <w:pPr>
        <w:ind w:firstLine="720"/>
        <w:jc w:val="both"/>
      </w:pPr>
      <w:r>
        <w:t>Under the FCC’s rules, a TV station’s service area is limited to the areas within specific field strength contours where the station’s field strength exceeds a threshold value.  As of the date of this Public Notice, Class A TV stations can be either analog or digital, but all analog Class A facilities are required to cease operation by September 1, 2015.</w:t>
      </w:r>
      <w:r>
        <w:rPr>
          <w:rStyle w:val="FootnoteReference"/>
        </w:rPr>
        <w:footnoteReference w:id="31"/>
      </w:r>
      <w:r>
        <w:t xml:space="preserve">  Full-power TV stations can transmit only in digital (ATSC).</w:t>
      </w:r>
      <w:r>
        <w:rPr>
          <w:rStyle w:val="FootnoteReference"/>
        </w:rPr>
        <w:footnoteReference w:id="32"/>
      </w:r>
      <w:r>
        <w:t xml:space="preserve">  There may be analog television facilities operating outside the U.S. to consider in regions along common borders, however, subject to international negotiations and agreements.</w:t>
      </w:r>
      <w:r>
        <w:rPr>
          <w:rStyle w:val="FootnoteReference"/>
        </w:rPr>
        <w:footnoteReference w:id="33"/>
      </w:r>
      <w:r>
        <w:t xml:space="preserve">  Prediction of interference to or from analog television facilities is beyond the scope of this document.  </w:t>
      </w:r>
    </w:p>
    <w:p w14:paraId="0F667349" w14:textId="77777777" w:rsidR="00A51903" w:rsidRDefault="00A51903" w:rsidP="00A51903">
      <w:pPr>
        <w:jc w:val="both"/>
      </w:pPr>
    </w:p>
    <w:p w14:paraId="68617987" w14:textId="77777777" w:rsidR="00A51903" w:rsidRDefault="00A51903" w:rsidP="00A51903">
      <w:pPr>
        <w:ind w:firstLine="720"/>
        <w:jc w:val="both"/>
      </w:pPr>
      <w:r>
        <w:t xml:space="preserve">For digital Class A TV stations, service evaluations are made inside the protected contours defined in 47 CFR § 73.6010, with the exception that the defining field strength for UHF channels is modified by subtracting a frequency-dependent factor.  Thus, the area subject to calculation for digital Class A TV stations includes the geographic locations at which the field strength is predicted by the FCC F-curves to exceed the values </w:t>
      </w:r>
      <w:r w:rsidRPr="0013273B">
        <w:t xml:space="preserve">given in </w:t>
      </w:r>
      <w:r w:rsidRPr="0013273B">
        <w:fldChar w:fldCharType="begin"/>
      </w:r>
      <w:r w:rsidRPr="0013273B">
        <w:instrText xml:space="preserve"> REF _Ref378166599 \h </w:instrText>
      </w:r>
      <w:r>
        <w:instrText xml:space="preserve"> \* MERGEFORMAT </w:instrText>
      </w:r>
      <w:r w:rsidRPr="0013273B">
        <w:fldChar w:fldCharType="separate"/>
      </w:r>
      <w:r w:rsidR="00CC6F3D" w:rsidRPr="00CC6F3D">
        <w:t xml:space="preserve">Table </w:t>
      </w:r>
      <w:r w:rsidR="00CC6F3D" w:rsidRPr="00CC6F3D">
        <w:rPr>
          <w:noProof/>
        </w:rPr>
        <w:t>1</w:t>
      </w:r>
      <w:r w:rsidRPr="0013273B">
        <w:fldChar w:fldCharType="end"/>
      </w:r>
      <w:r>
        <w:t xml:space="preserve"> at 50% of locations 90% of the time.</w:t>
      </w:r>
    </w:p>
    <w:p w14:paraId="7E803137" w14:textId="77777777" w:rsidR="00A51903" w:rsidRDefault="00A51903" w:rsidP="00A51903">
      <w:pPr>
        <w:keepNext/>
        <w:spacing w:after="120"/>
        <w:jc w:val="center"/>
        <w:rPr>
          <w:rFonts w:ascii="Times New Roman Bold" w:hAnsi="Times New Roman Bold"/>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1"/>
        <w:gridCol w:w="4712"/>
      </w:tblGrid>
      <w:tr w:rsidR="00A51903" w14:paraId="4E3664D2" w14:textId="77777777" w:rsidTr="005D78D1">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bottom"/>
            <w:hideMark/>
          </w:tcPr>
          <w:p w14:paraId="16ED10E1" w14:textId="77777777" w:rsidR="00A51903" w:rsidRDefault="00A51903" w:rsidP="005D78D1">
            <w:pPr>
              <w:keepNext/>
              <w:jc w:val="center"/>
              <w:rPr>
                <w:sz w:val="20"/>
              </w:rPr>
            </w:pPr>
            <w:r>
              <w:rPr>
                <w:sz w:val="20"/>
              </w:rPr>
              <w:t>Channels</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bottom"/>
            <w:hideMark/>
          </w:tcPr>
          <w:p w14:paraId="1FAD51FF" w14:textId="77777777" w:rsidR="00A51903" w:rsidRDefault="00A51903" w:rsidP="005D78D1">
            <w:pPr>
              <w:keepNext/>
              <w:jc w:val="center"/>
              <w:rPr>
                <w:sz w:val="20"/>
              </w:rPr>
            </w:pPr>
            <w:r>
              <w:rPr>
                <w:sz w:val="20"/>
              </w:rPr>
              <w:t>Defining Field Strength, dBµV/m, calculated using</w:t>
            </w:r>
          </w:p>
          <w:p w14:paraId="572F5756" w14:textId="77777777" w:rsidR="00A51903" w:rsidRDefault="00A51903" w:rsidP="005D78D1">
            <w:pPr>
              <w:keepNext/>
              <w:jc w:val="center"/>
              <w:rPr>
                <w:sz w:val="20"/>
              </w:rPr>
            </w:pPr>
            <w:r>
              <w:rPr>
                <w:sz w:val="20"/>
              </w:rPr>
              <w:t>F(50, 90) curves</w:t>
            </w:r>
          </w:p>
        </w:tc>
      </w:tr>
      <w:tr w:rsidR="00A51903" w14:paraId="18099E7C"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17C69951" w14:textId="77777777" w:rsidR="00A51903" w:rsidRDefault="00A51903" w:rsidP="005D78D1">
            <w:pPr>
              <w:keepNext/>
              <w:jc w:val="center"/>
            </w:pPr>
            <w:r>
              <w:t>2 - 6</w:t>
            </w:r>
          </w:p>
        </w:tc>
        <w:tc>
          <w:tcPr>
            <w:tcW w:w="0" w:type="auto"/>
            <w:tcBorders>
              <w:top w:val="single" w:sz="6" w:space="0" w:color="auto"/>
              <w:left w:val="single" w:sz="6" w:space="0" w:color="auto"/>
              <w:bottom w:val="single" w:sz="6" w:space="0" w:color="auto"/>
              <w:right w:val="single" w:sz="4" w:space="0" w:color="auto"/>
            </w:tcBorders>
            <w:hideMark/>
          </w:tcPr>
          <w:p w14:paraId="38F487C7" w14:textId="77777777" w:rsidR="00A51903" w:rsidRDefault="00A51903" w:rsidP="005D78D1">
            <w:pPr>
              <w:keepNext/>
              <w:jc w:val="center"/>
            </w:pPr>
            <w:r>
              <w:t>43</w:t>
            </w:r>
          </w:p>
        </w:tc>
      </w:tr>
      <w:tr w:rsidR="00A51903" w14:paraId="31634C8E"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4411AF92" w14:textId="77777777" w:rsidR="00A51903" w:rsidRDefault="00A51903" w:rsidP="005D78D1">
            <w:pPr>
              <w:keepNext/>
              <w:jc w:val="center"/>
            </w:pPr>
            <w:r>
              <w:t>7 - 13</w:t>
            </w:r>
          </w:p>
        </w:tc>
        <w:tc>
          <w:tcPr>
            <w:tcW w:w="0" w:type="auto"/>
            <w:tcBorders>
              <w:top w:val="single" w:sz="6" w:space="0" w:color="auto"/>
              <w:left w:val="single" w:sz="6" w:space="0" w:color="auto"/>
              <w:bottom w:val="single" w:sz="6" w:space="0" w:color="auto"/>
              <w:right w:val="single" w:sz="4" w:space="0" w:color="auto"/>
            </w:tcBorders>
            <w:hideMark/>
          </w:tcPr>
          <w:p w14:paraId="75895A8A" w14:textId="77777777" w:rsidR="00A51903" w:rsidRDefault="00A51903" w:rsidP="005D78D1">
            <w:pPr>
              <w:keepNext/>
              <w:jc w:val="center"/>
            </w:pPr>
            <w:r>
              <w:t>48</w:t>
            </w:r>
          </w:p>
        </w:tc>
      </w:tr>
      <w:tr w:rsidR="00A51903" w14:paraId="66D701A3" w14:textId="77777777" w:rsidTr="005D78D1">
        <w:trPr>
          <w:jc w:val="center"/>
        </w:trPr>
        <w:tc>
          <w:tcPr>
            <w:tcW w:w="0" w:type="auto"/>
            <w:tcBorders>
              <w:top w:val="single" w:sz="6" w:space="0" w:color="auto"/>
              <w:left w:val="single" w:sz="4" w:space="0" w:color="auto"/>
              <w:bottom w:val="single" w:sz="4" w:space="0" w:color="auto"/>
              <w:right w:val="single" w:sz="6" w:space="0" w:color="auto"/>
            </w:tcBorders>
            <w:hideMark/>
          </w:tcPr>
          <w:p w14:paraId="497CB721" w14:textId="77777777" w:rsidR="00A51903" w:rsidRDefault="00A51903" w:rsidP="005D78D1">
            <w:pPr>
              <w:jc w:val="center"/>
            </w:pPr>
            <w:r>
              <w:t>14 - 51</w:t>
            </w:r>
          </w:p>
        </w:tc>
        <w:tc>
          <w:tcPr>
            <w:tcW w:w="0" w:type="auto"/>
            <w:tcBorders>
              <w:top w:val="single" w:sz="6" w:space="0" w:color="auto"/>
              <w:left w:val="single" w:sz="6" w:space="0" w:color="auto"/>
              <w:bottom w:val="single" w:sz="4" w:space="0" w:color="auto"/>
              <w:right w:val="single" w:sz="4" w:space="0" w:color="auto"/>
            </w:tcBorders>
            <w:hideMark/>
          </w:tcPr>
          <w:p w14:paraId="508A5B22" w14:textId="77777777" w:rsidR="00A51903" w:rsidRDefault="00A51903" w:rsidP="005D78D1">
            <w:pPr>
              <w:jc w:val="center"/>
            </w:pPr>
            <w:r>
              <w:t>51 - 20log</w:t>
            </w:r>
            <w:r>
              <w:rPr>
                <w:vertAlign w:val="subscript"/>
              </w:rPr>
              <w:t>10</w:t>
            </w:r>
            <w:r>
              <w:t>[615/(channel mid-frequency in MHz)]</w:t>
            </w:r>
          </w:p>
        </w:tc>
      </w:tr>
    </w:tbl>
    <w:p w14:paraId="6166C5B2" w14:textId="77777777" w:rsidR="00A51903" w:rsidRPr="001165AF" w:rsidRDefault="00A51903" w:rsidP="00A51903">
      <w:pPr>
        <w:spacing w:before="120" w:after="120"/>
        <w:jc w:val="center"/>
        <w:rPr>
          <w:szCs w:val="22"/>
        </w:rPr>
      </w:pPr>
      <w:bookmarkStart w:id="8" w:name="_Ref378166599"/>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1</w:t>
      </w:r>
      <w:r>
        <w:rPr>
          <w:szCs w:val="22"/>
        </w:rPr>
        <w:fldChar w:fldCharType="end"/>
      </w:r>
      <w:bookmarkEnd w:id="8"/>
      <w:r w:rsidRPr="001165AF">
        <w:rPr>
          <w:szCs w:val="22"/>
        </w:rPr>
        <w:t>.  Field Strengths defining the area subject to calculation for digital Class A TV stations</w:t>
      </w:r>
    </w:p>
    <w:p w14:paraId="3EBB24B1" w14:textId="77777777" w:rsidR="00A51903" w:rsidRDefault="00A51903" w:rsidP="00A51903"/>
    <w:p w14:paraId="2C7B6AC6" w14:textId="77777777" w:rsidR="00A51903" w:rsidRDefault="00A51903" w:rsidP="00A51903">
      <w:pPr>
        <w:ind w:firstLine="720"/>
        <w:jc w:val="both"/>
      </w:pPr>
      <w:r>
        <w:t>For full-power DTV stations, service is evaluated inside contours determined by the DTV planning factors in combination with the FCC field strength curves derived for 50% of locations and 90% of the time.  The F(50, 90) curves are calculated for both digital Class A TV stations and for full-power DTV stations by the formula F(50, 90) = F(50, 50) - [F(50, 10) - F(50, 50)], using the F(50, 50) and F(50, 10) curves in 47 CFR § 73.699.</w:t>
      </w:r>
    </w:p>
    <w:p w14:paraId="15BC0AEB" w14:textId="77777777" w:rsidR="00A51903" w:rsidRDefault="00A51903" w:rsidP="00A51903">
      <w:pPr>
        <w:jc w:val="both"/>
      </w:pPr>
    </w:p>
    <w:p w14:paraId="69FB9CCE" w14:textId="77777777" w:rsidR="00A51903" w:rsidRDefault="00A51903" w:rsidP="00A51903">
      <w:pPr>
        <w:ind w:firstLine="720"/>
        <w:jc w:val="both"/>
      </w:pPr>
      <w:r>
        <w:t xml:space="preserve">The defining field strengths for DTV noise-limited service are shown in </w:t>
      </w:r>
      <w:r w:rsidRPr="0013273B">
        <w:fldChar w:fldCharType="begin"/>
      </w:r>
      <w:r w:rsidRPr="0013273B">
        <w:instrText xml:space="preserve"> REF _Ref378166625 \h </w:instrText>
      </w:r>
      <w:r>
        <w:instrText xml:space="preserve"> \* MERGEFORMAT </w:instrText>
      </w:r>
      <w:r w:rsidRPr="0013273B">
        <w:fldChar w:fldCharType="separate"/>
      </w:r>
      <w:r w:rsidR="00CC6F3D" w:rsidRPr="00CC6F3D">
        <w:t xml:space="preserve">Table </w:t>
      </w:r>
      <w:r w:rsidR="00CC6F3D" w:rsidRPr="00CC6F3D">
        <w:rPr>
          <w:noProof/>
        </w:rPr>
        <w:t>2</w:t>
      </w:r>
      <w:r w:rsidRPr="0013273B">
        <w:fldChar w:fldCharType="end"/>
      </w:r>
      <w:r>
        <w:t>.  These values, which are set forth in the rules, are used to determine the area subject to calculation using FCC curves, and subsequently to determine whether service is present at particular points within this area using Longley-Rice terrain-dependent propagation model.</w:t>
      </w:r>
      <w:r>
        <w:rPr>
          <w:rStyle w:val="FootnoteReference"/>
        </w:rPr>
        <w:footnoteReference w:id="34"/>
      </w:r>
    </w:p>
    <w:p w14:paraId="74BB76F4" w14:textId="77777777" w:rsidR="00A51903" w:rsidRDefault="00A51903" w:rsidP="00A51903"/>
    <w:p w14:paraId="56CF72F7" w14:textId="77777777" w:rsidR="00A51903" w:rsidRDefault="00A51903" w:rsidP="00A51903">
      <w:pPr>
        <w:keepNext/>
        <w:spacing w:after="120"/>
        <w:jc w:val="center"/>
        <w:rPr>
          <w:rFonts w:ascii="Times New Roman Bold" w:hAnsi="Times New Roman Bold"/>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1"/>
        <w:gridCol w:w="4712"/>
      </w:tblGrid>
      <w:tr w:rsidR="00A51903" w14:paraId="6F735A7B" w14:textId="77777777" w:rsidTr="005D78D1">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bottom"/>
            <w:hideMark/>
          </w:tcPr>
          <w:p w14:paraId="6F7A3F2D" w14:textId="77777777" w:rsidR="00A51903" w:rsidRDefault="00A51903" w:rsidP="005D78D1">
            <w:pPr>
              <w:keepNext/>
              <w:jc w:val="center"/>
              <w:rPr>
                <w:sz w:val="20"/>
              </w:rPr>
            </w:pPr>
            <w:r>
              <w:rPr>
                <w:sz w:val="20"/>
              </w:rPr>
              <w:t>Channels</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bottom"/>
            <w:hideMark/>
          </w:tcPr>
          <w:p w14:paraId="3FD68C32" w14:textId="77777777" w:rsidR="00A51903" w:rsidRDefault="00A51903" w:rsidP="005D78D1">
            <w:pPr>
              <w:keepNext/>
              <w:jc w:val="center"/>
              <w:rPr>
                <w:sz w:val="20"/>
              </w:rPr>
            </w:pPr>
            <w:r>
              <w:rPr>
                <w:sz w:val="20"/>
              </w:rPr>
              <w:t>Defining Field Strength, dBµV/m, calculated using</w:t>
            </w:r>
          </w:p>
          <w:p w14:paraId="24CD34E7" w14:textId="77777777" w:rsidR="00A51903" w:rsidRDefault="00A51903" w:rsidP="005D78D1">
            <w:pPr>
              <w:keepNext/>
              <w:jc w:val="center"/>
              <w:rPr>
                <w:sz w:val="20"/>
              </w:rPr>
            </w:pPr>
            <w:r>
              <w:rPr>
                <w:sz w:val="20"/>
              </w:rPr>
              <w:t>F(50, 90) curves</w:t>
            </w:r>
          </w:p>
        </w:tc>
      </w:tr>
      <w:tr w:rsidR="00A51903" w14:paraId="23F522D1"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37631559" w14:textId="77777777" w:rsidR="00A51903" w:rsidRDefault="00A51903" w:rsidP="005D78D1">
            <w:pPr>
              <w:keepNext/>
              <w:jc w:val="center"/>
            </w:pPr>
            <w:r>
              <w:t>2 - 6</w:t>
            </w:r>
          </w:p>
        </w:tc>
        <w:tc>
          <w:tcPr>
            <w:tcW w:w="0" w:type="auto"/>
            <w:tcBorders>
              <w:top w:val="single" w:sz="6" w:space="0" w:color="auto"/>
              <w:left w:val="single" w:sz="6" w:space="0" w:color="auto"/>
              <w:bottom w:val="single" w:sz="6" w:space="0" w:color="auto"/>
              <w:right w:val="single" w:sz="4" w:space="0" w:color="auto"/>
            </w:tcBorders>
            <w:hideMark/>
          </w:tcPr>
          <w:p w14:paraId="6F36CA20" w14:textId="77777777" w:rsidR="00A51903" w:rsidRDefault="00A51903" w:rsidP="005D78D1">
            <w:pPr>
              <w:keepNext/>
              <w:jc w:val="center"/>
            </w:pPr>
            <w:r>
              <w:t>28</w:t>
            </w:r>
          </w:p>
        </w:tc>
      </w:tr>
      <w:tr w:rsidR="00A51903" w14:paraId="66AEB2EF"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0E4562B4" w14:textId="77777777" w:rsidR="00A51903" w:rsidRDefault="00A51903" w:rsidP="005D78D1">
            <w:pPr>
              <w:keepNext/>
              <w:jc w:val="center"/>
            </w:pPr>
            <w:r>
              <w:t>7 - 13</w:t>
            </w:r>
          </w:p>
        </w:tc>
        <w:tc>
          <w:tcPr>
            <w:tcW w:w="0" w:type="auto"/>
            <w:tcBorders>
              <w:top w:val="single" w:sz="6" w:space="0" w:color="auto"/>
              <w:left w:val="single" w:sz="6" w:space="0" w:color="auto"/>
              <w:bottom w:val="single" w:sz="6" w:space="0" w:color="auto"/>
              <w:right w:val="single" w:sz="4" w:space="0" w:color="auto"/>
            </w:tcBorders>
            <w:hideMark/>
          </w:tcPr>
          <w:p w14:paraId="16E83E67" w14:textId="77777777" w:rsidR="00A51903" w:rsidRDefault="00A51903" w:rsidP="005D78D1">
            <w:pPr>
              <w:keepNext/>
              <w:jc w:val="center"/>
            </w:pPr>
            <w:r>
              <w:t>36</w:t>
            </w:r>
          </w:p>
        </w:tc>
      </w:tr>
      <w:tr w:rsidR="00A51903" w14:paraId="763A6B3E" w14:textId="77777777" w:rsidTr="005D78D1">
        <w:trPr>
          <w:jc w:val="center"/>
        </w:trPr>
        <w:tc>
          <w:tcPr>
            <w:tcW w:w="0" w:type="auto"/>
            <w:tcBorders>
              <w:top w:val="single" w:sz="6" w:space="0" w:color="auto"/>
              <w:left w:val="single" w:sz="4" w:space="0" w:color="auto"/>
              <w:bottom w:val="single" w:sz="4" w:space="0" w:color="auto"/>
              <w:right w:val="single" w:sz="6" w:space="0" w:color="auto"/>
            </w:tcBorders>
            <w:hideMark/>
          </w:tcPr>
          <w:p w14:paraId="57135988" w14:textId="77777777" w:rsidR="00A51903" w:rsidRDefault="00A51903" w:rsidP="005D78D1">
            <w:pPr>
              <w:keepNext/>
              <w:jc w:val="center"/>
            </w:pPr>
            <w:r>
              <w:t>14 - 51</w:t>
            </w:r>
          </w:p>
        </w:tc>
        <w:tc>
          <w:tcPr>
            <w:tcW w:w="0" w:type="auto"/>
            <w:tcBorders>
              <w:top w:val="single" w:sz="6" w:space="0" w:color="auto"/>
              <w:left w:val="single" w:sz="6" w:space="0" w:color="auto"/>
              <w:bottom w:val="single" w:sz="4" w:space="0" w:color="auto"/>
              <w:right w:val="single" w:sz="4" w:space="0" w:color="auto"/>
            </w:tcBorders>
            <w:hideMark/>
          </w:tcPr>
          <w:p w14:paraId="1C5EA707" w14:textId="77777777" w:rsidR="00A51903" w:rsidRDefault="00A51903" w:rsidP="005D78D1">
            <w:pPr>
              <w:keepNext/>
              <w:jc w:val="center"/>
            </w:pPr>
            <w:r>
              <w:t>41 - 20log</w:t>
            </w:r>
            <w:r>
              <w:rPr>
                <w:vertAlign w:val="subscript"/>
              </w:rPr>
              <w:t>10</w:t>
            </w:r>
            <w:r>
              <w:t>[615/(channel mid-frequency in MHz)]</w:t>
            </w:r>
          </w:p>
        </w:tc>
      </w:tr>
    </w:tbl>
    <w:p w14:paraId="3A31101A" w14:textId="77777777" w:rsidR="00A51903" w:rsidRPr="001165AF" w:rsidRDefault="00A51903" w:rsidP="00A51903">
      <w:pPr>
        <w:spacing w:before="120" w:after="120"/>
        <w:jc w:val="center"/>
        <w:rPr>
          <w:szCs w:val="22"/>
        </w:rPr>
      </w:pPr>
      <w:bookmarkStart w:id="9" w:name="_Ref378166625"/>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2</w:t>
      </w:r>
      <w:r>
        <w:rPr>
          <w:szCs w:val="22"/>
        </w:rPr>
        <w:fldChar w:fldCharType="end"/>
      </w:r>
      <w:bookmarkEnd w:id="9"/>
      <w:r w:rsidRPr="001165AF">
        <w:rPr>
          <w:szCs w:val="22"/>
        </w:rPr>
        <w:t>.  Field Strengths defining the area subject to calculation for Digital Full-Power TV stations</w:t>
      </w:r>
    </w:p>
    <w:p w14:paraId="0743828D" w14:textId="77777777" w:rsidR="00A51903" w:rsidRDefault="00A51903" w:rsidP="00A51903">
      <w:pPr>
        <w:jc w:val="both"/>
        <w:rPr>
          <w:bCs/>
        </w:rPr>
      </w:pPr>
    </w:p>
    <w:p w14:paraId="43F40B2D" w14:textId="77777777" w:rsidR="00A51903" w:rsidRDefault="00A51903" w:rsidP="00A51903">
      <w:pPr>
        <w:ind w:firstLine="720"/>
        <w:jc w:val="both"/>
      </w:pPr>
      <w:r>
        <w:t xml:space="preserve">Parameter values in Longley-Rice as implemented by the FCC are given </w:t>
      </w:r>
      <w:r w:rsidRPr="0013273B">
        <w:t xml:space="preserve">in </w:t>
      </w:r>
      <w:r w:rsidRPr="0013273B">
        <w:fldChar w:fldCharType="begin"/>
      </w:r>
      <w:r w:rsidRPr="0013273B">
        <w:instrText xml:space="preserve"> REF _Ref378166656 \h </w:instrText>
      </w:r>
      <w:r w:rsidRPr="001165AF">
        <w:instrText xml:space="preserve"> \* MERGEFORMAT </w:instrText>
      </w:r>
      <w:r w:rsidRPr="0013273B">
        <w:fldChar w:fldCharType="separate"/>
      </w:r>
      <w:r w:rsidR="00CC6F3D" w:rsidRPr="00CC6F3D">
        <w:t xml:space="preserve">Table </w:t>
      </w:r>
      <w:r w:rsidR="00CC6F3D" w:rsidRPr="00CC6F3D">
        <w:rPr>
          <w:noProof/>
        </w:rPr>
        <w:t>3</w:t>
      </w:r>
      <w:r w:rsidRPr="0013273B">
        <w:fldChar w:fldCharType="end"/>
      </w:r>
      <w:r>
        <w:t>.  In addition to these parameters, determination of the field strength requires a specification of the percent of time and locations at which the predicted fields will be realized or exceeded, and generally also a third percentage identifying the degree of confidence (situational variability) desired in the results.  For the purposes of this methodology, in those cases where error code 3 occurs (KWX = 3), the predicted field strength is to be accepted as the field strength available at that location.</w:t>
      </w:r>
    </w:p>
    <w:p w14:paraId="045DA0C8" w14:textId="77777777" w:rsidR="00A51903" w:rsidRDefault="00A51903" w:rsidP="00A51903">
      <w:pPr>
        <w:keepNext/>
        <w:spacing w:after="120"/>
        <w:jc w:val="cente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43"/>
        <w:gridCol w:w="1036"/>
        <w:gridCol w:w="6295"/>
      </w:tblGrid>
      <w:tr w:rsidR="00A51903" w14:paraId="26FCBC1E" w14:textId="77777777" w:rsidTr="005D78D1">
        <w:trPr>
          <w:jc w:val="center"/>
        </w:trPr>
        <w:tc>
          <w:tcPr>
            <w:tcW w:w="1343" w:type="dxa"/>
            <w:tcBorders>
              <w:top w:val="single" w:sz="4" w:space="0" w:color="auto"/>
              <w:left w:val="single" w:sz="4" w:space="0" w:color="auto"/>
              <w:bottom w:val="single" w:sz="6" w:space="0" w:color="auto"/>
              <w:right w:val="single" w:sz="6" w:space="0" w:color="auto"/>
            </w:tcBorders>
            <w:shd w:val="clear" w:color="auto" w:fill="E0E0E0"/>
            <w:hideMark/>
          </w:tcPr>
          <w:p w14:paraId="16EDCD8F" w14:textId="77777777" w:rsidR="00A51903" w:rsidRDefault="00A51903" w:rsidP="005D78D1">
            <w:pPr>
              <w:keepNext/>
              <w:jc w:val="center"/>
              <w:rPr>
                <w:sz w:val="20"/>
              </w:rPr>
            </w:pPr>
            <w:r>
              <w:rPr>
                <w:sz w:val="20"/>
              </w:rPr>
              <w:t xml:space="preserve">Parameter </w:t>
            </w:r>
          </w:p>
        </w:tc>
        <w:tc>
          <w:tcPr>
            <w:tcW w:w="1036" w:type="dxa"/>
            <w:tcBorders>
              <w:top w:val="single" w:sz="4" w:space="0" w:color="auto"/>
              <w:left w:val="single" w:sz="6" w:space="0" w:color="auto"/>
              <w:bottom w:val="single" w:sz="6" w:space="0" w:color="auto"/>
              <w:right w:val="single" w:sz="6" w:space="0" w:color="auto"/>
            </w:tcBorders>
            <w:shd w:val="clear" w:color="auto" w:fill="E0E0E0"/>
            <w:hideMark/>
          </w:tcPr>
          <w:p w14:paraId="3BF3A391" w14:textId="77777777" w:rsidR="00A51903" w:rsidRDefault="00A51903" w:rsidP="005D78D1">
            <w:pPr>
              <w:keepNext/>
              <w:jc w:val="center"/>
              <w:rPr>
                <w:sz w:val="20"/>
              </w:rPr>
            </w:pPr>
            <w:r>
              <w:rPr>
                <w:sz w:val="20"/>
              </w:rPr>
              <w:t>Value</w:t>
            </w:r>
          </w:p>
        </w:tc>
        <w:tc>
          <w:tcPr>
            <w:tcW w:w="6295" w:type="dxa"/>
            <w:tcBorders>
              <w:top w:val="single" w:sz="4" w:space="0" w:color="auto"/>
              <w:left w:val="single" w:sz="6" w:space="0" w:color="auto"/>
              <w:bottom w:val="single" w:sz="6" w:space="0" w:color="auto"/>
              <w:right w:val="single" w:sz="4" w:space="0" w:color="auto"/>
            </w:tcBorders>
            <w:shd w:val="clear" w:color="auto" w:fill="E0E0E0"/>
            <w:hideMark/>
          </w:tcPr>
          <w:p w14:paraId="0CD6C97F" w14:textId="77777777" w:rsidR="00A51903" w:rsidRDefault="00A51903" w:rsidP="005D78D1">
            <w:pPr>
              <w:keepNext/>
              <w:jc w:val="center"/>
              <w:rPr>
                <w:sz w:val="20"/>
              </w:rPr>
            </w:pPr>
            <w:r>
              <w:rPr>
                <w:sz w:val="20"/>
              </w:rPr>
              <w:t>Meaning/Comment</w:t>
            </w:r>
          </w:p>
        </w:tc>
      </w:tr>
      <w:tr w:rsidR="00A51903" w14:paraId="329A3FBC"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48C9A077" w14:textId="77777777" w:rsidR="00A51903" w:rsidRDefault="00A51903" w:rsidP="005D78D1">
            <w:pPr>
              <w:keepNext/>
            </w:pPr>
            <w:r>
              <w:t>EPS</w:t>
            </w:r>
          </w:p>
        </w:tc>
        <w:tc>
          <w:tcPr>
            <w:tcW w:w="1036" w:type="dxa"/>
            <w:tcBorders>
              <w:top w:val="single" w:sz="6" w:space="0" w:color="auto"/>
              <w:left w:val="single" w:sz="6" w:space="0" w:color="auto"/>
              <w:bottom w:val="single" w:sz="6" w:space="0" w:color="auto"/>
              <w:right w:val="single" w:sz="6" w:space="0" w:color="auto"/>
            </w:tcBorders>
            <w:hideMark/>
          </w:tcPr>
          <w:p w14:paraId="7A1DDFB3" w14:textId="77777777" w:rsidR="00A51903" w:rsidRDefault="00A51903" w:rsidP="005D78D1">
            <w:pPr>
              <w:keepNext/>
              <w:tabs>
                <w:tab w:val="decimal" w:pos="348"/>
              </w:tabs>
            </w:pPr>
            <w:r>
              <w:t>15.0</w:t>
            </w:r>
          </w:p>
        </w:tc>
        <w:tc>
          <w:tcPr>
            <w:tcW w:w="6295" w:type="dxa"/>
            <w:tcBorders>
              <w:top w:val="single" w:sz="6" w:space="0" w:color="auto"/>
              <w:left w:val="single" w:sz="6" w:space="0" w:color="auto"/>
              <w:bottom w:val="single" w:sz="6" w:space="0" w:color="auto"/>
              <w:right w:val="single" w:sz="4" w:space="0" w:color="auto"/>
            </w:tcBorders>
            <w:hideMark/>
          </w:tcPr>
          <w:p w14:paraId="671BDA80" w14:textId="77777777" w:rsidR="00A51903" w:rsidRDefault="00A51903" w:rsidP="005D78D1">
            <w:pPr>
              <w:keepNext/>
            </w:pPr>
            <w:r>
              <w:t>Relative permittivity of ground.</w:t>
            </w:r>
          </w:p>
        </w:tc>
      </w:tr>
      <w:tr w:rsidR="00A51903" w14:paraId="7953834A"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628BE3F7" w14:textId="77777777" w:rsidR="00A51903" w:rsidRDefault="00A51903" w:rsidP="005D78D1">
            <w:pPr>
              <w:keepNext/>
            </w:pPr>
            <w:r>
              <w:t>SGM (S/m)</w:t>
            </w:r>
          </w:p>
        </w:tc>
        <w:tc>
          <w:tcPr>
            <w:tcW w:w="1036" w:type="dxa"/>
            <w:tcBorders>
              <w:top w:val="single" w:sz="6" w:space="0" w:color="auto"/>
              <w:left w:val="single" w:sz="6" w:space="0" w:color="auto"/>
              <w:bottom w:val="single" w:sz="6" w:space="0" w:color="auto"/>
              <w:right w:val="single" w:sz="6" w:space="0" w:color="auto"/>
            </w:tcBorders>
            <w:hideMark/>
          </w:tcPr>
          <w:p w14:paraId="2BB55E50" w14:textId="77777777" w:rsidR="00A51903" w:rsidRDefault="00A51903" w:rsidP="005D78D1">
            <w:pPr>
              <w:keepNext/>
              <w:tabs>
                <w:tab w:val="decimal" w:pos="348"/>
              </w:tabs>
            </w:pPr>
            <w:r>
              <w:t>0.005</w:t>
            </w:r>
          </w:p>
        </w:tc>
        <w:tc>
          <w:tcPr>
            <w:tcW w:w="6295" w:type="dxa"/>
            <w:tcBorders>
              <w:top w:val="single" w:sz="6" w:space="0" w:color="auto"/>
              <w:left w:val="single" w:sz="6" w:space="0" w:color="auto"/>
              <w:bottom w:val="single" w:sz="6" w:space="0" w:color="auto"/>
              <w:right w:val="single" w:sz="4" w:space="0" w:color="auto"/>
            </w:tcBorders>
            <w:hideMark/>
          </w:tcPr>
          <w:p w14:paraId="67EFE5E5" w14:textId="77777777" w:rsidR="00A51903" w:rsidRDefault="00A51903" w:rsidP="005D78D1">
            <w:pPr>
              <w:keepNext/>
            </w:pPr>
            <w:r>
              <w:t>Ground conductivity.</w:t>
            </w:r>
          </w:p>
        </w:tc>
      </w:tr>
      <w:tr w:rsidR="00A51903" w14:paraId="6A2F525D"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13E0ACD0" w14:textId="77777777" w:rsidR="00A51903" w:rsidRDefault="00A51903" w:rsidP="005D78D1">
            <w:pPr>
              <w:keepNext/>
            </w:pPr>
            <w:r>
              <w:t>ZSYS</w:t>
            </w:r>
          </w:p>
        </w:tc>
        <w:tc>
          <w:tcPr>
            <w:tcW w:w="1036" w:type="dxa"/>
            <w:tcBorders>
              <w:top w:val="single" w:sz="6" w:space="0" w:color="auto"/>
              <w:left w:val="single" w:sz="6" w:space="0" w:color="auto"/>
              <w:bottom w:val="single" w:sz="6" w:space="0" w:color="auto"/>
              <w:right w:val="single" w:sz="6" w:space="0" w:color="auto"/>
            </w:tcBorders>
            <w:hideMark/>
          </w:tcPr>
          <w:p w14:paraId="2D527604" w14:textId="77777777" w:rsidR="00A51903" w:rsidRDefault="00A51903" w:rsidP="005D78D1">
            <w:pPr>
              <w:keepNext/>
              <w:tabs>
                <w:tab w:val="decimal" w:pos="348"/>
              </w:tabs>
            </w:pPr>
            <w:r>
              <w:t>0.0</w:t>
            </w:r>
          </w:p>
        </w:tc>
        <w:tc>
          <w:tcPr>
            <w:tcW w:w="6295" w:type="dxa"/>
            <w:tcBorders>
              <w:top w:val="single" w:sz="6" w:space="0" w:color="auto"/>
              <w:left w:val="single" w:sz="6" w:space="0" w:color="auto"/>
              <w:bottom w:val="single" w:sz="6" w:space="0" w:color="auto"/>
              <w:right w:val="single" w:sz="4" w:space="0" w:color="auto"/>
            </w:tcBorders>
            <w:hideMark/>
          </w:tcPr>
          <w:p w14:paraId="4F8631BF" w14:textId="77777777" w:rsidR="00A51903" w:rsidRDefault="00A51903" w:rsidP="005D78D1">
            <w:pPr>
              <w:keepNext/>
            </w:pPr>
            <w:r>
              <w:t>Coordinated with setting of EN0. See page 72 of NTIA Report.</w:t>
            </w:r>
          </w:p>
        </w:tc>
      </w:tr>
      <w:tr w:rsidR="00A51903" w14:paraId="5C3643FA"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34779BCB" w14:textId="77777777" w:rsidR="00A51903" w:rsidRDefault="00A51903" w:rsidP="005D78D1">
            <w:pPr>
              <w:keepNext/>
            </w:pPr>
            <w:r>
              <w:t>EN0 (ppm)</w:t>
            </w:r>
          </w:p>
        </w:tc>
        <w:tc>
          <w:tcPr>
            <w:tcW w:w="1036" w:type="dxa"/>
            <w:tcBorders>
              <w:top w:val="single" w:sz="6" w:space="0" w:color="auto"/>
              <w:left w:val="single" w:sz="6" w:space="0" w:color="auto"/>
              <w:bottom w:val="single" w:sz="6" w:space="0" w:color="auto"/>
              <w:right w:val="single" w:sz="6" w:space="0" w:color="auto"/>
            </w:tcBorders>
            <w:hideMark/>
          </w:tcPr>
          <w:p w14:paraId="6BA084B3" w14:textId="77777777" w:rsidR="00A51903" w:rsidRDefault="00A51903" w:rsidP="005D78D1">
            <w:pPr>
              <w:keepNext/>
              <w:tabs>
                <w:tab w:val="decimal" w:pos="348"/>
              </w:tabs>
            </w:pPr>
            <w:r>
              <w:t>301.0</w:t>
            </w:r>
          </w:p>
        </w:tc>
        <w:tc>
          <w:tcPr>
            <w:tcW w:w="6295" w:type="dxa"/>
            <w:tcBorders>
              <w:top w:val="single" w:sz="6" w:space="0" w:color="auto"/>
              <w:left w:val="single" w:sz="6" w:space="0" w:color="auto"/>
              <w:bottom w:val="single" w:sz="6" w:space="0" w:color="auto"/>
              <w:right w:val="single" w:sz="4" w:space="0" w:color="auto"/>
            </w:tcBorders>
            <w:hideMark/>
          </w:tcPr>
          <w:p w14:paraId="080FAB96" w14:textId="77777777" w:rsidR="00A51903" w:rsidRDefault="00A51903" w:rsidP="005D78D1">
            <w:pPr>
              <w:keepNext/>
            </w:pPr>
            <w:r>
              <w:t>Surface refractivity in N-units.</w:t>
            </w:r>
          </w:p>
        </w:tc>
      </w:tr>
      <w:tr w:rsidR="00A51903" w14:paraId="013BF8E4"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28DAA749" w14:textId="77777777" w:rsidR="00A51903" w:rsidRDefault="00A51903" w:rsidP="005D78D1">
            <w:pPr>
              <w:keepNext/>
            </w:pPr>
            <w:r>
              <w:t>IPOL</w:t>
            </w:r>
          </w:p>
        </w:tc>
        <w:tc>
          <w:tcPr>
            <w:tcW w:w="1036" w:type="dxa"/>
            <w:tcBorders>
              <w:top w:val="single" w:sz="6" w:space="0" w:color="auto"/>
              <w:left w:val="single" w:sz="6" w:space="0" w:color="auto"/>
              <w:bottom w:val="single" w:sz="6" w:space="0" w:color="auto"/>
              <w:right w:val="single" w:sz="6" w:space="0" w:color="auto"/>
            </w:tcBorders>
            <w:hideMark/>
          </w:tcPr>
          <w:p w14:paraId="675070B6" w14:textId="77777777" w:rsidR="00A51903" w:rsidRDefault="00A51903" w:rsidP="005D78D1">
            <w:pPr>
              <w:keepNext/>
              <w:tabs>
                <w:tab w:val="decimal" w:pos="348"/>
              </w:tabs>
            </w:pPr>
            <w:r>
              <w:t>0</w:t>
            </w:r>
          </w:p>
        </w:tc>
        <w:tc>
          <w:tcPr>
            <w:tcW w:w="6295" w:type="dxa"/>
            <w:tcBorders>
              <w:top w:val="single" w:sz="6" w:space="0" w:color="auto"/>
              <w:left w:val="single" w:sz="6" w:space="0" w:color="auto"/>
              <w:bottom w:val="single" w:sz="6" w:space="0" w:color="auto"/>
              <w:right w:val="single" w:sz="4" w:space="0" w:color="auto"/>
            </w:tcBorders>
            <w:hideMark/>
          </w:tcPr>
          <w:p w14:paraId="1400E41D" w14:textId="77777777" w:rsidR="00A51903" w:rsidRDefault="00A51903" w:rsidP="005D78D1">
            <w:pPr>
              <w:keepNext/>
            </w:pPr>
            <w:r>
              <w:t>Denotes horizontal polarization.</w:t>
            </w:r>
          </w:p>
        </w:tc>
      </w:tr>
      <w:tr w:rsidR="00A51903" w14:paraId="1D8C409C"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74C7F9D3" w14:textId="77777777" w:rsidR="00A51903" w:rsidRDefault="00A51903" w:rsidP="005D78D1">
            <w:pPr>
              <w:keepNext/>
            </w:pPr>
            <w:r>
              <w:t>MDVAR</w:t>
            </w:r>
          </w:p>
        </w:tc>
        <w:tc>
          <w:tcPr>
            <w:tcW w:w="1036" w:type="dxa"/>
            <w:tcBorders>
              <w:top w:val="single" w:sz="6" w:space="0" w:color="auto"/>
              <w:left w:val="single" w:sz="6" w:space="0" w:color="auto"/>
              <w:bottom w:val="single" w:sz="6" w:space="0" w:color="auto"/>
              <w:right w:val="single" w:sz="6" w:space="0" w:color="auto"/>
            </w:tcBorders>
            <w:hideMark/>
          </w:tcPr>
          <w:p w14:paraId="36C7F9EE" w14:textId="77777777" w:rsidR="00A51903" w:rsidRDefault="00A51903" w:rsidP="005D78D1">
            <w:pPr>
              <w:keepNext/>
              <w:tabs>
                <w:tab w:val="decimal" w:pos="348"/>
              </w:tabs>
            </w:pPr>
            <w:r>
              <w:t>3</w:t>
            </w:r>
          </w:p>
        </w:tc>
        <w:tc>
          <w:tcPr>
            <w:tcW w:w="6295" w:type="dxa"/>
            <w:tcBorders>
              <w:top w:val="single" w:sz="6" w:space="0" w:color="auto"/>
              <w:left w:val="single" w:sz="6" w:space="0" w:color="auto"/>
              <w:bottom w:val="single" w:sz="6" w:space="0" w:color="auto"/>
              <w:right w:val="single" w:sz="4" w:space="0" w:color="auto"/>
            </w:tcBorders>
            <w:hideMark/>
          </w:tcPr>
          <w:p w14:paraId="30CC0298" w14:textId="77777777" w:rsidR="00A51903" w:rsidRDefault="00A51903" w:rsidP="005D78D1">
            <w:pPr>
              <w:keepNext/>
            </w:pPr>
            <w:r>
              <w:t>Calculation Mode (Broadcast).</w:t>
            </w:r>
          </w:p>
        </w:tc>
      </w:tr>
      <w:tr w:rsidR="00A51903" w14:paraId="6624B5B0"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28976DC6" w14:textId="77777777" w:rsidR="00A51903" w:rsidRDefault="00A51903" w:rsidP="005D78D1">
            <w:pPr>
              <w:keepNext/>
            </w:pPr>
            <w:r>
              <w:t>KLIM</w:t>
            </w:r>
          </w:p>
        </w:tc>
        <w:tc>
          <w:tcPr>
            <w:tcW w:w="1036" w:type="dxa"/>
            <w:tcBorders>
              <w:top w:val="single" w:sz="6" w:space="0" w:color="auto"/>
              <w:left w:val="single" w:sz="6" w:space="0" w:color="auto"/>
              <w:bottom w:val="single" w:sz="6" w:space="0" w:color="auto"/>
              <w:right w:val="single" w:sz="6" w:space="0" w:color="auto"/>
            </w:tcBorders>
            <w:hideMark/>
          </w:tcPr>
          <w:p w14:paraId="545B1B3F" w14:textId="77777777" w:rsidR="00A51903" w:rsidRDefault="00A51903" w:rsidP="005D78D1">
            <w:pPr>
              <w:keepNext/>
              <w:tabs>
                <w:tab w:val="decimal" w:pos="348"/>
              </w:tabs>
            </w:pPr>
            <w:r>
              <w:t>5</w:t>
            </w:r>
          </w:p>
        </w:tc>
        <w:tc>
          <w:tcPr>
            <w:tcW w:w="6295" w:type="dxa"/>
            <w:tcBorders>
              <w:top w:val="single" w:sz="6" w:space="0" w:color="auto"/>
              <w:left w:val="single" w:sz="6" w:space="0" w:color="auto"/>
              <w:bottom w:val="single" w:sz="6" w:space="0" w:color="auto"/>
              <w:right w:val="single" w:sz="4" w:space="0" w:color="auto"/>
            </w:tcBorders>
            <w:hideMark/>
          </w:tcPr>
          <w:p w14:paraId="46312351" w14:textId="77777777" w:rsidR="00A51903" w:rsidRDefault="00A51903" w:rsidP="005D78D1">
            <w:pPr>
              <w:keepNext/>
            </w:pPr>
            <w:r>
              <w:t>Climate Code (Continental Temperate).</w:t>
            </w:r>
          </w:p>
        </w:tc>
      </w:tr>
      <w:tr w:rsidR="00A51903" w14:paraId="5142D239"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295B03EB" w14:textId="77777777" w:rsidR="00A51903" w:rsidRDefault="00A51903" w:rsidP="005D78D1">
            <w:pPr>
              <w:keepNext/>
            </w:pPr>
            <w:r>
              <w:t>XI (km)</w:t>
            </w:r>
          </w:p>
        </w:tc>
        <w:tc>
          <w:tcPr>
            <w:tcW w:w="1036" w:type="dxa"/>
            <w:tcBorders>
              <w:top w:val="single" w:sz="6" w:space="0" w:color="auto"/>
              <w:left w:val="single" w:sz="6" w:space="0" w:color="auto"/>
              <w:bottom w:val="single" w:sz="6" w:space="0" w:color="auto"/>
              <w:right w:val="single" w:sz="6" w:space="0" w:color="auto"/>
            </w:tcBorders>
            <w:hideMark/>
          </w:tcPr>
          <w:p w14:paraId="23B22630" w14:textId="77777777" w:rsidR="00A51903" w:rsidRDefault="00A51903" w:rsidP="005D78D1">
            <w:pPr>
              <w:keepNext/>
              <w:tabs>
                <w:tab w:val="decimal" w:pos="348"/>
              </w:tabs>
            </w:pPr>
            <w:r>
              <w:t>0.1</w:t>
            </w:r>
          </w:p>
        </w:tc>
        <w:tc>
          <w:tcPr>
            <w:tcW w:w="6295" w:type="dxa"/>
            <w:tcBorders>
              <w:top w:val="single" w:sz="6" w:space="0" w:color="auto"/>
              <w:left w:val="single" w:sz="6" w:space="0" w:color="auto"/>
              <w:bottom w:val="single" w:sz="6" w:space="0" w:color="auto"/>
              <w:right w:val="single" w:sz="4" w:space="0" w:color="auto"/>
            </w:tcBorders>
            <w:hideMark/>
          </w:tcPr>
          <w:p w14:paraId="046FD4C9" w14:textId="77777777" w:rsidR="00A51903" w:rsidRDefault="00A51903" w:rsidP="005D78D1">
            <w:pPr>
              <w:keepNext/>
            </w:pPr>
            <w:r>
              <w:t>Terrain sampling interval.</w:t>
            </w:r>
          </w:p>
        </w:tc>
      </w:tr>
      <w:tr w:rsidR="00A51903" w14:paraId="59C2916C" w14:textId="77777777" w:rsidTr="005D78D1">
        <w:trPr>
          <w:jc w:val="center"/>
        </w:trPr>
        <w:tc>
          <w:tcPr>
            <w:tcW w:w="1343" w:type="dxa"/>
            <w:tcBorders>
              <w:top w:val="single" w:sz="6" w:space="0" w:color="auto"/>
              <w:left w:val="single" w:sz="4" w:space="0" w:color="auto"/>
              <w:bottom w:val="single" w:sz="6" w:space="0" w:color="auto"/>
              <w:right w:val="single" w:sz="6" w:space="0" w:color="auto"/>
            </w:tcBorders>
            <w:hideMark/>
          </w:tcPr>
          <w:p w14:paraId="0B87BF2F" w14:textId="77777777" w:rsidR="00A51903" w:rsidRDefault="00A51903" w:rsidP="005D78D1">
            <w:pPr>
              <w:keepNext/>
            </w:pPr>
            <w:r>
              <w:t>HG(1) (m)</w:t>
            </w:r>
          </w:p>
        </w:tc>
        <w:tc>
          <w:tcPr>
            <w:tcW w:w="1036" w:type="dxa"/>
            <w:tcBorders>
              <w:top w:val="single" w:sz="6" w:space="0" w:color="auto"/>
              <w:left w:val="single" w:sz="6" w:space="0" w:color="auto"/>
              <w:bottom w:val="single" w:sz="6" w:space="0" w:color="auto"/>
              <w:right w:val="single" w:sz="6" w:space="0" w:color="auto"/>
            </w:tcBorders>
            <w:hideMark/>
          </w:tcPr>
          <w:p w14:paraId="71BE25D1" w14:textId="77777777" w:rsidR="00A51903" w:rsidRDefault="00A51903" w:rsidP="005D78D1">
            <w:pPr>
              <w:keepNext/>
            </w:pPr>
            <w:r>
              <w:t>See note</w:t>
            </w:r>
          </w:p>
        </w:tc>
        <w:tc>
          <w:tcPr>
            <w:tcW w:w="6295" w:type="dxa"/>
            <w:tcBorders>
              <w:top w:val="single" w:sz="6" w:space="0" w:color="auto"/>
              <w:left w:val="single" w:sz="6" w:space="0" w:color="auto"/>
              <w:bottom w:val="single" w:sz="6" w:space="0" w:color="auto"/>
              <w:right w:val="single" w:sz="4" w:space="0" w:color="auto"/>
            </w:tcBorders>
            <w:hideMark/>
          </w:tcPr>
          <w:p w14:paraId="26BDC886" w14:textId="77777777" w:rsidR="00A51903" w:rsidRDefault="00A51903" w:rsidP="005D78D1">
            <w:pPr>
              <w:keepNext/>
            </w:pPr>
            <w:r>
              <w:t>Height of the radiation center above ground.</w:t>
            </w:r>
          </w:p>
        </w:tc>
      </w:tr>
      <w:tr w:rsidR="00A51903" w14:paraId="07B5C0E2" w14:textId="77777777" w:rsidTr="005D78D1">
        <w:trPr>
          <w:cantSplit/>
          <w:trHeight w:val="432"/>
          <w:jc w:val="center"/>
        </w:trPr>
        <w:tc>
          <w:tcPr>
            <w:tcW w:w="1343" w:type="dxa"/>
            <w:tcBorders>
              <w:top w:val="single" w:sz="6" w:space="0" w:color="auto"/>
              <w:left w:val="single" w:sz="4" w:space="0" w:color="auto"/>
              <w:bottom w:val="single" w:sz="6" w:space="0" w:color="auto"/>
              <w:right w:val="single" w:sz="6" w:space="0" w:color="auto"/>
            </w:tcBorders>
            <w:hideMark/>
          </w:tcPr>
          <w:p w14:paraId="1851C6C9" w14:textId="77777777" w:rsidR="00A51903" w:rsidRDefault="00A51903" w:rsidP="005D78D1">
            <w:pPr>
              <w:keepNext/>
            </w:pPr>
            <w:r>
              <w:t>HG(2) (m)</w:t>
            </w:r>
          </w:p>
        </w:tc>
        <w:tc>
          <w:tcPr>
            <w:tcW w:w="1036" w:type="dxa"/>
            <w:tcBorders>
              <w:top w:val="single" w:sz="6" w:space="0" w:color="auto"/>
              <w:left w:val="single" w:sz="6" w:space="0" w:color="auto"/>
              <w:bottom w:val="single" w:sz="6" w:space="0" w:color="auto"/>
              <w:right w:val="single" w:sz="6" w:space="0" w:color="auto"/>
            </w:tcBorders>
          </w:tcPr>
          <w:p w14:paraId="1443CBBD" w14:textId="77777777" w:rsidR="00A51903" w:rsidRDefault="00A51903" w:rsidP="005D78D1">
            <w:pPr>
              <w:keepNext/>
              <w:tabs>
                <w:tab w:val="decimal" w:pos="363"/>
              </w:tabs>
            </w:pPr>
            <w:r>
              <w:t>10</w:t>
            </w:r>
          </w:p>
          <w:p w14:paraId="07EBC66A" w14:textId="77777777" w:rsidR="00A51903" w:rsidRDefault="00A51903" w:rsidP="005D78D1">
            <w:pPr>
              <w:keepNext/>
            </w:pPr>
          </w:p>
        </w:tc>
        <w:tc>
          <w:tcPr>
            <w:tcW w:w="6295" w:type="dxa"/>
            <w:tcBorders>
              <w:top w:val="single" w:sz="6" w:space="0" w:color="auto"/>
              <w:left w:val="single" w:sz="6" w:space="0" w:color="auto"/>
              <w:bottom w:val="single" w:sz="6" w:space="0" w:color="auto"/>
              <w:right w:val="single" w:sz="4" w:space="0" w:color="auto"/>
            </w:tcBorders>
          </w:tcPr>
          <w:p w14:paraId="7B277F2F" w14:textId="77777777" w:rsidR="00A51903" w:rsidRDefault="00A51903" w:rsidP="005D78D1">
            <w:pPr>
              <w:keepNext/>
            </w:pPr>
            <w:r>
              <w:t>Height of TV receiving antenna above ground.</w:t>
            </w:r>
          </w:p>
          <w:p w14:paraId="3547347F" w14:textId="77777777" w:rsidR="00A51903" w:rsidRDefault="00A51903" w:rsidP="005D78D1">
            <w:pPr>
              <w:keepNext/>
            </w:pPr>
          </w:p>
        </w:tc>
      </w:tr>
      <w:tr w:rsidR="00A51903" w14:paraId="63886F99" w14:textId="77777777" w:rsidTr="005D78D1">
        <w:trPr>
          <w:cantSplit/>
          <w:trHeight w:val="432"/>
          <w:jc w:val="center"/>
        </w:trPr>
        <w:tc>
          <w:tcPr>
            <w:tcW w:w="8674" w:type="dxa"/>
            <w:gridSpan w:val="3"/>
            <w:tcBorders>
              <w:top w:val="single" w:sz="6" w:space="0" w:color="auto"/>
              <w:left w:val="single" w:sz="4" w:space="0" w:color="auto"/>
              <w:bottom w:val="single" w:sz="4" w:space="0" w:color="auto"/>
              <w:right w:val="single" w:sz="4" w:space="0" w:color="auto"/>
            </w:tcBorders>
          </w:tcPr>
          <w:p w14:paraId="62B56249" w14:textId="127235D3" w:rsidR="00A51903" w:rsidRPr="006A7B15" w:rsidRDefault="00A51903" w:rsidP="005D78D1">
            <w:pPr>
              <w:keepNext/>
              <w:ind w:left="270" w:right="216"/>
              <w:jc w:val="both"/>
              <w:rPr>
                <w:szCs w:val="22"/>
              </w:rPr>
            </w:pPr>
            <w:r>
              <w:rPr>
                <w:szCs w:val="22"/>
              </w:rPr>
              <w:t xml:space="preserve">Note 1.  HG(1) in </w:t>
            </w:r>
            <w:r>
              <w:rPr>
                <w:szCs w:val="22"/>
              </w:rPr>
              <w:fldChar w:fldCharType="begin"/>
            </w:r>
            <w:r>
              <w:rPr>
                <w:szCs w:val="22"/>
              </w:rPr>
              <w:instrText xml:space="preserve"> REF _Ref378166656 \h </w:instrText>
            </w:r>
            <w:r>
              <w:rPr>
                <w:szCs w:val="22"/>
              </w:rPr>
            </w:r>
            <w:r>
              <w:rPr>
                <w:szCs w:val="22"/>
              </w:rPr>
              <w:fldChar w:fldCharType="separate"/>
            </w:r>
            <w:r w:rsidR="00CC6F3D" w:rsidRPr="001165AF">
              <w:rPr>
                <w:szCs w:val="22"/>
              </w:rPr>
              <w:t xml:space="preserve">Table </w:t>
            </w:r>
            <w:r w:rsidR="00CC6F3D">
              <w:rPr>
                <w:noProof/>
                <w:szCs w:val="22"/>
              </w:rPr>
              <w:t>3</w:t>
            </w:r>
            <w:r>
              <w:rPr>
                <w:szCs w:val="22"/>
              </w:rPr>
              <w:fldChar w:fldCharType="end"/>
            </w:r>
            <w:r>
              <w:rPr>
                <w:szCs w:val="22"/>
              </w:rPr>
              <w:t xml:space="preserve"> is the height of the transmitting antenna radiation center above ground.  For TV, it is determined by subtracting the ground elevation above mean sea level (AMSL) at the transmitter location from the height of the radiation center AMSL.  The latter value is contained in the FCC's CDBS, and may be found by query at </w:t>
            </w:r>
            <w:hyperlink r:id="rId23" w:history="1">
              <w:r>
                <w:rPr>
                  <w:rStyle w:val="Hyperlink"/>
                  <w:szCs w:val="22"/>
                </w:rPr>
                <w:t>http://www.fcc.gov/mb/video/tvq.html</w:t>
              </w:r>
            </w:hyperlink>
            <w:r>
              <w:rPr>
                <w:szCs w:val="22"/>
              </w:rPr>
              <w:t>.  The former is retrieved from the terrain elevation database as a function of the transmitter site coordinates also found in CDBS.  Bilinear interpolation between the surrounding data points in the terrain database is used to determine the ground elevation.  Care should be used to ensure that consistent horizontal and vertical datums are employed among all data sets.</w:t>
            </w:r>
          </w:p>
        </w:tc>
      </w:tr>
    </w:tbl>
    <w:p w14:paraId="042E1BB3" w14:textId="77777777" w:rsidR="00A51903" w:rsidRPr="001165AF" w:rsidRDefault="00A51903" w:rsidP="00A51903">
      <w:pPr>
        <w:keepNext/>
        <w:spacing w:before="120" w:after="120"/>
        <w:jc w:val="center"/>
        <w:rPr>
          <w:szCs w:val="22"/>
        </w:rPr>
      </w:pPr>
      <w:bookmarkStart w:id="10" w:name="_Ref378166656"/>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3</w:t>
      </w:r>
      <w:r>
        <w:rPr>
          <w:szCs w:val="22"/>
        </w:rPr>
        <w:fldChar w:fldCharType="end"/>
      </w:r>
      <w:bookmarkEnd w:id="10"/>
      <w:r w:rsidRPr="001165AF">
        <w:rPr>
          <w:szCs w:val="22"/>
        </w:rPr>
        <w:t>.  Longley-Rice parameter values</w:t>
      </w:r>
    </w:p>
    <w:p w14:paraId="77E950B4" w14:textId="77777777" w:rsidR="00A51903" w:rsidRPr="00C96F06" w:rsidRDefault="00A51903" w:rsidP="00A51903">
      <w:pPr>
        <w:rPr>
          <w:b/>
        </w:rPr>
      </w:pPr>
    </w:p>
    <w:p w14:paraId="6FE07B8B" w14:textId="77777777" w:rsidR="00590593" w:rsidRDefault="00590593">
      <w:pPr>
        <w:rPr>
          <w:b/>
        </w:rPr>
      </w:pPr>
      <w:r>
        <w:rPr>
          <w:b/>
        </w:rPr>
        <w:br w:type="page"/>
      </w:r>
    </w:p>
    <w:p w14:paraId="4CCA0FD0" w14:textId="0B845C95" w:rsidR="00A51903" w:rsidRPr="00C96F06" w:rsidRDefault="00A51903" w:rsidP="00A51903">
      <w:pPr>
        <w:rPr>
          <w:b/>
        </w:rPr>
      </w:pPr>
      <w:r>
        <w:rPr>
          <w:b/>
        </w:rPr>
        <w:t>Technical</w:t>
      </w:r>
      <w:r w:rsidRPr="000F0A95">
        <w:rPr>
          <w:b/>
        </w:rPr>
        <w:t xml:space="preserve"> Specifications</w:t>
      </w:r>
    </w:p>
    <w:p w14:paraId="7ECD734E" w14:textId="77777777" w:rsidR="00A51903" w:rsidRDefault="00A51903" w:rsidP="00A51903"/>
    <w:p w14:paraId="2ACD61E3" w14:textId="77777777" w:rsidR="00A51903" w:rsidRDefault="00A51903" w:rsidP="005D78D1">
      <w:pPr>
        <w:spacing w:after="120"/>
        <w:ind w:firstLine="720"/>
        <w:jc w:val="both"/>
      </w:pPr>
      <w:r w:rsidRPr="00C96F06">
        <w:rPr>
          <w:i/>
          <w:u w:val="single"/>
        </w:rPr>
        <w:t>Field Strength Limits for</w:t>
      </w:r>
      <w:r>
        <w:rPr>
          <w:i/>
          <w:u w:val="single"/>
        </w:rPr>
        <w:t xml:space="preserve"> DTV</w:t>
      </w:r>
      <w:r w:rsidRPr="00C96F06">
        <w:rPr>
          <w:i/>
          <w:u w:val="single"/>
        </w:rPr>
        <w:t xml:space="preserve"> Interference to Wireless</w:t>
      </w:r>
      <w:r>
        <w:rPr>
          <w:i/>
          <w:u w:val="single"/>
        </w:rPr>
        <w:t>.</w:t>
      </w:r>
      <w:r>
        <w:t xml:space="preserve">  We define the field strength interference limit for interference from DTV sources as shown </w:t>
      </w:r>
      <w:r w:rsidRPr="00866244">
        <w:t xml:space="preserve">in </w:t>
      </w:r>
      <w:r w:rsidRPr="00866244">
        <w:fldChar w:fldCharType="begin"/>
      </w:r>
      <w:r w:rsidRPr="00866244">
        <w:instrText xml:space="preserve"> REF _Ref378166748 \h </w:instrText>
      </w:r>
      <w:r>
        <w:instrText xml:space="preserve"> \* MERGEFORMAT </w:instrText>
      </w:r>
      <w:r w:rsidRPr="00866244">
        <w:fldChar w:fldCharType="separate"/>
      </w:r>
      <w:r w:rsidR="00CC6F3D" w:rsidRPr="00CC6F3D">
        <w:t xml:space="preserve">Table </w:t>
      </w:r>
      <w:r w:rsidR="00CC6F3D" w:rsidRPr="00CC6F3D">
        <w:rPr>
          <w:noProof/>
        </w:rPr>
        <w:t>4</w:t>
      </w:r>
      <w:r w:rsidRPr="00866244">
        <w:fldChar w:fldCharType="end"/>
      </w:r>
      <w:r>
        <w:t xml:space="preserve">.  </w:t>
      </w:r>
    </w:p>
    <w:p w14:paraId="24310055" w14:textId="77777777" w:rsidR="00A51903" w:rsidRDefault="00A51903" w:rsidP="00A5190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65"/>
        <w:gridCol w:w="601"/>
        <w:gridCol w:w="601"/>
        <w:gridCol w:w="601"/>
        <w:gridCol w:w="601"/>
        <w:gridCol w:w="601"/>
        <w:gridCol w:w="601"/>
        <w:gridCol w:w="601"/>
        <w:gridCol w:w="601"/>
        <w:gridCol w:w="601"/>
        <w:gridCol w:w="601"/>
        <w:gridCol w:w="601"/>
      </w:tblGrid>
      <w:tr w:rsidR="00A51903" w14:paraId="424901C9" w14:textId="77777777" w:rsidTr="005D78D1">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vAlign w:val="center"/>
            <w:hideMark/>
          </w:tcPr>
          <w:p w14:paraId="06E67F92" w14:textId="77777777" w:rsidR="00A51903" w:rsidRDefault="00A51903" w:rsidP="005D78D1">
            <w:pPr>
              <w:keepNext/>
              <w:keepLines/>
              <w:jc w:val="center"/>
              <w:rPr>
                <w:sz w:val="20"/>
              </w:rPr>
            </w:pPr>
            <w:r>
              <w:rPr>
                <w:sz w:val="20"/>
              </w:rPr>
              <w:t>Spectral Overlap (MHz)</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53B8AA7A" w14:textId="77777777" w:rsidR="00A51903" w:rsidRDefault="00A51903" w:rsidP="005D78D1">
            <w:pPr>
              <w:keepNext/>
              <w:keepLines/>
              <w:jc w:val="center"/>
              <w:rPr>
                <w:sz w:val="20"/>
              </w:rPr>
            </w:pPr>
            <w:r>
              <w:rPr>
                <w:sz w:val="20"/>
              </w:rPr>
              <w:t>5</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6E70EB20" w14:textId="77777777" w:rsidR="00A51903" w:rsidRDefault="00A51903" w:rsidP="005D78D1">
            <w:pPr>
              <w:keepNext/>
              <w:keepLines/>
              <w:jc w:val="center"/>
              <w:rPr>
                <w:sz w:val="20"/>
              </w:rPr>
            </w:pPr>
            <w:r>
              <w:rPr>
                <w:sz w:val="20"/>
              </w:rPr>
              <w:t>4</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CF91E89" w14:textId="77777777" w:rsidR="00A51903" w:rsidRDefault="00A51903" w:rsidP="005D78D1">
            <w:pPr>
              <w:keepNext/>
              <w:keepLines/>
              <w:jc w:val="center"/>
              <w:rPr>
                <w:sz w:val="20"/>
              </w:rPr>
            </w:pPr>
            <w:r>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C156DF8" w14:textId="77777777" w:rsidR="00A51903" w:rsidRDefault="00A51903" w:rsidP="005D78D1">
            <w:pPr>
              <w:keepNext/>
              <w:keepLines/>
              <w:jc w:val="center"/>
              <w:rPr>
                <w:sz w:val="20"/>
              </w:rPr>
            </w:pPr>
            <w:r>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5D28BB34" w14:textId="77777777" w:rsidR="00A51903" w:rsidRDefault="00A51903" w:rsidP="005D78D1">
            <w:pPr>
              <w:keepNext/>
              <w:keepLines/>
              <w:jc w:val="center"/>
              <w:rPr>
                <w:sz w:val="20"/>
              </w:rPr>
            </w:pPr>
            <w:r>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EA29A52" w14:textId="77777777" w:rsidR="00A51903" w:rsidRDefault="00A51903" w:rsidP="005D78D1">
            <w:pPr>
              <w:keepNext/>
              <w:keepLines/>
              <w:jc w:val="center"/>
              <w:rPr>
                <w:sz w:val="20"/>
              </w:rPr>
            </w:pPr>
            <w:r>
              <w:rPr>
                <w:sz w:val="20"/>
              </w:rPr>
              <w:t>0</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3F07333A" w14:textId="77777777" w:rsidR="00A51903" w:rsidRDefault="00A51903" w:rsidP="005D78D1">
            <w:pPr>
              <w:keepNext/>
              <w:keepLines/>
              <w:jc w:val="center"/>
              <w:rPr>
                <w:sz w:val="20"/>
              </w:rPr>
            </w:pPr>
            <w:r>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1245003B" w14:textId="77777777" w:rsidR="00A51903" w:rsidRDefault="00A51903" w:rsidP="005D78D1">
            <w:pPr>
              <w:keepNext/>
              <w:keepLines/>
              <w:jc w:val="center"/>
              <w:rPr>
                <w:sz w:val="20"/>
              </w:rPr>
            </w:pPr>
            <w:r>
              <w:rPr>
                <w:sz w:val="20"/>
              </w:rPr>
              <w:t>-2</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7C2687D5" w14:textId="77777777" w:rsidR="00A51903" w:rsidRDefault="00A51903" w:rsidP="005D78D1">
            <w:pPr>
              <w:keepNext/>
              <w:keepLines/>
              <w:jc w:val="center"/>
              <w:rPr>
                <w:sz w:val="20"/>
              </w:rPr>
            </w:pPr>
            <w:r>
              <w:rPr>
                <w:sz w:val="20"/>
              </w:rPr>
              <w:t>-3</w:t>
            </w:r>
          </w:p>
        </w:tc>
        <w:tc>
          <w:tcPr>
            <w:tcW w:w="0" w:type="auto"/>
            <w:tcBorders>
              <w:top w:val="single" w:sz="4" w:space="0" w:color="auto"/>
              <w:left w:val="single" w:sz="6" w:space="0" w:color="auto"/>
              <w:bottom w:val="single" w:sz="6" w:space="0" w:color="auto"/>
              <w:right w:val="single" w:sz="6" w:space="0" w:color="auto"/>
            </w:tcBorders>
            <w:shd w:val="clear" w:color="auto" w:fill="E0E0E0"/>
            <w:vAlign w:val="center"/>
            <w:hideMark/>
          </w:tcPr>
          <w:p w14:paraId="6D36039E" w14:textId="77777777" w:rsidR="00A51903" w:rsidRDefault="00A51903" w:rsidP="005D78D1">
            <w:pPr>
              <w:keepNext/>
              <w:keepLines/>
              <w:jc w:val="center"/>
              <w:rPr>
                <w:sz w:val="20"/>
              </w:rPr>
            </w:pPr>
            <w:r>
              <w:rPr>
                <w:sz w:val="20"/>
              </w:rPr>
              <w:t>-4</w:t>
            </w:r>
          </w:p>
        </w:tc>
        <w:tc>
          <w:tcPr>
            <w:tcW w:w="0" w:type="auto"/>
            <w:tcBorders>
              <w:top w:val="single" w:sz="4" w:space="0" w:color="auto"/>
              <w:left w:val="single" w:sz="6" w:space="0" w:color="auto"/>
              <w:bottom w:val="single" w:sz="6" w:space="0" w:color="auto"/>
              <w:right w:val="single" w:sz="4" w:space="0" w:color="auto"/>
            </w:tcBorders>
            <w:shd w:val="clear" w:color="auto" w:fill="E0E0E0"/>
            <w:vAlign w:val="center"/>
            <w:hideMark/>
          </w:tcPr>
          <w:p w14:paraId="4C35AD5F" w14:textId="77777777" w:rsidR="00A51903" w:rsidRDefault="00A51903" w:rsidP="005D78D1">
            <w:pPr>
              <w:keepNext/>
              <w:keepLines/>
              <w:jc w:val="center"/>
              <w:rPr>
                <w:sz w:val="20"/>
              </w:rPr>
            </w:pPr>
            <w:r>
              <w:rPr>
                <w:sz w:val="20"/>
              </w:rPr>
              <w:t>-5</w:t>
            </w:r>
          </w:p>
        </w:tc>
      </w:tr>
      <w:tr w:rsidR="00A51903" w14:paraId="30CC14DE" w14:textId="77777777" w:rsidTr="005D78D1">
        <w:trPr>
          <w:cantSplit/>
          <w:jc w:val="center"/>
        </w:trPr>
        <w:tc>
          <w:tcPr>
            <w:tcW w:w="0" w:type="auto"/>
            <w:tcBorders>
              <w:top w:val="single" w:sz="6" w:space="0" w:color="auto"/>
              <w:left w:val="single" w:sz="4" w:space="0" w:color="auto"/>
              <w:bottom w:val="single" w:sz="6" w:space="0" w:color="auto"/>
              <w:right w:val="single" w:sz="6" w:space="0" w:color="auto"/>
            </w:tcBorders>
            <w:vAlign w:val="center"/>
            <w:hideMark/>
          </w:tcPr>
          <w:p w14:paraId="05D6418F" w14:textId="77777777" w:rsidR="00A51903" w:rsidRDefault="00A51903" w:rsidP="005D78D1">
            <w:pPr>
              <w:keepNext/>
              <w:keepLines/>
            </w:pPr>
            <w:r>
              <w:t>DTV Field Strength</w:t>
            </w:r>
          </w:p>
          <w:p w14:paraId="079DADA5" w14:textId="77777777" w:rsidR="00A51903" w:rsidRDefault="00A51903" w:rsidP="005D78D1">
            <w:pPr>
              <w:keepNext/>
              <w:keepLines/>
            </w:pPr>
            <w:r>
              <w:t>into Wireless Uplink (dBµV/m)</w:t>
            </w:r>
          </w:p>
        </w:tc>
        <w:tc>
          <w:tcPr>
            <w:tcW w:w="0" w:type="auto"/>
            <w:tcBorders>
              <w:top w:val="single" w:sz="6" w:space="0" w:color="auto"/>
              <w:left w:val="single" w:sz="6" w:space="0" w:color="auto"/>
              <w:bottom w:val="single" w:sz="6" w:space="0" w:color="auto"/>
              <w:right w:val="single" w:sz="6" w:space="0" w:color="auto"/>
            </w:tcBorders>
            <w:vAlign w:val="center"/>
            <w:hideMark/>
          </w:tcPr>
          <w:p w14:paraId="471B4A3D" w14:textId="77777777" w:rsidR="00A51903" w:rsidRDefault="00A51903" w:rsidP="005D78D1">
            <w:pPr>
              <w:keepNext/>
              <w:keepLines/>
              <w:jc w:val="center"/>
            </w:pPr>
            <w:r>
              <w:t>17.3</w:t>
            </w:r>
          </w:p>
        </w:tc>
        <w:tc>
          <w:tcPr>
            <w:tcW w:w="0" w:type="auto"/>
            <w:tcBorders>
              <w:top w:val="single" w:sz="6" w:space="0" w:color="auto"/>
              <w:left w:val="single" w:sz="6" w:space="0" w:color="auto"/>
              <w:bottom w:val="single" w:sz="6" w:space="0" w:color="auto"/>
              <w:right w:val="single" w:sz="6" w:space="0" w:color="auto"/>
            </w:tcBorders>
            <w:vAlign w:val="center"/>
            <w:hideMark/>
          </w:tcPr>
          <w:p w14:paraId="7CFBE1F2" w14:textId="77777777" w:rsidR="00A51903" w:rsidRDefault="00A51903" w:rsidP="005D78D1">
            <w:pPr>
              <w:keepNext/>
              <w:keepLines/>
              <w:jc w:val="center"/>
            </w:pPr>
            <w:r>
              <w:t>18.2</w:t>
            </w:r>
          </w:p>
        </w:tc>
        <w:tc>
          <w:tcPr>
            <w:tcW w:w="0" w:type="auto"/>
            <w:tcBorders>
              <w:top w:val="single" w:sz="6" w:space="0" w:color="auto"/>
              <w:left w:val="single" w:sz="6" w:space="0" w:color="auto"/>
              <w:bottom w:val="single" w:sz="6" w:space="0" w:color="auto"/>
              <w:right w:val="single" w:sz="6" w:space="0" w:color="auto"/>
            </w:tcBorders>
            <w:vAlign w:val="center"/>
            <w:hideMark/>
          </w:tcPr>
          <w:p w14:paraId="6617EE4F" w14:textId="77777777" w:rsidR="00A51903" w:rsidRDefault="00A51903" w:rsidP="005D78D1">
            <w:pPr>
              <w:keepNext/>
              <w:keepLines/>
              <w:jc w:val="center"/>
            </w:pPr>
            <w:r>
              <w:t>19.5</w:t>
            </w:r>
          </w:p>
        </w:tc>
        <w:tc>
          <w:tcPr>
            <w:tcW w:w="0" w:type="auto"/>
            <w:tcBorders>
              <w:top w:val="single" w:sz="6" w:space="0" w:color="auto"/>
              <w:left w:val="single" w:sz="6" w:space="0" w:color="auto"/>
              <w:bottom w:val="single" w:sz="6" w:space="0" w:color="auto"/>
              <w:right w:val="single" w:sz="6" w:space="0" w:color="auto"/>
            </w:tcBorders>
            <w:vAlign w:val="center"/>
            <w:hideMark/>
          </w:tcPr>
          <w:p w14:paraId="3F1E2E08" w14:textId="77777777" w:rsidR="00A51903" w:rsidRDefault="00A51903" w:rsidP="005D78D1">
            <w:pPr>
              <w:keepNext/>
              <w:keepLines/>
              <w:jc w:val="center"/>
            </w:pPr>
            <w:r>
              <w:t>21.2</w:t>
            </w:r>
          </w:p>
        </w:tc>
        <w:tc>
          <w:tcPr>
            <w:tcW w:w="0" w:type="auto"/>
            <w:tcBorders>
              <w:top w:val="single" w:sz="6" w:space="0" w:color="auto"/>
              <w:left w:val="single" w:sz="6" w:space="0" w:color="auto"/>
              <w:bottom w:val="single" w:sz="6" w:space="0" w:color="auto"/>
              <w:right w:val="single" w:sz="6" w:space="0" w:color="auto"/>
            </w:tcBorders>
            <w:vAlign w:val="center"/>
            <w:hideMark/>
          </w:tcPr>
          <w:p w14:paraId="03D8C0E0" w14:textId="77777777" w:rsidR="00A51903" w:rsidRDefault="00A51903" w:rsidP="005D78D1">
            <w:pPr>
              <w:keepNext/>
              <w:keepLines/>
              <w:jc w:val="center"/>
            </w:pPr>
            <w:r>
              <w:t>24.0</w:t>
            </w:r>
          </w:p>
        </w:tc>
        <w:tc>
          <w:tcPr>
            <w:tcW w:w="0" w:type="auto"/>
            <w:tcBorders>
              <w:top w:val="single" w:sz="6" w:space="0" w:color="auto"/>
              <w:left w:val="single" w:sz="6" w:space="0" w:color="auto"/>
              <w:bottom w:val="single" w:sz="6" w:space="0" w:color="auto"/>
              <w:right w:val="single" w:sz="6" w:space="0" w:color="auto"/>
            </w:tcBorders>
            <w:vAlign w:val="center"/>
            <w:hideMark/>
          </w:tcPr>
          <w:p w14:paraId="2D6C0E4B" w14:textId="77777777" w:rsidR="00A51903" w:rsidRDefault="00A51903" w:rsidP="005D78D1">
            <w:pPr>
              <w:keepNext/>
              <w:keepLines/>
              <w:jc w:val="center"/>
            </w:pPr>
            <w:r>
              <w:t>34.4</w:t>
            </w:r>
          </w:p>
        </w:tc>
        <w:tc>
          <w:tcPr>
            <w:tcW w:w="0" w:type="auto"/>
            <w:tcBorders>
              <w:top w:val="single" w:sz="6" w:space="0" w:color="auto"/>
              <w:left w:val="single" w:sz="6" w:space="0" w:color="auto"/>
              <w:bottom w:val="single" w:sz="6" w:space="0" w:color="auto"/>
              <w:right w:val="single" w:sz="6" w:space="0" w:color="auto"/>
            </w:tcBorders>
            <w:vAlign w:val="center"/>
            <w:hideMark/>
          </w:tcPr>
          <w:p w14:paraId="256D2093" w14:textId="77777777" w:rsidR="00A51903" w:rsidRDefault="00A51903" w:rsidP="005D78D1">
            <w:pPr>
              <w:keepNext/>
              <w:keepLines/>
              <w:jc w:val="center"/>
            </w:pPr>
            <w:r>
              <w:t>61.4</w:t>
            </w:r>
          </w:p>
        </w:tc>
        <w:tc>
          <w:tcPr>
            <w:tcW w:w="0" w:type="auto"/>
            <w:tcBorders>
              <w:top w:val="single" w:sz="6" w:space="0" w:color="auto"/>
              <w:left w:val="single" w:sz="6" w:space="0" w:color="auto"/>
              <w:bottom w:val="single" w:sz="6" w:space="0" w:color="auto"/>
              <w:right w:val="single" w:sz="6" w:space="0" w:color="auto"/>
            </w:tcBorders>
            <w:vAlign w:val="center"/>
            <w:hideMark/>
          </w:tcPr>
          <w:p w14:paraId="66876C42" w14:textId="77777777" w:rsidR="00A51903" w:rsidRDefault="00A51903" w:rsidP="005D78D1">
            <w:pPr>
              <w:keepNext/>
              <w:keepLines/>
              <w:jc w:val="center"/>
            </w:pPr>
            <w:r>
              <w:t>62.5</w:t>
            </w:r>
          </w:p>
        </w:tc>
        <w:tc>
          <w:tcPr>
            <w:tcW w:w="0" w:type="auto"/>
            <w:tcBorders>
              <w:top w:val="single" w:sz="6" w:space="0" w:color="auto"/>
              <w:left w:val="single" w:sz="6" w:space="0" w:color="auto"/>
              <w:bottom w:val="single" w:sz="6" w:space="0" w:color="auto"/>
              <w:right w:val="single" w:sz="6" w:space="0" w:color="auto"/>
            </w:tcBorders>
            <w:vAlign w:val="center"/>
            <w:hideMark/>
          </w:tcPr>
          <w:p w14:paraId="74511D67" w14:textId="77777777" w:rsidR="00A51903" w:rsidRDefault="00A51903" w:rsidP="005D78D1">
            <w:pPr>
              <w:keepNext/>
              <w:keepLines/>
              <w:jc w:val="center"/>
            </w:pPr>
            <w:r>
              <w:t>63.7</w:t>
            </w:r>
          </w:p>
        </w:tc>
        <w:tc>
          <w:tcPr>
            <w:tcW w:w="0" w:type="auto"/>
            <w:tcBorders>
              <w:top w:val="single" w:sz="6" w:space="0" w:color="auto"/>
              <w:left w:val="single" w:sz="6" w:space="0" w:color="auto"/>
              <w:bottom w:val="single" w:sz="6" w:space="0" w:color="auto"/>
              <w:right w:val="single" w:sz="6" w:space="0" w:color="auto"/>
            </w:tcBorders>
            <w:vAlign w:val="center"/>
            <w:hideMark/>
          </w:tcPr>
          <w:p w14:paraId="66E1FB2A" w14:textId="77777777" w:rsidR="00A51903" w:rsidRDefault="00A51903" w:rsidP="005D78D1">
            <w:pPr>
              <w:keepNext/>
              <w:keepLines/>
              <w:jc w:val="center"/>
            </w:pPr>
            <w:r>
              <w:t>65.5</w:t>
            </w:r>
          </w:p>
        </w:tc>
        <w:tc>
          <w:tcPr>
            <w:tcW w:w="0" w:type="auto"/>
            <w:tcBorders>
              <w:top w:val="single" w:sz="6" w:space="0" w:color="auto"/>
              <w:left w:val="single" w:sz="6" w:space="0" w:color="auto"/>
              <w:bottom w:val="single" w:sz="6" w:space="0" w:color="auto"/>
              <w:right w:val="single" w:sz="4" w:space="0" w:color="auto"/>
            </w:tcBorders>
            <w:vAlign w:val="center"/>
            <w:hideMark/>
          </w:tcPr>
          <w:p w14:paraId="066D791E" w14:textId="77777777" w:rsidR="00A51903" w:rsidRDefault="00A51903" w:rsidP="005D78D1">
            <w:pPr>
              <w:keepNext/>
              <w:keepLines/>
              <w:jc w:val="center"/>
            </w:pPr>
            <w:r>
              <w:t>68.6</w:t>
            </w:r>
          </w:p>
        </w:tc>
      </w:tr>
      <w:tr w:rsidR="00A51903" w14:paraId="0CC65F71" w14:textId="77777777" w:rsidTr="005D78D1">
        <w:trPr>
          <w:cantSplit/>
          <w:jc w:val="center"/>
        </w:trPr>
        <w:tc>
          <w:tcPr>
            <w:tcW w:w="0" w:type="auto"/>
            <w:tcBorders>
              <w:top w:val="single" w:sz="6" w:space="0" w:color="auto"/>
              <w:left w:val="single" w:sz="4" w:space="0" w:color="auto"/>
              <w:bottom w:val="single" w:sz="4" w:space="0" w:color="auto"/>
              <w:right w:val="single" w:sz="6" w:space="0" w:color="auto"/>
            </w:tcBorders>
            <w:vAlign w:val="center"/>
            <w:hideMark/>
          </w:tcPr>
          <w:p w14:paraId="20495F7E" w14:textId="77777777" w:rsidR="00A51903" w:rsidRDefault="00A51903" w:rsidP="005D78D1">
            <w:pPr>
              <w:keepLines/>
            </w:pPr>
            <w:r>
              <w:t>DTV Field Strength</w:t>
            </w:r>
          </w:p>
          <w:p w14:paraId="39E12C41" w14:textId="77777777" w:rsidR="00A51903" w:rsidRDefault="00A51903" w:rsidP="005D78D1">
            <w:pPr>
              <w:keepLines/>
            </w:pPr>
            <w:r>
              <w:t>into Wireless Downlink (dBµV/m)</w:t>
            </w:r>
          </w:p>
        </w:tc>
        <w:tc>
          <w:tcPr>
            <w:tcW w:w="0" w:type="auto"/>
            <w:tcBorders>
              <w:top w:val="single" w:sz="6" w:space="0" w:color="auto"/>
              <w:left w:val="single" w:sz="6" w:space="0" w:color="auto"/>
              <w:bottom w:val="single" w:sz="4" w:space="0" w:color="auto"/>
              <w:right w:val="single" w:sz="6" w:space="0" w:color="auto"/>
            </w:tcBorders>
            <w:vAlign w:val="center"/>
            <w:hideMark/>
          </w:tcPr>
          <w:p w14:paraId="0E6B9E65" w14:textId="77777777" w:rsidR="00A51903" w:rsidRDefault="00A51903" w:rsidP="005D78D1">
            <w:pPr>
              <w:keepLines/>
              <w:jc w:val="center"/>
            </w:pPr>
            <w:r>
              <w:t>33.8</w:t>
            </w:r>
          </w:p>
        </w:tc>
        <w:tc>
          <w:tcPr>
            <w:tcW w:w="0" w:type="auto"/>
            <w:tcBorders>
              <w:top w:val="single" w:sz="6" w:space="0" w:color="auto"/>
              <w:left w:val="single" w:sz="6" w:space="0" w:color="auto"/>
              <w:bottom w:val="single" w:sz="4" w:space="0" w:color="auto"/>
              <w:right w:val="single" w:sz="6" w:space="0" w:color="auto"/>
            </w:tcBorders>
            <w:vAlign w:val="center"/>
            <w:hideMark/>
          </w:tcPr>
          <w:p w14:paraId="51A847EE" w14:textId="77777777" w:rsidR="00A51903" w:rsidRDefault="00A51903" w:rsidP="005D78D1">
            <w:pPr>
              <w:keepNext/>
              <w:keepLines/>
              <w:jc w:val="center"/>
            </w:pPr>
            <w:r>
              <w:t>34.7</w:t>
            </w:r>
          </w:p>
        </w:tc>
        <w:tc>
          <w:tcPr>
            <w:tcW w:w="0" w:type="auto"/>
            <w:tcBorders>
              <w:top w:val="single" w:sz="6" w:space="0" w:color="auto"/>
              <w:left w:val="single" w:sz="6" w:space="0" w:color="auto"/>
              <w:bottom w:val="single" w:sz="4" w:space="0" w:color="auto"/>
              <w:right w:val="single" w:sz="6" w:space="0" w:color="auto"/>
            </w:tcBorders>
            <w:vAlign w:val="center"/>
            <w:hideMark/>
          </w:tcPr>
          <w:p w14:paraId="3FDC5AFD" w14:textId="77777777" w:rsidR="00A51903" w:rsidRDefault="00A51903" w:rsidP="005D78D1">
            <w:pPr>
              <w:keepNext/>
              <w:keepLines/>
              <w:jc w:val="center"/>
            </w:pPr>
            <w:r>
              <w:t>36.0</w:t>
            </w:r>
          </w:p>
        </w:tc>
        <w:tc>
          <w:tcPr>
            <w:tcW w:w="0" w:type="auto"/>
            <w:tcBorders>
              <w:top w:val="single" w:sz="6" w:space="0" w:color="auto"/>
              <w:left w:val="single" w:sz="6" w:space="0" w:color="auto"/>
              <w:bottom w:val="single" w:sz="4" w:space="0" w:color="auto"/>
              <w:right w:val="single" w:sz="6" w:space="0" w:color="auto"/>
            </w:tcBorders>
            <w:vAlign w:val="center"/>
            <w:hideMark/>
          </w:tcPr>
          <w:p w14:paraId="039B7A79" w14:textId="77777777" w:rsidR="00A51903" w:rsidRDefault="00A51903" w:rsidP="005D78D1">
            <w:pPr>
              <w:keepNext/>
              <w:keepLines/>
              <w:jc w:val="center"/>
            </w:pPr>
            <w:r>
              <w:t>37.6</w:t>
            </w:r>
          </w:p>
        </w:tc>
        <w:tc>
          <w:tcPr>
            <w:tcW w:w="0" w:type="auto"/>
            <w:tcBorders>
              <w:top w:val="single" w:sz="6" w:space="0" w:color="auto"/>
              <w:left w:val="single" w:sz="6" w:space="0" w:color="auto"/>
              <w:bottom w:val="single" w:sz="4" w:space="0" w:color="auto"/>
              <w:right w:val="single" w:sz="6" w:space="0" w:color="auto"/>
            </w:tcBorders>
            <w:vAlign w:val="center"/>
            <w:hideMark/>
          </w:tcPr>
          <w:p w14:paraId="7EB63045" w14:textId="77777777" w:rsidR="00A51903" w:rsidRDefault="00A51903" w:rsidP="005D78D1">
            <w:pPr>
              <w:keepNext/>
              <w:keepLines/>
              <w:jc w:val="center"/>
            </w:pPr>
            <w:r>
              <w:t>40.4</w:t>
            </w:r>
          </w:p>
        </w:tc>
        <w:tc>
          <w:tcPr>
            <w:tcW w:w="0" w:type="auto"/>
            <w:tcBorders>
              <w:top w:val="single" w:sz="6" w:space="0" w:color="auto"/>
              <w:left w:val="single" w:sz="6" w:space="0" w:color="auto"/>
              <w:bottom w:val="single" w:sz="4" w:space="0" w:color="auto"/>
              <w:right w:val="single" w:sz="6" w:space="0" w:color="auto"/>
            </w:tcBorders>
            <w:vAlign w:val="center"/>
            <w:hideMark/>
          </w:tcPr>
          <w:p w14:paraId="2E66CFBD" w14:textId="77777777" w:rsidR="00A51903" w:rsidRDefault="00A51903" w:rsidP="005D78D1">
            <w:pPr>
              <w:keepNext/>
              <w:keepLines/>
              <w:jc w:val="center"/>
            </w:pPr>
            <w:r>
              <w:t>50.7</w:t>
            </w:r>
          </w:p>
        </w:tc>
        <w:tc>
          <w:tcPr>
            <w:tcW w:w="0" w:type="auto"/>
            <w:tcBorders>
              <w:top w:val="single" w:sz="6" w:space="0" w:color="auto"/>
              <w:left w:val="single" w:sz="6" w:space="0" w:color="auto"/>
              <w:bottom w:val="single" w:sz="4" w:space="0" w:color="auto"/>
              <w:right w:val="single" w:sz="6" w:space="0" w:color="auto"/>
            </w:tcBorders>
            <w:vAlign w:val="center"/>
            <w:hideMark/>
          </w:tcPr>
          <w:p w14:paraId="393C4520" w14:textId="77777777" w:rsidR="00A51903" w:rsidRDefault="00A51903" w:rsidP="005D78D1">
            <w:pPr>
              <w:keepNext/>
              <w:keepLines/>
              <w:jc w:val="center"/>
            </w:pPr>
            <w:r>
              <w:t>65.8</w:t>
            </w:r>
          </w:p>
        </w:tc>
        <w:tc>
          <w:tcPr>
            <w:tcW w:w="0" w:type="auto"/>
            <w:tcBorders>
              <w:top w:val="single" w:sz="6" w:space="0" w:color="auto"/>
              <w:left w:val="single" w:sz="6" w:space="0" w:color="auto"/>
              <w:bottom w:val="single" w:sz="4" w:space="0" w:color="auto"/>
              <w:right w:val="single" w:sz="6" w:space="0" w:color="auto"/>
            </w:tcBorders>
            <w:vAlign w:val="center"/>
            <w:hideMark/>
          </w:tcPr>
          <w:p w14:paraId="5834B0B2" w14:textId="77777777" w:rsidR="00A51903" w:rsidRDefault="00A51903" w:rsidP="005D78D1">
            <w:pPr>
              <w:keepLines/>
              <w:jc w:val="center"/>
            </w:pPr>
            <w:r>
              <w:t>66.6</w:t>
            </w:r>
          </w:p>
        </w:tc>
        <w:tc>
          <w:tcPr>
            <w:tcW w:w="0" w:type="auto"/>
            <w:tcBorders>
              <w:top w:val="single" w:sz="6" w:space="0" w:color="auto"/>
              <w:left w:val="single" w:sz="6" w:space="0" w:color="auto"/>
              <w:bottom w:val="single" w:sz="4" w:space="0" w:color="auto"/>
              <w:right w:val="single" w:sz="6" w:space="0" w:color="auto"/>
            </w:tcBorders>
            <w:vAlign w:val="center"/>
            <w:hideMark/>
          </w:tcPr>
          <w:p w14:paraId="786B6EDB" w14:textId="77777777" w:rsidR="00A51903" w:rsidRDefault="00A51903" w:rsidP="005D78D1">
            <w:pPr>
              <w:keepLines/>
              <w:jc w:val="center"/>
            </w:pPr>
            <w:r>
              <w:t>67.6</w:t>
            </w:r>
          </w:p>
        </w:tc>
        <w:tc>
          <w:tcPr>
            <w:tcW w:w="0" w:type="auto"/>
            <w:tcBorders>
              <w:top w:val="single" w:sz="6" w:space="0" w:color="auto"/>
              <w:left w:val="single" w:sz="6" w:space="0" w:color="auto"/>
              <w:bottom w:val="single" w:sz="4" w:space="0" w:color="auto"/>
              <w:right w:val="single" w:sz="6" w:space="0" w:color="auto"/>
            </w:tcBorders>
            <w:vAlign w:val="center"/>
            <w:hideMark/>
          </w:tcPr>
          <w:p w14:paraId="4C88D1BA" w14:textId="77777777" w:rsidR="00A51903" w:rsidRDefault="00A51903" w:rsidP="005D78D1">
            <w:pPr>
              <w:keepLines/>
              <w:jc w:val="center"/>
            </w:pPr>
            <w:r>
              <w:t>68.9</w:t>
            </w:r>
          </w:p>
        </w:tc>
        <w:tc>
          <w:tcPr>
            <w:tcW w:w="0" w:type="auto"/>
            <w:tcBorders>
              <w:top w:val="single" w:sz="6" w:space="0" w:color="auto"/>
              <w:left w:val="single" w:sz="6" w:space="0" w:color="auto"/>
              <w:bottom w:val="single" w:sz="4" w:space="0" w:color="auto"/>
              <w:right w:val="single" w:sz="4" w:space="0" w:color="auto"/>
            </w:tcBorders>
            <w:vAlign w:val="center"/>
            <w:hideMark/>
          </w:tcPr>
          <w:p w14:paraId="37E2A450" w14:textId="77777777" w:rsidR="00A51903" w:rsidRDefault="00A51903" w:rsidP="005D78D1">
            <w:pPr>
              <w:keepLines/>
              <w:jc w:val="center"/>
            </w:pPr>
            <w:r>
              <w:t>70.8</w:t>
            </w:r>
          </w:p>
        </w:tc>
      </w:tr>
    </w:tbl>
    <w:p w14:paraId="31482561" w14:textId="77777777" w:rsidR="00A51903" w:rsidRPr="001165AF" w:rsidRDefault="00A51903" w:rsidP="00A51903">
      <w:pPr>
        <w:keepLines/>
        <w:spacing w:before="120" w:after="120"/>
        <w:jc w:val="center"/>
        <w:rPr>
          <w:szCs w:val="22"/>
        </w:rPr>
      </w:pPr>
      <w:bookmarkStart w:id="11" w:name="_Ref378166748"/>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4</w:t>
      </w:r>
      <w:r>
        <w:rPr>
          <w:szCs w:val="22"/>
        </w:rPr>
        <w:fldChar w:fldCharType="end"/>
      </w:r>
      <w:bookmarkEnd w:id="11"/>
      <w:r w:rsidRPr="001165AF">
        <w:rPr>
          <w:szCs w:val="22"/>
        </w:rPr>
        <w:t>.  Interference field strength values for DTV into wireless</w:t>
      </w:r>
    </w:p>
    <w:p w14:paraId="37CEBDF9" w14:textId="77777777" w:rsidR="00A51903" w:rsidRDefault="00A51903" w:rsidP="00A51903"/>
    <w:p w14:paraId="115ADB17" w14:textId="77777777" w:rsidR="00A51903" w:rsidRDefault="00A51903" w:rsidP="00A51903">
      <w:pPr>
        <w:jc w:val="both"/>
      </w:pPr>
      <w:r>
        <w:t xml:space="preserve">The values shown in </w:t>
      </w:r>
      <w:r w:rsidRPr="00866244">
        <w:fldChar w:fldCharType="begin"/>
      </w:r>
      <w:r w:rsidRPr="00BF3FA3">
        <w:instrText xml:space="preserve"> REF _Ref378166748 \h </w:instrText>
      </w:r>
      <w:r>
        <w:instrText xml:space="preserve"> \* MERGEFORMAT </w:instrText>
      </w:r>
      <w:r w:rsidRPr="00866244">
        <w:fldChar w:fldCharType="separate"/>
      </w:r>
      <w:r w:rsidR="00CC6F3D" w:rsidRPr="00CC6F3D">
        <w:t xml:space="preserve">Table </w:t>
      </w:r>
      <w:r w:rsidR="00CC6F3D" w:rsidRPr="00CC6F3D">
        <w:rPr>
          <w:noProof/>
        </w:rPr>
        <w:t>4</w:t>
      </w:r>
      <w:r w:rsidRPr="00866244">
        <w:fldChar w:fldCharType="end"/>
      </w:r>
      <w:r>
        <w:t xml:space="preserve"> are derived from the technical specifications and assumptions </w:t>
      </w:r>
      <w:r w:rsidRPr="00866244">
        <w:t xml:space="preserve">given in </w:t>
      </w:r>
      <w:r w:rsidRPr="00866244">
        <w:fldChar w:fldCharType="begin"/>
      </w:r>
      <w:r w:rsidRPr="00866244">
        <w:instrText xml:space="preserve"> REF _Ref378166378 \h </w:instrText>
      </w:r>
      <w:r>
        <w:instrText xml:space="preserve"> \* MERGEFORMAT </w:instrText>
      </w:r>
      <w:r w:rsidRPr="00866244">
        <w:fldChar w:fldCharType="separate"/>
      </w:r>
      <w:r w:rsidR="00CC6F3D" w:rsidRPr="00CC6F3D">
        <w:t xml:space="preserve">Table </w:t>
      </w:r>
      <w:r w:rsidR="00CC6F3D" w:rsidRPr="00CC6F3D">
        <w:rPr>
          <w:noProof/>
        </w:rPr>
        <w:t>5</w:t>
      </w:r>
      <w:r w:rsidRPr="00866244">
        <w:fldChar w:fldCharType="end"/>
      </w:r>
      <w:r w:rsidRPr="00866244">
        <w:t xml:space="preserve">, </w:t>
      </w:r>
      <w:r w:rsidRPr="00866244">
        <w:fldChar w:fldCharType="begin"/>
      </w:r>
      <w:r w:rsidRPr="00866244">
        <w:instrText xml:space="preserve"> REF _Ref378166386 \h </w:instrText>
      </w:r>
      <w:r>
        <w:instrText xml:space="preserve"> \* MERGEFORMAT </w:instrText>
      </w:r>
      <w:r w:rsidRPr="00866244">
        <w:fldChar w:fldCharType="separate"/>
      </w:r>
      <w:r w:rsidR="00CC6F3D" w:rsidRPr="00CC6F3D">
        <w:t xml:space="preserve">Table </w:t>
      </w:r>
      <w:r w:rsidR="00CC6F3D" w:rsidRPr="00CC6F3D">
        <w:rPr>
          <w:noProof/>
        </w:rPr>
        <w:t>6</w:t>
      </w:r>
      <w:r w:rsidRPr="00866244">
        <w:fldChar w:fldCharType="end"/>
      </w:r>
      <w:r>
        <w:t>,</w:t>
      </w:r>
      <w:r w:rsidRPr="00866244">
        <w:t xml:space="preserve"> and </w:t>
      </w:r>
      <w:r w:rsidRPr="00866244">
        <w:fldChar w:fldCharType="begin"/>
      </w:r>
      <w:r w:rsidRPr="00866244">
        <w:instrText xml:space="preserve"> REF _Ref378166344 \h </w:instrText>
      </w:r>
      <w:r>
        <w:instrText xml:space="preserve"> \* MERGEFORMAT </w:instrText>
      </w:r>
      <w:r w:rsidRPr="00866244">
        <w:fldChar w:fldCharType="separate"/>
      </w:r>
      <w:r w:rsidR="00CC6F3D" w:rsidRPr="00CC6F3D">
        <w:t xml:space="preserve">Table </w:t>
      </w:r>
      <w:r w:rsidR="00CC6F3D" w:rsidRPr="00CC6F3D">
        <w:rPr>
          <w:noProof/>
        </w:rPr>
        <w:t>7</w:t>
      </w:r>
      <w:r w:rsidRPr="00866244">
        <w:fldChar w:fldCharType="end"/>
      </w:r>
      <w:r w:rsidRPr="00866244">
        <w:t xml:space="preserve"> using the</w:t>
      </w:r>
      <w:r>
        <w:t xml:space="preserve"> formula below.</w:t>
      </w:r>
    </w:p>
    <w:p w14:paraId="6593CED4" w14:textId="77777777" w:rsidR="00A51903" w:rsidRDefault="00A51903" w:rsidP="00A51903"/>
    <w:p w14:paraId="7272942C" w14:textId="77777777" w:rsidR="00A51903" w:rsidRDefault="00A51903" w:rsidP="00A51903">
      <w:pPr>
        <w:jc w:val="center"/>
      </w:pPr>
      <w:r>
        <w:t>Field Strength Limit (dBµV/m) = P</w:t>
      </w:r>
      <w:r>
        <w:rPr>
          <w:vertAlign w:val="subscript"/>
        </w:rPr>
        <w:t>r</w:t>
      </w:r>
      <w:r>
        <w:t xml:space="preserve">  - K</w:t>
      </w:r>
      <w:r>
        <w:rPr>
          <w:vertAlign w:val="subscript"/>
        </w:rPr>
        <w:t>d</w:t>
      </w:r>
      <w:r>
        <w:t xml:space="preserve">  - G  + L + OTR + OFR(Δf)</w:t>
      </w:r>
    </w:p>
    <w:p w14:paraId="30AB512C" w14:textId="77777777" w:rsidR="00A51903" w:rsidRDefault="00A51903" w:rsidP="00A51903"/>
    <w:p w14:paraId="3755E21F" w14:textId="77777777" w:rsidR="00A51903" w:rsidRDefault="00A51903" w:rsidP="00A51903">
      <w:pPr>
        <w:keepNext/>
      </w:pPr>
      <w:r>
        <w:t>Where:</w:t>
      </w:r>
    </w:p>
    <w:p w14:paraId="74D090A2" w14:textId="77777777" w:rsidR="00A51903" w:rsidRDefault="00A51903" w:rsidP="00A51903">
      <w:pPr>
        <w:keepNext/>
        <w:tabs>
          <w:tab w:val="left" w:pos="540"/>
          <w:tab w:val="left" w:pos="2610"/>
        </w:tabs>
      </w:pPr>
      <w:r>
        <w:tab/>
        <w:t>P</w:t>
      </w:r>
      <w:r>
        <w:rPr>
          <w:vertAlign w:val="subscript"/>
        </w:rPr>
        <w:t>r</w:t>
      </w:r>
      <w:r>
        <w:t xml:space="preserve"> (dBm)</w:t>
      </w:r>
      <w:r>
        <w:tab/>
        <w:t>= victim receiver sensitivity level</w:t>
      </w:r>
    </w:p>
    <w:p w14:paraId="00497ABC" w14:textId="77777777" w:rsidR="00A51903" w:rsidRDefault="00A51903" w:rsidP="00A51903">
      <w:pPr>
        <w:keepNext/>
        <w:tabs>
          <w:tab w:val="left" w:pos="540"/>
          <w:tab w:val="left" w:pos="2610"/>
        </w:tabs>
      </w:pPr>
      <w:r>
        <w:tab/>
        <w:t>K</w:t>
      </w:r>
      <w:r>
        <w:rPr>
          <w:vertAlign w:val="subscript"/>
        </w:rPr>
        <w:t>d</w:t>
      </w:r>
      <w:r>
        <w:t xml:space="preserve"> (dBm-dBµV/m)</w:t>
      </w:r>
      <w:r>
        <w:tab/>
        <w:t xml:space="preserve">= dipole </w:t>
      </w:r>
      <w:r w:rsidRPr="00F81584">
        <w:t xml:space="preserve">factor </w:t>
      </w:r>
      <w:r w:rsidRPr="001B40FE">
        <w:t>at 615 MHz</w:t>
      </w:r>
      <w:r w:rsidRPr="001B40FE">
        <w:rPr>
          <w:rStyle w:val="FootnoteReference"/>
        </w:rPr>
        <w:footnoteReference w:id="35"/>
      </w:r>
    </w:p>
    <w:p w14:paraId="1DF636B8" w14:textId="77777777" w:rsidR="00A51903" w:rsidRDefault="00A51903" w:rsidP="00A51903">
      <w:pPr>
        <w:keepNext/>
        <w:tabs>
          <w:tab w:val="left" w:pos="540"/>
          <w:tab w:val="left" w:pos="2610"/>
        </w:tabs>
      </w:pPr>
      <w:r>
        <w:tab/>
        <w:t>G (dBd)</w:t>
      </w:r>
      <w:r>
        <w:tab/>
        <w:t>= antenna gain</w:t>
      </w:r>
    </w:p>
    <w:p w14:paraId="099E0212" w14:textId="77777777" w:rsidR="00A51903" w:rsidRDefault="00A51903" w:rsidP="00A51903">
      <w:pPr>
        <w:keepNext/>
        <w:tabs>
          <w:tab w:val="left" w:pos="540"/>
          <w:tab w:val="left" w:pos="2610"/>
        </w:tabs>
      </w:pPr>
      <w:r>
        <w:tab/>
        <w:t>L (dB)</w:t>
      </w:r>
      <w:r>
        <w:tab/>
        <w:t>= line loss</w:t>
      </w:r>
    </w:p>
    <w:p w14:paraId="0DC22A82" w14:textId="77777777" w:rsidR="00A51903" w:rsidRDefault="00A51903" w:rsidP="00A51903">
      <w:pPr>
        <w:keepNext/>
        <w:tabs>
          <w:tab w:val="left" w:pos="540"/>
          <w:tab w:val="left" w:pos="2610"/>
        </w:tabs>
      </w:pPr>
      <w:r>
        <w:tab/>
        <w:t>OTR (dB)</w:t>
      </w:r>
      <w:r>
        <w:tab/>
        <w:t>= receiver on-tune rejection (dB)</w:t>
      </w:r>
    </w:p>
    <w:p w14:paraId="6CE57904" w14:textId="77777777" w:rsidR="00A51903" w:rsidRDefault="00A51903" w:rsidP="00A51903">
      <w:pPr>
        <w:tabs>
          <w:tab w:val="left" w:pos="540"/>
          <w:tab w:val="left" w:pos="2610"/>
        </w:tabs>
      </w:pPr>
      <w:r>
        <w:tab/>
        <w:t>OFR(Δf) (dB)</w:t>
      </w:r>
      <w:r>
        <w:tab/>
        <w:t>= off-frequency rejection (dB) as a function of frequency separation</w:t>
      </w:r>
    </w:p>
    <w:p w14:paraId="3A608CB5" w14:textId="77777777" w:rsidR="00A51903" w:rsidRDefault="00A51903" w:rsidP="00A51903"/>
    <w:tbl>
      <w:tblPr>
        <w:tblStyle w:val="TableGrid"/>
        <w:tblW w:w="0" w:type="auto"/>
        <w:jc w:val="center"/>
        <w:tblLook w:val="04A0" w:firstRow="1" w:lastRow="0" w:firstColumn="1" w:lastColumn="0" w:noHBand="0" w:noVBand="1"/>
      </w:tblPr>
      <w:tblGrid>
        <w:gridCol w:w="2182"/>
        <w:gridCol w:w="1436"/>
        <w:gridCol w:w="5958"/>
      </w:tblGrid>
      <w:tr w:rsidR="00A51903" w14:paraId="6284CE89"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2D824" w14:textId="77777777" w:rsidR="00A51903" w:rsidRDefault="00A51903" w:rsidP="005D78D1">
            <w:pPr>
              <w:keepNext/>
              <w:keepLines/>
              <w:jc w:val="center"/>
              <w:rPr>
                <w:sz w:val="20"/>
              </w:rPr>
            </w:pPr>
            <w:r>
              <w:rPr>
                <w:sz w:val="20"/>
              </w:rPr>
              <w:t>Parameter</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AB57E" w14:textId="77777777" w:rsidR="00A51903" w:rsidRDefault="00A51903" w:rsidP="005D78D1">
            <w:pPr>
              <w:keepNext/>
              <w:keepLines/>
              <w:jc w:val="center"/>
              <w:rPr>
                <w:sz w:val="20"/>
              </w:rPr>
            </w:pPr>
            <w:r>
              <w:rPr>
                <w:sz w:val="20"/>
              </w:rPr>
              <w:t>Value</w:t>
            </w:r>
          </w:p>
        </w:tc>
        <w:tc>
          <w:tcPr>
            <w:tcW w:w="5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1897F" w14:textId="77777777" w:rsidR="00A51903" w:rsidRDefault="00A51903" w:rsidP="005D78D1">
            <w:pPr>
              <w:keepNext/>
              <w:keepLines/>
              <w:jc w:val="center"/>
              <w:rPr>
                <w:sz w:val="20"/>
              </w:rPr>
            </w:pPr>
            <w:r>
              <w:rPr>
                <w:sz w:val="20"/>
              </w:rPr>
              <w:t>Comment</w:t>
            </w:r>
          </w:p>
        </w:tc>
      </w:tr>
      <w:tr w:rsidR="00A51903" w14:paraId="6917B9D4"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1BF45249" w14:textId="77777777" w:rsidR="00A51903" w:rsidRDefault="00A51903" w:rsidP="005D78D1">
            <w:pPr>
              <w:keepNext/>
            </w:pPr>
            <w:r>
              <w:t>P</w:t>
            </w:r>
            <w:r>
              <w:rPr>
                <w:vertAlign w:val="subscript"/>
              </w:rPr>
              <w:t>r</w:t>
            </w:r>
            <w:r>
              <w:t xml:space="preserve"> (dBm)</w:t>
            </w:r>
          </w:p>
        </w:tc>
        <w:tc>
          <w:tcPr>
            <w:tcW w:w="1436" w:type="dxa"/>
            <w:tcBorders>
              <w:top w:val="single" w:sz="4" w:space="0" w:color="auto"/>
              <w:left w:val="single" w:sz="4" w:space="0" w:color="auto"/>
              <w:bottom w:val="single" w:sz="4" w:space="0" w:color="auto"/>
              <w:right w:val="single" w:sz="4" w:space="0" w:color="auto"/>
            </w:tcBorders>
            <w:hideMark/>
          </w:tcPr>
          <w:p w14:paraId="07057F4F" w14:textId="77777777" w:rsidR="00A51903" w:rsidRDefault="00A51903" w:rsidP="005D78D1">
            <w:pPr>
              <w:keepNext/>
              <w:tabs>
                <w:tab w:val="decimal" w:pos="774"/>
              </w:tabs>
            </w:pPr>
            <w:r>
              <w:t>-101.5</w:t>
            </w:r>
          </w:p>
        </w:tc>
        <w:tc>
          <w:tcPr>
            <w:tcW w:w="5958" w:type="dxa"/>
            <w:tcBorders>
              <w:top w:val="single" w:sz="4" w:space="0" w:color="auto"/>
              <w:left w:val="single" w:sz="4" w:space="0" w:color="auto"/>
              <w:bottom w:val="single" w:sz="4" w:space="0" w:color="auto"/>
              <w:right w:val="single" w:sz="4" w:space="0" w:color="auto"/>
            </w:tcBorders>
            <w:hideMark/>
          </w:tcPr>
          <w:p w14:paraId="78F1A36E" w14:textId="77777777" w:rsidR="00A51903" w:rsidRDefault="00A51903" w:rsidP="005D78D1">
            <w:pPr>
              <w:keepNext/>
            </w:pPr>
            <w:r>
              <w:t>Reference sensitivity level, per 3GPP Technical Specification 36.104 § 7.2.</w:t>
            </w:r>
          </w:p>
        </w:tc>
      </w:tr>
      <w:tr w:rsidR="00A51903" w14:paraId="2DEE59D4"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4E40F86B" w14:textId="77777777" w:rsidR="00A51903" w:rsidRDefault="00A51903" w:rsidP="005D78D1">
            <w:pPr>
              <w:keepNext/>
            </w:pPr>
            <w:r>
              <w:t>K</w:t>
            </w:r>
            <w:r>
              <w:rPr>
                <w:vertAlign w:val="subscript"/>
              </w:rPr>
              <w:t>d</w:t>
            </w:r>
            <w:r>
              <w:t xml:space="preserve"> (dBm-dBµV/m)</w:t>
            </w:r>
          </w:p>
        </w:tc>
        <w:tc>
          <w:tcPr>
            <w:tcW w:w="1436" w:type="dxa"/>
            <w:tcBorders>
              <w:top w:val="single" w:sz="4" w:space="0" w:color="auto"/>
              <w:left w:val="single" w:sz="4" w:space="0" w:color="auto"/>
              <w:bottom w:val="single" w:sz="4" w:space="0" w:color="auto"/>
              <w:right w:val="single" w:sz="4" w:space="0" w:color="auto"/>
            </w:tcBorders>
            <w:hideMark/>
          </w:tcPr>
          <w:p w14:paraId="2D870B1F" w14:textId="77777777" w:rsidR="00A51903" w:rsidRDefault="00A51903" w:rsidP="005D78D1">
            <w:pPr>
              <w:keepNext/>
              <w:tabs>
                <w:tab w:val="decimal" w:pos="774"/>
              </w:tabs>
            </w:pPr>
            <w:r>
              <w:t>-130.8</w:t>
            </w:r>
          </w:p>
        </w:tc>
        <w:tc>
          <w:tcPr>
            <w:tcW w:w="5958" w:type="dxa"/>
            <w:tcBorders>
              <w:top w:val="single" w:sz="4" w:space="0" w:color="auto"/>
              <w:left w:val="single" w:sz="4" w:space="0" w:color="auto"/>
              <w:bottom w:val="single" w:sz="4" w:space="0" w:color="auto"/>
              <w:right w:val="single" w:sz="4" w:space="0" w:color="auto"/>
            </w:tcBorders>
            <w:hideMark/>
          </w:tcPr>
          <w:p w14:paraId="30C26D78" w14:textId="77777777" w:rsidR="00A51903" w:rsidRDefault="00A51903" w:rsidP="005D78D1">
            <w:pPr>
              <w:keepNext/>
            </w:pPr>
            <w:r>
              <w:t xml:space="preserve">Dipole Factor, </w:t>
            </w:r>
            <w:r w:rsidRPr="00F81584">
              <w:t>OET Bulletin No. 69, Table 3.</w:t>
            </w:r>
          </w:p>
        </w:tc>
      </w:tr>
      <w:tr w:rsidR="00A51903" w14:paraId="5D03C5D8"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2BF8ED90" w14:textId="77777777" w:rsidR="00A51903" w:rsidRDefault="00A51903" w:rsidP="005D78D1">
            <w:pPr>
              <w:keepNext/>
            </w:pPr>
            <w:r>
              <w:t>G (dBd)</w:t>
            </w:r>
          </w:p>
        </w:tc>
        <w:tc>
          <w:tcPr>
            <w:tcW w:w="1436" w:type="dxa"/>
            <w:tcBorders>
              <w:top w:val="single" w:sz="4" w:space="0" w:color="auto"/>
              <w:left w:val="single" w:sz="4" w:space="0" w:color="auto"/>
              <w:bottom w:val="single" w:sz="4" w:space="0" w:color="auto"/>
              <w:right w:val="single" w:sz="4" w:space="0" w:color="auto"/>
            </w:tcBorders>
            <w:hideMark/>
          </w:tcPr>
          <w:p w14:paraId="07BE7519" w14:textId="77777777" w:rsidR="00A51903" w:rsidRDefault="00A51903" w:rsidP="005D78D1">
            <w:pPr>
              <w:keepNext/>
              <w:tabs>
                <w:tab w:val="decimal" w:pos="774"/>
              </w:tabs>
            </w:pPr>
            <w:r>
              <w:t>13.8</w:t>
            </w:r>
          </w:p>
        </w:tc>
        <w:tc>
          <w:tcPr>
            <w:tcW w:w="5958" w:type="dxa"/>
            <w:tcBorders>
              <w:top w:val="single" w:sz="4" w:space="0" w:color="auto"/>
              <w:left w:val="single" w:sz="4" w:space="0" w:color="auto"/>
              <w:bottom w:val="single" w:sz="4" w:space="0" w:color="auto"/>
              <w:right w:val="single" w:sz="4" w:space="0" w:color="auto"/>
            </w:tcBorders>
            <w:hideMark/>
          </w:tcPr>
          <w:p w14:paraId="309EF402" w14:textId="77777777" w:rsidR="00A51903" w:rsidRDefault="00A51903" w:rsidP="005D78D1">
            <w:pPr>
              <w:keepNext/>
            </w:pPr>
            <w:r>
              <w:t>G (dBd) = 12.8 dBd + G</w:t>
            </w:r>
            <w:r>
              <w:rPr>
                <w:vertAlign w:val="subscript"/>
              </w:rPr>
              <w:t>div</w:t>
            </w:r>
            <w:r>
              <w:t xml:space="preserve"> - G</w:t>
            </w:r>
            <w:r>
              <w:rPr>
                <w:vertAlign w:val="subscript"/>
              </w:rPr>
              <w:t>horiz</w:t>
            </w:r>
            <w:r>
              <w:t>.  G</w:t>
            </w:r>
            <w:r>
              <w:rPr>
                <w:vertAlign w:val="subscript"/>
              </w:rPr>
              <w:t>div</w:t>
            </w:r>
            <w:r>
              <w:t xml:space="preserve"> is receive antenna diversity gain, assumed to be 3 dB, and G</w:t>
            </w:r>
            <w:r>
              <w:rPr>
                <w:vertAlign w:val="subscript"/>
              </w:rPr>
              <w:t>horiz</w:t>
            </w:r>
            <w:r>
              <w:t xml:space="preserve"> is additional antenna discrimination due to downtilt below the radio horizon, assumed to be 2 dB.</w:t>
            </w:r>
          </w:p>
        </w:tc>
      </w:tr>
      <w:tr w:rsidR="00A51903" w14:paraId="27FDC5A6"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74C9D67E" w14:textId="77777777" w:rsidR="00A51903" w:rsidRDefault="00A51903" w:rsidP="005D78D1">
            <w:pPr>
              <w:keepNext/>
            </w:pPr>
            <w:r>
              <w:t>L (dB)</w:t>
            </w:r>
          </w:p>
        </w:tc>
        <w:tc>
          <w:tcPr>
            <w:tcW w:w="1436" w:type="dxa"/>
            <w:tcBorders>
              <w:top w:val="single" w:sz="4" w:space="0" w:color="auto"/>
              <w:left w:val="single" w:sz="4" w:space="0" w:color="auto"/>
              <w:bottom w:val="single" w:sz="4" w:space="0" w:color="auto"/>
              <w:right w:val="single" w:sz="4" w:space="0" w:color="auto"/>
            </w:tcBorders>
            <w:hideMark/>
          </w:tcPr>
          <w:p w14:paraId="7E36969B" w14:textId="77777777" w:rsidR="00A51903" w:rsidRDefault="00A51903" w:rsidP="005D78D1">
            <w:pPr>
              <w:keepNext/>
              <w:tabs>
                <w:tab w:val="decimal" w:pos="774"/>
              </w:tabs>
            </w:pPr>
            <w:r>
              <w:t>1</w:t>
            </w:r>
          </w:p>
        </w:tc>
        <w:tc>
          <w:tcPr>
            <w:tcW w:w="5958" w:type="dxa"/>
            <w:tcBorders>
              <w:top w:val="single" w:sz="4" w:space="0" w:color="auto"/>
              <w:left w:val="single" w:sz="4" w:space="0" w:color="auto"/>
              <w:bottom w:val="single" w:sz="4" w:space="0" w:color="auto"/>
              <w:right w:val="single" w:sz="4" w:space="0" w:color="auto"/>
            </w:tcBorders>
            <w:hideMark/>
          </w:tcPr>
          <w:p w14:paraId="0F3CBBD0" w14:textId="77777777" w:rsidR="00A51903" w:rsidRDefault="00A51903" w:rsidP="005D78D1">
            <w:pPr>
              <w:keepNext/>
            </w:pPr>
            <w:r>
              <w:t>Assumed line loss.</w:t>
            </w:r>
          </w:p>
        </w:tc>
      </w:tr>
      <w:tr w:rsidR="00A51903" w14:paraId="34515189"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4D9435CA" w14:textId="77777777" w:rsidR="00A51903" w:rsidRDefault="00A51903" w:rsidP="005D78D1">
            <w:pPr>
              <w:keepNext/>
            </w:pPr>
            <w:r>
              <w:t>Receiver BW (MHz)</w:t>
            </w:r>
          </w:p>
        </w:tc>
        <w:tc>
          <w:tcPr>
            <w:tcW w:w="1436" w:type="dxa"/>
            <w:tcBorders>
              <w:top w:val="single" w:sz="4" w:space="0" w:color="auto"/>
              <w:left w:val="single" w:sz="4" w:space="0" w:color="auto"/>
              <w:bottom w:val="single" w:sz="4" w:space="0" w:color="auto"/>
              <w:right w:val="single" w:sz="4" w:space="0" w:color="auto"/>
            </w:tcBorders>
            <w:hideMark/>
          </w:tcPr>
          <w:p w14:paraId="49E060F9" w14:textId="77777777" w:rsidR="00A51903" w:rsidRDefault="00A51903" w:rsidP="005D78D1">
            <w:pPr>
              <w:keepNext/>
              <w:tabs>
                <w:tab w:val="decimal" w:pos="774"/>
              </w:tabs>
            </w:pPr>
            <w:r>
              <w:t>5</w:t>
            </w:r>
          </w:p>
        </w:tc>
        <w:tc>
          <w:tcPr>
            <w:tcW w:w="5958" w:type="dxa"/>
            <w:tcBorders>
              <w:top w:val="single" w:sz="4" w:space="0" w:color="auto"/>
              <w:left w:val="single" w:sz="4" w:space="0" w:color="auto"/>
              <w:bottom w:val="single" w:sz="4" w:space="0" w:color="auto"/>
              <w:right w:val="single" w:sz="4" w:space="0" w:color="auto"/>
            </w:tcBorders>
            <w:hideMark/>
          </w:tcPr>
          <w:p w14:paraId="3FF4FB16" w14:textId="77777777" w:rsidR="00A51903" w:rsidRDefault="00A51903" w:rsidP="005D78D1">
            <w:pPr>
              <w:keepNext/>
            </w:pPr>
            <w:r>
              <w:t>For bandwidths (BWs) ≥ 5 MHz, the reference sensitivity level is measured in accord with the 3GPP Technical Specification 36.104 using 25 consecutive resource blocks, corresponding to a channel bandwidth of 4.5 MHz.</w:t>
            </w:r>
          </w:p>
        </w:tc>
      </w:tr>
      <w:tr w:rsidR="00A51903" w14:paraId="69573F5B"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2EB1C6BE" w14:textId="77777777" w:rsidR="00A51903" w:rsidRDefault="00A51903" w:rsidP="005D78D1">
            <w:pPr>
              <w:keepNext/>
            </w:pPr>
            <w:r>
              <w:t>Thermal noise, N</w:t>
            </w:r>
            <w:r>
              <w:rPr>
                <w:vertAlign w:val="subscript"/>
              </w:rPr>
              <w:t>t</w:t>
            </w:r>
            <w:r>
              <w:t xml:space="preserve"> (dBm)</w:t>
            </w:r>
          </w:p>
        </w:tc>
        <w:tc>
          <w:tcPr>
            <w:tcW w:w="1436" w:type="dxa"/>
            <w:tcBorders>
              <w:top w:val="single" w:sz="4" w:space="0" w:color="auto"/>
              <w:left w:val="single" w:sz="4" w:space="0" w:color="auto"/>
              <w:bottom w:val="single" w:sz="4" w:space="0" w:color="auto"/>
              <w:right w:val="single" w:sz="4" w:space="0" w:color="auto"/>
            </w:tcBorders>
            <w:hideMark/>
          </w:tcPr>
          <w:p w14:paraId="752235EC" w14:textId="77777777" w:rsidR="00A51903" w:rsidRDefault="00A51903" w:rsidP="005D78D1">
            <w:pPr>
              <w:keepNext/>
              <w:tabs>
                <w:tab w:val="decimal" w:pos="774"/>
              </w:tabs>
            </w:pPr>
            <w:r>
              <w:t>-107.5</w:t>
            </w:r>
          </w:p>
        </w:tc>
        <w:tc>
          <w:tcPr>
            <w:tcW w:w="5958" w:type="dxa"/>
            <w:tcBorders>
              <w:top w:val="single" w:sz="4" w:space="0" w:color="auto"/>
              <w:left w:val="single" w:sz="4" w:space="0" w:color="auto"/>
              <w:bottom w:val="single" w:sz="4" w:space="0" w:color="auto"/>
              <w:right w:val="single" w:sz="4" w:space="0" w:color="auto"/>
            </w:tcBorders>
            <w:hideMark/>
          </w:tcPr>
          <w:p w14:paraId="3C7B82D7" w14:textId="77777777" w:rsidR="00A51903" w:rsidRDefault="00A51903" w:rsidP="005D78D1">
            <w:pPr>
              <w:keepNext/>
            </w:pPr>
            <w:r>
              <w:t>= -174 (dBm/Hz) + 10log</w:t>
            </w:r>
            <w:r>
              <w:rPr>
                <w:vertAlign w:val="subscript"/>
              </w:rPr>
              <w:t>10</w:t>
            </w:r>
            <w:r>
              <w:t>(4.5 MHz).</w:t>
            </w:r>
          </w:p>
        </w:tc>
      </w:tr>
      <w:tr w:rsidR="00A51903" w14:paraId="0DDA5748"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53266A50" w14:textId="77777777" w:rsidR="00A51903" w:rsidRDefault="00A51903" w:rsidP="005D78D1">
            <w:pPr>
              <w:keepNext/>
            </w:pPr>
            <w:r>
              <w:t>Effective noise figure, N</w:t>
            </w:r>
            <w:r>
              <w:rPr>
                <w:vertAlign w:val="subscript"/>
              </w:rPr>
              <w:t>e</w:t>
            </w:r>
            <w:r>
              <w:t xml:space="preserve"> (dB)</w:t>
            </w:r>
          </w:p>
        </w:tc>
        <w:tc>
          <w:tcPr>
            <w:tcW w:w="1436" w:type="dxa"/>
            <w:tcBorders>
              <w:top w:val="single" w:sz="4" w:space="0" w:color="auto"/>
              <w:left w:val="single" w:sz="4" w:space="0" w:color="auto"/>
              <w:bottom w:val="single" w:sz="4" w:space="0" w:color="auto"/>
              <w:right w:val="single" w:sz="4" w:space="0" w:color="auto"/>
            </w:tcBorders>
            <w:hideMark/>
          </w:tcPr>
          <w:p w14:paraId="03C95A41" w14:textId="77777777" w:rsidR="00A51903" w:rsidRDefault="00A51903" w:rsidP="005D78D1">
            <w:pPr>
              <w:keepNext/>
              <w:tabs>
                <w:tab w:val="decimal" w:pos="774"/>
              </w:tabs>
            </w:pPr>
            <w:r>
              <w:t>6</w:t>
            </w:r>
          </w:p>
        </w:tc>
        <w:tc>
          <w:tcPr>
            <w:tcW w:w="5958" w:type="dxa"/>
            <w:tcBorders>
              <w:top w:val="single" w:sz="4" w:space="0" w:color="auto"/>
              <w:left w:val="single" w:sz="4" w:space="0" w:color="auto"/>
              <w:bottom w:val="single" w:sz="4" w:space="0" w:color="auto"/>
              <w:right w:val="single" w:sz="4" w:space="0" w:color="auto"/>
            </w:tcBorders>
            <w:hideMark/>
          </w:tcPr>
          <w:p w14:paraId="5E982543" w14:textId="77777777" w:rsidR="00A51903" w:rsidRDefault="00A51903" w:rsidP="005D78D1">
            <w:pPr>
              <w:keepNext/>
            </w:pPr>
          </w:p>
        </w:tc>
      </w:tr>
      <w:tr w:rsidR="00A51903" w14:paraId="0E30E996"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0C5313C4" w14:textId="77777777" w:rsidR="00A51903" w:rsidRDefault="00A51903" w:rsidP="005D78D1">
            <w:pPr>
              <w:keepNext/>
            </w:pPr>
            <w:r>
              <w:t>OTR (dB)</w:t>
            </w:r>
          </w:p>
        </w:tc>
        <w:tc>
          <w:tcPr>
            <w:tcW w:w="1436" w:type="dxa"/>
            <w:tcBorders>
              <w:top w:val="single" w:sz="4" w:space="0" w:color="auto"/>
              <w:left w:val="single" w:sz="4" w:space="0" w:color="auto"/>
              <w:bottom w:val="single" w:sz="4" w:space="0" w:color="auto"/>
              <w:right w:val="single" w:sz="4" w:space="0" w:color="auto"/>
            </w:tcBorders>
            <w:hideMark/>
          </w:tcPr>
          <w:p w14:paraId="6A29F8ED" w14:textId="77777777" w:rsidR="00A51903" w:rsidRDefault="00A51903" w:rsidP="005D78D1">
            <w:pPr>
              <w:keepNext/>
              <w:tabs>
                <w:tab w:val="decimal" w:pos="774"/>
              </w:tabs>
            </w:pPr>
            <w:r>
              <w:t>0.8</w:t>
            </w:r>
          </w:p>
        </w:tc>
        <w:tc>
          <w:tcPr>
            <w:tcW w:w="5958" w:type="dxa"/>
            <w:tcBorders>
              <w:top w:val="single" w:sz="4" w:space="0" w:color="auto"/>
              <w:left w:val="single" w:sz="4" w:space="0" w:color="auto"/>
              <w:bottom w:val="single" w:sz="4" w:space="0" w:color="auto"/>
              <w:right w:val="single" w:sz="4" w:space="0" w:color="auto"/>
            </w:tcBorders>
            <w:hideMark/>
          </w:tcPr>
          <w:p w14:paraId="673F9B2D" w14:textId="77777777" w:rsidR="00A51903" w:rsidRDefault="00A51903" w:rsidP="005D78D1">
            <w:pPr>
              <w:keepNext/>
            </w:pPr>
            <w:r>
              <w:t>For TV into wireless, OTR = 10log</w:t>
            </w:r>
            <w:r>
              <w:rPr>
                <w:vertAlign w:val="subscript"/>
              </w:rPr>
              <w:t>10</w:t>
            </w:r>
            <w:r>
              <w:t>(6/5) = 0.8 dB.  Using typical 3 dB transmit signal bandwidths, 10log</w:t>
            </w:r>
            <w:r>
              <w:rPr>
                <w:vertAlign w:val="subscript"/>
              </w:rPr>
              <w:t>10</w:t>
            </w:r>
            <w:r>
              <w:t>(5.38/4.5) is also approximately 0.8 dB.</w:t>
            </w:r>
          </w:p>
        </w:tc>
      </w:tr>
      <w:tr w:rsidR="00A51903" w14:paraId="356048B2"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057DE9FA" w14:textId="77777777" w:rsidR="00A51903" w:rsidRDefault="00A51903" w:rsidP="005D78D1">
            <w:pPr>
              <w:keepNext/>
            </w:pPr>
            <w:r>
              <w:t>OFR(</w:t>
            </w:r>
            <w:r>
              <w:rPr>
                <w:rFonts w:ascii="Calibri" w:hAnsi="Calibri"/>
              </w:rPr>
              <w:t>Δ</w:t>
            </w:r>
            <w:r>
              <w:t>f) (dB)</w:t>
            </w:r>
          </w:p>
        </w:tc>
        <w:tc>
          <w:tcPr>
            <w:tcW w:w="1436" w:type="dxa"/>
            <w:tcBorders>
              <w:top w:val="single" w:sz="4" w:space="0" w:color="auto"/>
              <w:left w:val="single" w:sz="4" w:space="0" w:color="auto"/>
              <w:bottom w:val="single" w:sz="4" w:space="0" w:color="auto"/>
              <w:right w:val="single" w:sz="4" w:space="0" w:color="auto"/>
            </w:tcBorders>
            <w:hideMark/>
          </w:tcPr>
          <w:p w14:paraId="4A85BE10" w14:textId="77777777" w:rsidR="00A51903" w:rsidRDefault="00A51903" w:rsidP="005D78D1">
            <w:pPr>
              <w:keepNext/>
            </w:pPr>
            <w:r>
              <w:t>See note</w:t>
            </w:r>
          </w:p>
        </w:tc>
        <w:tc>
          <w:tcPr>
            <w:tcW w:w="5958" w:type="dxa"/>
            <w:tcBorders>
              <w:top w:val="single" w:sz="4" w:space="0" w:color="auto"/>
              <w:left w:val="single" w:sz="4" w:space="0" w:color="auto"/>
              <w:bottom w:val="single" w:sz="4" w:space="0" w:color="auto"/>
              <w:right w:val="single" w:sz="4" w:space="0" w:color="auto"/>
            </w:tcBorders>
          </w:tcPr>
          <w:p w14:paraId="07D94608" w14:textId="77777777" w:rsidR="00A51903" w:rsidRDefault="00A51903" w:rsidP="005D78D1">
            <w:pPr>
              <w:keepNext/>
            </w:pPr>
          </w:p>
        </w:tc>
      </w:tr>
      <w:tr w:rsidR="00A51903" w14:paraId="59296324" w14:textId="77777777" w:rsidTr="005D78D1">
        <w:trPr>
          <w:cantSplit/>
          <w:jc w:val="center"/>
        </w:trPr>
        <w:tc>
          <w:tcPr>
            <w:tcW w:w="2182" w:type="dxa"/>
            <w:tcBorders>
              <w:top w:val="single" w:sz="4" w:space="0" w:color="auto"/>
              <w:left w:val="single" w:sz="4" w:space="0" w:color="auto"/>
              <w:bottom w:val="single" w:sz="4" w:space="0" w:color="auto"/>
              <w:right w:val="single" w:sz="4" w:space="0" w:color="auto"/>
            </w:tcBorders>
            <w:hideMark/>
          </w:tcPr>
          <w:p w14:paraId="49D19973" w14:textId="77777777" w:rsidR="00A51903" w:rsidRDefault="00A51903" w:rsidP="005D78D1">
            <w:pPr>
              <w:keepNext/>
            </w:pPr>
            <w:r>
              <w:t>HG(2) (m)</w:t>
            </w:r>
          </w:p>
        </w:tc>
        <w:tc>
          <w:tcPr>
            <w:tcW w:w="1436" w:type="dxa"/>
            <w:tcBorders>
              <w:top w:val="single" w:sz="4" w:space="0" w:color="auto"/>
              <w:left w:val="single" w:sz="4" w:space="0" w:color="auto"/>
              <w:bottom w:val="single" w:sz="4" w:space="0" w:color="auto"/>
              <w:right w:val="single" w:sz="4" w:space="0" w:color="auto"/>
            </w:tcBorders>
            <w:hideMark/>
          </w:tcPr>
          <w:p w14:paraId="08F8A0E1" w14:textId="77777777" w:rsidR="00A51903" w:rsidRDefault="00A51903" w:rsidP="005D78D1">
            <w:pPr>
              <w:keepNext/>
              <w:tabs>
                <w:tab w:val="decimal" w:pos="762"/>
              </w:tabs>
            </w:pPr>
            <w:r>
              <w:t>30</w:t>
            </w:r>
          </w:p>
        </w:tc>
        <w:tc>
          <w:tcPr>
            <w:tcW w:w="5958" w:type="dxa"/>
            <w:tcBorders>
              <w:top w:val="single" w:sz="4" w:space="0" w:color="auto"/>
              <w:left w:val="single" w:sz="4" w:space="0" w:color="auto"/>
              <w:bottom w:val="single" w:sz="4" w:space="0" w:color="auto"/>
              <w:right w:val="single" w:sz="4" w:space="0" w:color="auto"/>
            </w:tcBorders>
            <w:hideMark/>
          </w:tcPr>
          <w:p w14:paraId="454091E2" w14:textId="77777777" w:rsidR="00A51903" w:rsidRDefault="00A51903" w:rsidP="005D78D1">
            <w:pPr>
              <w:keepNext/>
            </w:pPr>
            <w:r>
              <w:t>Assumed receive antenna height for wireless base stations.</w:t>
            </w:r>
          </w:p>
        </w:tc>
      </w:tr>
      <w:tr w:rsidR="00A51903" w14:paraId="150FCDB9" w14:textId="77777777" w:rsidTr="005D78D1">
        <w:trPr>
          <w:cantSplit/>
          <w:jc w:val="center"/>
        </w:trPr>
        <w:tc>
          <w:tcPr>
            <w:tcW w:w="9576" w:type="dxa"/>
            <w:gridSpan w:val="3"/>
            <w:tcBorders>
              <w:top w:val="single" w:sz="4" w:space="0" w:color="auto"/>
              <w:left w:val="single" w:sz="4" w:space="0" w:color="auto"/>
              <w:bottom w:val="single" w:sz="4" w:space="0" w:color="auto"/>
              <w:right w:val="single" w:sz="4" w:space="0" w:color="auto"/>
            </w:tcBorders>
          </w:tcPr>
          <w:p w14:paraId="23CD4654" w14:textId="77777777" w:rsidR="00A51903" w:rsidRDefault="00A51903" w:rsidP="005D78D1">
            <w:pPr>
              <w:keepNext/>
              <w:ind w:left="270" w:right="216"/>
              <w:jc w:val="both"/>
            </w:pPr>
            <w:r w:rsidRPr="00213BC3">
              <w:rPr>
                <w:iCs/>
                <w:szCs w:val="22"/>
              </w:rPr>
              <w:t xml:space="preserve">Note:  The values for OFR(Δf) were derived using NTIA’s MSAM FDR computer program using FCC’s emission limits, and DTV and LTE receiver performance standards published by ATSC and 3GPP, respectively.  The results are provided in </w:t>
            </w:r>
            <w:r>
              <w:rPr>
                <w:iCs/>
                <w:szCs w:val="22"/>
              </w:rPr>
              <w:fldChar w:fldCharType="begin"/>
            </w:r>
            <w:r>
              <w:rPr>
                <w:iCs/>
                <w:szCs w:val="22"/>
              </w:rPr>
              <w:instrText xml:space="preserve"> REF _Ref378166344 \h </w:instrText>
            </w:r>
            <w:r>
              <w:rPr>
                <w:iCs/>
                <w:szCs w:val="22"/>
              </w:rPr>
            </w:r>
            <w:r>
              <w:rPr>
                <w:iCs/>
                <w:szCs w:val="22"/>
              </w:rPr>
              <w:fldChar w:fldCharType="separate"/>
            </w:r>
            <w:r w:rsidR="00CC6F3D" w:rsidRPr="001165AF">
              <w:rPr>
                <w:szCs w:val="22"/>
              </w:rPr>
              <w:t xml:space="preserve">Table </w:t>
            </w:r>
            <w:r w:rsidR="00CC6F3D">
              <w:rPr>
                <w:noProof/>
                <w:szCs w:val="22"/>
              </w:rPr>
              <w:t>7</w:t>
            </w:r>
            <w:r>
              <w:rPr>
                <w:iCs/>
                <w:szCs w:val="22"/>
              </w:rPr>
              <w:fldChar w:fldCharType="end"/>
            </w:r>
            <w:r w:rsidRPr="005415A6">
              <w:rPr>
                <w:iCs/>
                <w:szCs w:val="22"/>
              </w:rPr>
              <w:t>.</w:t>
            </w:r>
          </w:p>
        </w:tc>
      </w:tr>
    </w:tbl>
    <w:p w14:paraId="1A53F772" w14:textId="77777777" w:rsidR="00A51903" w:rsidRPr="001165AF" w:rsidRDefault="00A51903" w:rsidP="00A51903">
      <w:pPr>
        <w:spacing w:before="120" w:after="120"/>
        <w:ind w:left="274"/>
        <w:jc w:val="center"/>
        <w:rPr>
          <w:szCs w:val="22"/>
        </w:rPr>
      </w:pPr>
      <w:bookmarkStart w:id="12" w:name="_Ref378166378"/>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5</w:t>
      </w:r>
      <w:r>
        <w:rPr>
          <w:szCs w:val="22"/>
        </w:rPr>
        <w:fldChar w:fldCharType="end"/>
      </w:r>
      <w:bookmarkEnd w:id="12"/>
      <w:r w:rsidRPr="001165AF">
        <w:rPr>
          <w:szCs w:val="22"/>
        </w:rPr>
        <w:t>.  Wireless base station receiver technical parameters</w:t>
      </w:r>
    </w:p>
    <w:p w14:paraId="22487D99" w14:textId="77777777" w:rsidR="00A51903" w:rsidRDefault="00A51903" w:rsidP="00A51903">
      <w:pPr>
        <w:keepNext/>
        <w:jc w:val="center"/>
        <w:rPr>
          <w:lang w:eastAsia="ja-JP"/>
        </w:rPr>
      </w:pPr>
    </w:p>
    <w:tbl>
      <w:tblPr>
        <w:tblStyle w:val="TableGrid"/>
        <w:tblW w:w="0" w:type="auto"/>
        <w:jc w:val="center"/>
        <w:tblLook w:val="04A0" w:firstRow="1" w:lastRow="0" w:firstColumn="1" w:lastColumn="0" w:noHBand="0" w:noVBand="1"/>
      </w:tblPr>
      <w:tblGrid>
        <w:gridCol w:w="2186"/>
        <w:gridCol w:w="1398"/>
        <w:gridCol w:w="5880"/>
      </w:tblGrid>
      <w:tr w:rsidR="00A51903" w14:paraId="6C520CD7"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71E5D" w14:textId="77777777" w:rsidR="00A51903" w:rsidRDefault="00A51903" w:rsidP="005D78D1">
            <w:pPr>
              <w:keepNext/>
              <w:keepLines/>
              <w:jc w:val="center"/>
              <w:rPr>
                <w:sz w:val="20"/>
              </w:rPr>
            </w:pPr>
            <w:r>
              <w:rPr>
                <w:sz w:val="20"/>
              </w:rPr>
              <w:t>Parameter</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4B012" w14:textId="77777777" w:rsidR="00A51903" w:rsidRDefault="00A51903" w:rsidP="005D78D1">
            <w:pPr>
              <w:keepNext/>
              <w:keepLines/>
              <w:ind w:right="-52"/>
              <w:jc w:val="center"/>
              <w:rPr>
                <w:sz w:val="20"/>
              </w:rPr>
            </w:pPr>
            <w:r>
              <w:rPr>
                <w:sz w:val="20"/>
              </w:rPr>
              <w:t>Value</w:t>
            </w:r>
          </w:p>
        </w:tc>
        <w:tc>
          <w:tcPr>
            <w:tcW w:w="5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39E05" w14:textId="77777777" w:rsidR="00A51903" w:rsidRDefault="00A51903" w:rsidP="005D78D1">
            <w:pPr>
              <w:keepNext/>
              <w:keepLines/>
              <w:jc w:val="center"/>
              <w:rPr>
                <w:sz w:val="20"/>
              </w:rPr>
            </w:pPr>
            <w:r>
              <w:rPr>
                <w:sz w:val="20"/>
              </w:rPr>
              <w:t>Comment</w:t>
            </w:r>
          </w:p>
        </w:tc>
      </w:tr>
      <w:tr w:rsidR="00A51903" w14:paraId="164969E5"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22C38B05" w14:textId="77777777" w:rsidR="00A51903" w:rsidRDefault="00A51903" w:rsidP="005D78D1">
            <w:pPr>
              <w:keepNext/>
            </w:pPr>
            <w:r>
              <w:t>P</w:t>
            </w:r>
            <w:r>
              <w:rPr>
                <w:vertAlign w:val="subscript"/>
              </w:rPr>
              <w:t>r</w:t>
            </w:r>
            <w:r>
              <w:t xml:space="preserve"> (dBm)</w:t>
            </w:r>
          </w:p>
        </w:tc>
        <w:tc>
          <w:tcPr>
            <w:tcW w:w="1398" w:type="dxa"/>
            <w:tcBorders>
              <w:top w:val="single" w:sz="4" w:space="0" w:color="auto"/>
              <w:left w:val="single" w:sz="4" w:space="0" w:color="auto"/>
              <w:bottom w:val="single" w:sz="4" w:space="0" w:color="auto"/>
              <w:right w:val="single" w:sz="4" w:space="0" w:color="auto"/>
            </w:tcBorders>
            <w:hideMark/>
          </w:tcPr>
          <w:p w14:paraId="42B8FC7C" w14:textId="77777777" w:rsidR="00A51903" w:rsidRDefault="00A51903" w:rsidP="005D78D1">
            <w:pPr>
              <w:keepNext/>
              <w:ind w:right="-52"/>
            </w:pPr>
            <w:r>
              <w:t>-100</w:t>
            </w:r>
          </w:p>
        </w:tc>
        <w:tc>
          <w:tcPr>
            <w:tcW w:w="5880" w:type="dxa"/>
            <w:tcBorders>
              <w:top w:val="single" w:sz="4" w:space="0" w:color="auto"/>
              <w:left w:val="single" w:sz="4" w:space="0" w:color="auto"/>
              <w:bottom w:val="single" w:sz="4" w:space="0" w:color="auto"/>
              <w:right w:val="single" w:sz="4" w:space="0" w:color="auto"/>
            </w:tcBorders>
            <w:hideMark/>
          </w:tcPr>
          <w:p w14:paraId="4DBAE754" w14:textId="77777777" w:rsidR="00A51903" w:rsidRDefault="00A51903" w:rsidP="005D78D1">
            <w:pPr>
              <w:keepNext/>
            </w:pPr>
            <w:r>
              <w:t>Receiver sensitivity level, per 3GPP Technical Specification 36.101 § 7.3.</w:t>
            </w:r>
          </w:p>
        </w:tc>
      </w:tr>
      <w:tr w:rsidR="00A51903" w14:paraId="7CBCB6B9"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19702AA5" w14:textId="77777777" w:rsidR="00A51903" w:rsidRDefault="00A51903" w:rsidP="005D78D1">
            <w:pPr>
              <w:keepNext/>
            </w:pPr>
            <w:r>
              <w:t>K</w:t>
            </w:r>
            <w:r>
              <w:rPr>
                <w:vertAlign w:val="subscript"/>
              </w:rPr>
              <w:t>d</w:t>
            </w:r>
            <w:r>
              <w:t xml:space="preserve"> (dBm-dBµV/m)</w:t>
            </w:r>
          </w:p>
        </w:tc>
        <w:tc>
          <w:tcPr>
            <w:tcW w:w="1398" w:type="dxa"/>
            <w:tcBorders>
              <w:top w:val="single" w:sz="4" w:space="0" w:color="auto"/>
              <w:left w:val="single" w:sz="4" w:space="0" w:color="auto"/>
              <w:bottom w:val="single" w:sz="4" w:space="0" w:color="auto"/>
              <w:right w:val="single" w:sz="4" w:space="0" w:color="auto"/>
            </w:tcBorders>
            <w:hideMark/>
          </w:tcPr>
          <w:p w14:paraId="7F20B51C" w14:textId="77777777" w:rsidR="00A51903" w:rsidRDefault="00A51903" w:rsidP="005D78D1">
            <w:pPr>
              <w:keepNext/>
              <w:ind w:right="-52"/>
            </w:pPr>
            <w:r>
              <w:t>-130.8</w:t>
            </w:r>
          </w:p>
        </w:tc>
        <w:tc>
          <w:tcPr>
            <w:tcW w:w="5880" w:type="dxa"/>
            <w:tcBorders>
              <w:top w:val="single" w:sz="4" w:space="0" w:color="auto"/>
              <w:left w:val="single" w:sz="4" w:space="0" w:color="auto"/>
              <w:bottom w:val="single" w:sz="4" w:space="0" w:color="auto"/>
              <w:right w:val="single" w:sz="4" w:space="0" w:color="auto"/>
            </w:tcBorders>
          </w:tcPr>
          <w:p w14:paraId="24D0E3B7" w14:textId="77777777" w:rsidR="00A51903" w:rsidRDefault="00A51903" w:rsidP="005D78D1">
            <w:pPr>
              <w:keepNext/>
            </w:pPr>
            <w:r>
              <w:t xml:space="preserve">Dipole Factor, </w:t>
            </w:r>
            <w:r w:rsidRPr="00F81584">
              <w:t>OET Bulletin No. 69, Table 3.</w:t>
            </w:r>
          </w:p>
        </w:tc>
      </w:tr>
      <w:tr w:rsidR="00A51903" w14:paraId="7F1C87D2"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6EBACFD7" w14:textId="77777777" w:rsidR="00A51903" w:rsidRDefault="00A51903" w:rsidP="005D78D1">
            <w:pPr>
              <w:keepNext/>
            </w:pPr>
            <w:r>
              <w:t>G (dBd)</w:t>
            </w:r>
          </w:p>
        </w:tc>
        <w:tc>
          <w:tcPr>
            <w:tcW w:w="1398" w:type="dxa"/>
            <w:tcBorders>
              <w:top w:val="single" w:sz="4" w:space="0" w:color="auto"/>
              <w:left w:val="single" w:sz="4" w:space="0" w:color="auto"/>
              <w:bottom w:val="single" w:sz="4" w:space="0" w:color="auto"/>
              <w:right w:val="single" w:sz="4" w:space="0" w:color="auto"/>
            </w:tcBorders>
            <w:hideMark/>
          </w:tcPr>
          <w:p w14:paraId="0FC45608" w14:textId="77777777" w:rsidR="00A51903" w:rsidRDefault="00A51903" w:rsidP="005D78D1">
            <w:pPr>
              <w:keepNext/>
              <w:ind w:right="-52"/>
            </w:pPr>
            <w:r>
              <w:t xml:space="preserve">    -2.2</w:t>
            </w:r>
          </w:p>
        </w:tc>
        <w:tc>
          <w:tcPr>
            <w:tcW w:w="5880" w:type="dxa"/>
            <w:tcBorders>
              <w:top w:val="single" w:sz="4" w:space="0" w:color="auto"/>
              <w:left w:val="single" w:sz="4" w:space="0" w:color="auto"/>
              <w:bottom w:val="single" w:sz="4" w:space="0" w:color="auto"/>
              <w:right w:val="single" w:sz="4" w:space="0" w:color="auto"/>
            </w:tcBorders>
            <w:hideMark/>
          </w:tcPr>
          <w:p w14:paraId="7A252C2C" w14:textId="77777777" w:rsidR="00A51903" w:rsidRDefault="00A51903" w:rsidP="005D78D1">
            <w:pPr>
              <w:keepNext/>
            </w:pPr>
            <w:r>
              <w:t>Assumes 0 dBi - 2.2 (approximate dipole gain).</w:t>
            </w:r>
          </w:p>
        </w:tc>
      </w:tr>
      <w:tr w:rsidR="00A51903" w14:paraId="337CD44C"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04937C9A" w14:textId="77777777" w:rsidR="00A51903" w:rsidRDefault="00A51903" w:rsidP="005D78D1">
            <w:pPr>
              <w:keepNext/>
            </w:pPr>
            <w:r>
              <w:t>L (dB)</w:t>
            </w:r>
          </w:p>
        </w:tc>
        <w:tc>
          <w:tcPr>
            <w:tcW w:w="1398" w:type="dxa"/>
            <w:tcBorders>
              <w:top w:val="single" w:sz="4" w:space="0" w:color="auto"/>
              <w:left w:val="single" w:sz="4" w:space="0" w:color="auto"/>
              <w:bottom w:val="single" w:sz="4" w:space="0" w:color="auto"/>
              <w:right w:val="single" w:sz="4" w:space="0" w:color="auto"/>
            </w:tcBorders>
            <w:hideMark/>
          </w:tcPr>
          <w:p w14:paraId="291FD66B" w14:textId="77777777" w:rsidR="00A51903" w:rsidRDefault="00A51903" w:rsidP="005D78D1">
            <w:pPr>
              <w:keepNext/>
              <w:ind w:right="-52"/>
            </w:pPr>
            <w:r>
              <w:t xml:space="preserve">     0</w:t>
            </w:r>
          </w:p>
        </w:tc>
        <w:tc>
          <w:tcPr>
            <w:tcW w:w="5880" w:type="dxa"/>
            <w:tcBorders>
              <w:top w:val="single" w:sz="4" w:space="0" w:color="auto"/>
              <w:left w:val="single" w:sz="4" w:space="0" w:color="auto"/>
              <w:bottom w:val="single" w:sz="4" w:space="0" w:color="auto"/>
              <w:right w:val="single" w:sz="4" w:space="0" w:color="auto"/>
            </w:tcBorders>
            <w:hideMark/>
          </w:tcPr>
          <w:p w14:paraId="4571A2BC" w14:textId="77777777" w:rsidR="00A51903" w:rsidRDefault="00A51903" w:rsidP="005D78D1">
            <w:pPr>
              <w:keepNext/>
            </w:pPr>
            <w:r>
              <w:t>Assumed line loss.</w:t>
            </w:r>
          </w:p>
        </w:tc>
      </w:tr>
      <w:tr w:rsidR="00A51903" w14:paraId="2E1073F9"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56E944D2" w14:textId="77777777" w:rsidR="00A51903" w:rsidRDefault="00A51903" w:rsidP="005D78D1">
            <w:pPr>
              <w:keepNext/>
            </w:pPr>
            <w:r>
              <w:t>Receiver BW (MHz)</w:t>
            </w:r>
          </w:p>
        </w:tc>
        <w:tc>
          <w:tcPr>
            <w:tcW w:w="1398" w:type="dxa"/>
            <w:tcBorders>
              <w:top w:val="single" w:sz="4" w:space="0" w:color="auto"/>
              <w:left w:val="single" w:sz="4" w:space="0" w:color="auto"/>
              <w:bottom w:val="single" w:sz="4" w:space="0" w:color="auto"/>
              <w:right w:val="single" w:sz="4" w:space="0" w:color="auto"/>
            </w:tcBorders>
            <w:hideMark/>
          </w:tcPr>
          <w:p w14:paraId="4E0204A1" w14:textId="77777777" w:rsidR="00A51903" w:rsidRDefault="00A51903" w:rsidP="005D78D1">
            <w:pPr>
              <w:keepNext/>
              <w:ind w:right="-52"/>
            </w:pPr>
            <w:r>
              <w:t xml:space="preserve">     5</w:t>
            </w:r>
          </w:p>
        </w:tc>
        <w:tc>
          <w:tcPr>
            <w:tcW w:w="5880" w:type="dxa"/>
            <w:tcBorders>
              <w:top w:val="single" w:sz="4" w:space="0" w:color="auto"/>
              <w:left w:val="single" w:sz="4" w:space="0" w:color="auto"/>
              <w:bottom w:val="single" w:sz="4" w:space="0" w:color="auto"/>
              <w:right w:val="single" w:sz="4" w:space="0" w:color="auto"/>
            </w:tcBorders>
            <w:hideMark/>
          </w:tcPr>
          <w:p w14:paraId="3E78743F" w14:textId="77777777" w:rsidR="00A51903" w:rsidRDefault="00A51903" w:rsidP="005D78D1">
            <w:pPr>
              <w:keepNext/>
            </w:pPr>
            <w:r>
              <w:t>For bandwidths (BWs) ≥ 5 MHz, the reference sensitivity level is measured in accord with the 3GPP Technical Specification 36.104 using 25 consecutive resource blocks, corresponding to a channel bandwidth of 4.5 MHz.</w:t>
            </w:r>
          </w:p>
        </w:tc>
      </w:tr>
      <w:tr w:rsidR="00A51903" w14:paraId="4C866E61"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483DDE30" w14:textId="77777777" w:rsidR="00A51903" w:rsidRDefault="00A51903" w:rsidP="005D78D1">
            <w:pPr>
              <w:keepNext/>
            </w:pPr>
            <w:r>
              <w:t>Thermal noise, N</w:t>
            </w:r>
            <w:r>
              <w:rPr>
                <w:vertAlign w:val="subscript"/>
              </w:rPr>
              <w:t>t</w:t>
            </w:r>
            <w:r>
              <w:t xml:space="preserve"> (dBm)</w:t>
            </w:r>
          </w:p>
        </w:tc>
        <w:tc>
          <w:tcPr>
            <w:tcW w:w="1398" w:type="dxa"/>
            <w:tcBorders>
              <w:top w:val="single" w:sz="4" w:space="0" w:color="auto"/>
              <w:left w:val="single" w:sz="4" w:space="0" w:color="auto"/>
              <w:bottom w:val="single" w:sz="4" w:space="0" w:color="auto"/>
              <w:right w:val="single" w:sz="4" w:space="0" w:color="auto"/>
            </w:tcBorders>
            <w:hideMark/>
          </w:tcPr>
          <w:p w14:paraId="0881C343" w14:textId="77777777" w:rsidR="00A51903" w:rsidRDefault="00A51903" w:rsidP="005D78D1">
            <w:pPr>
              <w:keepNext/>
              <w:ind w:right="-52"/>
            </w:pPr>
            <w:r>
              <w:t>-107.5</w:t>
            </w:r>
          </w:p>
        </w:tc>
        <w:tc>
          <w:tcPr>
            <w:tcW w:w="5880" w:type="dxa"/>
            <w:tcBorders>
              <w:top w:val="single" w:sz="4" w:space="0" w:color="auto"/>
              <w:left w:val="single" w:sz="4" w:space="0" w:color="auto"/>
              <w:bottom w:val="single" w:sz="4" w:space="0" w:color="auto"/>
              <w:right w:val="single" w:sz="4" w:space="0" w:color="auto"/>
            </w:tcBorders>
            <w:hideMark/>
          </w:tcPr>
          <w:p w14:paraId="752CA36C" w14:textId="77777777" w:rsidR="00A51903" w:rsidRDefault="00A51903" w:rsidP="005D78D1">
            <w:pPr>
              <w:keepNext/>
            </w:pPr>
            <w:r>
              <w:t>= -174 (dBm/Hz) + 10log</w:t>
            </w:r>
            <w:r>
              <w:rPr>
                <w:vertAlign w:val="subscript"/>
              </w:rPr>
              <w:t>10</w:t>
            </w:r>
            <w:r>
              <w:t>(4.5 MHz).</w:t>
            </w:r>
          </w:p>
        </w:tc>
      </w:tr>
      <w:tr w:rsidR="00A51903" w14:paraId="752A7D86"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5C455AB9" w14:textId="77777777" w:rsidR="00A51903" w:rsidRDefault="00A51903" w:rsidP="005D78D1">
            <w:pPr>
              <w:keepNext/>
            </w:pPr>
            <w:r>
              <w:t>Effective noise figure, N</w:t>
            </w:r>
            <w:r>
              <w:rPr>
                <w:vertAlign w:val="subscript"/>
              </w:rPr>
              <w:t>e</w:t>
            </w:r>
            <w:r>
              <w:t xml:space="preserve"> (dB)</w:t>
            </w:r>
          </w:p>
        </w:tc>
        <w:tc>
          <w:tcPr>
            <w:tcW w:w="1398" w:type="dxa"/>
            <w:tcBorders>
              <w:top w:val="single" w:sz="4" w:space="0" w:color="auto"/>
              <w:left w:val="single" w:sz="4" w:space="0" w:color="auto"/>
              <w:bottom w:val="single" w:sz="4" w:space="0" w:color="auto"/>
              <w:right w:val="single" w:sz="4" w:space="0" w:color="auto"/>
            </w:tcBorders>
            <w:hideMark/>
          </w:tcPr>
          <w:p w14:paraId="6BB66317" w14:textId="77777777" w:rsidR="00A51903" w:rsidRDefault="00A51903" w:rsidP="005D78D1">
            <w:pPr>
              <w:keepNext/>
              <w:ind w:right="-52"/>
            </w:pPr>
            <w:r>
              <w:t xml:space="preserve">     7.5</w:t>
            </w:r>
          </w:p>
        </w:tc>
        <w:tc>
          <w:tcPr>
            <w:tcW w:w="5880" w:type="dxa"/>
            <w:tcBorders>
              <w:top w:val="single" w:sz="4" w:space="0" w:color="auto"/>
              <w:left w:val="single" w:sz="4" w:space="0" w:color="auto"/>
              <w:bottom w:val="single" w:sz="4" w:space="0" w:color="auto"/>
              <w:right w:val="single" w:sz="4" w:space="0" w:color="auto"/>
            </w:tcBorders>
            <w:hideMark/>
          </w:tcPr>
          <w:p w14:paraId="4F045B2C" w14:textId="77777777" w:rsidR="00A51903" w:rsidRDefault="00A51903" w:rsidP="005D78D1">
            <w:pPr>
              <w:keepNext/>
            </w:pPr>
          </w:p>
        </w:tc>
      </w:tr>
      <w:tr w:rsidR="00A51903" w14:paraId="66A70F73"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7A1E7603" w14:textId="77777777" w:rsidR="00A51903" w:rsidRDefault="00A51903" w:rsidP="005D78D1">
            <w:pPr>
              <w:keepNext/>
            </w:pPr>
            <w:r>
              <w:t>OTR (dB)</w:t>
            </w:r>
          </w:p>
        </w:tc>
        <w:tc>
          <w:tcPr>
            <w:tcW w:w="1398" w:type="dxa"/>
            <w:tcBorders>
              <w:top w:val="single" w:sz="4" w:space="0" w:color="auto"/>
              <w:left w:val="single" w:sz="4" w:space="0" w:color="auto"/>
              <w:bottom w:val="single" w:sz="4" w:space="0" w:color="auto"/>
              <w:right w:val="single" w:sz="4" w:space="0" w:color="auto"/>
            </w:tcBorders>
            <w:hideMark/>
          </w:tcPr>
          <w:p w14:paraId="7DA24680" w14:textId="77777777" w:rsidR="00A51903" w:rsidRDefault="00A51903" w:rsidP="005D78D1">
            <w:pPr>
              <w:keepNext/>
              <w:ind w:right="-52"/>
            </w:pPr>
            <w:r>
              <w:t xml:space="preserve">     0.8</w:t>
            </w:r>
          </w:p>
        </w:tc>
        <w:tc>
          <w:tcPr>
            <w:tcW w:w="5880" w:type="dxa"/>
            <w:tcBorders>
              <w:top w:val="single" w:sz="4" w:space="0" w:color="auto"/>
              <w:left w:val="single" w:sz="4" w:space="0" w:color="auto"/>
              <w:bottom w:val="single" w:sz="4" w:space="0" w:color="auto"/>
              <w:right w:val="single" w:sz="4" w:space="0" w:color="auto"/>
            </w:tcBorders>
            <w:hideMark/>
          </w:tcPr>
          <w:p w14:paraId="55778E9D" w14:textId="77777777" w:rsidR="00A51903" w:rsidRDefault="00A51903" w:rsidP="005D78D1">
            <w:pPr>
              <w:keepNext/>
            </w:pPr>
            <w:r>
              <w:t>For TV into wireless, OTR = 10log</w:t>
            </w:r>
            <w:r>
              <w:rPr>
                <w:vertAlign w:val="subscript"/>
              </w:rPr>
              <w:t>10</w:t>
            </w:r>
            <w:r>
              <w:t>(6/5) = 0.8 dB.  Using typical 3 dB transmit signal bandwidths, 10log</w:t>
            </w:r>
            <w:r>
              <w:rPr>
                <w:vertAlign w:val="subscript"/>
              </w:rPr>
              <w:t>10</w:t>
            </w:r>
            <w:r>
              <w:t xml:space="preserve">(5.38/4.5) is also approximately 0.8 dB.  </w:t>
            </w:r>
          </w:p>
        </w:tc>
      </w:tr>
      <w:tr w:rsidR="00A51903" w14:paraId="660BEC9A"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320896A1" w14:textId="77777777" w:rsidR="00A51903" w:rsidRDefault="00A51903" w:rsidP="005D78D1">
            <w:pPr>
              <w:keepNext/>
            </w:pPr>
            <w:r>
              <w:t>OFR(</w:t>
            </w:r>
            <w:r>
              <w:rPr>
                <w:rFonts w:ascii="Calibri" w:hAnsi="Calibri"/>
              </w:rPr>
              <w:t>Δ</w:t>
            </w:r>
            <w:r>
              <w:t>f) (dB)</w:t>
            </w:r>
          </w:p>
        </w:tc>
        <w:tc>
          <w:tcPr>
            <w:tcW w:w="1398" w:type="dxa"/>
            <w:tcBorders>
              <w:top w:val="single" w:sz="4" w:space="0" w:color="auto"/>
              <w:left w:val="single" w:sz="4" w:space="0" w:color="auto"/>
              <w:bottom w:val="single" w:sz="4" w:space="0" w:color="auto"/>
              <w:right w:val="single" w:sz="4" w:space="0" w:color="auto"/>
            </w:tcBorders>
            <w:hideMark/>
          </w:tcPr>
          <w:p w14:paraId="0E876EE4" w14:textId="77777777" w:rsidR="00A51903" w:rsidRDefault="00A51903" w:rsidP="005D78D1">
            <w:pPr>
              <w:keepNext/>
              <w:ind w:right="-52"/>
            </w:pPr>
            <w:r>
              <w:t>varies</w:t>
            </w:r>
          </w:p>
        </w:tc>
        <w:tc>
          <w:tcPr>
            <w:tcW w:w="5880" w:type="dxa"/>
            <w:tcBorders>
              <w:top w:val="single" w:sz="4" w:space="0" w:color="auto"/>
              <w:left w:val="single" w:sz="4" w:space="0" w:color="auto"/>
              <w:bottom w:val="single" w:sz="4" w:space="0" w:color="auto"/>
              <w:right w:val="single" w:sz="4" w:space="0" w:color="auto"/>
            </w:tcBorders>
            <w:hideMark/>
          </w:tcPr>
          <w:p w14:paraId="7CB5D07B" w14:textId="77777777" w:rsidR="00A51903" w:rsidRDefault="00A51903" w:rsidP="005D78D1">
            <w:pPr>
              <w:keepNext/>
            </w:pPr>
            <w:r>
              <w:t xml:space="preserve">See </w:t>
            </w:r>
            <w:r w:rsidRPr="00866244">
              <w:t xml:space="preserve">Note from </w:t>
            </w:r>
            <w:r w:rsidRPr="00866244">
              <w:fldChar w:fldCharType="begin"/>
            </w:r>
            <w:r w:rsidRPr="00866244">
              <w:instrText xml:space="preserve"> REF _Ref378166378 \h </w:instrText>
            </w:r>
            <w:r>
              <w:instrText xml:space="preserve"> \* MERGEFORMAT </w:instrText>
            </w:r>
            <w:r w:rsidRPr="00866244">
              <w:fldChar w:fldCharType="separate"/>
            </w:r>
            <w:r w:rsidR="00CC6F3D" w:rsidRPr="00CC6F3D">
              <w:t xml:space="preserve">Table </w:t>
            </w:r>
            <w:r w:rsidR="00CC6F3D" w:rsidRPr="00CC6F3D">
              <w:rPr>
                <w:noProof/>
              </w:rPr>
              <w:t>5</w:t>
            </w:r>
            <w:r w:rsidRPr="00866244">
              <w:fldChar w:fldCharType="end"/>
            </w:r>
            <w:r w:rsidRPr="00866244">
              <w:t>.</w:t>
            </w:r>
          </w:p>
        </w:tc>
      </w:tr>
      <w:tr w:rsidR="00A51903" w14:paraId="0B9184EF" w14:textId="77777777" w:rsidTr="005D78D1">
        <w:trPr>
          <w:jc w:val="center"/>
        </w:trPr>
        <w:tc>
          <w:tcPr>
            <w:tcW w:w="2186" w:type="dxa"/>
            <w:tcBorders>
              <w:top w:val="single" w:sz="4" w:space="0" w:color="auto"/>
              <w:left w:val="single" w:sz="4" w:space="0" w:color="auto"/>
              <w:bottom w:val="single" w:sz="4" w:space="0" w:color="auto"/>
              <w:right w:val="single" w:sz="4" w:space="0" w:color="auto"/>
            </w:tcBorders>
            <w:hideMark/>
          </w:tcPr>
          <w:p w14:paraId="7280BBC4" w14:textId="77777777" w:rsidR="00A51903" w:rsidRDefault="00A51903" w:rsidP="005D78D1">
            <w:pPr>
              <w:keepNext/>
            </w:pPr>
            <w:r>
              <w:t>HG(2) (m)</w:t>
            </w:r>
          </w:p>
        </w:tc>
        <w:tc>
          <w:tcPr>
            <w:tcW w:w="1398" w:type="dxa"/>
            <w:tcBorders>
              <w:top w:val="single" w:sz="4" w:space="0" w:color="auto"/>
              <w:left w:val="single" w:sz="4" w:space="0" w:color="auto"/>
              <w:bottom w:val="single" w:sz="4" w:space="0" w:color="auto"/>
              <w:right w:val="single" w:sz="4" w:space="0" w:color="auto"/>
            </w:tcBorders>
            <w:hideMark/>
          </w:tcPr>
          <w:p w14:paraId="4FB036A7" w14:textId="77777777" w:rsidR="00A51903" w:rsidRDefault="00A51903" w:rsidP="005D78D1">
            <w:pPr>
              <w:keepNext/>
              <w:ind w:right="-52"/>
            </w:pPr>
            <w:r>
              <w:t xml:space="preserve">     1.5 </w:t>
            </w:r>
          </w:p>
        </w:tc>
        <w:tc>
          <w:tcPr>
            <w:tcW w:w="5880" w:type="dxa"/>
            <w:tcBorders>
              <w:top w:val="single" w:sz="4" w:space="0" w:color="auto"/>
              <w:left w:val="single" w:sz="4" w:space="0" w:color="auto"/>
              <w:bottom w:val="single" w:sz="4" w:space="0" w:color="auto"/>
              <w:right w:val="single" w:sz="4" w:space="0" w:color="auto"/>
            </w:tcBorders>
            <w:hideMark/>
          </w:tcPr>
          <w:p w14:paraId="362D869A" w14:textId="77777777" w:rsidR="00A51903" w:rsidRDefault="00A51903" w:rsidP="005D78D1">
            <w:r>
              <w:t>Assume 1.5 m height for user equipment receiver.</w:t>
            </w:r>
          </w:p>
        </w:tc>
      </w:tr>
    </w:tbl>
    <w:p w14:paraId="68A58722" w14:textId="77777777" w:rsidR="00A51903" w:rsidRPr="001165AF" w:rsidRDefault="00A51903" w:rsidP="00A51903">
      <w:pPr>
        <w:spacing w:before="120" w:after="120"/>
        <w:ind w:left="274"/>
        <w:jc w:val="center"/>
        <w:rPr>
          <w:szCs w:val="22"/>
        </w:rPr>
      </w:pPr>
      <w:bookmarkStart w:id="13" w:name="_Ref378166386"/>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6</w:t>
      </w:r>
      <w:r>
        <w:rPr>
          <w:szCs w:val="22"/>
        </w:rPr>
        <w:fldChar w:fldCharType="end"/>
      </w:r>
      <w:bookmarkEnd w:id="13"/>
      <w:r w:rsidRPr="001165AF">
        <w:rPr>
          <w:szCs w:val="22"/>
        </w:rPr>
        <w:t>.  Wireless user equipment receiver technical parameters</w:t>
      </w:r>
    </w:p>
    <w:p w14:paraId="313E1A0A" w14:textId="77777777" w:rsidR="00A51903" w:rsidRDefault="00A51903" w:rsidP="00A51903">
      <w:pPr>
        <w:keepNext/>
        <w:spacing w:after="120"/>
        <w:jc w:val="cente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462"/>
        <w:gridCol w:w="491"/>
        <w:gridCol w:w="491"/>
        <w:gridCol w:w="491"/>
        <w:gridCol w:w="491"/>
        <w:gridCol w:w="601"/>
        <w:gridCol w:w="601"/>
        <w:gridCol w:w="601"/>
        <w:gridCol w:w="601"/>
        <w:gridCol w:w="601"/>
        <w:gridCol w:w="711"/>
      </w:tblGrid>
      <w:tr w:rsidR="00A51903" w14:paraId="6F8C636E" w14:textId="77777777" w:rsidTr="005D78D1">
        <w:trPr>
          <w:cantSplit/>
          <w:jc w:val="center"/>
        </w:trPr>
        <w:tc>
          <w:tcPr>
            <w:tcW w:w="2076" w:type="dxa"/>
            <w:tcBorders>
              <w:top w:val="single" w:sz="4" w:space="0" w:color="auto"/>
              <w:left w:val="single" w:sz="4" w:space="0" w:color="auto"/>
              <w:bottom w:val="single" w:sz="4" w:space="0" w:color="auto"/>
              <w:right w:val="single" w:sz="4" w:space="0" w:color="auto"/>
              <w:tl2br w:val="single" w:sz="4" w:space="0" w:color="auto"/>
            </w:tcBorders>
            <w:shd w:val="clear" w:color="auto" w:fill="E0E0E0"/>
            <w:vAlign w:val="center"/>
            <w:hideMark/>
          </w:tcPr>
          <w:p w14:paraId="3679C0AF" w14:textId="77777777" w:rsidR="00A51903" w:rsidRDefault="00A51903" w:rsidP="005D78D1">
            <w:pPr>
              <w:jc w:val="right"/>
              <w:rPr>
                <w:sz w:val="20"/>
              </w:rPr>
            </w:pPr>
            <w:r w:rsidRPr="00302750">
              <w:rPr>
                <w:sz w:val="20"/>
              </w:rPr>
              <w:t>Overlap in MHz</w:t>
            </w:r>
          </w:p>
          <w:p w14:paraId="77E1C540" w14:textId="77777777" w:rsidR="00A51903" w:rsidRPr="00430B39" w:rsidRDefault="00A51903" w:rsidP="005D78D1">
            <w:pPr>
              <w:rPr>
                <w:sz w:val="20"/>
              </w:rPr>
            </w:pPr>
            <w:r w:rsidRPr="00302750">
              <w:rPr>
                <w:sz w:val="20"/>
              </w:rPr>
              <w:t>OFR (dB)</w:t>
            </w:r>
          </w:p>
        </w:tc>
        <w:tc>
          <w:tcPr>
            <w:tcW w:w="4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5913A0" w14:textId="77777777" w:rsidR="00A51903" w:rsidRPr="00430B39" w:rsidRDefault="00A51903" w:rsidP="005D78D1">
            <w:pPr>
              <w:jc w:val="center"/>
              <w:rPr>
                <w:sz w:val="20"/>
              </w:rPr>
            </w:pPr>
            <w:r w:rsidRPr="00302750">
              <w:rPr>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13529FD8" w14:textId="77777777" w:rsidR="00A51903" w:rsidRPr="00430B39" w:rsidRDefault="00A51903" w:rsidP="005D78D1">
            <w:pPr>
              <w:jc w:val="center"/>
              <w:rPr>
                <w:sz w:val="20"/>
              </w:rPr>
            </w:pPr>
            <w:r w:rsidRPr="00302750">
              <w:rPr>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3CAD637" w14:textId="77777777" w:rsidR="00A51903" w:rsidRPr="00430B39" w:rsidRDefault="00A51903" w:rsidP="005D78D1">
            <w:pPr>
              <w:jc w:val="center"/>
              <w:rPr>
                <w:sz w:val="20"/>
              </w:rPr>
            </w:pPr>
            <w:r w:rsidRPr="00302750">
              <w:rPr>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7788F762" w14:textId="77777777" w:rsidR="00A51903" w:rsidRPr="00430B39" w:rsidRDefault="00A51903" w:rsidP="005D78D1">
            <w:pPr>
              <w:jc w:val="center"/>
              <w:rPr>
                <w:sz w:val="20"/>
              </w:rPr>
            </w:pPr>
            <w:r w:rsidRPr="00302750">
              <w:rPr>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5C877106" w14:textId="77777777" w:rsidR="00A51903" w:rsidRPr="00430B39" w:rsidRDefault="00A51903" w:rsidP="005D78D1">
            <w:pPr>
              <w:jc w:val="center"/>
              <w:rPr>
                <w:sz w:val="20"/>
              </w:rPr>
            </w:pPr>
            <w:r w:rsidRPr="00302750">
              <w:rPr>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5307C7EC" w14:textId="77777777" w:rsidR="00A51903" w:rsidRPr="00430B39" w:rsidRDefault="00A51903" w:rsidP="005D78D1">
            <w:pPr>
              <w:jc w:val="center"/>
              <w:rPr>
                <w:sz w:val="20"/>
              </w:rPr>
            </w:pPr>
            <w:r w:rsidRPr="00302750">
              <w:rPr>
                <w:sz w:val="20"/>
              </w:rPr>
              <w:t>0</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C8D9348" w14:textId="77777777" w:rsidR="00A51903" w:rsidRPr="00430B39" w:rsidRDefault="00A51903" w:rsidP="005D78D1">
            <w:pPr>
              <w:jc w:val="center"/>
              <w:rPr>
                <w:sz w:val="20"/>
              </w:rPr>
            </w:pPr>
            <w:r w:rsidRPr="00302750">
              <w:rPr>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0E58163D" w14:textId="77777777" w:rsidR="00A51903" w:rsidRPr="00430B39" w:rsidRDefault="00A51903" w:rsidP="005D78D1">
            <w:pPr>
              <w:jc w:val="center"/>
              <w:rPr>
                <w:sz w:val="20"/>
              </w:rPr>
            </w:pPr>
            <w:r w:rsidRPr="00302750">
              <w:rPr>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459D6FC" w14:textId="77777777" w:rsidR="00A51903" w:rsidRPr="00430B39" w:rsidRDefault="00A51903" w:rsidP="005D78D1">
            <w:pPr>
              <w:jc w:val="center"/>
              <w:rPr>
                <w:sz w:val="20"/>
              </w:rPr>
            </w:pPr>
            <w:r w:rsidRPr="00302750">
              <w:rPr>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65995D8F" w14:textId="77777777" w:rsidR="00A51903" w:rsidRPr="00430B39" w:rsidRDefault="00A51903" w:rsidP="005D78D1">
            <w:pPr>
              <w:jc w:val="center"/>
              <w:rPr>
                <w:sz w:val="20"/>
              </w:rPr>
            </w:pPr>
            <w:r w:rsidRPr="00302750">
              <w:rPr>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47A712E3" w14:textId="77777777" w:rsidR="00A51903" w:rsidRPr="00430B39" w:rsidRDefault="00A51903" w:rsidP="005D78D1">
            <w:pPr>
              <w:jc w:val="center"/>
              <w:rPr>
                <w:sz w:val="20"/>
              </w:rPr>
            </w:pPr>
            <w:r w:rsidRPr="00302750">
              <w:rPr>
                <w:sz w:val="20"/>
              </w:rPr>
              <w:t>-5</w:t>
            </w:r>
          </w:p>
        </w:tc>
      </w:tr>
      <w:tr w:rsidR="00A51903" w14:paraId="58EA2BA9" w14:textId="77777777" w:rsidTr="005D78D1">
        <w:trPr>
          <w:cantSplit/>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14:paraId="77CF7269" w14:textId="77777777" w:rsidR="00A51903" w:rsidRDefault="00A51903" w:rsidP="005D78D1">
            <w:pPr>
              <w:jc w:val="center"/>
            </w:pPr>
            <w:r>
              <w:t>DTV into Uplink</w:t>
            </w:r>
          </w:p>
        </w:tc>
        <w:tc>
          <w:tcPr>
            <w:tcW w:w="462" w:type="dxa"/>
            <w:tcBorders>
              <w:top w:val="single" w:sz="4" w:space="0" w:color="auto"/>
              <w:left w:val="single" w:sz="4" w:space="0" w:color="auto"/>
              <w:bottom w:val="single" w:sz="4" w:space="0" w:color="auto"/>
              <w:right w:val="single" w:sz="4" w:space="0" w:color="auto"/>
            </w:tcBorders>
            <w:vAlign w:val="center"/>
            <w:hideMark/>
          </w:tcPr>
          <w:p w14:paraId="6C65254C"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4B7E3" w14:textId="77777777" w:rsidR="00A51903" w:rsidRDefault="00A51903" w:rsidP="005D78D1">
            <w:pPr>
              <w:jc w:val="center"/>
            </w:pPr>
            <w:r>
              <w:t>0.9</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F733A" w14:textId="77777777" w:rsidR="00A51903" w:rsidRDefault="00A51903" w:rsidP="005D78D1">
            <w:pPr>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46A57" w14:textId="77777777" w:rsidR="00A51903" w:rsidRDefault="00A51903" w:rsidP="005D78D1">
            <w:pPr>
              <w:jc w:val="center"/>
            </w:pPr>
            <w:r>
              <w:t>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3F3B" w14:textId="77777777" w:rsidR="00A51903" w:rsidRDefault="00A51903" w:rsidP="005D78D1">
            <w:pPr>
              <w:jc w:val="center"/>
            </w:pPr>
            <w:r>
              <w:t>6.7</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69A0B" w14:textId="77777777" w:rsidR="00A51903" w:rsidRDefault="00A51903" w:rsidP="005D78D1">
            <w:pPr>
              <w:jc w:val="center"/>
            </w:pPr>
            <w:r>
              <w:t>17.1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0749B" w14:textId="77777777" w:rsidR="00A51903" w:rsidRDefault="00A51903" w:rsidP="005D78D1">
            <w:pPr>
              <w:jc w:val="center"/>
            </w:pPr>
            <w:r>
              <w:t>44.1</w:t>
            </w:r>
          </w:p>
        </w:tc>
        <w:tc>
          <w:tcPr>
            <w:tcW w:w="0" w:type="auto"/>
            <w:tcBorders>
              <w:top w:val="single" w:sz="4" w:space="0" w:color="auto"/>
              <w:left w:val="single" w:sz="4" w:space="0" w:color="auto"/>
              <w:bottom w:val="single" w:sz="4" w:space="0" w:color="auto"/>
              <w:right w:val="single" w:sz="4" w:space="0" w:color="auto"/>
            </w:tcBorders>
            <w:vAlign w:val="center"/>
            <w:hideMark/>
          </w:tcPr>
          <w:p w14:paraId="16D64BA2" w14:textId="77777777" w:rsidR="00A51903" w:rsidRDefault="00A51903" w:rsidP="005D78D1">
            <w:pPr>
              <w:jc w:val="center"/>
            </w:pPr>
            <w:r>
              <w:t>45.2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2039DA" w14:textId="77777777" w:rsidR="00A51903" w:rsidRDefault="00A51903" w:rsidP="005D78D1">
            <w:pPr>
              <w:jc w:val="center"/>
            </w:pPr>
            <w:r>
              <w:t>46.4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83C49" w14:textId="77777777" w:rsidR="00A51903" w:rsidRDefault="00A51903" w:rsidP="005D78D1">
            <w:pPr>
              <w:jc w:val="center"/>
            </w:pPr>
            <w:r>
              <w:t>48.2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D7911" w14:textId="77777777" w:rsidR="00A51903" w:rsidRDefault="00A51903" w:rsidP="005D78D1">
            <w:pPr>
              <w:jc w:val="center"/>
            </w:pPr>
            <w:r>
              <w:t xml:space="preserve">  51.3</w:t>
            </w:r>
          </w:p>
        </w:tc>
      </w:tr>
      <w:tr w:rsidR="00A51903" w14:paraId="15EC76E4" w14:textId="77777777" w:rsidTr="005D78D1">
        <w:trPr>
          <w:cantSplit/>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14:paraId="2A99CBDC" w14:textId="77777777" w:rsidR="00A51903" w:rsidRDefault="00A51903" w:rsidP="005D78D1">
            <w:pPr>
              <w:jc w:val="center"/>
            </w:pPr>
            <w:r>
              <w:t>DTV into Downlink</w:t>
            </w:r>
          </w:p>
        </w:tc>
        <w:tc>
          <w:tcPr>
            <w:tcW w:w="462" w:type="dxa"/>
            <w:tcBorders>
              <w:top w:val="single" w:sz="4" w:space="0" w:color="auto"/>
              <w:left w:val="single" w:sz="4" w:space="0" w:color="auto"/>
              <w:bottom w:val="single" w:sz="4" w:space="0" w:color="auto"/>
              <w:right w:val="single" w:sz="4" w:space="0" w:color="auto"/>
            </w:tcBorders>
            <w:vAlign w:val="center"/>
            <w:hideMark/>
          </w:tcPr>
          <w:p w14:paraId="692E8C1D"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22288" w14:textId="77777777" w:rsidR="00A51903" w:rsidRDefault="00A51903" w:rsidP="005D78D1">
            <w:pPr>
              <w:jc w:val="center"/>
            </w:pPr>
            <w:r>
              <w:t>0.9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387C2" w14:textId="77777777" w:rsidR="00A51903" w:rsidRDefault="00A51903" w:rsidP="005D78D1">
            <w:pPr>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BFAD6" w14:textId="77777777" w:rsidR="00A51903" w:rsidRDefault="00A51903" w:rsidP="005D78D1">
            <w:pPr>
              <w:jc w:val="center"/>
            </w:pPr>
            <w: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2CA04" w14:textId="77777777" w:rsidR="00A51903" w:rsidRDefault="00A51903" w:rsidP="005D78D1">
            <w:pPr>
              <w:jc w:val="center"/>
            </w:pPr>
            <w: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4E8CF968" w14:textId="77777777" w:rsidR="00A51903" w:rsidRDefault="00A51903" w:rsidP="005D78D1">
            <w:pPr>
              <w:keepNext/>
              <w:jc w:val="center"/>
            </w:pPr>
            <w:r>
              <w:t>16.9</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8F196" w14:textId="77777777" w:rsidR="00A51903" w:rsidRDefault="00A51903" w:rsidP="005D78D1">
            <w:pPr>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8C310" w14:textId="77777777" w:rsidR="00A51903" w:rsidRDefault="00A51903" w:rsidP="005D78D1">
            <w:pPr>
              <w:jc w:val="center"/>
            </w:pPr>
            <w:r>
              <w:t>32.8</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FFFCC" w14:textId="77777777" w:rsidR="00A51903" w:rsidRDefault="00A51903" w:rsidP="005D78D1">
            <w:pPr>
              <w:jc w:val="center"/>
            </w:pPr>
            <w:r>
              <w:t>33.8</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51DC9" w14:textId="77777777" w:rsidR="00A51903" w:rsidRDefault="00A51903" w:rsidP="005D78D1">
            <w:pPr>
              <w:jc w:val="center"/>
            </w:pPr>
            <w:r>
              <w:t>35.1</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4786B" w14:textId="77777777" w:rsidR="00A51903" w:rsidRDefault="00A51903" w:rsidP="005D78D1">
            <w:pPr>
              <w:jc w:val="center"/>
            </w:pPr>
            <w:r>
              <w:t>37</w:t>
            </w:r>
          </w:p>
        </w:tc>
      </w:tr>
    </w:tbl>
    <w:p w14:paraId="2B99D063" w14:textId="77777777" w:rsidR="00A51903" w:rsidRPr="001165AF" w:rsidRDefault="00A51903" w:rsidP="00A51903">
      <w:pPr>
        <w:spacing w:before="120" w:after="120"/>
        <w:jc w:val="center"/>
        <w:rPr>
          <w:szCs w:val="22"/>
        </w:rPr>
      </w:pPr>
      <w:bookmarkStart w:id="14" w:name="_Ref378166344"/>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7</w:t>
      </w:r>
      <w:r>
        <w:rPr>
          <w:szCs w:val="22"/>
        </w:rPr>
        <w:fldChar w:fldCharType="end"/>
      </w:r>
      <w:bookmarkEnd w:id="14"/>
      <w:r w:rsidRPr="001165AF">
        <w:rPr>
          <w:szCs w:val="22"/>
        </w:rPr>
        <w:t>.  Calculated off-frequency rejection (OFR) values for DTV into wireless</w:t>
      </w:r>
    </w:p>
    <w:p w14:paraId="46DC2B59" w14:textId="77777777" w:rsidR="00A51903" w:rsidRDefault="00A51903" w:rsidP="00A51903"/>
    <w:p w14:paraId="0777D6D1" w14:textId="77777777" w:rsidR="00A51903" w:rsidRDefault="00A51903" w:rsidP="00A51903">
      <w:pPr>
        <w:ind w:firstLine="720"/>
        <w:jc w:val="both"/>
      </w:pPr>
      <w:r w:rsidRPr="00C96F06">
        <w:rPr>
          <w:i/>
          <w:u w:val="single"/>
        </w:rPr>
        <w:t xml:space="preserve">D/U </w:t>
      </w:r>
      <w:r>
        <w:rPr>
          <w:i/>
          <w:u w:val="single"/>
        </w:rPr>
        <w:t xml:space="preserve">Ratio </w:t>
      </w:r>
      <w:r w:rsidRPr="00C96F06">
        <w:rPr>
          <w:i/>
          <w:u w:val="single"/>
        </w:rPr>
        <w:t>Limits for Interference to DTV</w:t>
      </w:r>
      <w:r>
        <w:rPr>
          <w:i/>
          <w:u w:val="single"/>
        </w:rPr>
        <w:t>.</w:t>
      </w:r>
      <w:r>
        <w:t xml:space="preserve">  Criteria for thresholds of interference using the ratio of desired to undesired (D/U) field strengths for TV are specified in 47 C.F.R. § 73.623.  The specified 15.2 dB D/U ratio for co-channel interference to DTV service is valid only at locations where the signal-to-noise ratio is 28 dB or greater.  Near the edge of the noise-limited service area, where the predicted signal-to-noise (S/N) ratio is 16 dB or less, the co-channel D/U ratio is 23 dB.  At locations where the S/N ratio is greater than 16 dB but less than 28 dB, D/U values for co-channel interference to DTV are as follows:</w:t>
      </w:r>
    </w:p>
    <w:p w14:paraId="1B78CF78" w14:textId="77777777" w:rsidR="00A51903" w:rsidRDefault="00A51903" w:rsidP="00A51903">
      <w:r>
        <w:t xml:space="preserve"> </w:t>
      </w:r>
    </w:p>
    <w:p w14:paraId="04BBE346" w14:textId="77777777" w:rsidR="00A51903" w:rsidRDefault="00A51903" w:rsidP="00A51903">
      <w:pPr>
        <w:ind w:firstLine="720"/>
      </w:pPr>
      <w:r>
        <w:t>To protect DTV reception from wireless co-channel interference, the minimum D/U ratios are computed from the following formula:</w:t>
      </w:r>
    </w:p>
    <w:p w14:paraId="370A9C24" w14:textId="77777777" w:rsidR="00A51903" w:rsidRDefault="00A51903" w:rsidP="00A51903"/>
    <w:p w14:paraId="2D14F542" w14:textId="77777777" w:rsidR="00A51903" w:rsidRDefault="00A51903" w:rsidP="00A51903">
      <w:pPr>
        <w:jc w:val="center"/>
      </w:pPr>
      <w:r>
        <w:t>D/U = 15 + 10log</w:t>
      </w:r>
      <w:r>
        <w:rPr>
          <w:vertAlign w:val="subscript"/>
        </w:rPr>
        <w:t>10</w:t>
      </w:r>
      <w:r>
        <w:t>[1.0/(1.0-10</w:t>
      </w:r>
      <w:r>
        <w:rPr>
          <w:vertAlign w:val="superscript"/>
        </w:rPr>
        <w:t>-x/10</w:t>
      </w:r>
      <w:r>
        <w:t>)], where x = S/N - 15.19 dB.</w:t>
      </w:r>
    </w:p>
    <w:p w14:paraId="1811B933" w14:textId="77777777" w:rsidR="00A51903" w:rsidRDefault="00A51903" w:rsidP="00A51903"/>
    <w:p w14:paraId="7AFA934B" w14:textId="77777777" w:rsidR="00A51903" w:rsidRDefault="00A51903" w:rsidP="00A51903">
      <w:r>
        <w:t>The quantity x is the amount by which the actual desired S/N exceeds the minimum required for DTV reception.</w:t>
      </w:r>
    </w:p>
    <w:p w14:paraId="79F1A62B" w14:textId="77777777" w:rsidR="00A51903" w:rsidRDefault="00A51903" w:rsidP="00A51903"/>
    <w:p w14:paraId="4680BEA0" w14:textId="77777777" w:rsidR="00A51903" w:rsidRDefault="00A51903" w:rsidP="00A51903">
      <w:pPr>
        <w:ind w:firstLine="720"/>
        <w:jc w:val="both"/>
      </w:pPr>
      <w:r>
        <w:t xml:space="preserve">To protect DTV reception from wireless downlink interference for various amounts of spectral overlap, the minimum D/U ratios are </w:t>
      </w:r>
      <w:r w:rsidRPr="00866244">
        <w:t xml:space="preserve">shown in </w:t>
      </w:r>
      <w:r w:rsidRPr="00866244">
        <w:fldChar w:fldCharType="begin"/>
      </w:r>
      <w:r w:rsidRPr="00866244">
        <w:instrText xml:space="preserve"> REF _Ref378167149 \h </w:instrText>
      </w:r>
      <w:r w:rsidRPr="001165AF">
        <w:instrText xml:space="preserve"> \* MERGEFORMAT </w:instrText>
      </w:r>
      <w:r w:rsidRPr="00866244">
        <w:fldChar w:fldCharType="separate"/>
      </w:r>
      <w:r w:rsidR="00CC6F3D" w:rsidRPr="001165AF">
        <w:t xml:space="preserve">Table </w:t>
      </w:r>
      <w:r w:rsidR="00CC6F3D" w:rsidRPr="00CC6F3D">
        <w:rPr>
          <w:noProof/>
        </w:rPr>
        <w:t>8</w:t>
      </w:r>
      <w:r w:rsidRPr="00866244">
        <w:fldChar w:fldCharType="end"/>
      </w:r>
      <w:r w:rsidRPr="00866244">
        <w:t>.  These</w:t>
      </w:r>
      <w:r>
        <w:t xml:space="preserve"> were derived by letting the receive filter selectivity factor α = 10log</w:t>
      </w:r>
      <w:r>
        <w:rPr>
          <w:vertAlign w:val="subscript"/>
        </w:rPr>
        <w:t>10</w:t>
      </w:r>
      <w:r>
        <w:t>[1.0/(1.0 - 10</w:t>
      </w:r>
      <w:r w:rsidRPr="00C96F06">
        <w:rPr>
          <w:vertAlign w:val="superscript"/>
        </w:rPr>
        <w:t>-x/10</w:t>
      </w:r>
      <w:r>
        <w:t xml:space="preserve">)] and applying the OFR(Δf) values for the “Downlink into DTV” and “Uplink to DTV” cases </w:t>
      </w:r>
      <w:r w:rsidRPr="00866244">
        <w:t xml:space="preserve">from </w:t>
      </w:r>
      <w:r w:rsidRPr="00866244">
        <w:fldChar w:fldCharType="begin"/>
      </w:r>
      <w:r w:rsidRPr="00866244">
        <w:instrText xml:space="preserve"> REF _Ref378167184 \h </w:instrText>
      </w:r>
      <w:r>
        <w:instrText xml:space="preserve"> \* MERGEFORMAT </w:instrText>
      </w:r>
      <w:r w:rsidRPr="00866244">
        <w:fldChar w:fldCharType="separate"/>
      </w:r>
      <w:r w:rsidR="00CC6F3D" w:rsidRPr="00CC6F3D">
        <w:t xml:space="preserve">Table </w:t>
      </w:r>
      <w:r w:rsidR="00CC6F3D" w:rsidRPr="00CC6F3D">
        <w:rPr>
          <w:noProof/>
        </w:rPr>
        <w:t>9</w:t>
      </w:r>
      <w:r w:rsidRPr="00866244">
        <w:fldChar w:fldCharType="end"/>
      </w:r>
      <w:r>
        <w:t>.  OTR is set to zero in this case because the DTV receiver bandwidth is assumed to be larger than the wireless emission.</w:t>
      </w:r>
    </w:p>
    <w:p w14:paraId="541DD578" w14:textId="77777777" w:rsidR="00A51903" w:rsidRDefault="00A51903" w:rsidP="00A51903">
      <w:pPr>
        <w:keepNext/>
        <w:keepLines/>
        <w:spacing w:after="120"/>
        <w:jc w:val="center"/>
        <w:rPr>
          <w:rFonts w:ascii="Times New Roman Bold" w:hAnsi="Times New Roman Bold"/>
          <w:b/>
        </w:rPr>
      </w:pPr>
    </w:p>
    <w:tbl>
      <w:tblPr>
        <w:tblW w:w="95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95"/>
        <w:gridCol w:w="1054"/>
        <w:gridCol w:w="1080"/>
        <w:gridCol w:w="1080"/>
        <w:gridCol w:w="1080"/>
        <w:gridCol w:w="900"/>
        <w:gridCol w:w="990"/>
        <w:gridCol w:w="1179"/>
      </w:tblGrid>
      <w:tr w:rsidR="00A51903" w14:paraId="68757DC1" w14:textId="77777777" w:rsidTr="005D78D1">
        <w:trPr>
          <w:trHeight w:val="242"/>
          <w:jc w:val="center"/>
        </w:trPr>
        <w:tc>
          <w:tcPr>
            <w:tcW w:w="2195" w:type="dxa"/>
            <w:tcBorders>
              <w:top w:val="single" w:sz="4" w:space="0" w:color="auto"/>
              <w:left w:val="single" w:sz="4" w:space="0" w:color="auto"/>
              <w:bottom w:val="single" w:sz="6" w:space="0" w:color="auto"/>
              <w:right w:val="single" w:sz="6" w:space="0" w:color="auto"/>
            </w:tcBorders>
            <w:shd w:val="clear" w:color="auto" w:fill="E0E0E0"/>
            <w:vAlign w:val="center"/>
            <w:hideMark/>
          </w:tcPr>
          <w:p w14:paraId="1793322A" w14:textId="77777777" w:rsidR="00A51903" w:rsidRPr="00430B39" w:rsidRDefault="00A51903" w:rsidP="005D78D1">
            <w:pPr>
              <w:keepNext/>
              <w:keepLines/>
              <w:jc w:val="center"/>
              <w:rPr>
                <w:sz w:val="20"/>
              </w:rPr>
            </w:pPr>
            <w:r w:rsidRPr="00302750">
              <w:rPr>
                <w:sz w:val="20"/>
              </w:rPr>
              <w:t>Spectral Overlap (MHz)</w:t>
            </w:r>
          </w:p>
        </w:tc>
        <w:tc>
          <w:tcPr>
            <w:tcW w:w="1054"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04F8395F" w14:textId="77777777" w:rsidR="00A51903" w:rsidRPr="00430B39" w:rsidRDefault="00A51903" w:rsidP="005D78D1">
            <w:pPr>
              <w:keepNext/>
              <w:keepLines/>
              <w:jc w:val="center"/>
              <w:rPr>
                <w:sz w:val="20"/>
              </w:rPr>
            </w:pPr>
            <w:r w:rsidRPr="00302750">
              <w:rPr>
                <w:sz w:val="20"/>
              </w:rPr>
              <w:t>5</w:t>
            </w:r>
          </w:p>
        </w:tc>
        <w:tc>
          <w:tcPr>
            <w:tcW w:w="108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41BDA942" w14:textId="77777777" w:rsidR="00A51903" w:rsidRPr="00430B39" w:rsidRDefault="00A51903" w:rsidP="005D78D1">
            <w:pPr>
              <w:keepNext/>
              <w:keepLines/>
              <w:jc w:val="center"/>
              <w:rPr>
                <w:sz w:val="20"/>
              </w:rPr>
            </w:pPr>
            <w:r w:rsidRPr="00302750">
              <w:rPr>
                <w:sz w:val="20"/>
              </w:rPr>
              <w:t>4</w:t>
            </w:r>
          </w:p>
        </w:tc>
        <w:tc>
          <w:tcPr>
            <w:tcW w:w="108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24132836" w14:textId="77777777" w:rsidR="00A51903" w:rsidRPr="00430B39" w:rsidRDefault="00A51903" w:rsidP="005D78D1">
            <w:pPr>
              <w:keepNext/>
              <w:keepLines/>
              <w:jc w:val="center"/>
              <w:rPr>
                <w:sz w:val="20"/>
              </w:rPr>
            </w:pPr>
            <w:r w:rsidRPr="00302750">
              <w:rPr>
                <w:sz w:val="20"/>
              </w:rPr>
              <w:t>3</w:t>
            </w:r>
          </w:p>
        </w:tc>
        <w:tc>
          <w:tcPr>
            <w:tcW w:w="108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0DFA744A" w14:textId="77777777" w:rsidR="00A51903" w:rsidRPr="00430B39" w:rsidRDefault="00A51903" w:rsidP="005D78D1">
            <w:pPr>
              <w:keepNext/>
              <w:keepLines/>
              <w:jc w:val="center"/>
              <w:rPr>
                <w:sz w:val="20"/>
              </w:rPr>
            </w:pPr>
            <w:r w:rsidRPr="00302750">
              <w:rPr>
                <w:sz w:val="20"/>
              </w:rPr>
              <w:t>2</w:t>
            </w:r>
          </w:p>
        </w:tc>
        <w:tc>
          <w:tcPr>
            <w:tcW w:w="90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5C4BF819" w14:textId="77777777" w:rsidR="00A51903" w:rsidRPr="00430B39" w:rsidRDefault="00A51903" w:rsidP="005D78D1">
            <w:pPr>
              <w:keepNext/>
              <w:keepLines/>
              <w:jc w:val="center"/>
              <w:rPr>
                <w:sz w:val="20"/>
              </w:rPr>
            </w:pPr>
            <w:r w:rsidRPr="00302750">
              <w:rPr>
                <w:sz w:val="20"/>
              </w:rPr>
              <w:t>1</w:t>
            </w:r>
          </w:p>
        </w:tc>
        <w:tc>
          <w:tcPr>
            <w:tcW w:w="990" w:type="dxa"/>
            <w:tcBorders>
              <w:top w:val="single" w:sz="4" w:space="0" w:color="auto"/>
              <w:left w:val="single" w:sz="6" w:space="0" w:color="auto"/>
              <w:bottom w:val="single" w:sz="6" w:space="0" w:color="auto"/>
              <w:right w:val="single" w:sz="6" w:space="0" w:color="auto"/>
            </w:tcBorders>
            <w:shd w:val="clear" w:color="auto" w:fill="E0E0E0"/>
            <w:vAlign w:val="center"/>
            <w:hideMark/>
          </w:tcPr>
          <w:p w14:paraId="6979C047" w14:textId="77777777" w:rsidR="00A51903" w:rsidRPr="00430B39" w:rsidRDefault="00A51903" w:rsidP="005D78D1">
            <w:pPr>
              <w:keepNext/>
              <w:keepLines/>
              <w:jc w:val="center"/>
              <w:rPr>
                <w:sz w:val="20"/>
              </w:rPr>
            </w:pPr>
            <w:r w:rsidRPr="00302750">
              <w:rPr>
                <w:sz w:val="20"/>
              </w:rPr>
              <w:t>0</w:t>
            </w:r>
          </w:p>
        </w:tc>
        <w:tc>
          <w:tcPr>
            <w:tcW w:w="1179" w:type="dxa"/>
            <w:tcBorders>
              <w:top w:val="single" w:sz="4" w:space="0" w:color="auto"/>
              <w:left w:val="single" w:sz="6" w:space="0" w:color="auto"/>
              <w:bottom w:val="single" w:sz="6" w:space="0" w:color="auto"/>
              <w:right w:val="single" w:sz="4" w:space="0" w:color="auto"/>
            </w:tcBorders>
            <w:shd w:val="clear" w:color="auto" w:fill="E0E0E0"/>
            <w:vAlign w:val="center"/>
            <w:hideMark/>
          </w:tcPr>
          <w:p w14:paraId="7ED264E4" w14:textId="77777777" w:rsidR="00A51903" w:rsidRPr="00430B39" w:rsidRDefault="00A51903" w:rsidP="005D78D1">
            <w:pPr>
              <w:keepNext/>
              <w:keepLines/>
              <w:jc w:val="center"/>
              <w:rPr>
                <w:sz w:val="20"/>
              </w:rPr>
            </w:pPr>
            <w:r w:rsidRPr="00302750">
              <w:rPr>
                <w:sz w:val="20"/>
              </w:rPr>
              <w:t>-1 to -5</w:t>
            </w:r>
            <w:r w:rsidRPr="00302750">
              <w:rPr>
                <w:rStyle w:val="FootnoteReference"/>
                <w:sz w:val="20"/>
              </w:rPr>
              <w:footnoteReference w:id="36"/>
            </w:r>
          </w:p>
        </w:tc>
      </w:tr>
      <w:tr w:rsidR="00A51903" w14:paraId="3B8CD368" w14:textId="77777777" w:rsidTr="005D78D1">
        <w:trPr>
          <w:cantSplit/>
          <w:trHeight w:val="586"/>
          <w:jc w:val="center"/>
        </w:trPr>
        <w:tc>
          <w:tcPr>
            <w:tcW w:w="2195" w:type="dxa"/>
            <w:tcBorders>
              <w:top w:val="single" w:sz="6" w:space="0" w:color="auto"/>
              <w:left w:val="single" w:sz="4" w:space="0" w:color="auto"/>
              <w:bottom w:val="single" w:sz="6" w:space="0" w:color="auto"/>
              <w:right w:val="single" w:sz="6" w:space="0" w:color="auto"/>
            </w:tcBorders>
            <w:vAlign w:val="center"/>
            <w:hideMark/>
          </w:tcPr>
          <w:p w14:paraId="7E6649EC" w14:textId="77777777" w:rsidR="00A51903" w:rsidRDefault="00A51903" w:rsidP="005D78D1">
            <w:pPr>
              <w:keepNext/>
              <w:keepLines/>
              <w:jc w:val="center"/>
            </w:pPr>
            <w:r>
              <w:t xml:space="preserve">Downlink to DTV </w:t>
            </w:r>
            <w:r>
              <w:br/>
              <w:t>D/U Required (dB)</w:t>
            </w:r>
          </w:p>
        </w:tc>
        <w:tc>
          <w:tcPr>
            <w:tcW w:w="1054" w:type="dxa"/>
            <w:tcBorders>
              <w:top w:val="single" w:sz="6" w:space="0" w:color="auto"/>
              <w:left w:val="single" w:sz="6" w:space="0" w:color="auto"/>
              <w:bottom w:val="single" w:sz="6" w:space="0" w:color="auto"/>
              <w:right w:val="single" w:sz="6" w:space="0" w:color="auto"/>
            </w:tcBorders>
            <w:vAlign w:val="center"/>
            <w:hideMark/>
          </w:tcPr>
          <w:p w14:paraId="352EE9C2" w14:textId="77777777" w:rsidR="00A51903" w:rsidRDefault="00A51903" w:rsidP="005D78D1">
            <w:pPr>
              <w:keepNext/>
              <w:keepLines/>
              <w:jc w:val="center"/>
            </w:pPr>
            <w:r>
              <w:t>15.0 + α</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3CA773D" w14:textId="77777777" w:rsidR="00A51903" w:rsidRDefault="00A51903" w:rsidP="005D78D1">
            <w:pPr>
              <w:keepNext/>
              <w:keepLines/>
              <w:jc w:val="center"/>
            </w:pPr>
            <w:r>
              <w:t>14.1 + α</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94D4F1A" w14:textId="77777777" w:rsidR="00A51903" w:rsidRDefault="00A51903" w:rsidP="005D78D1">
            <w:pPr>
              <w:keepNext/>
              <w:keepLines/>
              <w:jc w:val="center"/>
            </w:pPr>
            <w:r>
              <w:t>12.8 + α</w:t>
            </w:r>
          </w:p>
        </w:tc>
        <w:tc>
          <w:tcPr>
            <w:tcW w:w="1080" w:type="dxa"/>
            <w:tcBorders>
              <w:top w:val="single" w:sz="6" w:space="0" w:color="auto"/>
              <w:left w:val="single" w:sz="6" w:space="0" w:color="auto"/>
              <w:bottom w:val="single" w:sz="6" w:space="0" w:color="auto"/>
              <w:right w:val="single" w:sz="6" w:space="0" w:color="auto"/>
            </w:tcBorders>
            <w:vAlign w:val="center"/>
            <w:hideMark/>
          </w:tcPr>
          <w:p w14:paraId="55E08085" w14:textId="77777777" w:rsidR="00A51903" w:rsidRDefault="00A51903" w:rsidP="005D78D1">
            <w:pPr>
              <w:keepNext/>
              <w:keepLines/>
              <w:jc w:val="center"/>
            </w:pPr>
            <w:r>
              <w:t>11.1 + α</w:t>
            </w:r>
          </w:p>
        </w:tc>
        <w:tc>
          <w:tcPr>
            <w:tcW w:w="900" w:type="dxa"/>
            <w:tcBorders>
              <w:top w:val="single" w:sz="6" w:space="0" w:color="auto"/>
              <w:left w:val="single" w:sz="6" w:space="0" w:color="auto"/>
              <w:bottom w:val="single" w:sz="6" w:space="0" w:color="auto"/>
              <w:right w:val="single" w:sz="6" w:space="0" w:color="auto"/>
            </w:tcBorders>
            <w:vAlign w:val="center"/>
            <w:hideMark/>
          </w:tcPr>
          <w:p w14:paraId="20AF539F" w14:textId="77777777" w:rsidR="00A51903" w:rsidRDefault="00A51903" w:rsidP="005D78D1">
            <w:pPr>
              <w:keepNext/>
              <w:keepLines/>
              <w:jc w:val="center"/>
            </w:pPr>
            <w:r>
              <w:t>8.3 + α</w:t>
            </w:r>
          </w:p>
        </w:tc>
        <w:tc>
          <w:tcPr>
            <w:tcW w:w="990" w:type="dxa"/>
            <w:tcBorders>
              <w:top w:val="single" w:sz="6" w:space="0" w:color="auto"/>
              <w:left w:val="single" w:sz="6" w:space="0" w:color="auto"/>
              <w:bottom w:val="single" w:sz="6" w:space="0" w:color="auto"/>
              <w:right w:val="single" w:sz="6" w:space="0" w:color="auto"/>
            </w:tcBorders>
            <w:vAlign w:val="center"/>
            <w:hideMark/>
          </w:tcPr>
          <w:p w14:paraId="0127C46C" w14:textId="77777777" w:rsidR="00A51903" w:rsidRDefault="00A51903" w:rsidP="005D78D1">
            <w:pPr>
              <w:keepNext/>
              <w:keepLines/>
              <w:jc w:val="center"/>
            </w:pPr>
            <w:r>
              <w:t>-2.0 + α</w:t>
            </w:r>
          </w:p>
        </w:tc>
        <w:tc>
          <w:tcPr>
            <w:tcW w:w="1179" w:type="dxa"/>
            <w:tcBorders>
              <w:top w:val="single" w:sz="6" w:space="0" w:color="auto"/>
              <w:left w:val="single" w:sz="6" w:space="0" w:color="auto"/>
              <w:bottom w:val="single" w:sz="6" w:space="0" w:color="auto"/>
              <w:right w:val="single" w:sz="4" w:space="0" w:color="auto"/>
            </w:tcBorders>
            <w:vAlign w:val="center"/>
            <w:hideMark/>
          </w:tcPr>
          <w:p w14:paraId="6DA7058D" w14:textId="77777777" w:rsidR="00A51903" w:rsidRDefault="00A51903" w:rsidP="005D78D1">
            <w:pPr>
              <w:keepNext/>
              <w:keepLines/>
              <w:jc w:val="center"/>
            </w:pPr>
            <w:r>
              <w:t>-18 + α</w:t>
            </w:r>
          </w:p>
        </w:tc>
      </w:tr>
      <w:tr w:rsidR="00A51903" w14:paraId="396731F2" w14:textId="77777777" w:rsidTr="005D78D1">
        <w:trPr>
          <w:cantSplit/>
          <w:trHeight w:val="599"/>
          <w:jc w:val="center"/>
        </w:trPr>
        <w:tc>
          <w:tcPr>
            <w:tcW w:w="2195" w:type="dxa"/>
            <w:tcBorders>
              <w:top w:val="single" w:sz="6" w:space="0" w:color="auto"/>
              <w:left w:val="single" w:sz="4" w:space="0" w:color="auto"/>
              <w:bottom w:val="single" w:sz="4" w:space="0" w:color="auto"/>
              <w:right w:val="single" w:sz="6" w:space="0" w:color="auto"/>
            </w:tcBorders>
            <w:vAlign w:val="center"/>
            <w:hideMark/>
          </w:tcPr>
          <w:p w14:paraId="2497126D" w14:textId="77777777" w:rsidR="00A51903" w:rsidRDefault="00A51903" w:rsidP="005D78D1">
            <w:pPr>
              <w:keepNext/>
              <w:keepLines/>
              <w:jc w:val="center"/>
            </w:pPr>
            <w:r>
              <w:t>Uplink to DTV</w:t>
            </w:r>
            <w:r>
              <w:br/>
              <w:t>D/U Required (dB)</w:t>
            </w:r>
          </w:p>
        </w:tc>
        <w:tc>
          <w:tcPr>
            <w:tcW w:w="1054" w:type="dxa"/>
            <w:tcBorders>
              <w:top w:val="single" w:sz="6" w:space="0" w:color="auto"/>
              <w:left w:val="single" w:sz="6" w:space="0" w:color="auto"/>
              <w:bottom w:val="single" w:sz="4" w:space="0" w:color="auto"/>
              <w:right w:val="single" w:sz="6" w:space="0" w:color="auto"/>
            </w:tcBorders>
            <w:vAlign w:val="center"/>
            <w:hideMark/>
          </w:tcPr>
          <w:p w14:paraId="52AAAAAD" w14:textId="77777777" w:rsidR="00A51903" w:rsidRDefault="00A51903" w:rsidP="005D78D1">
            <w:pPr>
              <w:keepNext/>
              <w:keepLines/>
              <w:jc w:val="center"/>
            </w:pPr>
            <w:r>
              <w:t>15.0 + α</w:t>
            </w:r>
          </w:p>
        </w:tc>
        <w:tc>
          <w:tcPr>
            <w:tcW w:w="1080" w:type="dxa"/>
            <w:tcBorders>
              <w:top w:val="single" w:sz="6" w:space="0" w:color="auto"/>
              <w:left w:val="single" w:sz="6" w:space="0" w:color="auto"/>
              <w:bottom w:val="single" w:sz="4" w:space="0" w:color="auto"/>
              <w:right w:val="single" w:sz="6" w:space="0" w:color="auto"/>
            </w:tcBorders>
            <w:vAlign w:val="center"/>
            <w:hideMark/>
          </w:tcPr>
          <w:p w14:paraId="786288D5" w14:textId="77777777" w:rsidR="00A51903" w:rsidRDefault="00A51903" w:rsidP="005D78D1">
            <w:pPr>
              <w:keepNext/>
              <w:keepLines/>
              <w:jc w:val="center"/>
            </w:pPr>
            <w:r>
              <w:t>14.1 + α</w:t>
            </w:r>
          </w:p>
        </w:tc>
        <w:tc>
          <w:tcPr>
            <w:tcW w:w="1080" w:type="dxa"/>
            <w:tcBorders>
              <w:top w:val="single" w:sz="6" w:space="0" w:color="auto"/>
              <w:left w:val="single" w:sz="6" w:space="0" w:color="auto"/>
              <w:bottom w:val="single" w:sz="4" w:space="0" w:color="auto"/>
              <w:right w:val="single" w:sz="6" w:space="0" w:color="auto"/>
            </w:tcBorders>
            <w:vAlign w:val="center"/>
            <w:hideMark/>
          </w:tcPr>
          <w:p w14:paraId="77285959" w14:textId="77777777" w:rsidR="00A51903" w:rsidRDefault="00A51903" w:rsidP="005D78D1">
            <w:pPr>
              <w:keepNext/>
              <w:keepLines/>
              <w:jc w:val="center"/>
            </w:pPr>
            <w:r>
              <w:t>12.8 + α</w:t>
            </w:r>
          </w:p>
        </w:tc>
        <w:tc>
          <w:tcPr>
            <w:tcW w:w="1080" w:type="dxa"/>
            <w:tcBorders>
              <w:top w:val="single" w:sz="6" w:space="0" w:color="auto"/>
              <w:left w:val="single" w:sz="6" w:space="0" w:color="auto"/>
              <w:bottom w:val="single" w:sz="4" w:space="0" w:color="auto"/>
              <w:right w:val="single" w:sz="6" w:space="0" w:color="auto"/>
            </w:tcBorders>
            <w:vAlign w:val="center"/>
            <w:hideMark/>
          </w:tcPr>
          <w:p w14:paraId="61F8A2D7" w14:textId="77777777" w:rsidR="00A51903" w:rsidRDefault="00A51903" w:rsidP="005D78D1">
            <w:pPr>
              <w:keepNext/>
              <w:keepLines/>
              <w:jc w:val="center"/>
            </w:pPr>
            <w:r>
              <w:t>11.2 + α</w:t>
            </w:r>
          </w:p>
        </w:tc>
        <w:tc>
          <w:tcPr>
            <w:tcW w:w="900" w:type="dxa"/>
            <w:tcBorders>
              <w:top w:val="single" w:sz="6" w:space="0" w:color="auto"/>
              <w:left w:val="single" w:sz="6" w:space="0" w:color="auto"/>
              <w:bottom w:val="single" w:sz="4" w:space="0" w:color="auto"/>
              <w:right w:val="single" w:sz="6" w:space="0" w:color="auto"/>
            </w:tcBorders>
            <w:vAlign w:val="center"/>
            <w:hideMark/>
          </w:tcPr>
          <w:p w14:paraId="1A8C0785" w14:textId="77777777" w:rsidR="00A51903" w:rsidRDefault="00A51903" w:rsidP="005D78D1">
            <w:pPr>
              <w:keepNext/>
              <w:keepLines/>
              <w:jc w:val="center"/>
            </w:pPr>
            <w:r>
              <w:t>8.4 + α</w:t>
            </w:r>
          </w:p>
        </w:tc>
        <w:tc>
          <w:tcPr>
            <w:tcW w:w="990" w:type="dxa"/>
            <w:tcBorders>
              <w:top w:val="single" w:sz="6" w:space="0" w:color="auto"/>
              <w:left w:val="single" w:sz="6" w:space="0" w:color="auto"/>
              <w:bottom w:val="single" w:sz="4" w:space="0" w:color="auto"/>
              <w:right w:val="single" w:sz="6" w:space="0" w:color="auto"/>
            </w:tcBorders>
            <w:vAlign w:val="center"/>
            <w:hideMark/>
          </w:tcPr>
          <w:p w14:paraId="090944FF" w14:textId="77777777" w:rsidR="00A51903" w:rsidRDefault="00A51903" w:rsidP="005D78D1">
            <w:pPr>
              <w:keepNext/>
              <w:keepLines/>
              <w:jc w:val="center"/>
            </w:pPr>
            <w:r>
              <w:t>-1.9 + α</w:t>
            </w:r>
          </w:p>
        </w:tc>
        <w:tc>
          <w:tcPr>
            <w:tcW w:w="1179" w:type="dxa"/>
            <w:tcBorders>
              <w:top w:val="single" w:sz="6" w:space="0" w:color="auto"/>
              <w:left w:val="single" w:sz="6" w:space="0" w:color="auto"/>
              <w:bottom w:val="single" w:sz="4" w:space="0" w:color="auto"/>
              <w:right w:val="single" w:sz="4" w:space="0" w:color="auto"/>
            </w:tcBorders>
            <w:vAlign w:val="center"/>
            <w:hideMark/>
          </w:tcPr>
          <w:p w14:paraId="43A8AFA5" w14:textId="77777777" w:rsidR="00A51903" w:rsidRDefault="00A51903" w:rsidP="005D78D1">
            <w:pPr>
              <w:keepNext/>
              <w:keepLines/>
              <w:jc w:val="center"/>
            </w:pPr>
            <w:r>
              <w:t>-16 + α</w:t>
            </w:r>
          </w:p>
        </w:tc>
      </w:tr>
    </w:tbl>
    <w:p w14:paraId="46F3E50F" w14:textId="77777777" w:rsidR="00A51903" w:rsidRPr="001165AF" w:rsidRDefault="00A51903" w:rsidP="00A51903">
      <w:pPr>
        <w:pStyle w:val="Caption"/>
        <w:jc w:val="center"/>
        <w:rPr>
          <w:b w:val="0"/>
        </w:rPr>
      </w:pPr>
      <w:bookmarkStart w:id="15" w:name="_Ref378167149"/>
      <w:r w:rsidRPr="001165AF">
        <w:rPr>
          <w:b w:val="0"/>
        </w:rPr>
        <w:t xml:space="preserve">Table </w:t>
      </w:r>
      <w:r>
        <w:rPr>
          <w:b w:val="0"/>
        </w:rPr>
        <w:fldChar w:fldCharType="begin"/>
      </w:r>
      <w:r>
        <w:rPr>
          <w:b w:val="0"/>
        </w:rPr>
        <w:instrText xml:space="preserve"> SEQ Table \* MERGEFORMAT </w:instrText>
      </w:r>
      <w:r>
        <w:rPr>
          <w:b w:val="0"/>
        </w:rPr>
        <w:fldChar w:fldCharType="separate"/>
      </w:r>
      <w:r w:rsidR="00CC6F3D">
        <w:rPr>
          <w:b w:val="0"/>
          <w:noProof/>
        </w:rPr>
        <w:t>8</w:t>
      </w:r>
      <w:r>
        <w:rPr>
          <w:b w:val="0"/>
        </w:rPr>
        <w:fldChar w:fldCharType="end"/>
      </w:r>
      <w:bookmarkEnd w:id="15"/>
      <w:r w:rsidRPr="001165AF">
        <w:rPr>
          <w:b w:val="0"/>
        </w:rPr>
        <w:t>.  Threshold Interfering D/U Ratio for Wireless Base Station into DTV</w:t>
      </w:r>
    </w:p>
    <w:p w14:paraId="15A7499E" w14:textId="77777777" w:rsidR="00A51903" w:rsidRPr="007D15AE" w:rsidRDefault="00A51903" w:rsidP="00A51903">
      <w:pPr>
        <w:keepNext/>
        <w:spacing w:after="120"/>
        <w:jc w:val="cente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26"/>
        <w:gridCol w:w="491"/>
        <w:gridCol w:w="491"/>
        <w:gridCol w:w="491"/>
        <w:gridCol w:w="491"/>
        <w:gridCol w:w="601"/>
        <w:gridCol w:w="436"/>
        <w:gridCol w:w="436"/>
        <w:gridCol w:w="436"/>
        <w:gridCol w:w="436"/>
        <w:gridCol w:w="436"/>
      </w:tblGrid>
      <w:tr w:rsidR="00A51903" w:rsidRPr="007D15AE" w14:paraId="54A6DD14" w14:textId="77777777" w:rsidTr="005D78D1">
        <w:trPr>
          <w:cantSplit/>
          <w:jc w:val="center"/>
        </w:trPr>
        <w:tc>
          <w:tcPr>
            <w:tcW w:w="1692" w:type="dxa"/>
            <w:tcBorders>
              <w:tl2br w:val="single" w:sz="4" w:space="0" w:color="auto"/>
            </w:tcBorders>
            <w:shd w:val="clear" w:color="auto" w:fill="E0E0E0"/>
          </w:tcPr>
          <w:p w14:paraId="4DBFEBB8" w14:textId="77777777" w:rsidR="00A51903" w:rsidRPr="006539AC" w:rsidRDefault="00A51903" w:rsidP="005D78D1">
            <w:pPr>
              <w:keepNext/>
              <w:ind w:left="270"/>
              <w:jc w:val="right"/>
              <w:rPr>
                <w:sz w:val="20"/>
              </w:rPr>
            </w:pPr>
            <w:r w:rsidRPr="006539AC">
              <w:rPr>
                <w:sz w:val="20"/>
              </w:rPr>
              <w:t>Overlap</w:t>
            </w:r>
            <w:r>
              <w:rPr>
                <w:sz w:val="20"/>
              </w:rPr>
              <w:t xml:space="preserve"> in</w:t>
            </w:r>
            <w:r w:rsidRPr="006539AC">
              <w:rPr>
                <w:sz w:val="20"/>
              </w:rPr>
              <w:t xml:space="preserve"> MHz        </w:t>
            </w:r>
          </w:p>
          <w:p w14:paraId="56C2C9F5" w14:textId="77777777" w:rsidR="00A51903" w:rsidRPr="006539AC" w:rsidRDefault="00A51903" w:rsidP="005D78D1">
            <w:pPr>
              <w:keepNext/>
              <w:rPr>
                <w:sz w:val="20"/>
              </w:rPr>
            </w:pPr>
            <w:r w:rsidRPr="006539AC">
              <w:rPr>
                <w:sz w:val="20"/>
              </w:rPr>
              <w:t>OFR</w:t>
            </w:r>
          </w:p>
          <w:p w14:paraId="09CAAD39" w14:textId="77777777" w:rsidR="00A51903" w:rsidRPr="006539AC" w:rsidRDefault="00A51903" w:rsidP="005D78D1">
            <w:pPr>
              <w:keepNext/>
              <w:rPr>
                <w:sz w:val="20"/>
              </w:rPr>
            </w:pPr>
            <w:r w:rsidRPr="006539AC">
              <w:rPr>
                <w:sz w:val="20"/>
              </w:rPr>
              <w:t>(dB)</w:t>
            </w:r>
          </w:p>
        </w:tc>
        <w:tc>
          <w:tcPr>
            <w:tcW w:w="0" w:type="auto"/>
            <w:shd w:val="clear" w:color="auto" w:fill="E0E0E0"/>
          </w:tcPr>
          <w:p w14:paraId="3F6428CB" w14:textId="77777777" w:rsidR="00A51903" w:rsidRPr="006539AC" w:rsidRDefault="00A51903" w:rsidP="005D78D1">
            <w:pPr>
              <w:keepNext/>
              <w:jc w:val="center"/>
              <w:rPr>
                <w:sz w:val="20"/>
              </w:rPr>
            </w:pPr>
            <w:r w:rsidRPr="006539AC">
              <w:rPr>
                <w:sz w:val="20"/>
              </w:rPr>
              <w:t>5</w:t>
            </w:r>
          </w:p>
        </w:tc>
        <w:tc>
          <w:tcPr>
            <w:tcW w:w="0" w:type="auto"/>
            <w:shd w:val="clear" w:color="auto" w:fill="E0E0E0"/>
          </w:tcPr>
          <w:p w14:paraId="007DB95C" w14:textId="77777777" w:rsidR="00A51903" w:rsidRPr="006539AC" w:rsidRDefault="00A51903" w:rsidP="005D78D1">
            <w:pPr>
              <w:keepNext/>
              <w:jc w:val="center"/>
              <w:rPr>
                <w:sz w:val="20"/>
              </w:rPr>
            </w:pPr>
            <w:r w:rsidRPr="006539AC">
              <w:rPr>
                <w:sz w:val="20"/>
              </w:rPr>
              <w:t>4</w:t>
            </w:r>
          </w:p>
        </w:tc>
        <w:tc>
          <w:tcPr>
            <w:tcW w:w="0" w:type="auto"/>
            <w:shd w:val="clear" w:color="auto" w:fill="E0E0E0"/>
          </w:tcPr>
          <w:p w14:paraId="723CA814" w14:textId="77777777" w:rsidR="00A51903" w:rsidRPr="006539AC" w:rsidRDefault="00A51903" w:rsidP="005D78D1">
            <w:pPr>
              <w:keepNext/>
              <w:jc w:val="center"/>
              <w:rPr>
                <w:sz w:val="20"/>
              </w:rPr>
            </w:pPr>
            <w:r w:rsidRPr="006539AC">
              <w:rPr>
                <w:sz w:val="20"/>
              </w:rPr>
              <w:t>3</w:t>
            </w:r>
          </w:p>
        </w:tc>
        <w:tc>
          <w:tcPr>
            <w:tcW w:w="0" w:type="auto"/>
            <w:shd w:val="clear" w:color="auto" w:fill="E0E0E0"/>
          </w:tcPr>
          <w:p w14:paraId="1C09072C" w14:textId="77777777" w:rsidR="00A51903" w:rsidRPr="006539AC" w:rsidRDefault="00A51903" w:rsidP="005D78D1">
            <w:pPr>
              <w:keepNext/>
              <w:jc w:val="center"/>
              <w:rPr>
                <w:sz w:val="20"/>
              </w:rPr>
            </w:pPr>
            <w:r w:rsidRPr="006539AC">
              <w:rPr>
                <w:sz w:val="20"/>
              </w:rPr>
              <w:t>2</w:t>
            </w:r>
          </w:p>
        </w:tc>
        <w:tc>
          <w:tcPr>
            <w:tcW w:w="0" w:type="auto"/>
            <w:shd w:val="clear" w:color="auto" w:fill="E0E0E0"/>
          </w:tcPr>
          <w:p w14:paraId="2164E466" w14:textId="77777777" w:rsidR="00A51903" w:rsidRPr="006539AC" w:rsidRDefault="00A51903" w:rsidP="005D78D1">
            <w:pPr>
              <w:keepNext/>
              <w:jc w:val="center"/>
              <w:rPr>
                <w:sz w:val="20"/>
              </w:rPr>
            </w:pPr>
            <w:r w:rsidRPr="006539AC">
              <w:rPr>
                <w:sz w:val="20"/>
              </w:rPr>
              <w:t>1</w:t>
            </w:r>
          </w:p>
        </w:tc>
        <w:tc>
          <w:tcPr>
            <w:tcW w:w="0" w:type="auto"/>
            <w:shd w:val="clear" w:color="auto" w:fill="E0E0E0"/>
          </w:tcPr>
          <w:p w14:paraId="369AE67C" w14:textId="77777777" w:rsidR="00A51903" w:rsidRPr="006539AC" w:rsidRDefault="00A51903" w:rsidP="005D78D1">
            <w:pPr>
              <w:keepNext/>
              <w:jc w:val="center"/>
              <w:rPr>
                <w:sz w:val="20"/>
              </w:rPr>
            </w:pPr>
            <w:r w:rsidRPr="006539AC">
              <w:rPr>
                <w:sz w:val="20"/>
              </w:rPr>
              <w:t>0</w:t>
            </w:r>
          </w:p>
        </w:tc>
        <w:tc>
          <w:tcPr>
            <w:tcW w:w="0" w:type="auto"/>
            <w:shd w:val="clear" w:color="auto" w:fill="E0E0E0"/>
          </w:tcPr>
          <w:p w14:paraId="6F88FD2F" w14:textId="77777777" w:rsidR="00A51903" w:rsidRPr="006539AC" w:rsidRDefault="00A51903" w:rsidP="005D78D1">
            <w:pPr>
              <w:keepNext/>
              <w:jc w:val="center"/>
              <w:rPr>
                <w:sz w:val="20"/>
              </w:rPr>
            </w:pPr>
            <w:r w:rsidRPr="006539AC">
              <w:rPr>
                <w:sz w:val="20"/>
              </w:rPr>
              <w:t>-1</w:t>
            </w:r>
          </w:p>
        </w:tc>
        <w:tc>
          <w:tcPr>
            <w:tcW w:w="0" w:type="auto"/>
            <w:shd w:val="clear" w:color="auto" w:fill="E0E0E0"/>
          </w:tcPr>
          <w:p w14:paraId="7565E19E" w14:textId="77777777" w:rsidR="00A51903" w:rsidRPr="006539AC" w:rsidRDefault="00A51903" w:rsidP="005D78D1">
            <w:pPr>
              <w:keepNext/>
              <w:jc w:val="center"/>
              <w:rPr>
                <w:sz w:val="20"/>
              </w:rPr>
            </w:pPr>
            <w:r w:rsidRPr="006539AC">
              <w:rPr>
                <w:sz w:val="20"/>
              </w:rPr>
              <w:t>-2</w:t>
            </w:r>
          </w:p>
        </w:tc>
        <w:tc>
          <w:tcPr>
            <w:tcW w:w="0" w:type="auto"/>
            <w:shd w:val="clear" w:color="auto" w:fill="E0E0E0"/>
          </w:tcPr>
          <w:p w14:paraId="608D59D1" w14:textId="77777777" w:rsidR="00A51903" w:rsidRPr="006539AC" w:rsidRDefault="00A51903" w:rsidP="005D78D1">
            <w:pPr>
              <w:keepNext/>
              <w:jc w:val="center"/>
              <w:rPr>
                <w:sz w:val="20"/>
              </w:rPr>
            </w:pPr>
            <w:r w:rsidRPr="006539AC">
              <w:rPr>
                <w:sz w:val="20"/>
              </w:rPr>
              <w:t>-3</w:t>
            </w:r>
          </w:p>
        </w:tc>
        <w:tc>
          <w:tcPr>
            <w:tcW w:w="0" w:type="auto"/>
            <w:shd w:val="clear" w:color="auto" w:fill="E0E0E0"/>
          </w:tcPr>
          <w:p w14:paraId="29BB84AA" w14:textId="77777777" w:rsidR="00A51903" w:rsidRPr="006539AC" w:rsidRDefault="00A51903" w:rsidP="005D78D1">
            <w:pPr>
              <w:keepNext/>
              <w:jc w:val="center"/>
              <w:rPr>
                <w:sz w:val="20"/>
              </w:rPr>
            </w:pPr>
            <w:r w:rsidRPr="006539AC">
              <w:rPr>
                <w:sz w:val="20"/>
              </w:rPr>
              <w:t>-4</w:t>
            </w:r>
          </w:p>
        </w:tc>
        <w:tc>
          <w:tcPr>
            <w:tcW w:w="0" w:type="auto"/>
            <w:shd w:val="clear" w:color="auto" w:fill="E0E0E0"/>
          </w:tcPr>
          <w:p w14:paraId="19DD2A27" w14:textId="77777777" w:rsidR="00A51903" w:rsidRPr="006539AC" w:rsidRDefault="00A51903" w:rsidP="005D78D1">
            <w:pPr>
              <w:keepNext/>
              <w:jc w:val="center"/>
              <w:rPr>
                <w:sz w:val="20"/>
              </w:rPr>
            </w:pPr>
            <w:r w:rsidRPr="006539AC">
              <w:rPr>
                <w:sz w:val="20"/>
              </w:rPr>
              <w:t>-5</w:t>
            </w:r>
          </w:p>
        </w:tc>
      </w:tr>
      <w:tr w:rsidR="00A51903" w:rsidRPr="007D15AE" w14:paraId="7B6E4D10" w14:textId="77777777" w:rsidTr="005D78D1">
        <w:trPr>
          <w:cantSplit/>
          <w:jc w:val="center"/>
        </w:trPr>
        <w:tc>
          <w:tcPr>
            <w:tcW w:w="1692" w:type="dxa"/>
            <w:shd w:val="clear" w:color="auto" w:fill="auto"/>
          </w:tcPr>
          <w:p w14:paraId="207C29F9" w14:textId="77777777" w:rsidR="00A51903" w:rsidRPr="006539AC" w:rsidRDefault="00A51903" w:rsidP="005D78D1">
            <w:pPr>
              <w:keepNext/>
              <w:ind w:left="270"/>
              <w:rPr>
                <w:sz w:val="20"/>
              </w:rPr>
            </w:pPr>
            <w:r w:rsidRPr="006539AC">
              <w:rPr>
                <w:sz w:val="20"/>
              </w:rPr>
              <w:t xml:space="preserve">Downlink into </w:t>
            </w:r>
            <w:r>
              <w:rPr>
                <w:sz w:val="20"/>
              </w:rPr>
              <w:t>D</w:t>
            </w:r>
            <w:r w:rsidRPr="006539AC">
              <w:rPr>
                <w:sz w:val="20"/>
              </w:rPr>
              <w:t>TV</w:t>
            </w:r>
          </w:p>
        </w:tc>
        <w:tc>
          <w:tcPr>
            <w:tcW w:w="0" w:type="auto"/>
            <w:shd w:val="clear" w:color="auto" w:fill="auto"/>
            <w:vAlign w:val="center"/>
          </w:tcPr>
          <w:p w14:paraId="566309E6" w14:textId="77777777" w:rsidR="00A51903" w:rsidRPr="007D15AE" w:rsidRDefault="00A51903" w:rsidP="005D78D1">
            <w:pPr>
              <w:keepNext/>
              <w:jc w:val="center"/>
            </w:pPr>
            <w:r w:rsidRPr="007D15AE">
              <w:t>0</w:t>
            </w:r>
          </w:p>
        </w:tc>
        <w:tc>
          <w:tcPr>
            <w:tcW w:w="0" w:type="auto"/>
            <w:shd w:val="clear" w:color="auto" w:fill="auto"/>
            <w:vAlign w:val="center"/>
          </w:tcPr>
          <w:p w14:paraId="307FB198" w14:textId="77777777" w:rsidR="00A51903" w:rsidRPr="007D15AE" w:rsidRDefault="00A51903" w:rsidP="005D78D1">
            <w:pPr>
              <w:keepNext/>
              <w:jc w:val="center"/>
            </w:pPr>
            <w:r w:rsidRPr="007D15AE">
              <w:t>0.9</w:t>
            </w:r>
          </w:p>
        </w:tc>
        <w:tc>
          <w:tcPr>
            <w:tcW w:w="0" w:type="auto"/>
            <w:shd w:val="clear" w:color="auto" w:fill="auto"/>
            <w:vAlign w:val="center"/>
          </w:tcPr>
          <w:p w14:paraId="2DCCE36B" w14:textId="77777777" w:rsidR="00A51903" w:rsidRPr="007D15AE" w:rsidRDefault="00A51903" w:rsidP="005D78D1">
            <w:pPr>
              <w:keepNext/>
              <w:jc w:val="center"/>
            </w:pPr>
            <w:r w:rsidRPr="007D15AE">
              <w:t>2.2</w:t>
            </w:r>
          </w:p>
        </w:tc>
        <w:tc>
          <w:tcPr>
            <w:tcW w:w="0" w:type="auto"/>
            <w:shd w:val="clear" w:color="auto" w:fill="auto"/>
            <w:vAlign w:val="center"/>
          </w:tcPr>
          <w:p w14:paraId="283D597D" w14:textId="77777777" w:rsidR="00A51903" w:rsidRPr="007D15AE" w:rsidRDefault="00A51903" w:rsidP="005D78D1">
            <w:pPr>
              <w:keepNext/>
              <w:jc w:val="center"/>
            </w:pPr>
            <w:r w:rsidRPr="007D15AE">
              <w:t>3.9</w:t>
            </w:r>
          </w:p>
        </w:tc>
        <w:tc>
          <w:tcPr>
            <w:tcW w:w="0" w:type="auto"/>
            <w:shd w:val="clear" w:color="auto" w:fill="auto"/>
            <w:vAlign w:val="center"/>
          </w:tcPr>
          <w:p w14:paraId="549ECD2D" w14:textId="77777777" w:rsidR="00A51903" w:rsidRPr="007D15AE" w:rsidRDefault="00A51903" w:rsidP="005D78D1">
            <w:pPr>
              <w:keepNext/>
              <w:jc w:val="center"/>
            </w:pPr>
            <w:r w:rsidRPr="007D15AE">
              <w:t>6.7</w:t>
            </w:r>
          </w:p>
        </w:tc>
        <w:tc>
          <w:tcPr>
            <w:tcW w:w="0" w:type="auto"/>
            <w:shd w:val="clear" w:color="auto" w:fill="auto"/>
            <w:vAlign w:val="center"/>
          </w:tcPr>
          <w:p w14:paraId="6B321D19" w14:textId="77777777" w:rsidR="00A51903" w:rsidRPr="007D15AE" w:rsidRDefault="00A51903" w:rsidP="005D78D1">
            <w:pPr>
              <w:keepNext/>
              <w:jc w:val="center"/>
            </w:pPr>
            <w:r w:rsidRPr="007D15AE">
              <w:t>17.0</w:t>
            </w:r>
          </w:p>
        </w:tc>
        <w:tc>
          <w:tcPr>
            <w:tcW w:w="0" w:type="auto"/>
            <w:vAlign w:val="center"/>
          </w:tcPr>
          <w:p w14:paraId="7C933B8B" w14:textId="77777777" w:rsidR="00A51903" w:rsidRPr="007D15AE" w:rsidRDefault="00A51903" w:rsidP="005D78D1">
            <w:pPr>
              <w:keepNext/>
            </w:pPr>
            <w:r w:rsidRPr="007D15AE">
              <w:t>33</w:t>
            </w:r>
          </w:p>
        </w:tc>
        <w:tc>
          <w:tcPr>
            <w:tcW w:w="0" w:type="auto"/>
            <w:vAlign w:val="center"/>
          </w:tcPr>
          <w:p w14:paraId="37604041" w14:textId="77777777" w:rsidR="00A51903" w:rsidRPr="007D15AE" w:rsidRDefault="00A51903" w:rsidP="005D78D1">
            <w:pPr>
              <w:keepNext/>
            </w:pPr>
            <w:r w:rsidRPr="007D15AE">
              <w:t>33</w:t>
            </w:r>
          </w:p>
        </w:tc>
        <w:tc>
          <w:tcPr>
            <w:tcW w:w="0" w:type="auto"/>
            <w:vAlign w:val="center"/>
          </w:tcPr>
          <w:p w14:paraId="028DC1BA" w14:textId="77777777" w:rsidR="00A51903" w:rsidRPr="007D15AE" w:rsidRDefault="00A51903" w:rsidP="005D78D1">
            <w:pPr>
              <w:keepNext/>
            </w:pPr>
            <w:r w:rsidRPr="007D15AE">
              <w:t>33</w:t>
            </w:r>
          </w:p>
        </w:tc>
        <w:tc>
          <w:tcPr>
            <w:tcW w:w="0" w:type="auto"/>
            <w:vAlign w:val="center"/>
          </w:tcPr>
          <w:p w14:paraId="134DB452" w14:textId="77777777" w:rsidR="00A51903" w:rsidRPr="007D15AE" w:rsidRDefault="00A51903" w:rsidP="005D78D1">
            <w:pPr>
              <w:keepNext/>
            </w:pPr>
            <w:r w:rsidRPr="007D15AE">
              <w:t>33</w:t>
            </w:r>
          </w:p>
        </w:tc>
        <w:tc>
          <w:tcPr>
            <w:tcW w:w="0" w:type="auto"/>
            <w:vAlign w:val="center"/>
          </w:tcPr>
          <w:p w14:paraId="270B66AA" w14:textId="77777777" w:rsidR="00A51903" w:rsidRPr="007D15AE" w:rsidRDefault="00A51903" w:rsidP="005D78D1">
            <w:pPr>
              <w:keepNext/>
            </w:pPr>
            <w:r w:rsidRPr="007D15AE">
              <w:t>33</w:t>
            </w:r>
          </w:p>
        </w:tc>
      </w:tr>
      <w:tr w:rsidR="00A51903" w:rsidRPr="007D15AE" w14:paraId="6A085AA4" w14:textId="77777777" w:rsidTr="005D78D1">
        <w:trPr>
          <w:cantSplit/>
          <w:jc w:val="center"/>
        </w:trPr>
        <w:tc>
          <w:tcPr>
            <w:tcW w:w="1692" w:type="dxa"/>
            <w:shd w:val="clear" w:color="auto" w:fill="auto"/>
          </w:tcPr>
          <w:p w14:paraId="518F5FB0" w14:textId="77777777" w:rsidR="00A51903" w:rsidRPr="006539AC" w:rsidRDefault="00A51903" w:rsidP="005D78D1">
            <w:pPr>
              <w:ind w:left="270"/>
              <w:rPr>
                <w:sz w:val="20"/>
              </w:rPr>
            </w:pPr>
            <w:r w:rsidRPr="006539AC">
              <w:rPr>
                <w:sz w:val="20"/>
              </w:rPr>
              <w:t>Uplink</w:t>
            </w:r>
          </w:p>
          <w:p w14:paraId="0456CCF7" w14:textId="77777777" w:rsidR="00A51903" w:rsidRPr="006539AC" w:rsidRDefault="00A51903" w:rsidP="005D78D1">
            <w:pPr>
              <w:keepNext/>
              <w:ind w:left="270"/>
              <w:rPr>
                <w:sz w:val="20"/>
              </w:rPr>
            </w:pPr>
            <w:r w:rsidRPr="006539AC">
              <w:rPr>
                <w:sz w:val="20"/>
              </w:rPr>
              <w:t xml:space="preserve">into </w:t>
            </w:r>
            <w:r>
              <w:rPr>
                <w:sz w:val="20"/>
              </w:rPr>
              <w:t>D</w:t>
            </w:r>
            <w:r w:rsidRPr="006539AC">
              <w:rPr>
                <w:sz w:val="20"/>
              </w:rPr>
              <w:t>TV</w:t>
            </w:r>
          </w:p>
        </w:tc>
        <w:tc>
          <w:tcPr>
            <w:tcW w:w="0" w:type="auto"/>
            <w:shd w:val="clear" w:color="auto" w:fill="auto"/>
            <w:vAlign w:val="center"/>
          </w:tcPr>
          <w:p w14:paraId="1101D409" w14:textId="77777777" w:rsidR="00A51903" w:rsidRPr="007D15AE" w:rsidRDefault="00A51903" w:rsidP="005D78D1">
            <w:pPr>
              <w:keepNext/>
              <w:jc w:val="center"/>
            </w:pPr>
            <w:r w:rsidRPr="007D15AE">
              <w:t>0</w:t>
            </w:r>
          </w:p>
        </w:tc>
        <w:tc>
          <w:tcPr>
            <w:tcW w:w="0" w:type="auto"/>
            <w:shd w:val="clear" w:color="auto" w:fill="auto"/>
            <w:vAlign w:val="center"/>
          </w:tcPr>
          <w:p w14:paraId="0E300882" w14:textId="77777777" w:rsidR="00A51903" w:rsidRPr="007D15AE" w:rsidRDefault="00A51903" w:rsidP="005D78D1">
            <w:pPr>
              <w:keepNext/>
              <w:jc w:val="center"/>
            </w:pPr>
            <w:r w:rsidRPr="007D15AE">
              <w:t>0.9</w:t>
            </w:r>
          </w:p>
        </w:tc>
        <w:tc>
          <w:tcPr>
            <w:tcW w:w="0" w:type="auto"/>
            <w:shd w:val="clear" w:color="auto" w:fill="auto"/>
            <w:vAlign w:val="center"/>
          </w:tcPr>
          <w:p w14:paraId="63C30F48" w14:textId="77777777" w:rsidR="00A51903" w:rsidRPr="007D15AE" w:rsidRDefault="00A51903" w:rsidP="005D78D1">
            <w:pPr>
              <w:keepNext/>
              <w:jc w:val="center"/>
            </w:pPr>
            <w:r w:rsidRPr="007D15AE">
              <w:t>2.2</w:t>
            </w:r>
          </w:p>
        </w:tc>
        <w:tc>
          <w:tcPr>
            <w:tcW w:w="0" w:type="auto"/>
            <w:shd w:val="clear" w:color="auto" w:fill="auto"/>
            <w:vAlign w:val="center"/>
          </w:tcPr>
          <w:p w14:paraId="4D2E35DE" w14:textId="77777777" w:rsidR="00A51903" w:rsidRPr="007D15AE" w:rsidRDefault="00A51903" w:rsidP="005D78D1">
            <w:pPr>
              <w:keepNext/>
              <w:jc w:val="center"/>
            </w:pPr>
            <w:r w:rsidRPr="007D15AE">
              <w:t>3.8</w:t>
            </w:r>
          </w:p>
        </w:tc>
        <w:tc>
          <w:tcPr>
            <w:tcW w:w="0" w:type="auto"/>
            <w:shd w:val="clear" w:color="auto" w:fill="auto"/>
            <w:vAlign w:val="center"/>
          </w:tcPr>
          <w:p w14:paraId="00D55108" w14:textId="77777777" w:rsidR="00A51903" w:rsidRPr="007D15AE" w:rsidRDefault="00A51903" w:rsidP="005D78D1">
            <w:pPr>
              <w:keepNext/>
              <w:jc w:val="center"/>
            </w:pPr>
            <w:r w:rsidRPr="007D15AE">
              <w:t>6.6</w:t>
            </w:r>
          </w:p>
        </w:tc>
        <w:tc>
          <w:tcPr>
            <w:tcW w:w="0" w:type="auto"/>
            <w:shd w:val="clear" w:color="auto" w:fill="auto"/>
            <w:vAlign w:val="center"/>
          </w:tcPr>
          <w:p w14:paraId="1292490C" w14:textId="77777777" w:rsidR="00A51903" w:rsidRPr="007D15AE" w:rsidRDefault="00A51903" w:rsidP="005D78D1">
            <w:pPr>
              <w:keepNext/>
              <w:jc w:val="center"/>
            </w:pPr>
            <w:r w:rsidRPr="007D15AE">
              <w:t>16.9</w:t>
            </w:r>
          </w:p>
        </w:tc>
        <w:tc>
          <w:tcPr>
            <w:tcW w:w="0" w:type="auto"/>
            <w:vAlign w:val="center"/>
          </w:tcPr>
          <w:p w14:paraId="1108FA20" w14:textId="77777777" w:rsidR="00A51903" w:rsidRPr="007D15AE" w:rsidRDefault="00A51903" w:rsidP="005D78D1">
            <w:pPr>
              <w:keepNext/>
            </w:pPr>
            <w:r w:rsidRPr="007D15AE">
              <w:t>31</w:t>
            </w:r>
          </w:p>
        </w:tc>
        <w:tc>
          <w:tcPr>
            <w:tcW w:w="0" w:type="auto"/>
            <w:vAlign w:val="center"/>
          </w:tcPr>
          <w:p w14:paraId="20705569" w14:textId="77777777" w:rsidR="00A51903" w:rsidRPr="007D15AE" w:rsidRDefault="00A51903" w:rsidP="005D78D1">
            <w:pPr>
              <w:keepNext/>
            </w:pPr>
            <w:r w:rsidRPr="007D15AE">
              <w:t>31</w:t>
            </w:r>
          </w:p>
        </w:tc>
        <w:tc>
          <w:tcPr>
            <w:tcW w:w="0" w:type="auto"/>
            <w:vAlign w:val="center"/>
          </w:tcPr>
          <w:p w14:paraId="10896CAF" w14:textId="77777777" w:rsidR="00A51903" w:rsidRPr="007D15AE" w:rsidRDefault="00A51903" w:rsidP="005D78D1">
            <w:pPr>
              <w:keepNext/>
            </w:pPr>
            <w:r w:rsidRPr="007D15AE">
              <w:t>31</w:t>
            </w:r>
          </w:p>
        </w:tc>
        <w:tc>
          <w:tcPr>
            <w:tcW w:w="0" w:type="auto"/>
            <w:vAlign w:val="center"/>
          </w:tcPr>
          <w:p w14:paraId="031B3501" w14:textId="77777777" w:rsidR="00A51903" w:rsidRPr="007D15AE" w:rsidRDefault="00A51903" w:rsidP="005D78D1">
            <w:pPr>
              <w:keepNext/>
            </w:pPr>
            <w:r w:rsidRPr="007D15AE">
              <w:t>31</w:t>
            </w:r>
          </w:p>
        </w:tc>
        <w:tc>
          <w:tcPr>
            <w:tcW w:w="0" w:type="auto"/>
            <w:vAlign w:val="center"/>
          </w:tcPr>
          <w:p w14:paraId="45CD24C4" w14:textId="77777777" w:rsidR="00A51903" w:rsidRPr="007D15AE" w:rsidRDefault="00A51903" w:rsidP="005D78D1">
            <w:pPr>
              <w:keepNext/>
            </w:pPr>
            <w:r w:rsidRPr="007D15AE">
              <w:t>31</w:t>
            </w:r>
          </w:p>
        </w:tc>
      </w:tr>
    </w:tbl>
    <w:p w14:paraId="5D8A4029" w14:textId="77777777" w:rsidR="00A51903" w:rsidRPr="001165AF" w:rsidRDefault="00A51903" w:rsidP="00A51903">
      <w:pPr>
        <w:spacing w:before="120" w:after="120"/>
        <w:jc w:val="center"/>
        <w:rPr>
          <w:szCs w:val="22"/>
        </w:rPr>
      </w:pPr>
      <w:bookmarkStart w:id="16" w:name="_Ref378167184"/>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9</w:t>
      </w:r>
      <w:r>
        <w:rPr>
          <w:szCs w:val="22"/>
        </w:rPr>
        <w:fldChar w:fldCharType="end"/>
      </w:r>
      <w:bookmarkEnd w:id="16"/>
      <w:r w:rsidRPr="001165AF">
        <w:rPr>
          <w:szCs w:val="22"/>
        </w:rPr>
        <w:t>.  Calculated off-frequency rejection (OFR) values for Wireless into DTV</w:t>
      </w:r>
    </w:p>
    <w:p w14:paraId="1BCC4508" w14:textId="77777777" w:rsidR="00A51903" w:rsidRDefault="00A51903" w:rsidP="00A51903"/>
    <w:p w14:paraId="0680F91C" w14:textId="77777777" w:rsidR="00A51903" w:rsidRDefault="00A51903" w:rsidP="00A51903">
      <w:pPr>
        <w:ind w:firstLine="720"/>
        <w:jc w:val="both"/>
      </w:pPr>
      <w:r>
        <w:t>In the case of wireless downlink interference to DTV, we recognize that transmitters in multiple adjacent wireless spectrum blocks have the potential to cause interference to a DTV facility.  To offset this we assume base station ERP based on the power in a 6 MHz channel (</w:t>
      </w:r>
      <w:r w:rsidRPr="00866244">
        <w:t xml:space="preserve">see </w:t>
      </w:r>
      <w:r w:rsidRPr="00866244">
        <w:fldChar w:fldCharType="begin"/>
      </w:r>
      <w:r w:rsidRPr="00866244">
        <w:instrText xml:space="preserve"> REF _Ref378166261 \h </w:instrText>
      </w:r>
      <w:r>
        <w:instrText xml:space="preserve"> \* MERGEFORMAT </w:instrText>
      </w:r>
      <w:r w:rsidRPr="00866244">
        <w:fldChar w:fldCharType="separate"/>
      </w:r>
      <w:r w:rsidR="00CC6F3D" w:rsidRPr="00CC6F3D">
        <w:t xml:space="preserve">Table </w:t>
      </w:r>
      <w:r w:rsidR="00CC6F3D" w:rsidRPr="00CC6F3D">
        <w:rPr>
          <w:noProof/>
        </w:rPr>
        <w:t>10</w:t>
      </w:r>
      <w:r w:rsidRPr="00866244">
        <w:fldChar w:fldCharType="end"/>
      </w:r>
      <w:r w:rsidRPr="00866244">
        <w:t xml:space="preserve"> and</w:t>
      </w:r>
      <w:r>
        <w:t xml:space="preserve"> footnote </w:t>
      </w:r>
      <w:r>
        <w:fldChar w:fldCharType="begin"/>
      </w:r>
      <w:r>
        <w:instrText xml:space="preserve"> NOTEREF _Ref378166124 \h </w:instrText>
      </w:r>
      <w:r>
        <w:fldChar w:fldCharType="separate"/>
      </w:r>
      <w:r w:rsidR="00CC6F3D">
        <w:t>22</w:t>
      </w:r>
      <w:r>
        <w:fldChar w:fldCharType="end"/>
      </w:r>
      <w:r>
        <w:t xml:space="preserve">). </w:t>
      </w:r>
    </w:p>
    <w:p w14:paraId="1CE1594D" w14:textId="77777777" w:rsidR="00A51903" w:rsidRDefault="00A51903" w:rsidP="00A51903">
      <w:pPr>
        <w:jc w:val="both"/>
      </w:pPr>
    </w:p>
    <w:p w14:paraId="0C2BA64F" w14:textId="77777777" w:rsidR="00A51903" w:rsidRDefault="00A51903" w:rsidP="00A51903">
      <w:pPr>
        <w:ind w:firstLine="720"/>
        <w:jc w:val="both"/>
      </w:pPr>
      <w:r>
        <w:t xml:space="preserve">In the absence of specific information about a wireless base station deployment, hypothetical wireless base stations are placed uniformly across the wireless license area, spaced approximately 10 kilometers apart.  Predicted interference to DTV receivers from those hypothetical base stations is evaluated to determine whether an area, which could be an entire wireless license area, a county, or a smaller area such as a 100 square kilometer rectangle corresponding to the spacing of these hypothetical base stations, may cause interference to any DTV station.  That area would then be assumed to be restricted from wireless base station (downlink) operation, resulting in a market impairment for purposes of the incentive auction.  In the absence of specific information, the ERP and antenna height </w:t>
      </w:r>
      <w:r w:rsidRPr="00866244">
        <w:t xml:space="preserve">values given in </w:t>
      </w:r>
      <w:r w:rsidRPr="00866244">
        <w:fldChar w:fldCharType="begin"/>
      </w:r>
      <w:r w:rsidRPr="00866244">
        <w:instrText xml:space="preserve"> REF _Ref378166261 \h </w:instrText>
      </w:r>
      <w:r>
        <w:instrText xml:space="preserve"> \* MERGEFORMAT </w:instrText>
      </w:r>
      <w:r w:rsidRPr="00866244">
        <w:fldChar w:fldCharType="separate"/>
      </w:r>
      <w:r w:rsidR="00CC6F3D" w:rsidRPr="00CC6F3D">
        <w:t xml:space="preserve">Table </w:t>
      </w:r>
      <w:r w:rsidR="00CC6F3D" w:rsidRPr="00CC6F3D">
        <w:rPr>
          <w:noProof/>
        </w:rPr>
        <w:t>10</w:t>
      </w:r>
      <w:r w:rsidRPr="00866244">
        <w:fldChar w:fldCharType="end"/>
      </w:r>
      <w:r>
        <w:t xml:space="preserve"> are used.  For wireless user </w:t>
      </w:r>
      <w:r w:rsidRPr="00866244">
        <w:t xml:space="preserve">equipment, the ERP and antenna height values given in </w:t>
      </w:r>
      <w:r w:rsidRPr="00866244">
        <w:fldChar w:fldCharType="begin"/>
      </w:r>
      <w:r w:rsidRPr="00866244">
        <w:instrText xml:space="preserve"> REF _Ref378167254 \h </w:instrText>
      </w:r>
      <w:r>
        <w:instrText xml:space="preserve"> \* MERGEFORMAT </w:instrText>
      </w:r>
      <w:r w:rsidRPr="00866244">
        <w:fldChar w:fldCharType="separate"/>
      </w:r>
      <w:r w:rsidR="00CC6F3D" w:rsidRPr="00CC6F3D">
        <w:t xml:space="preserve">Table </w:t>
      </w:r>
      <w:r w:rsidR="00CC6F3D" w:rsidRPr="00CC6F3D">
        <w:rPr>
          <w:noProof/>
        </w:rPr>
        <w:t>11</w:t>
      </w:r>
      <w:r w:rsidRPr="00866244">
        <w:fldChar w:fldCharType="end"/>
      </w:r>
      <w:r w:rsidRPr="00866244">
        <w:t xml:space="preserve"> are used.  Th</w:t>
      </w:r>
      <w:r>
        <w:t>e wireless base station antennas are assumed to be non-directional in the azimuth direction.</w:t>
      </w:r>
    </w:p>
    <w:p w14:paraId="0197D52F" w14:textId="77777777" w:rsidR="00A51903" w:rsidRDefault="00A51903" w:rsidP="00A51903"/>
    <w:p w14:paraId="38DA0D31" w14:textId="77777777" w:rsidR="00A51903" w:rsidRDefault="00A51903" w:rsidP="00A51903">
      <w:pPr>
        <w:keepNext/>
        <w:spacing w:after="120"/>
        <w:jc w:val="center"/>
        <w:rPr>
          <w:rFonts w:ascii="Times New Roman Bold" w:hAnsi="Times New Roman Bold"/>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900"/>
        <w:gridCol w:w="6436"/>
      </w:tblGrid>
      <w:tr w:rsidR="00A51903" w14:paraId="4D60F7AE" w14:textId="77777777" w:rsidTr="005D78D1">
        <w:trPr>
          <w:jc w:val="center"/>
        </w:trPr>
        <w:tc>
          <w:tcPr>
            <w:tcW w:w="1728" w:type="dxa"/>
            <w:tcBorders>
              <w:top w:val="single" w:sz="4" w:space="0" w:color="auto"/>
              <w:left w:val="single" w:sz="4" w:space="0" w:color="auto"/>
              <w:bottom w:val="single" w:sz="6" w:space="0" w:color="auto"/>
              <w:right w:val="single" w:sz="6" w:space="0" w:color="auto"/>
            </w:tcBorders>
            <w:shd w:val="clear" w:color="auto" w:fill="E0E0E0"/>
            <w:hideMark/>
          </w:tcPr>
          <w:p w14:paraId="2038F595" w14:textId="77777777" w:rsidR="00A51903" w:rsidRDefault="00A51903" w:rsidP="005D78D1">
            <w:pPr>
              <w:keepNext/>
              <w:jc w:val="center"/>
              <w:rPr>
                <w:sz w:val="20"/>
              </w:rPr>
            </w:pPr>
            <w:r>
              <w:rPr>
                <w:sz w:val="20"/>
              </w:rPr>
              <w:t>Parameter</w:t>
            </w:r>
          </w:p>
        </w:tc>
        <w:tc>
          <w:tcPr>
            <w:tcW w:w="900" w:type="dxa"/>
            <w:tcBorders>
              <w:top w:val="single" w:sz="4" w:space="0" w:color="auto"/>
              <w:left w:val="single" w:sz="6" w:space="0" w:color="auto"/>
              <w:bottom w:val="single" w:sz="6" w:space="0" w:color="auto"/>
              <w:right w:val="single" w:sz="6" w:space="0" w:color="auto"/>
            </w:tcBorders>
            <w:shd w:val="clear" w:color="auto" w:fill="E0E0E0"/>
            <w:hideMark/>
          </w:tcPr>
          <w:p w14:paraId="44321FD5" w14:textId="77777777" w:rsidR="00A51903" w:rsidRDefault="00A51903" w:rsidP="005D78D1">
            <w:pPr>
              <w:keepNext/>
              <w:jc w:val="center"/>
              <w:rPr>
                <w:sz w:val="20"/>
              </w:rPr>
            </w:pPr>
            <w:r>
              <w:rPr>
                <w:sz w:val="20"/>
              </w:rPr>
              <w:t>Value</w:t>
            </w:r>
          </w:p>
        </w:tc>
        <w:tc>
          <w:tcPr>
            <w:tcW w:w="0" w:type="auto"/>
            <w:tcBorders>
              <w:top w:val="single" w:sz="4" w:space="0" w:color="auto"/>
              <w:left w:val="single" w:sz="6" w:space="0" w:color="auto"/>
              <w:bottom w:val="single" w:sz="6" w:space="0" w:color="auto"/>
              <w:right w:val="single" w:sz="4" w:space="0" w:color="auto"/>
            </w:tcBorders>
            <w:shd w:val="clear" w:color="auto" w:fill="E0E0E0"/>
            <w:hideMark/>
          </w:tcPr>
          <w:p w14:paraId="51FC0BE3" w14:textId="77777777" w:rsidR="00A51903" w:rsidRDefault="00A51903" w:rsidP="005D78D1">
            <w:pPr>
              <w:keepNext/>
              <w:jc w:val="center"/>
              <w:rPr>
                <w:sz w:val="20"/>
              </w:rPr>
            </w:pPr>
            <w:r>
              <w:rPr>
                <w:sz w:val="20"/>
              </w:rPr>
              <w:t>Comment</w:t>
            </w:r>
          </w:p>
        </w:tc>
      </w:tr>
      <w:tr w:rsidR="00A51903" w14:paraId="035B7F45" w14:textId="77777777" w:rsidTr="005D78D1">
        <w:trPr>
          <w:jc w:val="center"/>
        </w:trPr>
        <w:tc>
          <w:tcPr>
            <w:tcW w:w="1728" w:type="dxa"/>
            <w:tcBorders>
              <w:top w:val="single" w:sz="6" w:space="0" w:color="auto"/>
              <w:left w:val="single" w:sz="4" w:space="0" w:color="auto"/>
              <w:bottom w:val="single" w:sz="6" w:space="0" w:color="auto"/>
              <w:right w:val="single" w:sz="6" w:space="0" w:color="auto"/>
            </w:tcBorders>
            <w:hideMark/>
          </w:tcPr>
          <w:p w14:paraId="1C0A9D7D" w14:textId="77777777" w:rsidR="00A51903" w:rsidRDefault="00A51903" w:rsidP="005D78D1">
            <w:pPr>
              <w:keepNext/>
            </w:pPr>
            <w:r>
              <w:t>Emission BW (MHz)</w:t>
            </w:r>
          </w:p>
        </w:tc>
        <w:tc>
          <w:tcPr>
            <w:tcW w:w="900" w:type="dxa"/>
            <w:tcBorders>
              <w:top w:val="single" w:sz="6" w:space="0" w:color="auto"/>
              <w:left w:val="single" w:sz="6" w:space="0" w:color="auto"/>
              <w:bottom w:val="single" w:sz="6" w:space="0" w:color="auto"/>
              <w:right w:val="single" w:sz="6" w:space="0" w:color="auto"/>
            </w:tcBorders>
            <w:hideMark/>
          </w:tcPr>
          <w:p w14:paraId="5E487EA1" w14:textId="77777777" w:rsidR="00A51903" w:rsidRDefault="00A51903" w:rsidP="005D78D1">
            <w:pPr>
              <w:keepNext/>
            </w:pPr>
            <w:r>
              <w:t xml:space="preserve">    5</w:t>
            </w:r>
          </w:p>
        </w:tc>
        <w:tc>
          <w:tcPr>
            <w:tcW w:w="0" w:type="auto"/>
            <w:tcBorders>
              <w:top w:val="single" w:sz="6" w:space="0" w:color="auto"/>
              <w:left w:val="single" w:sz="6" w:space="0" w:color="auto"/>
              <w:bottom w:val="single" w:sz="6" w:space="0" w:color="auto"/>
              <w:right w:val="single" w:sz="4" w:space="0" w:color="auto"/>
            </w:tcBorders>
          </w:tcPr>
          <w:p w14:paraId="1E2EC580" w14:textId="77777777" w:rsidR="00A51903" w:rsidRDefault="00A51903" w:rsidP="005D78D1">
            <w:pPr>
              <w:keepNext/>
            </w:pPr>
          </w:p>
        </w:tc>
      </w:tr>
      <w:tr w:rsidR="00A51903" w14:paraId="3489BB51" w14:textId="77777777" w:rsidTr="005D78D1">
        <w:trPr>
          <w:jc w:val="center"/>
        </w:trPr>
        <w:tc>
          <w:tcPr>
            <w:tcW w:w="1728" w:type="dxa"/>
            <w:tcBorders>
              <w:top w:val="single" w:sz="6" w:space="0" w:color="auto"/>
              <w:left w:val="single" w:sz="4" w:space="0" w:color="auto"/>
              <w:bottom w:val="single" w:sz="6" w:space="0" w:color="auto"/>
              <w:right w:val="single" w:sz="6" w:space="0" w:color="auto"/>
            </w:tcBorders>
            <w:hideMark/>
          </w:tcPr>
          <w:p w14:paraId="682E1D48" w14:textId="77777777" w:rsidR="00A51903" w:rsidRDefault="00A51903" w:rsidP="005D78D1">
            <w:pPr>
              <w:keepNext/>
            </w:pPr>
            <w:r>
              <w:t>ERP (W)</w:t>
            </w:r>
          </w:p>
        </w:tc>
        <w:tc>
          <w:tcPr>
            <w:tcW w:w="900" w:type="dxa"/>
            <w:tcBorders>
              <w:top w:val="single" w:sz="6" w:space="0" w:color="auto"/>
              <w:left w:val="single" w:sz="6" w:space="0" w:color="auto"/>
              <w:bottom w:val="single" w:sz="6" w:space="0" w:color="auto"/>
              <w:right w:val="single" w:sz="6" w:space="0" w:color="auto"/>
            </w:tcBorders>
            <w:hideMark/>
          </w:tcPr>
          <w:p w14:paraId="4C263B3B" w14:textId="77777777" w:rsidR="00A51903" w:rsidRDefault="00A51903" w:rsidP="005D78D1">
            <w:pPr>
              <w:keepNext/>
            </w:pPr>
            <w:r>
              <w:t>720</w:t>
            </w:r>
            <w:bookmarkStart w:id="17" w:name="_Ref378166124"/>
            <w:r>
              <w:rPr>
                <w:rStyle w:val="FootnoteReference"/>
              </w:rPr>
              <w:footnoteReference w:id="37"/>
            </w:r>
            <w:bookmarkEnd w:id="17"/>
          </w:p>
        </w:tc>
        <w:tc>
          <w:tcPr>
            <w:tcW w:w="0" w:type="auto"/>
            <w:tcBorders>
              <w:top w:val="single" w:sz="6" w:space="0" w:color="auto"/>
              <w:left w:val="single" w:sz="6" w:space="0" w:color="auto"/>
              <w:bottom w:val="single" w:sz="6" w:space="0" w:color="auto"/>
              <w:right w:val="single" w:sz="4" w:space="0" w:color="auto"/>
            </w:tcBorders>
            <w:hideMark/>
          </w:tcPr>
          <w:p w14:paraId="71BB2BBC" w14:textId="77777777" w:rsidR="00A51903" w:rsidRDefault="00A51903" w:rsidP="005D78D1">
            <w:pPr>
              <w:keepNext/>
            </w:pPr>
            <w:r>
              <w:t xml:space="preserve">Assumes 1.2 kW in 10 MHz channel with two 40 W power amplifiers.  </w:t>
            </w:r>
          </w:p>
        </w:tc>
      </w:tr>
      <w:tr w:rsidR="00A51903" w14:paraId="114A8AB3" w14:textId="77777777" w:rsidTr="005D78D1">
        <w:trPr>
          <w:jc w:val="center"/>
        </w:trPr>
        <w:tc>
          <w:tcPr>
            <w:tcW w:w="1728" w:type="dxa"/>
            <w:tcBorders>
              <w:top w:val="single" w:sz="6" w:space="0" w:color="auto"/>
              <w:left w:val="single" w:sz="4" w:space="0" w:color="auto"/>
              <w:bottom w:val="single" w:sz="6" w:space="0" w:color="auto"/>
              <w:right w:val="single" w:sz="6" w:space="0" w:color="auto"/>
            </w:tcBorders>
            <w:hideMark/>
          </w:tcPr>
          <w:p w14:paraId="22E3DB2F" w14:textId="77777777" w:rsidR="00A51903" w:rsidRDefault="00A51903" w:rsidP="005D78D1">
            <w:pPr>
              <w:keepNext/>
            </w:pPr>
            <w:r>
              <w:t>ERP (dBm)</w:t>
            </w:r>
          </w:p>
        </w:tc>
        <w:tc>
          <w:tcPr>
            <w:tcW w:w="900" w:type="dxa"/>
            <w:tcBorders>
              <w:top w:val="single" w:sz="6" w:space="0" w:color="auto"/>
              <w:left w:val="single" w:sz="6" w:space="0" w:color="auto"/>
              <w:bottom w:val="single" w:sz="6" w:space="0" w:color="auto"/>
              <w:right w:val="single" w:sz="6" w:space="0" w:color="auto"/>
            </w:tcBorders>
            <w:hideMark/>
          </w:tcPr>
          <w:p w14:paraId="1A5C5BDD" w14:textId="77777777" w:rsidR="00A51903" w:rsidRDefault="00A51903" w:rsidP="005D78D1">
            <w:pPr>
              <w:keepNext/>
            </w:pPr>
            <w:r>
              <w:t xml:space="preserve">  58.6 </w:t>
            </w:r>
          </w:p>
        </w:tc>
        <w:tc>
          <w:tcPr>
            <w:tcW w:w="0" w:type="auto"/>
            <w:tcBorders>
              <w:top w:val="single" w:sz="6" w:space="0" w:color="auto"/>
              <w:left w:val="single" w:sz="6" w:space="0" w:color="auto"/>
              <w:bottom w:val="single" w:sz="6" w:space="0" w:color="auto"/>
              <w:right w:val="single" w:sz="4" w:space="0" w:color="auto"/>
            </w:tcBorders>
            <w:hideMark/>
          </w:tcPr>
          <w:p w14:paraId="643CF331" w14:textId="77777777" w:rsidR="00A51903" w:rsidRDefault="00A51903" w:rsidP="005D78D1">
            <w:pPr>
              <w:keepNext/>
            </w:pPr>
            <w:r>
              <w:t>= 10log</w:t>
            </w:r>
            <w:r>
              <w:rPr>
                <w:vertAlign w:val="subscript"/>
              </w:rPr>
              <w:t>10</w:t>
            </w:r>
            <w:r>
              <w:t>(ERP) + 30.</w:t>
            </w:r>
          </w:p>
        </w:tc>
      </w:tr>
      <w:tr w:rsidR="00A51903" w14:paraId="389B4855" w14:textId="77777777" w:rsidTr="005D78D1">
        <w:trPr>
          <w:jc w:val="center"/>
        </w:trPr>
        <w:tc>
          <w:tcPr>
            <w:tcW w:w="1728" w:type="dxa"/>
            <w:tcBorders>
              <w:top w:val="single" w:sz="6" w:space="0" w:color="auto"/>
              <w:left w:val="single" w:sz="4" w:space="0" w:color="auto"/>
              <w:bottom w:val="single" w:sz="6" w:space="0" w:color="auto"/>
              <w:right w:val="single" w:sz="6" w:space="0" w:color="auto"/>
            </w:tcBorders>
            <w:hideMark/>
          </w:tcPr>
          <w:p w14:paraId="73B7BE14" w14:textId="77777777" w:rsidR="00A51903" w:rsidRDefault="00A51903" w:rsidP="005D78D1">
            <w:pPr>
              <w:keepNext/>
            </w:pPr>
            <w:r>
              <w:t>G (dBd)</w:t>
            </w:r>
          </w:p>
        </w:tc>
        <w:tc>
          <w:tcPr>
            <w:tcW w:w="900" w:type="dxa"/>
            <w:tcBorders>
              <w:top w:val="single" w:sz="6" w:space="0" w:color="auto"/>
              <w:left w:val="single" w:sz="6" w:space="0" w:color="auto"/>
              <w:bottom w:val="single" w:sz="6" w:space="0" w:color="auto"/>
              <w:right w:val="single" w:sz="6" w:space="0" w:color="auto"/>
            </w:tcBorders>
            <w:hideMark/>
          </w:tcPr>
          <w:p w14:paraId="6B040949" w14:textId="77777777" w:rsidR="00A51903" w:rsidRDefault="00A51903" w:rsidP="005D78D1">
            <w:pPr>
              <w:keepNext/>
            </w:pPr>
            <w:r>
              <w:t xml:space="preserve">  12.8</w:t>
            </w:r>
          </w:p>
        </w:tc>
        <w:tc>
          <w:tcPr>
            <w:tcW w:w="0" w:type="auto"/>
            <w:tcBorders>
              <w:top w:val="single" w:sz="6" w:space="0" w:color="auto"/>
              <w:left w:val="single" w:sz="6" w:space="0" w:color="auto"/>
              <w:bottom w:val="single" w:sz="6" w:space="0" w:color="auto"/>
              <w:right w:val="single" w:sz="4" w:space="0" w:color="auto"/>
            </w:tcBorders>
            <w:hideMark/>
          </w:tcPr>
          <w:p w14:paraId="14E537D3" w14:textId="77777777" w:rsidR="00A51903" w:rsidRDefault="00A51903" w:rsidP="005D78D1">
            <w:pPr>
              <w:keepNext/>
            </w:pPr>
            <w:r>
              <w:t>Assumes 15 dBi - 2.2 (approximate dipole gain).</w:t>
            </w:r>
          </w:p>
        </w:tc>
      </w:tr>
      <w:tr w:rsidR="00A51903" w14:paraId="7790B605" w14:textId="77777777" w:rsidTr="005D78D1">
        <w:trPr>
          <w:jc w:val="center"/>
        </w:trPr>
        <w:tc>
          <w:tcPr>
            <w:tcW w:w="1728" w:type="dxa"/>
            <w:tcBorders>
              <w:top w:val="single" w:sz="6" w:space="0" w:color="auto"/>
              <w:left w:val="single" w:sz="4" w:space="0" w:color="auto"/>
              <w:bottom w:val="single" w:sz="6" w:space="0" w:color="auto"/>
              <w:right w:val="single" w:sz="6" w:space="0" w:color="auto"/>
            </w:tcBorders>
            <w:hideMark/>
          </w:tcPr>
          <w:p w14:paraId="3832C4F0" w14:textId="77777777" w:rsidR="00A51903" w:rsidRDefault="00A51903" w:rsidP="005D78D1">
            <w:r>
              <w:t>L (dB)</w:t>
            </w:r>
          </w:p>
        </w:tc>
        <w:tc>
          <w:tcPr>
            <w:tcW w:w="900" w:type="dxa"/>
            <w:tcBorders>
              <w:top w:val="single" w:sz="6" w:space="0" w:color="auto"/>
              <w:left w:val="single" w:sz="6" w:space="0" w:color="auto"/>
              <w:bottom w:val="single" w:sz="6" w:space="0" w:color="auto"/>
              <w:right w:val="single" w:sz="6" w:space="0" w:color="auto"/>
            </w:tcBorders>
            <w:hideMark/>
          </w:tcPr>
          <w:p w14:paraId="0EB9FFC9" w14:textId="77777777" w:rsidR="00A51903" w:rsidRDefault="00A51903" w:rsidP="005D78D1">
            <w:r>
              <w:t xml:space="preserve">    1</w:t>
            </w:r>
          </w:p>
        </w:tc>
        <w:tc>
          <w:tcPr>
            <w:tcW w:w="0" w:type="auto"/>
            <w:tcBorders>
              <w:top w:val="single" w:sz="6" w:space="0" w:color="auto"/>
              <w:left w:val="single" w:sz="6" w:space="0" w:color="auto"/>
              <w:bottom w:val="single" w:sz="6" w:space="0" w:color="auto"/>
              <w:right w:val="single" w:sz="4" w:space="0" w:color="auto"/>
            </w:tcBorders>
            <w:hideMark/>
          </w:tcPr>
          <w:p w14:paraId="10967845" w14:textId="77777777" w:rsidR="00A51903" w:rsidRDefault="00A51903" w:rsidP="005D78D1">
            <w:r>
              <w:t>Line loss</w:t>
            </w:r>
          </w:p>
        </w:tc>
      </w:tr>
      <w:tr w:rsidR="00A51903" w14:paraId="25967F0D" w14:textId="77777777" w:rsidTr="005D78D1">
        <w:trPr>
          <w:jc w:val="center"/>
        </w:trPr>
        <w:tc>
          <w:tcPr>
            <w:tcW w:w="1728" w:type="dxa"/>
            <w:tcBorders>
              <w:top w:val="single" w:sz="6" w:space="0" w:color="auto"/>
              <w:left w:val="single" w:sz="4" w:space="0" w:color="auto"/>
              <w:bottom w:val="single" w:sz="4" w:space="0" w:color="auto"/>
              <w:right w:val="single" w:sz="6" w:space="0" w:color="auto"/>
            </w:tcBorders>
            <w:hideMark/>
          </w:tcPr>
          <w:p w14:paraId="05A3DE8C" w14:textId="77777777" w:rsidR="00A51903" w:rsidRDefault="00A51903" w:rsidP="005D78D1">
            <w:r>
              <w:t>HG(1) (m)</w:t>
            </w:r>
          </w:p>
        </w:tc>
        <w:tc>
          <w:tcPr>
            <w:tcW w:w="900" w:type="dxa"/>
            <w:tcBorders>
              <w:top w:val="single" w:sz="6" w:space="0" w:color="auto"/>
              <w:left w:val="single" w:sz="6" w:space="0" w:color="auto"/>
              <w:bottom w:val="single" w:sz="4" w:space="0" w:color="auto"/>
              <w:right w:val="single" w:sz="6" w:space="0" w:color="auto"/>
            </w:tcBorders>
            <w:hideMark/>
          </w:tcPr>
          <w:p w14:paraId="7A9D56BB" w14:textId="77777777" w:rsidR="00A51903" w:rsidRDefault="00A51903" w:rsidP="005D78D1">
            <w:r>
              <w:t xml:space="preserve"> 30</w:t>
            </w:r>
          </w:p>
        </w:tc>
        <w:tc>
          <w:tcPr>
            <w:tcW w:w="0" w:type="auto"/>
            <w:tcBorders>
              <w:top w:val="single" w:sz="6" w:space="0" w:color="auto"/>
              <w:left w:val="single" w:sz="6" w:space="0" w:color="auto"/>
              <w:bottom w:val="single" w:sz="4" w:space="0" w:color="auto"/>
              <w:right w:val="single" w:sz="4" w:space="0" w:color="auto"/>
            </w:tcBorders>
            <w:hideMark/>
          </w:tcPr>
          <w:p w14:paraId="011534C8" w14:textId="77777777" w:rsidR="00A51903" w:rsidRDefault="00A51903" w:rsidP="005D78D1">
            <w:r>
              <w:t>Antenna height above ground</w:t>
            </w:r>
          </w:p>
        </w:tc>
      </w:tr>
    </w:tbl>
    <w:p w14:paraId="1994D783" w14:textId="77777777" w:rsidR="00A51903" w:rsidRPr="001165AF" w:rsidRDefault="00A51903" w:rsidP="00A51903">
      <w:pPr>
        <w:spacing w:before="120" w:after="120"/>
        <w:jc w:val="center"/>
        <w:rPr>
          <w:szCs w:val="22"/>
        </w:rPr>
      </w:pPr>
      <w:bookmarkStart w:id="18" w:name="_Ref378166261"/>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10</w:t>
      </w:r>
      <w:r>
        <w:rPr>
          <w:szCs w:val="22"/>
        </w:rPr>
        <w:fldChar w:fldCharType="end"/>
      </w:r>
      <w:bookmarkEnd w:id="18"/>
      <w:r w:rsidRPr="001165AF">
        <w:rPr>
          <w:szCs w:val="22"/>
        </w:rPr>
        <w:t>.  Assumed wireless base station transmitting specifications</w:t>
      </w:r>
    </w:p>
    <w:p w14:paraId="7E1C8DFF" w14:textId="77777777" w:rsidR="00A51903" w:rsidRDefault="00A51903" w:rsidP="00A51903">
      <w:pPr>
        <w:keepNext/>
        <w:spacing w:after="120"/>
        <w:jc w:val="center"/>
        <w:rPr>
          <w:rFonts w:ascii="Times New Roman Bold" w:hAnsi="Times New Roman Bold"/>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99"/>
        <w:gridCol w:w="711"/>
        <w:gridCol w:w="5261"/>
      </w:tblGrid>
      <w:tr w:rsidR="00A51903" w14:paraId="3865F070" w14:textId="77777777" w:rsidTr="005D78D1">
        <w:trPr>
          <w:jc w:val="center"/>
        </w:trPr>
        <w:tc>
          <w:tcPr>
            <w:tcW w:w="0" w:type="auto"/>
            <w:tcBorders>
              <w:top w:val="single" w:sz="4" w:space="0" w:color="auto"/>
              <w:left w:val="single" w:sz="4" w:space="0" w:color="auto"/>
              <w:bottom w:val="single" w:sz="6" w:space="0" w:color="auto"/>
              <w:right w:val="single" w:sz="6" w:space="0" w:color="auto"/>
            </w:tcBorders>
            <w:shd w:val="clear" w:color="auto" w:fill="E0E0E0"/>
            <w:hideMark/>
          </w:tcPr>
          <w:p w14:paraId="28806A2F" w14:textId="77777777" w:rsidR="00A51903" w:rsidRDefault="00A51903" w:rsidP="005D78D1">
            <w:pPr>
              <w:keepNext/>
              <w:jc w:val="center"/>
              <w:rPr>
                <w:sz w:val="20"/>
              </w:rPr>
            </w:pPr>
            <w:r>
              <w:rPr>
                <w:sz w:val="20"/>
              </w:rPr>
              <w:t>Parameter</w:t>
            </w:r>
          </w:p>
        </w:tc>
        <w:tc>
          <w:tcPr>
            <w:tcW w:w="0" w:type="auto"/>
            <w:tcBorders>
              <w:top w:val="single" w:sz="4" w:space="0" w:color="auto"/>
              <w:left w:val="single" w:sz="6" w:space="0" w:color="auto"/>
              <w:bottom w:val="single" w:sz="6" w:space="0" w:color="auto"/>
              <w:right w:val="single" w:sz="6" w:space="0" w:color="auto"/>
            </w:tcBorders>
            <w:shd w:val="clear" w:color="auto" w:fill="E0E0E0"/>
            <w:hideMark/>
          </w:tcPr>
          <w:p w14:paraId="61765694" w14:textId="77777777" w:rsidR="00A51903" w:rsidRDefault="00A51903" w:rsidP="005D78D1">
            <w:pPr>
              <w:keepNext/>
              <w:jc w:val="center"/>
              <w:rPr>
                <w:sz w:val="20"/>
              </w:rPr>
            </w:pPr>
            <w:r>
              <w:rPr>
                <w:sz w:val="20"/>
              </w:rPr>
              <w:t>Value</w:t>
            </w:r>
          </w:p>
        </w:tc>
        <w:tc>
          <w:tcPr>
            <w:tcW w:w="0" w:type="auto"/>
            <w:tcBorders>
              <w:top w:val="single" w:sz="4" w:space="0" w:color="auto"/>
              <w:left w:val="single" w:sz="6" w:space="0" w:color="auto"/>
              <w:bottom w:val="single" w:sz="6" w:space="0" w:color="auto"/>
              <w:right w:val="single" w:sz="4" w:space="0" w:color="auto"/>
            </w:tcBorders>
            <w:shd w:val="clear" w:color="auto" w:fill="E0E0E0"/>
            <w:hideMark/>
          </w:tcPr>
          <w:p w14:paraId="13E44CE0" w14:textId="77777777" w:rsidR="00A51903" w:rsidRDefault="00A51903" w:rsidP="005D78D1">
            <w:pPr>
              <w:keepNext/>
              <w:jc w:val="center"/>
              <w:rPr>
                <w:sz w:val="20"/>
              </w:rPr>
            </w:pPr>
            <w:r>
              <w:rPr>
                <w:sz w:val="20"/>
              </w:rPr>
              <w:t>Comment</w:t>
            </w:r>
          </w:p>
        </w:tc>
      </w:tr>
      <w:tr w:rsidR="00A51903" w14:paraId="03E7936E"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39C5C1F8" w14:textId="77777777" w:rsidR="00A51903" w:rsidRDefault="00A51903" w:rsidP="005D78D1">
            <w:pPr>
              <w:keepNext/>
            </w:pPr>
            <w:r>
              <w:t>Emission BW (MHz)</w:t>
            </w:r>
          </w:p>
        </w:tc>
        <w:tc>
          <w:tcPr>
            <w:tcW w:w="0" w:type="auto"/>
            <w:tcBorders>
              <w:top w:val="single" w:sz="6" w:space="0" w:color="auto"/>
              <w:left w:val="single" w:sz="6" w:space="0" w:color="auto"/>
              <w:bottom w:val="single" w:sz="6" w:space="0" w:color="auto"/>
              <w:right w:val="single" w:sz="6" w:space="0" w:color="auto"/>
            </w:tcBorders>
            <w:hideMark/>
          </w:tcPr>
          <w:p w14:paraId="72AF134B" w14:textId="77777777" w:rsidR="00A51903" w:rsidRDefault="00A51903" w:rsidP="005D78D1">
            <w:pPr>
              <w:keepNext/>
            </w:pPr>
            <w:r>
              <w:t xml:space="preserve">  5</w:t>
            </w:r>
          </w:p>
        </w:tc>
        <w:tc>
          <w:tcPr>
            <w:tcW w:w="0" w:type="auto"/>
            <w:tcBorders>
              <w:top w:val="single" w:sz="6" w:space="0" w:color="auto"/>
              <w:left w:val="single" w:sz="6" w:space="0" w:color="auto"/>
              <w:bottom w:val="single" w:sz="6" w:space="0" w:color="auto"/>
              <w:right w:val="single" w:sz="4" w:space="0" w:color="auto"/>
            </w:tcBorders>
          </w:tcPr>
          <w:p w14:paraId="41841A09" w14:textId="77777777" w:rsidR="00A51903" w:rsidRDefault="00A51903" w:rsidP="005D78D1">
            <w:pPr>
              <w:keepNext/>
            </w:pPr>
          </w:p>
        </w:tc>
      </w:tr>
      <w:tr w:rsidR="00A51903" w14:paraId="3919D37A"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660F935D" w14:textId="77777777" w:rsidR="00A51903" w:rsidRDefault="00A51903" w:rsidP="005D78D1">
            <w:pPr>
              <w:keepNext/>
            </w:pPr>
            <w:r>
              <w:t>ERP (W)</w:t>
            </w:r>
          </w:p>
        </w:tc>
        <w:tc>
          <w:tcPr>
            <w:tcW w:w="0" w:type="auto"/>
            <w:tcBorders>
              <w:top w:val="single" w:sz="6" w:space="0" w:color="auto"/>
              <w:left w:val="single" w:sz="6" w:space="0" w:color="auto"/>
              <w:bottom w:val="single" w:sz="6" w:space="0" w:color="auto"/>
              <w:right w:val="single" w:sz="6" w:space="0" w:color="auto"/>
            </w:tcBorders>
            <w:hideMark/>
          </w:tcPr>
          <w:p w14:paraId="7E953DA9" w14:textId="77777777" w:rsidR="00A51903" w:rsidRDefault="00A51903" w:rsidP="005D78D1">
            <w:pPr>
              <w:keepNext/>
            </w:pPr>
            <w:r>
              <w:t xml:space="preserve">  0.12</w:t>
            </w:r>
          </w:p>
        </w:tc>
        <w:tc>
          <w:tcPr>
            <w:tcW w:w="0" w:type="auto"/>
            <w:tcBorders>
              <w:top w:val="single" w:sz="6" w:space="0" w:color="auto"/>
              <w:left w:val="single" w:sz="6" w:space="0" w:color="auto"/>
              <w:bottom w:val="single" w:sz="6" w:space="0" w:color="auto"/>
              <w:right w:val="single" w:sz="4" w:space="0" w:color="auto"/>
            </w:tcBorders>
            <w:hideMark/>
          </w:tcPr>
          <w:p w14:paraId="3E6B654B" w14:textId="77777777" w:rsidR="00A51903" w:rsidRDefault="00A51903" w:rsidP="005D78D1">
            <w:pPr>
              <w:keepNext/>
            </w:pPr>
            <w:r>
              <w:t>EIRP = 200 mW – 0 dB Line Loss + 0 dBi Antenna Gain</w:t>
            </w:r>
            <w:r>
              <w:br/>
              <w:t>3GPP TS 36.101, § 6.3.2.</w:t>
            </w:r>
          </w:p>
        </w:tc>
      </w:tr>
      <w:tr w:rsidR="00A51903" w14:paraId="2B2162BF"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2ED2B202" w14:textId="77777777" w:rsidR="00A51903" w:rsidRDefault="00A51903" w:rsidP="005D78D1">
            <w:pPr>
              <w:keepNext/>
            </w:pPr>
            <w:r>
              <w:t>ERP (dBm)</w:t>
            </w:r>
          </w:p>
        </w:tc>
        <w:tc>
          <w:tcPr>
            <w:tcW w:w="0" w:type="auto"/>
            <w:tcBorders>
              <w:top w:val="single" w:sz="6" w:space="0" w:color="auto"/>
              <w:left w:val="single" w:sz="6" w:space="0" w:color="auto"/>
              <w:bottom w:val="single" w:sz="6" w:space="0" w:color="auto"/>
              <w:right w:val="single" w:sz="6" w:space="0" w:color="auto"/>
            </w:tcBorders>
            <w:hideMark/>
          </w:tcPr>
          <w:p w14:paraId="6403C387" w14:textId="77777777" w:rsidR="00A51903" w:rsidRDefault="00A51903" w:rsidP="005D78D1">
            <w:pPr>
              <w:keepNext/>
            </w:pPr>
            <w:r>
              <w:t>20.8</w:t>
            </w:r>
          </w:p>
        </w:tc>
        <w:tc>
          <w:tcPr>
            <w:tcW w:w="0" w:type="auto"/>
            <w:tcBorders>
              <w:top w:val="single" w:sz="6" w:space="0" w:color="auto"/>
              <w:left w:val="single" w:sz="6" w:space="0" w:color="auto"/>
              <w:bottom w:val="single" w:sz="6" w:space="0" w:color="auto"/>
              <w:right w:val="single" w:sz="4" w:space="0" w:color="auto"/>
            </w:tcBorders>
            <w:hideMark/>
          </w:tcPr>
          <w:p w14:paraId="7F70F2D9" w14:textId="77777777" w:rsidR="00A51903" w:rsidRDefault="00A51903" w:rsidP="005D78D1">
            <w:pPr>
              <w:keepNext/>
            </w:pPr>
            <w:r>
              <w:t>= 10log</w:t>
            </w:r>
            <w:r>
              <w:rPr>
                <w:vertAlign w:val="subscript"/>
              </w:rPr>
              <w:t>10</w:t>
            </w:r>
            <w:r>
              <w:t>(EIRP) - 2.2 dB.</w:t>
            </w:r>
          </w:p>
        </w:tc>
      </w:tr>
      <w:tr w:rsidR="00A51903" w14:paraId="4C2EEBBC"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3AD6133A" w14:textId="77777777" w:rsidR="00A51903" w:rsidRDefault="00A51903" w:rsidP="005D78D1">
            <w:pPr>
              <w:keepNext/>
            </w:pPr>
            <w:r>
              <w:t xml:space="preserve"> Gr (dBd)</w:t>
            </w:r>
          </w:p>
        </w:tc>
        <w:tc>
          <w:tcPr>
            <w:tcW w:w="0" w:type="auto"/>
            <w:tcBorders>
              <w:top w:val="single" w:sz="6" w:space="0" w:color="auto"/>
              <w:left w:val="single" w:sz="6" w:space="0" w:color="auto"/>
              <w:bottom w:val="single" w:sz="6" w:space="0" w:color="auto"/>
              <w:right w:val="single" w:sz="6" w:space="0" w:color="auto"/>
            </w:tcBorders>
            <w:hideMark/>
          </w:tcPr>
          <w:p w14:paraId="41AC69BE" w14:textId="77777777" w:rsidR="00A51903" w:rsidRDefault="00A51903" w:rsidP="005D78D1">
            <w:pPr>
              <w:keepNext/>
            </w:pPr>
            <w:r>
              <w:t xml:space="preserve"> -2.2</w:t>
            </w:r>
          </w:p>
        </w:tc>
        <w:tc>
          <w:tcPr>
            <w:tcW w:w="0" w:type="auto"/>
            <w:tcBorders>
              <w:top w:val="single" w:sz="6" w:space="0" w:color="auto"/>
              <w:left w:val="single" w:sz="6" w:space="0" w:color="auto"/>
              <w:bottom w:val="single" w:sz="6" w:space="0" w:color="auto"/>
              <w:right w:val="single" w:sz="4" w:space="0" w:color="auto"/>
            </w:tcBorders>
            <w:hideMark/>
          </w:tcPr>
          <w:p w14:paraId="0E61776B" w14:textId="77777777" w:rsidR="00A51903" w:rsidRDefault="00A51903" w:rsidP="005D78D1">
            <w:pPr>
              <w:keepNext/>
            </w:pPr>
            <w:r>
              <w:t>Assumes 0 dBi - 2.2 (approximate dipole gain).</w:t>
            </w:r>
          </w:p>
        </w:tc>
      </w:tr>
      <w:tr w:rsidR="00A51903" w14:paraId="246EA72A" w14:textId="77777777" w:rsidTr="005D78D1">
        <w:trPr>
          <w:jc w:val="center"/>
        </w:trPr>
        <w:tc>
          <w:tcPr>
            <w:tcW w:w="0" w:type="auto"/>
            <w:tcBorders>
              <w:top w:val="single" w:sz="6" w:space="0" w:color="auto"/>
              <w:left w:val="single" w:sz="4" w:space="0" w:color="auto"/>
              <w:bottom w:val="single" w:sz="6" w:space="0" w:color="auto"/>
              <w:right w:val="single" w:sz="6" w:space="0" w:color="auto"/>
            </w:tcBorders>
            <w:hideMark/>
          </w:tcPr>
          <w:p w14:paraId="3F16570D" w14:textId="77777777" w:rsidR="00A51903" w:rsidRDefault="00A51903" w:rsidP="005D78D1">
            <w:r>
              <w:t xml:space="preserve"> Lr (dB)</w:t>
            </w:r>
          </w:p>
        </w:tc>
        <w:tc>
          <w:tcPr>
            <w:tcW w:w="0" w:type="auto"/>
            <w:tcBorders>
              <w:top w:val="single" w:sz="6" w:space="0" w:color="auto"/>
              <w:left w:val="single" w:sz="6" w:space="0" w:color="auto"/>
              <w:bottom w:val="single" w:sz="6" w:space="0" w:color="auto"/>
              <w:right w:val="single" w:sz="6" w:space="0" w:color="auto"/>
            </w:tcBorders>
            <w:hideMark/>
          </w:tcPr>
          <w:p w14:paraId="571659B3" w14:textId="77777777" w:rsidR="00A51903" w:rsidRDefault="00A51903" w:rsidP="005D78D1">
            <w:r>
              <w:t xml:space="preserve">  0</w:t>
            </w:r>
          </w:p>
        </w:tc>
        <w:tc>
          <w:tcPr>
            <w:tcW w:w="0" w:type="auto"/>
            <w:tcBorders>
              <w:top w:val="single" w:sz="6" w:space="0" w:color="auto"/>
              <w:left w:val="single" w:sz="6" w:space="0" w:color="auto"/>
              <w:bottom w:val="single" w:sz="6" w:space="0" w:color="auto"/>
              <w:right w:val="single" w:sz="4" w:space="0" w:color="auto"/>
            </w:tcBorders>
            <w:hideMark/>
          </w:tcPr>
          <w:p w14:paraId="0F7C08EA" w14:textId="77777777" w:rsidR="00A51903" w:rsidRDefault="00A51903" w:rsidP="005D78D1">
            <w:r>
              <w:t>Line loss</w:t>
            </w:r>
          </w:p>
        </w:tc>
      </w:tr>
      <w:tr w:rsidR="00A51903" w14:paraId="7CF948BB" w14:textId="77777777" w:rsidTr="005D78D1">
        <w:trPr>
          <w:jc w:val="center"/>
        </w:trPr>
        <w:tc>
          <w:tcPr>
            <w:tcW w:w="0" w:type="auto"/>
            <w:tcBorders>
              <w:top w:val="single" w:sz="6" w:space="0" w:color="auto"/>
              <w:left w:val="single" w:sz="4" w:space="0" w:color="auto"/>
              <w:bottom w:val="single" w:sz="4" w:space="0" w:color="auto"/>
              <w:right w:val="single" w:sz="6" w:space="0" w:color="auto"/>
            </w:tcBorders>
            <w:hideMark/>
          </w:tcPr>
          <w:p w14:paraId="440FCBE7" w14:textId="77777777" w:rsidR="00A51903" w:rsidRDefault="00A51903" w:rsidP="005D78D1">
            <w:r>
              <w:t>HG(1) (m)</w:t>
            </w:r>
          </w:p>
        </w:tc>
        <w:tc>
          <w:tcPr>
            <w:tcW w:w="0" w:type="auto"/>
            <w:tcBorders>
              <w:top w:val="single" w:sz="6" w:space="0" w:color="auto"/>
              <w:left w:val="single" w:sz="6" w:space="0" w:color="auto"/>
              <w:bottom w:val="single" w:sz="4" w:space="0" w:color="auto"/>
              <w:right w:val="single" w:sz="6" w:space="0" w:color="auto"/>
            </w:tcBorders>
            <w:hideMark/>
          </w:tcPr>
          <w:p w14:paraId="2D0E27FF" w14:textId="77777777" w:rsidR="00A51903" w:rsidRDefault="00A51903" w:rsidP="005D78D1">
            <w:r>
              <w:t xml:space="preserve">  1.5</w:t>
            </w:r>
          </w:p>
        </w:tc>
        <w:tc>
          <w:tcPr>
            <w:tcW w:w="0" w:type="auto"/>
            <w:tcBorders>
              <w:top w:val="single" w:sz="6" w:space="0" w:color="auto"/>
              <w:left w:val="single" w:sz="6" w:space="0" w:color="auto"/>
              <w:bottom w:val="single" w:sz="4" w:space="0" w:color="auto"/>
              <w:right w:val="single" w:sz="4" w:space="0" w:color="auto"/>
            </w:tcBorders>
            <w:hideMark/>
          </w:tcPr>
          <w:p w14:paraId="13213BA1" w14:textId="77777777" w:rsidR="00A51903" w:rsidRDefault="00A51903" w:rsidP="005D78D1">
            <w:r>
              <w:t>Antenna height above ground</w:t>
            </w:r>
          </w:p>
        </w:tc>
      </w:tr>
    </w:tbl>
    <w:p w14:paraId="02682573" w14:textId="77777777" w:rsidR="00A51903" w:rsidRPr="001165AF" w:rsidRDefault="00A51903" w:rsidP="00A51903">
      <w:pPr>
        <w:spacing w:before="120" w:after="120"/>
        <w:jc w:val="center"/>
        <w:rPr>
          <w:szCs w:val="22"/>
        </w:rPr>
      </w:pPr>
      <w:bookmarkStart w:id="19" w:name="_Ref378167254"/>
      <w:r w:rsidRPr="001165AF">
        <w:rPr>
          <w:szCs w:val="22"/>
        </w:rPr>
        <w:t xml:space="preserve">Table </w:t>
      </w:r>
      <w:r>
        <w:rPr>
          <w:szCs w:val="22"/>
        </w:rPr>
        <w:fldChar w:fldCharType="begin"/>
      </w:r>
      <w:r>
        <w:rPr>
          <w:szCs w:val="22"/>
        </w:rPr>
        <w:instrText xml:space="preserve"> SEQ Table \* MERGEFORMAT </w:instrText>
      </w:r>
      <w:r>
        <w:rPr>
          <w:szCs w:val="22"/>
        </w:rPr>
        <w:fldChar w:fldCharType="separate"/>
      </w:r>
      <w:r w:rsidR="00CC6F3D">
        <w:rPr>
          <w:noProof/>
          <w:szCs w:val="22"/>
        </w:rPr>
        <w:t>11</w:t>
      </w:r>
      <w:r>
        <w:rPr>
          <w:szCs w:val="22"/>
        </w:rPr>
        <w:fldChar w:fldCharType="end"/>
      </w:r>
      <w:bookmarkEnd w:id="19"/>
      <w:r w:rsidRPr="001165AF">
        <w:rPr>
          <w:szCs w:val="22"/>
        </w:rPr>
        <w:t>.  Assumed wireless user equipment transmitting specifications</w:t>
      </w:r>
    </w:p>
    <w:p w14:paraId="70715576" w14:textId="77777777" w:rsidR="00A51903" w:rsidRDefault="00A51903" w:rsidP="00A51903"/>
    <w:p w14:paraId="46E881E9" w14:textId="77777777" w:rsidR="00A51903" w:rsidRDefault="00A51903" w:rsidP="00A51903">
      <w:pPr>
        <w:ind w:firstLine="720"/>
        <w:jc w:val="both"/>
      </w:pPr>
      <w:r>
        <w:t xml:space="preserve">The interference analysis for TV receivers examines only those cells across the global 2-kilometer grid that have already been determined to have a desired field above the field strength threshold for </w:t>
      </w:r>
      <w:r w:rsidRPr="00866244">
        <w:t xml:space="preserve">reception given in </w:t>
      </w:r>
      <w:r w:rsidRPr="00866244">
        <w:fldChar w:fldCharType="begin"/>
      </w:r>
      <w:r w:rsidRPr="00866244">
        <w:instrText xml:space="preserve"> REF _Ref378166599 \h </w:instrText>
      </w:r>
      <w:r>
        <w:instrText xml:space="preserve"> \* MERGEFORMAT </w:instrText>
      </w:r>
      <w:r w:rsidRPr="00866244">
        <w:fldChar w:fldCharType="separate"/>
      </w:r>
      <w:r w:rsidR="00CC6F3D" w:rsidRPr="00CC6F3D">
        <w:t xml:space="preserve">Table </w:t>
      </w:r>
      <w:r w:rsidR="00CC6F3D" w:rsidRPr="00CC6F3D">
        <w:rPr>
          <w:noProof/>
        </w:rPr>
        <w:t>1</w:t>
      </w:r>
      <w:r w:rsidRPr="00866244">
        <w:fldChar w:fldCharType="end"/>
      </w:r>
      <w:r w:rsidRPr="00866244">
        <w:t xml:space="preserve"> or </w:t>
      </w:r>
      <w:r w:rsidRPr="00866244">
        <w:fldChar w:fldCharType="begin"/>
      </w:r>
      <w:r w:rsidRPr="00866244">
        <w:instrText xml:space="preserve"> REF _Ref378166625 \h </w:instrText>
      </w:r>
      <w:r>
        <w:instrText xml:space="preserve"> \* MERGEFORMAT </w:instrText>
      </w:r>
      <w:r w:rsidRPr="00866244">
        <w:fldChar w:fldCharType="separate"/>
      </w:r>
      <w:r w:rsidR="00CC6F3D" w:rsidRPr="00CC6F3D">
        <w:t xml:space="preserve">Table </w:t>
      </w:r>
      <w:r w:rsidR="00CC6F3D" w:rsidRPr="00CC6F3D">
        <w:rPr>
          <w:noProof/>
        </w:rPr>
        <w:t>2</w:t>
      </w:r>
      <w:r w:rsidRPr="00866244">
        <w:fldChar w:fldCharType="end"/>
      </w:r>
      <w:r w:rsidRPr="00866244">
        <w:t>,</w:t>
      </w:r>
      <w:r w:rsidRPr="008374D6">
        <w:rPr>
          <w:bCs/>
        </w:rPr>
        <w:t xml:space="preserve"> as appropriate</w:t>
      </w:r>
      <w:r>
        <w:t>.  A cell on the global 2-kilometer grid is counted as receiving interference to TV if the ratio of the desired field to that of any one of the possible undesired wireless interference sources is less than a certain critical minimum value.  The comparison is made after applying the discrimination effect of the receiving TV antenna and clutter losses, as appropriate.</w:t>
      </w:r>
    </w:p>
    <w:p w14:paraId="60CCA3BB" w14:textId="77777777" w:rsidR="00A51903" w:rsidRDefault="00A51903" w:rsidP="00A51903"/>
    <w:p w14:paraId="25B21FD7" w14:textId="77777777" w:rsidR="00A51903" w:rsidRDefault="00A51903" w:rsidP="00A51903">
      <w:pPr>
        <w:ind w:firstLine="720"/>
        <w:jc w:val="both"/>
      </w:pPr>
      <w:r w:rsidRPr="00C96F06">
        <w:rPr>
          <w:i/>
          <w:u w:val="single"/>
        </w:rPr>
        <w:t>TV Receiving Antenna Pattern</w:t>
      </w:r>
      <w:r>
        <w:rPr>
          <w:i/>
          <w:u w:val="single"/>
        </w:rPr>
        <w:t>.</w:t>
      </w:r>
      <w:r>
        <w:t xml:space="preserve">  The TV receiving antenna is assumed to have a directional gain pattern which tends to discriminate against off-axis undesired stations.  This pattern is a planning factor affecting interference.  The specific form of this pattern was chosen by a working group of the FCC Advisory Committee for Advanced Television Service.  </w:t>
      </w:r>
      <w:r w:rsidRPr="004C53A8">
        <w:t xml:space="preserve">The discrimination, in relative </w:t>
      </w:r>
      <w:r>
        <w:t>field</w:t>
      </w:r>
      <w:r w:rsidRPr="004C53A8">
        <w:t xml:space="preserve">, provided by the assumed </w:t>
      </w:r>
      <w:r>
        <w:t xml:space="preserve">TV </w:t>
      </w:r>
      <w:r w:rsidRPr="004C53A8">
        <w:t>receiving pattern is a function of the angle between the lines joining the desired and undesired stations to the</w:t>
      </w:r>
      <w:r>
        <w:t xml:space="preserve"> </w:t>
      </w:r>
      <w:r w:rsidRPr="004C53A8">
        <w:t xml:space="preserve">reception point. </w:t>
      </w:r>
      <w:r>
        <w:t xml:space="preserve"> </w:t>
      </w:r>
      <w:r w:rsidRPr="004C53A8">
        <w:t>One of these lines goes directly to the desired station, the other goes to the</w:t>
      </w:r>
      <w:r>
        <w:t xml:space="preserve"> </w:t>
      </w:r>
      <w:r w:rsidRPr="004C53A8">
        <w:t xml:space="preserve">undesired station. </w:t>
      </w:r>
      <w:r>
        <w:t xml:space="preserve"> </w:t>
      </w:r>
      <w:r w:rsidRPr="004C53A8">
        <w:t>The discrimination is calculated as the fourth power of the cosine of the angle</w:t>
      </w:r>
      <w:r>
        <w:t xml:space="preserve"> </w:t>
      </w:r>
      <w:r w:rsidRPr="004C53A8">
        <w:t xml:space="preserve">between these lines but never </w:t>
      </w:r>
      <w:r>
        <w:t>exceeds</w:t>
      </w:r>
      <w:r w:rsidRPr="004C53A8">
        <w:t xml:space="preserve"> the front-to-back ratio</w:t>
      </w:r>
      <w:r>
        <w:t xml:space="preserve"> of 14 dB for UHF. </w:t>
      </w:r>
      <w:r w:rsidRPr="005A0E49">
        <w:t xml:space="preserve"> </w:t>
      </w:r>
      <w:r w:rsidRPr="004C53A8">
        <w:t xml:space="preserve">When both desired and undesired stations are </w:t>
      </w:r>
      <w:r>
        <w:t>on the receive antenna’s boresight</w:t>
      </w:r>
      <w:r w:rsidRPr="004C53A8">
        <w:t>, the angle is 0.0 giving a cosine of unity</w:t>
      </w:r>
      <w:r>
        <w:t xml:space="preserve"> </w:t>
      </w:r>
      <w:r w:rsidRPr="004C53A8">
        <w:t xml:space="preserve">so that there is no discrimination. </w:t>
      </w:r>
      <w:r>
        <w:t xml:space="preserve"> </w:t>
      </w:r>
      <w:r w:rsidRPr="004C53A8">
        <w:t>When the undesired station is somewhat off-axis, the cosine will</w:t>
      </w:r>
      <w:r>
        <w:t xml:space="preserve"> </w:t>
      </w:r>
      <w:r w:rsidRPr="004C53A8">
        <w:t xml:space="preserve">be less than unity </w:t>
      </w:r>
      <w:r>
        <w:t>and the resulting interference field strength is reduced accordingly</w:t>
      </w:r>
      <w:r w:rsidRPr="004C53A8">
        <w:t>; when the undesired station is far off axis,</w:t>
      </w:r>
      <w:r>
        <w:rPr>
          <w:rStyle w:val="FootnoteReference"/>
        </w:rPr>
        <w:footnoteReference w:id="38"/>
      </w:r>
      <w:r>
        <w:t xml:space="preserve"> </w:t>
      </w:r>
      <w:r w:rsidRPr="004C53A8">
        <w:t>the maximum discrimination given by the front-to-back ratio is attained.</w:t>
      </w:r>
    </w:p>
    <w:p w14:paraId="3D7C4BF4" w14:textId="77777777" w:rsidR="00A51903" w:rsidRPr="005C25B1" w:rsidRDefault="00A51903" w:rsidP="00A51903"/>
    <w:p w14:paraId="647AA91A" w14:textId="77777777" w:rsidR="00A51903" w:rsidRDefault="00A51903" w:rsidP="00A51903">
      <w:pPr>
        <w:rPr>
          <w:b/>
        </w:rPr>
      </w:pPr>
      <w:r>
        <w:rPr>
          <w:b/>
        </w:rPr>
        <w:t>Engineering Databases</w:t>
      </w:r>
    </w:p>
    <w:p w14:paraId="50B64600" w14:textId="77777777" w:rsidR="00A51903" w:rsidRDefault="00A51903" w:rsidP="00A51903"/>
    <w:p w14:paraId="7BA85BFE" w14:textId="11847DA1" w:rsidR="00A51903" w:rsidRDefault="00A51903" w:rsidP="00A51903">
      <w:pPr>
        <w:ind w:firstLine="720"/>
        <w:jc w:val="both"/>
      </w:pPr>
      <w:r w:rsidRPr="00C96F06">
        <w:rPr>
          <w:i/>
          <w:u w:val="single"/>
        </w:rPr>
        <w:t>DTV Engineering Data</w:t>
      </w:r>
      <w:r>
        <w:rPr>
          <w:i/>
          <w:u w:val="single"/>
        </w:rPr>
        <w:t>.</w:t>
      </w:r>
      <w:r>
        <w:t xml:space="preserve">  Engineering data for TV stations in the U.S. (including full-power DTV and Class A) is available from the FCC.  Data for individual stations can be found at </w:t>
      </w:r>
      <w:hyperlink r:id="rId24" w:history="1">
        <w:r>
          <w:rPr>
            <w:rStyle w:val="Hyperlink"/>
          </w:rPr>
          <w:t>http://www.fcc.gov/mb/video/tvq.html</w:t>
        </w:r>
      </w:hyperlink>
      <w:r>
        <w:t xml:space="preserve">, and consolidated data for all authorized stations can be found at </w:t>
      </w:r>
      <w:hyperlink r:id="rId25" w:history="1">
        <w:r>
          <w:rPr>
            <w:rStyle w:val="Hyperlink"/>
          </w:rPr>
          <w:t>ftp://ftp.fcc.gov/pub/Bureaus/MB/Databases/cdbs/</w:t>
        </w:r>
      </w:hyperlink>
      <w:r>
        <w:t>.  Where more than one authorization exists for a particular station, the record associated with the facility actually operating is used.  Where specific elevation pattern data are not provided, a generic elevation pattern may be used as described generally in OET Bulletin No. 69.  The generic elevation pattern should, however, be offset by the amount of electrical beam tilt specified in the CDBS.</w:t>
      </w:r>
    </w:p>
    <w:p w14:paraId="04DE11FE" w14:textId="77777777" w:rsidR="00A51903" w:rsidRDefault="00A51903" w:rsidP="00A51903">
      <w:pPr>
        <w:jc w:val="both"/>
        <w:rPr>
          <w:u w:val="single"/>
        </w:rPr>
      </w:pPr>
    </w:p>
    <w:p w14:paraId="5664F458" w14:textId="77777777" w:rsidR="00A51903" w:rsidRPr="00866244" w:rsidRDefault="00A51903" w:rsidP="00A51903">
      <w:pPr>
        <w:jc w:val="both"/>
      </w:pPr>
      <w:r>
        <w:rPr>
          <w:i/>
          <w:u w:val="single"/>
        </w:rPr>
        <w:t>Clutter</w:t>
      </w:r>
      <w:r w:rsidRPr="00C96F06">
        <w:rPr>
          <w:i/>
          <w:u w:val="single"/>
        </w:rPr>
        <w:t xml:space="preserve"> Database and Losses</w:t>
      </w:r>
      <w:r>
        <w:rPr>
          <w:i/>
          <w:u w:val="single"/>
        </w:rPr>
        <w:t>.</w:t>
      </w:r>
      <w:r>
        <w:t xml:space="preserve">  Land use and land cover (</w:t>
      </w:r>
      <w:r>
        <w:rPr>
          <w:i/>
        </w:rPr>
        <w:t>e.g.,</w:t>
      </w:r>
      <w:r>
        <w:t xml:space="preserve"> vegetation and buildings) in the vicinity of the receiving location can be incorporated through use of a lookup table of clutter losses additional to those inherent in the basic Longley-Rice v1.2.2 model.  The 2006 National Land Clutter Database (NLCD) is available from the Multi-Resolution Land Characteristics Consortium (MRLC).</w:t>
      </w:r>
      <w:r>
        <w:rPr>
          <w:rStyle w:val="FootnoteReference"/>
        </w:rPr>
        <w:footnoteReference w:id="39"/>
      </w:r>
      <w:r>
        <w:t xml:space="preserve">  The clutter loss, if any, at an individual reception location is determined by reference to the NLCD database.  The geographic coordinates of the reception point are compared with the NLCD data to find the point’s NLCD classification and, subsequently, to determine a clutter loss value </w:t>
      </w:r>
      <w:r w:rsidRPr="00866244">
        <w:t xml:space="preserve">from either </w:t>
      </w:r>
      <w:r w:rsidRPr="008374D6">
        <w:fldChar w:fldCharType="begin"/>
      </w:r>
      <w:r w:rsidRPr="00866244">
        <w:instrText xml:space="preserve"> REF _Ref378167316 \h </w:instrText>
      </w:r>
      <w:r w:rsidRPr="001165AF">
        <w:instrText xml:space="preserve"> \* MERGEFORMAT </w:instrText>
      </w:r>
      <w:r w:rsidRPr="008374D6">
        <w:fldChar w:fldCharType="separate"/>
      </w:r>
      <w:r w:rsidR="00CC6F3D" w:rsidRPr="001165AF">
        <w:t xml:space="preserve">Table </w:t>
      </w:r>
      <w:r w:rsidR="00CC6F3D" w:rsidRPr="00CC6F3D">
        <w:rPr>
          <w:noProof/>
        </w:rPr>
        <w:t>14</w:t>
      </w:r>
      <w:r w:rsidRPr="008374D6">
        <w:fldChar w:fldCharType="end"/>
      </w:r>
      <w:r w:rsidRPr="0026361D">
        <w:t xml:space="preserve"> or </w:t>
      </w:r>
      <w:r w:rsidRPr="008374D6">
        <w:fldChar w:fldCharType="begin"/>
      </w:r>
      <w:r w:rsidRPr="00866244">
        <w:instrText xml:space="preserve"> REF _Ref378167323 \h </w:instrText>
      </w:r>
      <w:r w:rsidRPr="001165AF">
        <w:instrText xml:space="preserve"> \* MERGEFORMAT </w:instrText>
      </w:r>
      <w:r w:rsidRPr="008374D6">
        <w:fldChar w:fldCharType="separate"/>
      </w:r>
      <w:r w:rsidR="00CC6F3D" w:rsidRPr="001165AF">
        <w:t xml:space="preserve">Table </w:t>
      </w:r>
      <w:r w:rsidR="00CC6F3D" w:rsidRPr="00CC6F3D">
        <w:rPr>
          <w:noProof/>
        </w:rPr>
        <w:t>15</w:t>
      </w:r>
      <w:r w:rsidRPr="008374D6">
        <w:fldChar w:fldCharType="end"/>
      </w:r>
      <w:r w:rsidRPr="0026361D">
        <w:t>, if applicable,</w:t>
      </w:r>
      <w:r w:rsidRPr="0075255C">
        <w:t xml:space="preserve"> depending on the interference cases listed in </w:t>
      </w:r>
      <w:r w:rsidRPr="008374D6">
        <w:fldChar w:fldCharType="begin"/>
      </w:r>
      <w:r w:rsidRPr="00866244">
        <w:instrText xml:space="preserve"> REF _Ref378167331 \h </w:instrText>
      </w:r>
      <w:r w:rsidRPr="001165AF">
        <w:instrText xml:space="preserve"> \* MERGEFORMAT </w:instrText>
      </w:r>
      <w:r w:rsidRPr="008374D6">
        <w:fldChar w:fldCharType="separate"/>
      </w:r>
      <w:r w:rsidR="00CC6F3D" w:rsidRPr="001165AF">
        <w:t xml:space="preserve">Table </w:t>
      </w:r>
      <w:r w:rsidR="00CC6F3D" w:rsidRPr="00CC6F3D">
        <w:rPr>
          <w:noProof/>
        </w:rPr>
        <w:t>12</w:t>
      </w:r>
      <w:r w:rsidRPr="008374D6">
        <w:fldChar w:fldCharType="end"/>
      </w:r>
      <w:r w:rsidRPr="0026361D">
        <w:t xml:space="preserve">.  The clutter loss is subtracted from the predicted </w:t>
      </w:r>
      <w:r w:rsidRPr="00866244">
        <w:t xml:space="preserve">interfering signal strength.  </w:t>
      </w:r>
    </w:p>
    <w:p w14:paraId="79FEC136" w14:textId="77777777" w:rsidR="00A51903" w:rsidRDefault="00A51903" w:rsidP="00A51903"/>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198"/>
        <w:gridCol w:w="2610"/>
        <w:gridCol w:w="1655"/>
      </w:tblGrid>
      <w:tr w:rsidR="00A51903" w14:paraId="4A3AE2B0" w14:textId="77777777" w:rsidTr="005D78D1">
        <w:trPr>
          <w:cantSplit/>
          <w:jc w:val="center"/>
        </w:trPr>
        <w:tc>
          <w:tcPr>
            <w:tcW w:w="21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472E60" w14:textId="77777777" w:rsidR="00A51903" w:rsidRDefault="00A51903" w:rsidP="005D78D1">
            <w:pPr>
              <w:keepNext/>
              <w:rPr>
                <w:i/>
              </w:rPr>
            </w:pPr>
            <w:r>
              <w:rPr>
                <w:i/>
              </w:rPr>
              <w:t>Interference Case</w:t>
            </w:r>
          </w:p>
        </w:tc>
        <w:tc>
          <w:tcPr>
            <w:tcW w:w="319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CAF928" w14:textId="77777777" w:rsidR="00A51903" w:rsidRDefault="00A51903" w:rsidP="005D78D1">
            <w:pPr>
              <w:keepNext/>
              <w:rPr>
                <w:i/>
              </w:rPr>
            </w:pPr>
            <w:r>
              <w:rPr>
                <w:i/>
              </w:rPr>
              <w:t>Transmitter Antenna Height (m)</w:t>
            </w:r>
          </w:p>
        </w:tc>
        <w:tc>
          <w:tcPr>
            <w:tcW w:w="26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C55D07" w14:textId="77777777" w:rsidR="00A51903" w:rsidRDefault="00A51903" w:rsidP="005D78D1">
            <w:pPr>
              <w:keepNext/>
              <w:rPr>
                <w:i/>
              </w:rPr>
            </w:pPr>
            <w:r>
              <w:rPr>
                <w:i/>
              </w:rPr>
              <w:t>Receive Antenna Height (m, AGL)</w:t>
            </w:r>
          </w:p>
        </w:tc>
        <w:tc>
          <w:tcPr>
            <w:tcW w:w="165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8ECC27" w14:textId="77777777" w:rsidR="00A51903" w:rsidRDefault="00A51903" w:rsidP="005D78D1">
            <w:pPr>
              <w:keepNext/>
              <w:rPr>
                <w:i/>
              </w:rPr>
            </w:pPr>
            <w:r>
              <w:rPr>
                <w:i/>
              </w:rPr>
              <w:t>Apply Clutter?</w:t>
            </w:r>
          </w:p>
        </w:tc>
      </w:tr>
      <w:tr w:rsidR="00A51903" w14:paraId="5AB24708" w14:textId="77777777" w:rsidTr="005D78D1">
        <w:trPr>
          <w:cantSplit/>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501750B4" w14:textId="77777777" w:rsidR="00A51903" w:rsidRDefault="00A51903" w:rsidP="005D78D1">
            <w:pPr>
              <w:keepNext/>
            </w:pPr>
            <w:r>
              <w:t>Case 1: TV into Uplink:</w:t>
            </w:r>
          </w:p>
        </w:tc>
        <w:tc>
          <w:tcPr>
            <w:tcW w:w="3198" w:type="dxa"/>
            <w:tcBorders>
              <w:top w:val="single" w:sz="4" w:space="0" w:color="auto"/>
              <w:left w:val="single" w:sz="4" w:space="0" w:color="auto"/>
              <w:bottom w:val="single" w:sz="4" w:space="0" w:color="auto"/>
              <w:right w:val="single" w:sz="4" w:space="0" w:color="auto"/>
            </w:tcBorders>
            <w:vAlign w:val="center"/>
            <w:hideMark/>
          </w:tcPr>
          <w:p w14:paraId="297FF045" w14:textId="77777777" w:rsidR="00A51903" w:rsidRDefault="00A51903" w:rsidP="005D78D1">
            <w:pPr>
              <w:keepNext/>
            </w:pPr>
            <w:r>
              <w:t>Value from CDBS (AMSL)</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C31499B" w14:textId="77777777" w:rsidR="00A51903" w:rsidRDefault="00A51903" w:rsidP="005D78D1">
            <w:pPr>
              <w:keepNext/>
            </w:pPr>
            <w:r>
              <w:t>30</w:t>
            </w:r>
          </w:p>
        </w:tc>
        <w:tc>
          <w:tcPr>
            <w:tcW w:w="1655" w:type="dxa"/>
            <w:tcBorders>
              <w:top w:val="single" w:sz="4" w:space="0" w:color="auto"/>
              <w:left w:val="single" w:sz="4" w:space="0" w:color="auto"/>
              <w:bottom w:val="single" w:sz="4" w:space="0" w:color="auto"/>
              <w:right w:val="single" w:sz="4" w:space="0" w:color="auto"/>
            </w:tcBorders>
            <w:vAlign w:val="center"/>
            <w:hideMark/>
          </w:tcPr>
          <w:p w14:paraId="79E17E2C" w14:textId="77777777" w:rsidR="00A51903" w:rsidRDefault="00A51903" w:rsidP="005D78D1">
            <w:pPr>
              <w:keepNext/>
            </w:pPr>
            <w:r>
              <w:t>No</w:t>
            </w:r>
          </w:p>
        </w:tc>
      </w:tr>
      <w:tr w:rsidR="00A51903" w14:paraId="2375D105" w14:textId="77777777" w:rsidTr="005D78D1">
        <w:trPr>
          <w:cantSplit/>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45BF13A" w14:textId="77777777" w:rsidR="00A51903" w:rsidRDefault="00A51903" w:rsidP="005D78D1">
            <w:pPr>
              <w:keepNext/>
            </w:pPr>
            <w:r>
              <w:t>Case 2: TV into Downlink:</w:t>
            </w:r>
          </w:p>
        </w:tc>
        <w:tc>
          <w:tcPr>
            <w:tcW w:w="3198" w:type="dxa"/>
            <w:tcBorders>
              <w:top w:val="single" w:sz="4" w:space="0" w:color="auto"/>
              <w:left w:val="single" w:sz="4" w:space="0" w:color="auto"/>
              <w:bottom w:val="single" w:sz="4" w:space="0" w:color="auto"/>
              <w:right w:val="single" w:sz="4" w:space="0" w:color="auto"/>
            </w:tcBorders>
            <w:vAlign w:val="center"/>
            <w:hideMark/>
          </w:tcPr>
          <w:p w14:paraId="5641E016" w14:textId="77777777" w:rsidR="00A51903" w:rsidRDefault="00A51903" w:rsidP="005D78D1">
            <w:pPr>
              <w:keepNext/>
            </w:pPr>
            <w:r>
              <w:t>Value from CDBS (AMSL)</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83E97AA" w14:textId="77777777" w:rsidR="00A51903" w:rsidRDefault="00A51903" w:rsidP="005D78D1">
            <w:pPr>
              <w:keepNext/>
            </w:pPr>
            <w:r>
              <w:t xml:space="preserve">  1.5</w:t>
            </w:r>
          </w:p>
        </w:tc>
        <w:tc>
          <w:tcPr>
            <w:tcW w:w="1655" w:type="dxa"/>
            <w:tcBorders>
              <w:top w:val="single" w:sz="4" w:space="0" w:color="auto"/>
              <w:left w:val="single" w:sz="4" w:space="0" w:color="auto"/>
              <w:bottom w:val="single" w:sz="4" w:space="0" w:color="auto"/>
              <w:right w:val="single" w:sz="4" w:space="0" w:color="auto"/>
            </w:tcBorders>
            <w:vAlign w:val="center"/>
            <w:hideMark/>
          </w:tcPr>
          <w:p w14:paraId="544D2F45" w14:textId="77777777" w:rsidR="00A51903" w:rsidRDefault="00A51903" w:rsidP="005D78D1">
            <w:pPr>
              <w:keepNext/>
            </w:pPr>
            <w:r>
              <w:t>Yes</w:t>
            </w:r>
          </w:p>
          <w:p w14:paraId="301B5417" w14:textId="77777777" w:rsidR="00A51903" w:rsidRDefault="00A51903" w:rsidP="005D78D1">
            <w:pPr>
              <w:keepNext/>
            </w:pPr>
            <w:r>
              <w:t>(</w:t>
            </w:r>
            <w:r>
              <w:fldChar w:fldCharType="begin"/>
            </w:r>
            <w:r>
              <w:instrText xml:space="preserve"> REF _Ref378167323 \h </w:instrText>
            </w:r>
            <w:r>
              <w:fldChar w:fldCharType="separate"/>
            </w:r>
            <w:r w:rsidR="00CC6F3D" w:rsidRPr="001165AF">
              <w:t xml:space="preserve">Table </w:t>
            </w:r>
            <w:r w:rsidR="00CC6F3D">
              <w:rPr>
                <w:b/>
                <w:noProof/>
              </w:rPr>
              <w:t>15</w:t>
            </w:r>
            <w:r>
              <w:fldChar w:fldCharType="end"/>
            </w:r>
            <w:r>
              <w:t>)</w:t>
            </w:r>
          </w:p>
        </w:tc>
      </w:tr>
      <w:tr w:rsidR="00A51903" w14:paraId="275B3ED4" w14:textId="77777777" w:rsidTr="005D78D1">
        <w:trPr>
          <w:cantSplit/>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79E07E69" w14:textId="77777777" w:rsidR="00A51903" w:rsidRDefault="00A51903" w:rsidP="005D78D1">
            <w:pPr>
              <w:keepNext/>
            </w:pPr>
            <w:r>
              <w:t>Case 3: Downlink into TV:</w:t>
            </w:r>
          </w:p>
        </w:tc>
        <w:tc>
          <w:tcPr>
            <w:tcW w:w="3198" w:type="dxa"/>
            <w:tcBorders>
              <w:top w:val="single" w:sz="4" w:space="0" w:color="auto"/>
              <w:left w:val="single" w:sz="4" w:space="0" w:color="auto"/>
              <w:bottom w:val="single" w:sz="4" w:space="0" w:color="auto"/>
              <w:right w:val="single" w:sz="4" w:space="0" w:color="auto"/>
            </w:tcBorders>
            <w:vAlign w:val="center"/>
            <w:hideMark/>
          </w:tcPr>
          <w:p w14:paraId="345E7AEE" w14:textId="77777777" w:rsidR="00A51903" w:rsidRDefault="00A51903" w:rsidP="005D78D1">
            <w:pPr>
              <w:keepNext/>
            </w:pPr>
            <w:r>
              <w:t>30 (AGL)</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79ECECF" w14:textId="77777777" w:rsidR="00A51903" w:rsidRDefault="00A51903" w:rsidP="005D78D1">
            <w:pPr>
              <w:keepNext/>
            </w:pPr>
            <w:r>
              <w:t>10</w:t>
            </w:r>
          </w:p>
        </w:tc>
        <w:tc>
          <w:tcPr>
            <w:tcW w:w="1655" w:type="dxa"/>
            <w:tcBorders>
              <w:top w:val="single" w:sz="4" w:space="0" w:color="auto"/>
              <w:left w:val="single" w:sz="4" w:space="0" w:color="auto"/>
              <w:bottom w:val="single" w:sz="4" w:space="0" w:color="auto"/>
              <w:right w:val="single" w:sz="4" w:space="0" w:color="auto"/>
            </w:tcBorders>
            <w:vAlign w:val="center"/>
            <w:hideMark/>
          </w:tcPr>
          <w:p w14:paraId="1270A695" w14:textId="77777777" w:rsidR="00A51903" w:rsidRDefault="00A51903" w:rsidP="005D78D1">
            <w:pPr>
              <w:keepNext/>
            </w:pPr>
            <w:r>
              <w:t>Yes, only for undesired path</w:t>
            </w:r>
          </w:p>
          <w:p w14:paraId="06B34B45" w14:textId="77777777" w:rsidR="00A51903" w:rsidRDefault="00A51903" w:rsidP="005D78D1">
            <w:pPr>
              <w:keepNext/>
            </w:pPr>
            <w:r>
              <w:t>(</w:t>
            </w:r>
            <w:r>
              <w:fldChar w:fldCharType="begin"/>
            </w:r>
            <w:r>
              <w:instrText xml:space="preserve"> REF _Ref378167316 \h </w:instrText>
            </w:r>
            <w:r>
              <w:fldChar w:fldCharType="separate"/>
            </w:r>
            <w:r w:rsidR="00CC6F3D" w:rsidRPr="001165AF">
              <w:t xml:space="preserve">Table </w:t>
            </w:r>
            <w:r w:rsidR="00CC6F3D">
              <w:rPr>
                <w:b/>
                <w:noProof/>
              </w:rPr>
              <w:t>14</w:t>
            </w:r>
            <w:r>
              <w:fldChar w:fldCharType="end"/>
            </w:r>
            <w:r>
              <w:t>)</w:t>
            </w:r>
          </w:p>
        </w:tc>
      </w:tr>
      <w:tr w:rsidR="00A51903" w14:paraId="6EB67123" w14:textId="77777777" w:rsidTr="005D78D1">
        <w:trPr>
          <w:cantSplit/>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72861DA9" w14:textId="77777777" w:rsidR="00A51903" w:rsidRDefault="00A51903" w:rsidP="005D78D1">
            <w:r>
              <w:t>Case 4: Uplink into TV:</w:t>
            </w:r>
          </w:p>
        </w:tc>
        <w:tc>
          <w:tcPr>
            <w:tcW w:w="3198" w:type="dxa"/>
            <w:tcBorders>
              <w:top w:val="single" w:sz="4" w:space="0" w:color="auto"/>
              <w:left w:val="single" w:sz="4" w:space="0" w:color="auto"/>
              <w:bottom w:val="single" w:sz="4" w:space="0" w:color="auto"/>
              <w:right w:val="single" w:sz="4" w:space="0" w:color="auto"/>
            </w:tcBorders>
            <w:vAlign w:val="center"/>
            <w:hideMark/>
          </w:tcPr>
          <w:p w14:paraId="1E2CC3A6" w14:textId="77777777" w:rsidR="00A51903" w:rsidRDefault="00A51903" w:rsidP="005D78D1">
            <w:r>
              <w:t>1.5 (AGL)</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65A7678" w14:textId="77777777" w:rsidR="00A51903" w:rsidRDefault="00A51903" w:rsidP="005D78D1">
            <w:r>
              <w:t>10</w:t>
            </w:r>
          </w:p>
        </w:tc>
        <w:tc>
          <w:tcPr>
            <w:tcW w:w="1655" w:type="dxa"/>
            <w:tcBorders>
              <w:top w:val="single" w:sz="4" w:space="0" w:color="auto"/>
              <w:left w:val="single" w:sz="4" w:space="0" w:color="auto"/>
              <w:bottom w:val="single" w:sz="4" w:space="0" w:color="auto"/>
              <w:right w:val="single" w:sz="4" w:space="0" w:color="auto"/>
            </w:tcBorders>
            <w:vAlign w:val="center"/>
            <w:hideMark/>
          </w:tcPr>
          <w:p w14:paraId="477FB827" w14:textId="77777777" w:rsidR="00A51903" w:rsidRDefault="00A51903" w:rsidP="005D78D1">
            <w:r>
              <w:t>Yes, only for undesired path</w:t>
            </w:r>
          </w:p>
          <w:p w14:paraId="09C892DA" w14:textId="77777777" w:rsidR="00A51903" w:rsidRDefault="00A51903" w:rsidP="005D78D1">
            <w:r>
              <w:t>(</w:t>
            </w:r>
            <w:r>
              <w:fldChar w:fldCharType="begin"/>
            </w:r>
            <w:r>
              <w:instrText xml:space="preserve"> REF _Ref378167323 \h </w:instrText>
            </w:r>
            <w:r>
              <w:fldChar w:fldCharType="separate"/>
            </w:r>
            <w:r w:rsidR="00CC6F3D" w:rsidRPr="001165AF">
              <w:t xml:space="preserve">Table </w:t>
            </w:r>
            <w:r w:rsidR="00CC6F3D">
              <w:rPr>
                <w:b/>
                <w:noProof/>
              </w:rPr>
              <w:t>15</w:t>
            </w:r>
            <w:r>
              <w:fldChar w:fldCharType="end"/>
            </w:r>
            <w:r>
              <w:t>)</w:t>
            </w:r>
          </w:p>
        </w:tc>
      </w:tr>
    </w:tbl>
    <w:p w14:paraId="681F318A" w14:textId="77777777" w:rsidR="00A51903" w:rsidRPr="001165AF" w:rsidRDefault="00A51903" w:rsidP="00A51903">
      <w:pPr>
        <w:pStyle w:val="Caption"/>
        <w:jc w:val="center"/>
        <w:rPr>
          <w:b w:val="0"/>
        </w:rPr>
      </w:pPr>
      <w:bookmarkStart w:id="20" w:name="_Ref378167331"/>
      <w:r w:rsidRPr="001165AF">
        <w:rPr>
          <w:b w:val="0"/>
        </w:rPr>
        <w:t xml:space="preserve">Table </w:t>
      </w:r>
      <w:r>
        <w:rPr>
          <w:b w:val="0"/>
        </w:rPr>
        <w:fldChar w:fldCharType="begin"/>
      </w:r>
      <w:r>
        <w:rPr>
          <w:b w:val="0"/>
        </w:rPr>
        <w:instrText xml:space="preserve"> SEQ Table \* MERGEFORMAT </w:instrText>
      </w:r>
      <w:r>
        <w:rPr>
          <w:b w:val="0"/>
        </w:rPr>
        <w:fldChar w:fldCharType="separate"/>
      </w:r>
      <w:r w:rsidR="00CC6F3D">
        <w:rPr>
          <w:b w:val="0"/>
          <w:noProof/>
        </w:rPr>
        <w:t>12</w:t>
      </w:r>
      <w:r>
        <w:rPr>
          <w:b w:val="0"/>
        </w:rPr>
        <w:fldChar w:fldCharType="end"/>
      </w:r>
      <w:bookmarkEnd w:id="20"/>
      <w:r w:rsidRPr="001165AF">
        <w:rPr>
          <w:b w:val="0"/>
        </w:rPr>
        <w:t>.  Applicability of Clutter Losses to Interference Case</w:t>
      </w:r>
    </w:p>
    <w:p w14:paraId="0FBC75A5" w14:textId="77777777" w:rsidR="00A51903" w:rsidRDefault="00A51903" w:rsidP="00A51903"/>
    <w:p w14:paraId="4BF9EDBE" w14:textId="77777777" w:rsidR="00A51903" w:rsidRPr="0075255C" w:rsidRDefault="00A51903" w:rsidP="00A51903">
      <w:pPr>
        <w:ind w:firstLine="720"/>
        <w:jc w:val="both"/>
      </w:pPr>
      <w:r>
        <w:rPr>
          <w:bCs/>
          <w:i/>
          <w:u w:val="single"/>
        </w:rPr>
        <w:t>NLCD</w:t>
      </w:r>
      <w:r w:rsidRPr="00C96F06">
        <w:rPr>
          <w:bCs/>
          <w:i/>
          <w:u w:val="single"/>
        </w:rPr>
        <w:t xml:space="preserve"> Categories</w:t>
      </w:r>
      <w:r>
        <w:rPr>
          <w:bCs/>
          <w:i/>
          <w:u w:val="single"/>
        </w:rPr>
        <w:t>.</w:t>
      </w:r>
      <w:r>
        <w:t xml:space="preserve">  Since the NLCD classifications have a broader purpose and are not targeted for application to radio propagation analyses, we have regrouped these classifications into more appropriate categories for use </w:t>
      </w:r>
      <w:r w:rsidRPr="00202E7F">
        <w:t xml:space="preserve">in this methodology.  </w:t>
      </w:r>
      <w:r w:rsidRPr="00202E7F">
        <w:fldChar w:fldCharType="begin"/>
      </w:r>
      <w:r w:rsidRPr="00202E7F">
        <w:instrText xml:space="preserve"> REF _Ref378167365 \h </w:instrText>
      </w:r>
      <w:r w:rsidRPr="001165AF">
        <w:instrText xml:space="preserve"> \* MERGEFORMAT </w:instrText>
      </w:r>
      <w:r w:rsidRPr="00202E7F">
        <w:fldChar w:fldCharType="separate"/>
      </w:r>
      <w:r w:rsidR="00CC6F3D" w:rsidRPr="001165AF">
        <w:t xml:space="preserve">Table </w:t>
      </w:r>
      <w:r w:rsidR="00CC6F3D" w:rsidRPr="00CC6F3D">
        <w:rPr>
          <w:noProof/>
        </w:rPr>
        <w:t>13</w:t>
      </w:r>
      <w:r w:rsidRPr="00202E7F">
        <w:fldChar w:fldCharType="end"/>
      </w:r>
      <w:r w:rsidRPr="0075255C">
        <w:t xml:space="preserve"> defines this regrouping.  For each computer run of the program, the appropriate clutter category number should be selected from </w:t>
      </w:r>
      <w:r w:rsidRPr="00202E7F">
        <w:fldChar w:fldCharType="begin"/>
      </w:r>
      <w:r w:rsidRPr="00202E7F">
        <w:instrText xml:space="preserve"> REF _Ref378167365 \h </w:instrText>
      </w:r>
      <w:r w:rsidRPr="001165AF">
        <w:instrText xml:space="preserve"> \* MERGEFORMAT </w:instrText>
      </w:r>
      <w:r w:rsidRPr="00202E7F">
        <w:fldChar w:fldCharType="separate"/>
      </w:r>
      <w:r w:rsidR="00CC6F3D" w:rsidRPr="001165AF">
        <w:t xml:space="preserve">Table </w:t>
      </w:r>
      <w:r w:rsidR="00CC6F3D" w:rsidRPr="00CC6F3D">
        <w:rPr>
          <w:noProof/>
        </w:rPr>
        <w:t>13</w:t>
      </w:r>
      <w:r w:rsidRPr="00202E7F">
        <w:fldChar w:fldCharType="end"/>
      </w:r>
      <w:r w:rsidRPr="0075255C">
        <w:t xml:space="preserve"> according to environmental conditions in the vicinity of the individual reception point.  The clutter loss value, if a</w:t>
      </w:r>
      <w:r w:rsidRPr="00202E7F">
        <w:t xml:space="preserve">ny, is then determined as a function of the clutter category number and the TV channel number, by referring to either </w:t>
      </w:r>
      <w:r w:rsidRPr="00202E7F">
        <w:fldChar w:fldCharType="begin"/>
      </w:r>
      <w:r w:rsidRPr="00202E7F">
        <w:instrText xml:space="preserve"> REF _Ref378167316 \h </w:instrText>
      </w:r>
      <w:r w:rsidRPr="001165AF">
        <w:instrText xml:space="preserve"> \* MERGEFORMAT </w:instrText>
      </w:r>
      <w:r w:rsidRPr="00202E7F">
        <w:fldChar w:fldCharType="separate"/>
      </w:r>
      <w:r w:rsidR="00CC6F3D" w:rsidRPr="001165AF">
        <w:t xml:space="preserve">Table </w:t>
      </w:r>
      <w:r w:rsidR="00CC6F3D" w:rsidRPr="00CC6F3D">
        <w:rPr>
          <w:noProof/>
        </w:rPr>
        <w:t>14</w:t>
      </w:r>
      <w:r w:rsidRPr="00202E7F">
        <w:fldChar w:fldCharType="end"/>
      </w:r>
      <w:r w:rsidRPr="0075255C">
        <w:t xml:space="preserve"> or </w:t>
      </w:r>
      <w:r w:rsidRPr="00202E7F">
        <w:fldChar w:fldCharType="begin"/>
      </w:r>
      <w:r w:rsidRPr="00202E7F">
        <w:instrText xml:space="preserve"> REF _Ref378167323 \h </w:instrText>
      </w:r>
      <w:r w:rsidRPr="001165AF">
        <w:instrText xml:space="preserve"> \* MERGEFORMAT </w:instrText>
      </w:r>
      <w:r w:rsidRPr="00202E7F">
        <w:fldChar w:fldCharType="separate"/>
      </w:r>
      <w:r w:rsidR="00CC6F3D" w:rsidRPr="001165AF">
        <w:t xml:space="preserve">Table </w:t>
      </w:r>
      <w:r w:rsidR="00CC6F3D" w:rsidRPr="00CC6F3D">
        <w:rPr>
          <w:noProof/>
        </w:rPr>
        <w:t>15</w:t>
      </w:r>
      <w:r w:rsidRPr="00202E7F">
        <w:fldChar w:fldCharType="end"/>
      </w:r>
      <w:r w:rsidRPr="0075255C">
        <w:t xml:space="preserve">, if applicable depending on the interference cases listed in </w:t>
      </w:r>
      <w:r w:rsidRPr="00202E7F">
        <w:fldChar w:fldCharType="begin"/>
      </w:r>
      <w:r w:rsidRPr="00202E7F">
        <w:instrText xml:space="preserve"> REF _Ref378167331 \h </w:instrText>
      </w:r>
      <w:r w:rsidRPr="001165AF">
        <w:instrText xml:space="preserve"> \* MERGEFORMAT </w:instrText>
      </w:r>
      <w:r w:rsidRPr="00202E7F">
        <w:fldChar w:fldCharType="separate"/>
      </w:r>
      <w:r w:rsidR="00CC6F3D" w:rsidRPr="001165AF">
        <w:t xml:space="preserve">Table </w:t>
      </w:r>
      <w:r w:rsidR="00CC6F3D" w:rsidRPr="00CC6F3D">
        <w:rPr>
          <w:noProof/>
        </w:rPr>
        <w:t>12</w:t>
      </w:r>
      <w:r w:rsidRPr="00202E7F">
        <w:fldChar w:fldCharType="end"/>
      </w:r>
      <w:r w:rsidRPr="0075255C">
        <w:t>.</w:t>
      </w:r>
    </w:p>
    <w:p w14:paraId="4E2271B5" w14:textId="77777777" w:rsidR="00A51903" w:rsidRDefault="00A51903" w:rsidP="00A51903">
      <w:pPr>
        <w:keepNext/>
        <w:spacing w:after="120"/>
        <w:ind w:firstLine="360"/>
        <w:jc w:val="center"/>
        <w:rPr>
          <w:rFonts w:ascii="Times New Roman Bold" w:hAnsi="Times New Roman Bold"/>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841"/>
        <w:gridCol w:w="1708"/>
        <w:gridCol w:w="2337"/>
      </w:tblGrid>
      <w:tr w:rsidR="00A51903" w14:paraId="35A77909" w14:textId="77777777" w:rsidTr="005D78D1">
        <w:tc>
          <w:tcPr>
            <w:tcW w:w="0" w:type="auto"/>
            <w:shd w:val="clear" w:color="auto" w:fill="E6E6E6"/>
            <w:hideMark/>
          </w:tcPr>
          <w:p w14:paraId="1A7104DF" w14:textId="77777777" w:rsidR="00A51903" w:rsidRDefault="00A51903" w:rsidP="005D78D1">
            <w:pPr>
              <w:keepNext/>
              <w:jc w:val="center"/>
              <w:rPr>
                <w:sz w:val="20"/>
              </w:rPr>
            </w:pPr>
            <w:r>
              <w:rPr>
                <w:sz w:val="20"/>
              </w:rPr>
              <w:t>NLCD</w:t>
            </w:r>
          </w:p>
          <w:p w14:paraId="7CD4A9DD" w14:textId="77777777" w:rsidR="00A51903" w:rsidRDefault="00A51903" w:rsidP="005D78D1">
            <w:pPr>
              <w:keepNext/>
              <w:jc w:val="center"/>
              <w:rPr>
                <w:sz w:val="20"/>
              </w:rPr>
            </w:pPr>
            <w:r>
              <w:rPr>
                <w:sz w:val="20"/>
              </w:rPr>
              <w:t>Classification</w:t>
            </w:r>
          </w:p>
          <w:p w14:paraId="05856EBC" w14:textId="77777777" w:rsidR="00A51903" w:rsidRDefault="00A51903" w:rsidP="005D78D1">
            <w:pPr>
              <w:keepNext/>
              <w:jc w:val="center"/>
              <w:rPr>
                <w:sz w:val="20"/>
              </w:rPr>
            </w:pPr>
            <w:r>
              <w:rPr>
                <w:sz w:val="20"/>
              </w:rPr>
              <w:t>Number</w:t>
            </w:r>
          </w:p>
        </w:tc>
        <w:tc>
          <w:tcPr>
            <w:tcW w:w="3841" w:type="dxa"/>
            <w:shd w:val="clear" w:color="auto" w:fill="E6E6E6"/>
            <w:hideMark/>
          </w:tcPr>
          <w:p w14:paraId="6AF5E80E" w14:textId="77777777" w:rsidR="00A51903" w:rsidRDefault="00A51903" w:rsidP="005D78D1">
            <w:pPr>
              <w:keepNext/>
              <w:jc w:val="center"/>
              <w:rPr>
                <w:sz w:val="20"/>
              </w:rPr>
            </w:pPr>
            <w:r>
              <w:rPr>
                <w:sz w:val="20"/>
              </w:rPr>
              <w:br/>
            </w:r>
            <w:r>
              <w:rPr>
                <w:sz w:val="20"/>
              </w:rPr>
              <w:br/>
              <w:t>NLCD Classification Description</w:t>
            </w:r>
            <w:r>
              <w:rPr>
                <w:rStyle w:val="FootnoteReference"/>
              </w:rPr>
              <w:footnoteReference w:id="40"/>
            </w:r>
          </w:p>
        </w:tc>
        <w:tc>
          <w:tcPr>
            <w:tcW w:w="1708" w:type="dxa"/>
            <w:shd w:val="clear" w:color="auto" w:fill="E6E6E6"/>
            <w:hideMark/>
          </w:tcPr>
          <w:p w14:paraId="76D43F0B" w14:textId="77777777" w:rsidR="00A51903" w:rsidRDefault="00A51903" w:rsidP="005D78D1">
            <w:pPr>
              <w:keepNext/>
              <w:jc w:val="center"/>
              <w:rPr>
                <w:sz w:val="20"/>
              </w:rPr>
            </w:pPr>
            <w:r>
              <w:rPr>
                <w:sz w:val="20"/>
              </w:rPr>
              <w:t>TVStudy Clutter Category Mapping</w:t>
            </w:r>
          </w:p>
        </w:tc>
        <w:tc>
          <w:tcPr>
            <w:tcW w:w="0" w:type="auto"/>
            <w:shd w:val="clear" w:color="auto" w:fill="E6E6E6"/>
            <w:hideMark/>
          </w:tcPr>
          <w:p w14:paraId="478380CE" w14:textId="77777777" w:rsidR="00A51903" w:rsidRDefault="00A51903" w:rsidP="005D78D1">
            <w:pPr>
              <w:keepNext/>
              <w:jc w:val="center"/>
              <w:rPr>
                <w:sz w:val="20"/>
              </w:rPr>
            </w:pPr>
            <w:r>
              <w:rPr>
                <w:sz w:val="20"/>
              </w:rPr>
              <w:br/>
              <w:t>TVStudy Clutter</w:t>
            </w:r>
          </w:p>
          <w:p w14:paraId="1AF149C3" w14:textId="77777777" w:rsidR="00A51903" w:rsidRDefault="00A51903" w:rsidP="005D78D1">
            <w:pPr>
              <w:keepNext/>
              <w:jc w:val="center"/>
              <w:rPr>
                <w:sz w:val="20"/>
              </w:rPr>
            </w:pPr>
            <w:r>
              <w:rPr>
                <w:sz w:val="20"/>
              </w:rPr>
              <w:t>Category Description</w:t>
            </w:r>
          </w:p>
        </w:tc>
      </w:tr>
      <w:tr w:rsidR="00A51903" w14:paraId="37CA445B" w14:textId="77777777" w:rsidTr="005D78D1">
        <w:tc>
          <w:tcPr>
            <w:tcW w:w="0" w:type="auto"/>
            <w:hideMark/>
          </w:tcPr>
          <w:p w14:paraId="74DB14C6" w14:textId="77777777" w:rsidR="00A51903" w:rsidRDefault="00A51903" w:rsidP="005D78D1">
            <w:pPr>
              <w:keepNext/>
              <w:jc w:val="center"/>
            </w:pPr>
            <w:r>
              <w:t>11</w:t>
            </w:r>
          </w:p>
        </w:tc>
        <w:tc>
          <w:tcPr>
            <w:tcW w:w="3841" w:type="dxa"/>
            <w:hideMark/>
          </w:tcPr>
          <w:p w14:paraId="13B8ED36" w14:textId="77777777" w:rsidR="00A51903" w:rsidRDefault="00A51903" w:rsidP="005D78D1">
            <w:pPr>
              <w:keepNext/>
            </w:pPr>
            <w:r>
              <w:t>Water</w:t>
            </w:r>
          </w:p>
        </w:tc>
        <w:tc>
          <w:tcPr>
            <w:tcW w:w="1708" w:type="dxa"/>
            <w:hideMark/>
          </w:tcPr>
          <w:p w14:paraId="3870FF11" w14:textId="77777777" w:rsidR="00A51903" w:rsidRDefault="00A51903" w:rsidP="005D78D1">
            <w:pPr>
              <w:keepNext/>
              <w:jc w:val="center"/>
            </w:pPr>
            <w:r>
              <w:t>4</w:t>
            </w:r>
          </w:p>
        </w:tc>
        <w:tc>
          <w:tcPr>
            <w:tcW w:w="0" w:type="auto"/>
            <w:hideMark/>
          </w:tcPr>
          <w:p w14:paraId="61F60FD5" w14:textId="77777777" w:rsidR="00A51903" w:rsidRDefault="00A51903" w:rsidP="005D78D1">
            <w:pPr>
              <w:keepNext/>
            </w:pPr>
            <w:r>
              <w:t>Water</w:t>
            </w:r>
          </w:p>
        </w:tc>
      </w:tr>
      <w:tr w:rsidR="00A51903" w14:paraId="43A177C4" w14:textId="77777777" w:rsidTr="005D78D1">
        <w:tc>
          <w:tcPr>
            <w:tcW w:w="0" w:type="auto"/>
            <w:hideMark/>
          </w:tcPr>
          <w:p w14:paraId="65AD3910" w14:textId="77777777" w:rsidR="00A51903" w:rsidRDefault="00A51903" w:rsidP="005D78D1">
            <w:pPr>
              <w:keepNext/>
              <w:jc w:val="center"/>
            </w:pPr>
            <w:r>
              <w:t>12</w:t>
            </w:r>
          </w:p>
        </w:tc>
        <w:tc>
          <w:tcPr>
            <w:tcW w:w="3841" w:type="dxa"/>
            <w:hideMark/>
          </w:tcPr>
          <w:p w14:paraId="41730B21" w14:textId="77777777" w:rsidR="00A51903" w:rsidRDefault="00A51903" w:rsidP="005D78D1">
            <w:pPr>
              <w:keepNext/>
            </w:pPr>
            <w:r>
              <w:t>Perennial Ice Snow</w:t>
            </w:r>
          </w:p>
        </w:tc>
        <w:tc>
          <w:tcPr>
            <w:tcW w:w="1708" w:type="dxa"/>
            <w:hideMark/>
          </w:tcPr>
          <w:p w14:paraId="757ED58A" w14:textId="77777777" w:rsidR="00A51903" w:rsidRDefault="00A51903" w:rsidP="005D78D1">
            <w:pPr>
              <w:keepNext/>
              <w:jc w:val="center"/>
            </w:pPr>
            <w:r>
              <w:t>10</w:t>
            </w:r>
          </w:p>
        </w:tc>
        <w:tc>
          <w:tcPr>
            <w:tcW w:w="0" w:type="auto"/>
            <w:hideMark/>
          </w:tcPr>
          <w:p w14:paraId="1DD30632" w14:textId="77777777" w:rsidR="00A51903" w:rsidRDefault="00A51903" w:rsidP="005D78D1">
            <w:pPr>
              <w:keepNext/>
            </w:pPr>
            <w:r>
              <w:t>Snow and Ice</w:t>
            </w:r>
          </w:p>
        </w:tc>
      </w:tr>
      <w:tr w:rsidR="00A51903" w14:paraId="321617B5" w14:textId="77777777" w:rsidTr="005D78D1">
        <w:tc>
          <w:tcPr>
            <w:tcW w:w="0" w:type="auto"/>
            <w:hideMark/>
          </w:tcPr>
          <w:p w14:paraId="247C7E9C" w14:textId="77777777" w:rsidR="00A51903" w:rsidRDefault="00A51903" w:rsidP="005D78D1">
            <w:pPr>
              <w:keepNext/>
              <w:jc w:val="center"/>
            </w:pPr>
            <w:r>
              <w:t>21</w:t>
            </w:r>
          </w:p>
        </w:tc>
        <w:tc>
          <w:tcPr>
            <w:tcW w:w="3841" w:type="dxa"/>
            <w:hideMark/>
          </w:tcPr>
          <w:p w14:paraId="5711E96F" w14:textId="77777777" w:rsidR="00A51903" w:rsidRPr="004F0DC3" w:rsidRDefault="00A51903" w:rsidP="005D78D1">
            <w:pPr>
              <w:keepNext/>
            </w:pPr>
            <w:r w:rsidRPr="004F0DC3">
              <w:t>Developed, Open Space</w:t>
            </w:r>
          </w:p>
        </w:tc>
        <w:tc>
          <w:tcPr>
            <w:tcW w:w="1708" w:type="dxa"/>
            <w:hideMark/>
          </w:tcPr>
          <w:p w14:paraId="65351B18" w14:textId="77777777" w:rsidR="00A51903" w:rsidRDefault="00A51903" w:rsidP="005D78D1">
            <w:pPr>
              <w:keepNext/>
              <w:jc w:val="center"/>
            </w:pPr>
            <w:r>
              <w:t>7</w:t>
            </w:r>
          </w:p>
        </w:tc>
        <w:tc>
          <w:tcPr>
            <w:tcW w:w="0" w:type="auto"/>
            <w:hideMark/>
          </w:tcPr>
          <w:p w14:paraId="415D4468" w14:textId="77777777" w:rsidR="00A51903" w:rsidRDefault="00A51903" w:rsidP="005D78D1">
            <w:pPr>
              <w:keepNext/>
            </w:pPr>
            <w:r>
              <w:t>Residential</w:t>
            </w:r>
          </w:p>
        </w:tc>
      </w:tr>
      <w:tr w:rsidR="00A51903" w14:paraId="1B922515" w14:textId="77777777" w:rsidTr="005D78D1">
        <w:tc>
          <w:tcPr>
            <w:tcW w:w="0" w:type="auto"/>
            <w:hideMark/>
          </w:tcPr>
          <w:p w14:paraId="14985100" w14:textId="77777777" w:rsidR="00A51903" w:rsidRDefault="00A51903" w:rsidP="005D78D1">
            <w:pPr>
              <w:keepNext/>
              <w:jc w:val="center"/>
            </w:pPr>
            <w:r>
              <w:t>22</w:t>
            </w:r>
          </w:p>
        </w:tc>
        <w:tc>
          <w:tcPr>
            <w:tcW w:w="3841" w:type="dxa"/>
            <w:hideMark/>
          </w:tcPr>
          <w:p w14:paraId="32682319" w14:textId="77777777" w:rsidR="00A51903" w:rsidRPr="009F734D" w:rsidRDefault="00A51903" w:rsidP="005D78D1">
            <w:pPr>
              <w:keepNext/>
            </w:pPr>
            <w:r w:rsidRPr="009F734D">
              <w:t>Developed, low intensity</w:t>
            </w:r>
          </w:p>
        </w:tc>
        <w:tc>
          <w:tcPr>
            <w:tcW w:w="1708" w:type="dxa"/>
            <w:hideMark/>
          </w:tcPr>
          <w:p w14:paraId="60175577" w14:textId="77777777" w:rsidR="00A51903" w:rsidRDefault="00A51903" w:rsidP="005D78D1">
            <w:pPr>
              <w:keepNext/>
              <w:jc w:val="center"/>
            </w:pPr>
            <w:r>
              <w:t>7</w:t>
            </w:r>
          </w:p>
        </w:tc>
        <w:tc>
          <w:tcPr>
            <w:tcW w:w="0" w:type="auto"/>
            <w:hideMark/>
          </w:tcPr>
          <w:p w14:paraId="7A3698D5" w14:textId="77777777" w:rsidR="00A51903" w:rsidRDefault="00A51903" w:rsidP="005D78D1">
            <w:pPr>
              <w:keepNext/>
            </w:pPr>
            <w:r>
              <w:t>Residential</w:t>
            </w:r>
          </w:p>
        </w:tc>
      </w:tr>
      <w:tr w:rsidR="00A51903" w14:paraId="68AF4350" w14:textId="77777777" w:rsidTr="005D78D1">
        <w:tc>
          <w:tcPr>
            <w:tcW w:w="0" w:type="auto"/>
            <w:hideMark/>
          </w:tcPr>
          <w:p w14:paraId="50A55A4A" w14:textId="77777777" w:rsidR="00A51903" w:rsidRDefault="00A51903" w:rsidP="005D78D1">
            <w:pPr>
              <w:keepNext/>
              <w:jc w:val="center"/>
            </w:pPr>
            <w:r>
              <w:t>23</w:t>
            </w:r>
          </w:p>
        </w:tc>
        <w:tc>
          <w:tcPr>
            <w:tcW w:w="3841" w:type="dxa"/>
            <w:hideMark/>
          </w:tcPr>
          <w:p w14:paraId="7285A38B" w14:textId="77777777" w:rsidR="00A51903" w:rsidRDefault="00A51903" w:rsidP="005D78D1">
            <w:pPr>
              <w:keepNext/>
            </w:pPr>
            <w:r w:rsidRPr="004F0DC3">
              <w:t>Developed, Medium Intensity</w:t>
            </w:r>
          </w:p>
        </w:tc>
        <w:tc>
          <w:tcPr>
            <w:tcW w:w="1708" w:type="dxa"/>
            <w:hideMark/>
          </w:tcPr>
          <w:p w14:paraId="0BE00376" w14:textId="77777777" w:rsidR="00A51903" w:rsidRDefault="00A51903" w:rsidP="005D78D1">
            <w:pPr>
              <w:keepNext/>
              <w:jc w:val="center"/>
            </w:pPr>
            <w:r>
              <w:t>9</w:t>
            </w:r>
          </w:p>
        </w:tc>
        <w:tc>
          <w:tcPr>
            <w:tcW w:w="0" w:type="auto"/>
            <w:hideMark/>
          </w:tcPr>
          <w:p w14:paraId="2BF17200" w14:textId="77777777" w:rsidR="00A51903" w:rsidRDefault="00A51903" w:rsidP="005D78D1">
            <w:pPr>
              <w:keepNext/>
            </w:pPr>
            <w:r>
              <w:t>Commercial / Industrial</w:t>
            </w:r>
          </w:p>
        </w:tc>
      </w:tr>
      <w:tr w:rsidR="00A51903" w14:paraId="35C5D2B4" w14:textId="77777777" w:rsidTr="005D78D1">
        <w:tc>
          <w:tcPr>
            <w:tcW w:w="0" w:type="auto"/>
            <w:hideMark/>
          </w:tcPr>
          <w:p w14:paraId="26B641AF" w14:textId="77777777" w:rsidR="00A51903" w:rsidRDefault="00A51903" w:rsidP="005D78D1">
            <w:pPr>
              <w:keepNext/>
              <w:jc w:val="center"/>
            </w:pPr>
            <w:r>
              <w:t>24</w:t>
            </w:r>
          </w:p>
        </w:tc>
        <w:tc>
          <w:tcPr>
            <w:tcW w:w="3841" w:type="dxa"/>
            <w:hideMark/>
          </w:tcPr>
          <w:p w14:paraId="3902A673" w14:textId="77777777" w:rsidR="00A51903" w:rsidRDefault="00A51903" w:rsidP="005D78D1">
            <w:pPr>
              <w:keepNext/>
            </w:pPr>
            <w:r>
              <w:t>Developed High Intensity</w:t>
            </w:r>
          </w:p>
        </w:tc>
        <w:tc>
          <w:tcPr>
            <w:tcW w:w="1708" w:type="dxa"/>
            <w:hideMark/>
          </w:tcPr>
          <w:p w14:paraId="35B85562" w14:textId="77777777" w:rsidR="00A51903" w:rsidRDefault="00A51903" w:rsidP="005D78D1">
            <w:pPr>
              <w:keepNext/>
              <w:jc w:val="center"/>
            </w:pPr>
            <w:r>
              <w:t>8</w:t>
            </w:r>
          </w:p>
        </w:tc>
        <w:tc>
          <w:tcPr>
            <w:tcW w:w="0" w:type="auto"/>
            <w:hideMark/>
          </w:tcPr>
          <w:p w14:paraId="7BB04EA4" w14:textId="77777777" w:rsidR="00A51903" w:rsidRDefault="00A51903" w:rsidP="005D78D1">
            <w:pPr>
              <w:keepNext/>
            </w:pPr>
            <w:r>
              <w:t>Mixed urban / buildings</w:t>
            </w:r>
          </w:p>
        </w:tc>
      </w:tr>
      <w:tr w:rsidR="00A51903" w14:paraId="18846790" w14:textId="77777777" w:rsidTr="005D78D1">
        <w:tc>
          <w:tcPr>
            <w:tcW w:w="0" w:type="auto"/>
            <w:hideMark/>
          </w:tcPr>
          <w:p w14:paraId="0131173D" w14:textId="77777777" w:rsidR="00A51903" w:rsidRDefault="00A51903" w:rsidP="005D78D1">
            <w:pPr>
              <w:keepNext/>
              <w:jc w:val="center"/>
            </w:pPr>
            <w:r>
              <w:t>31</w:t>
            </w:r>
          </w:p>
        </w:tc>
        <w:tc>
          <w:tcPr>
            <w:tcW w:w="3841" w:type="dxa"/>
            <w:hideMark/>
          </w:tcPr>
          <w:p w14:paraId="53553C73" w14:textId="77777777" w:rsidR="00A51903" w:rsidRDefault="00A51903" w:rsidP="005D78D1">
            <w:pPr>
              <w:keepNext/>
            </w:pPr>
            <w:r>
              <w:t>Bare Rock / Sand / Clay</w:t>
            </w:r>
          </w:p>
        </w:tc>
        <w:tc>
          <w:tcPr>
            <w:tcW w:w="1708" w:type="dxa"/>
            <w:hideMark/>
          </w:tcPr>
          <w:p w14:paraId="07FCF7F3" w14:textId="77777777" w:rsidR="00A51903" w:rsidRDefault="00A51903" w:rsidP="005D78D1">
            <w:pPr>
              <w:keepNext/>
              <w:jc w:val="center"/>
            </w:pPr>
            <w:r>
              <w:t>1</w:t>
            </w:r>
          </w:p>
        </w:tc>
        <w:tc>
          <w:tcPr>
            <w:tcW w:w="0" w:type="auto"/>
            <w:hideMark/>
          </w:tcPr>
          <w:p w14:paraId="0EC0E100" w14:textId="77777777" w:rsidR="00A51903" w:rsidRDefault="00A51903" w:rsidP="005D78D1">
            <w:pPr>
              <w:keepNext/>
            </w:pPr>
            <w:r>
              <w:t>Open Land</w:t>
            </w:r>
          </w:p>
        </w:tc>
      </w:tr>
      <w:tr w:rsidR="00A51903" w14:paraId="17F49416" w14:textId="77777777" w:rsidTr="005D78D1">
        <w:tc>
          <w:tcPr>
            <w:tcW w:w="0" w:type="auto"/>
            <w:hideMark/>
          </w:tcPr>
          <w:p w14:paraId="2A85B962" w14:textId="77777777" w:rsidR="00A51903" w:rsidRDefault="00A51903" w:rsidP="005D78D1">
            <w:pPr>
              <w:keepNext/>
              <w:jc w:val="center"/>
            </w:pPr>
            <w:r>
              <w:t>41</w:t>
            </w:r>
          </w:p>
        </w:tc>
        <w:tc>
          <w:tcPr>
            <w:tcW w:w="3841" w:type="dxa"/>
            <w:hideMark/>
          </w:tcPr>
          <w:p w14:paraId="6725B5AC" w14:textId="77777777" w:rsidR="00A51903" w:rsidRDefault="00A51903" w:rsidP="005D78D1">
            <w:pPr>
              <w:keepNext/>
            </w:pPr>
            <w:r>
              <w:t>Deciduous Forest</w:t>
            </w:r>
          </w:p>
        </w:tc>
        <w:tc>
          <w:tcPr>
            <w:tcW w:w="1708" w:type="dxa"/>
            <w:hideMark/>
          </w:tcPr>
          <w:p w14:paraId="2CB775DB" w14:textId="77777777" w:rsidR="00A51903" w:rsidRDefault="00A51903" w:rsidP="005D78D1">
            <w:pPr>
              <w:keepNext/>
              <w:jc w:val="center"/>
            </w:pPr>
            <w:r>
              <w:t>5</w:t>
            </w:r>
          </w:p>
        </w:tc>
        <w:tc>
          <w:tcPr>
            <w:tcW w:w="0" w:type="auto"/>
            <w:hideMark/>
          </w:tcPr>
          <w:p w14:paraId="15311B64" w14:textId="77777777" w:rsidR="00A51903" w:rsidRDefault="00A51903" w:rsidP="005D78D1">
            <w:pPr>
              <w:keepNext/>
            </w:pPr>
            <w:r>
              <w:t>Forest Land</w:t>
            </w:r>
          </w:p>
        </w:tc>
      </w:tr>
      <w:tr w:rsidR="00A51903" w14:paraId="674ADB25" w14:textId="77777777" w:rsidTr="005D78D1">
        <w:tc>
          <w:tcPr>
            <w:tcW w:w="0" w:type="auto"/>
            <w:hideMark/>
          </w:tcPr>
          <w:p w14:paraId="1CE1D1C8" w14:textId="77777777" w:rsidR="00A51903" w:rsidRDefault="00A51903" w:rsidP="005D78D1">
            <w:pPr>
              <w:keepNext/>
              <w:jc w:val="center"/>
            </w:pPr>
            <w:r>
              <w:t>42</w:t>
            </w:r>
          </w:p>
        </w:tc>
        <w:tc>
          <w:tcPr>
            <w:tcW w:w="3841" w:type="dxa"/>
            <w:hideMark/>
          </w:tcPr>
          <w:p w14:paraId="1E39AB91" w14:textId="77777777" w:rsidR="00A51903" w:rsidRDefault="00A51903" w:rsidP="005D78D1">
            <w:pPr>
              <w:keepNext/>
            </w:pPr>
            <w:r>
              <w:t>Evergreen Forest</w:t>
            </w:r>
          </w:p>
        </w:tc>
        <w:tc>
          <w:tcPr>
            <w:tcW w:w="1708" w:type="dxa"/>
            <w:hideMark/>
          </w:tcPr>
          <w:p w14:paraId="25779F36" w14:textId="77777777" w:rsidR="00A51903" w:rsidRDefault="00A51903" w:rsidP="005D78D1">
            <w:pPr>
              <w:keepNext/>
              <w:jc w:val="center"/>
            </w:pPr>
            <w:r>
              <w:t>5</w:t>
            </w:r>
          </w:p>
        </w:tc>
        <w:tc>
          <w:tcPr>
            <w:tcW w:w="0" w:type="auto"/>
            <w:hideMark/>
          </w:tcPr>
          <w:p w14:paraId="7923A3AB" w14:textId="77777777" w:rsidR="00A51903" w:rsidRDefault="00A51903" w:rsidP="005D78D1">
            <w:pPr>
              <w:keepNext/>
            </w:pPr>
            <w:r>
              <w:t>Forest Land</w:t>
            </w:r>
          </w:p>
        </w:tc>
      </w:tr>
      <w:tr w:rsidR="00A51903" w14:paraId="5AD423AE" w14:textId="77777777" w:rsidTr="005D78D1">
        <w:tc>
          <w:tcPr>
            <w:tcW w:w="0" w:type="auto"/>
            <w:hideMark/>
          </w:tcPr>
          <w:p w14:paraId="3DC5F661" w14:textId="77777777" w:rsidR="00A51903" w:rsidRDefault="00A51903" w:rsidP="005D78D1">
            <w:pPr>
              <w:keepNext/>
              <w:jc w:val="center"/>
            </w:pPr>
            <w:r>
              <w:t>43</w:t>
            </w:r>
          </w:p>
        </w:tc>
        <w:tc>
          <w:tcPr>
            <w:tcW w:w="3841" w:type="dxa"/>
            <w:hideMark/>
          </w:tcPr>
          <w:p w14:paraId="6E89BC34" w14:textId="77777777" w:rsidR="00A51903" w:rsidRDefault="00A51903" w:rsidP="005D78D1">
            <w:pPr>
              <w:keepNext/>
            </w:pPr>
            <w:r>
              <w:t>Mixed Forest</w:t>
            </w:r>
          </w:p>
        </w:tc>
        <w:tc>
          <w:tcPr>
            <w:tcW w:w="1708" w:type="dxa"/>
            <w:hideMark/>
          </w:tcPr>
          <w:p w14:paraId="35061658" w14:textId="77777777" w:rsidR="00A51903" w:rsidRDefault="00A51903" w:rsidP="005D78D1">
            <w:pPr>
              <w:keepNext/>
              <w:jc w:val="center"/>
            </w:pPr>
            <w:r>
              <w:t>5</w:t>
            </w:r>
          </w:p>
        </w:tc>
        <w:tc>
          <w:tcPr>
            <w:tcW w:w="0" w:type="auto"/>
            <w:hideMark/>
          </w:tcPr>
          <w:p w14:paraId="459406C2" w14:textId="77777777" w:rsidR="00A51903" w:rsidRDefault="00A51903" w:rsidP="005D78D1">
            <w:pPr>
              <w:keepNext/>
            </w:pPr>
            <w:r>
              <w:t>Forest Land</w:t>
            </w:r>
          </w:p>
        </w:tc>
      </w:tr>
      <w:tr w:rsidR="00A51903" w14:paraId="0508794D" w14:textId="77777777" w:rsidTr="005D78D1">
        <w:tc>
          <w:tcPr>
            <w:tcW w:w="0" w:type="auto"/>
            <w:hideMark/>
          </w:tcPr>
          <w:p w14:paraId="1769B6EF" w14:textId="77777777" w:rsidR="00A51903" w:rsidRDefault="00A51903" w:rsidP="005D78D1">
            <w:pPr>
              <w:keepNext/>
              <w:jc w:val="center"/>
            </w:pPr>
            <w:r>
              <w:t>52</w:t>
            </w:r>
          </w:p>
        </w:tc>
        <w:tc>
          <w:tcPr>
            <w:tcW w:w="3841" w:type="dxa"/>
            <w:hideMark/>
          </w:tcPr>
          <w:p w14:paraId="4D9BB7CE" w14:textId="77777777" w:rsidR="00A51903" w:rsidRDefault="00A51903" w:rsidP="005D78D1">
            <w:pPr>
              <w:keepNext/>
            </w:pPr>
            <w:r>
              <w:t>Shrub/Scrub</w:t>
            </w:r>
          </w:p>
        </w:tc>
        <w:tc>
          <w:tcPr>
            <w:tcW w:w="1708" w:type="dxa"/>
            <w:hideMark/>
          </w:tcPr>
          <w:p w14:paraId="69E73087" w14:textId="77777777" w:rsidR="00A51903" w:rsidRDefault="00A51903" w:rsidP="005D78D1">
            <w:pPr>
              <w:keepNext/>
              <w:jc w:val="center"/>
            </w:pPr>
            <w:r>
              <w:t>3</w:t>
            </w:r>
          </w:p>
        </w:tc>
        <w:tc>
          <w:tcPr>
            <w:tcW w:w="0" w:type="auto"/>
            <w:hideMark/>
          </w:tcPr>
          <w:p w14:paraId="653D8AF3" w14:textId="77777777" w:rsidR="00A51903" w:rsidRDefault="00A51903" w:rsidP="005D78D1">
            <w:pPr>
              <w:keepNext/>
            </w:pPr>
            <w:r>
              <w:t>Rangeland</w:t>
            </w:r>
          </w:p>
        </w:tc>
      </w:tr>
      <w:tr w:rsidR="00A51903" w14:paraId="1DC76ED4" w14:textId="77777777" w:rsidTr="005D78D1">
        <w:tc>
          <w:tcPr>
            <w:tcW w:w="0" w:type="auto"/>
            <w:hideMark/>
          </w:tcPr>
          <w:p w14:paraId="31223D77" w14:textId="77777777" w:rsidR="00A51903" w:rsidRDefault="00A51903" w:rsidP="005D78D1">
            <w:pPr>
              <w:keepNext/>
              <w:jc w:val="center"/>
            </w:pPr>
            <w:r>
              <w:t>71</w:t>
            </w:r>
          </w:p>
        </w:tc>
        <w:tc>
          <w:tcPr>
            <w:tcW w:w="3841" w:type="dxa"/>
            <w:hideMark/>
          </w:tcPr>
          <w:p w14:paraId="099CC471" w14:textId="77777777" w:rsidR="00A51903" w:rsidRDefault="00A51903" w:rsidP="005D78D1">
            <w:pPr>
              <w:keepNext/>
            </w:pPr>
            <w:r>
              <w:t>Grasslands/Herbaceous</w:t>
            </w:r>
          </w:p>
        </w:tc>
        <w:tc>
          <w:tcPr>
            <w:tcW w:w="1708" w:type="dxa"/>
            <w:hideMark/>
          </w:tcPr>
          <w:p w14:paraId="5E28DE18" w14:textId="77777777" w:rsidR="00A51903" w:rsidRDefault="00A51903" w:rsidP="005D78D1">
            <w:pPr>
              <w:keepNext/>
              <w:jc w:val="center"/>
            </w:pPr>
            <w:r>
              <w:t>3</w:t>
            </w:r>
          </w:p>
        </w:tc>
        <w:tc>
          <w:tcPr>
            <w:tcW w:w="0" w:type="auto"/>
            <w:hideMark/>
          </w:tcPr>
          <w:p w14:paraId="60DD1DA7" w14:textId="77777777" w:rsidR="00A51903" w:rsidRDefault="00A51903" w:rsidP="005D78D1">
            <w:pPr>
              <w:keepNext/>
            </w:pPr>
            <w:r>
              <w:t>Rangeland</w:t>
            </w:r>
          </w:p>
        </w:tc>
      </w:tr>
      <w:tr w:rsidR="00A51903" w14:paraId="2D2CA8B7" w14:textId="77777777" w:rsidTr="005D78D1">
        <w:tc>
          <w:tcPr>
            <w:tcW w:w="0" w:type="auto"/>
            <w:hideMark/>
          </w:tcPr>
          <w:p w14:paraId="06F388B8" w14:textId="77777777" w:rsidR="00A51903" w:rsidRDefault="00A51903" w:rsidP="005D78D1">
            <w:pPr>
              <w:keepNext/>
              <w:jc w:val="center"/>
            </w:pPr>
            <w:r>
              <w:t>81</w:t>
            </w:r>
          </w:p>
        </w:tc>
        <w:tc>
          <w:tcPr>
            <w:tcW w:w="3841" w:type="dxa"/>
            <w:hideMark/>
          </w:tcPr>
          <w:p w14:paraId="47D0BC2E" w14:textId="77777777" w:rsidR="00A51903" w:rsidRDefault="00A51903" w:rsidP="005D78D1">
            <w:pPr>
              <w:keepNext/>
            </w:pPr>
            <w:r>
              <w:t>Pasture/Hay</w:t>
            </w:r>
          </w:p>
        </w:tc>
        <w:tc>
          <w:tcPr>
            <w:tcW w:w="1708" w:type="dxa"/>
            <w:hideMark/>
          </w:tcPr>
          <w:p w14:paraId="2DD01989" w14:textId="77777777" w:rsidR="00A51903" w:rsidRDefault="00A51903" w:rsidP="005D78D1">
            <w:pPr>
              <w:keepNext/>
              <w:jc w:val="center"/>
            </w:pPr>
            <w:r>
              <w:t>2</w:t>
            </w:r>
          </w:p>
        </w:tc>
        <w:tc>
          <w:tcPr>
            <w:tcW w:w="0" w:type="auto"/>
            <w:hideMark/>
          </w:tcPr>
          <w:p w14:paraId="23707B08" w14:textId="77777777" w:rsidR="00A51903" w:rsidRDefault="00A51903" w:rsidP="005D78D1">
            <w:pPr>
              <w:keepNext/>
            </w:pPr>
            <w:r>
              <w:t>Agricultural</w:t>
            </w:r>
          </w:p>
        </w:tc>
      </w:tr>
      <w:tr w:rsidR="00A51903" w14:paraId="4F01A698" w14:textId="77777777" w:rsidTr="005D78D1">
        <w:tc>
          <w:tcPr>
            <w:tcW w:w="0" w:type="auto"/>
            <w:hideMark/>
          </w:tcPr>
          <w:p w14:paraId="255140E9" w14:textId="77777777" w:rsidR="00A51903" w:rsidRDefault="00A51903" w:rsidP="005D78D1">
            <w:pPr>
              <w:keepNext/>
              <w:jc w:val="center"/>
            </w:pPr>
            <w:r>
              <w:t>82</w:t>
            </w:r>
          </w:p>
        </w:tc>
        <w:tc>
          <w:tcPr>
            <w:tcW w:w="3841" w:type="dxa"/>
            <w:hideMark/>
          </w:tcPr>
          <w:p w14:paraId="3933E89C" w14:textId="77777777" w:rsidR="00A51903" w:rsidRDefault="00A51903" w:rsidP="005D78D1">
            <w:pPr>
              <w:keepNext/>
            </w:pPr>
            <w:r>
              <w:t>Row Crops</w:t>
            </w:r>
          </w:p>
        </w:tc>
        <w:tc>
          <w:tcPr>
            <w:tcW w:w="1708" w:type="dxa"/>
            <w:hideMark/>
          </w:tcPr>
          <w:p w14:paraId="176F8AD5" w14:textId="77777777" w:rsidR="00A51903" w:rsidRDefault="00A51903" w:rsidP="005D78D1">
            <w:pPr>
              <w:keepNext/>
              <w:jc w:val="center"/>
            </w:pPr>
            <w:r>
              <w:t>2</w:t>
            </w:r>
          </w:p>
        </w:tc>
        <w:tc>
          <w:tcPr>
            <w:tcW w:w="0" w:type="auto"/>
            <w:hideMark/>
          </w:tcPr>
          <w:p w14:paraId="2D2DBEE8" w14:textId="77777777" w:rsidR="00A51903" w:rsidRDefault="00A51903" w:rsidP="005D78D1">
            <w:pPr>
              <w:keepNext/>
            </w:pPr>
            <w:r>
              <w:t>Agricultural</w:t>
            </w:r>
          </w:p>
        </w:tc>
      </w:tr>
      <w:tr w:rsidR="00A51903" w14:paraId="77A8499D" w14:textId="77777777" w:rsidTr="005D78D1">
        <w:tc>
          <w:tcPr>
            <w:tcW w:w="0" w:type="auto"/>
            <w:hideMark/>
          </w:tcPr>
          <w:p w14:paraId="0D60E6AB" w14:textId="77777777" w:rsidR="00A51903" w:rsidRDefault="00A51903" w:rsidP="005D78D1">
            <w:pPr>
              <w:keepNext/>
              <w:jc w:val="center"/>
            </w:pPr>
            <w:r>
              <w:t>90</w:t>
            </w:r>
          </w:p>
        </w:tc>
        <w:tc>
          <w:tcPr>
            <w:tcW w:w="3841" w:type="dxa"/>
            <w:hideMark/>
          </w:tcPr>
          <w:p w14:paraId="597DF29B" w14:textId="77777777" w:rsidR="00A51903" w:rsidRDefault="00A51903" w:rsidP="005D78D1">
            <w:pPr>
              <w:keepNext/>
            </w:pPr>
            <w:r>
              <w:t>Woody Wetlands</w:t>
            </w:r>
          </w:p>
        </w:tc>
        <w:tc>
          <w:tcPr>
            <w:tcW w:w="1708" w:type="dxa"/>
            <w:hideMark/>
          </w:tcPr>
          <w:p w14:paraId="4FD0FEE5" w14:textId="77777777" w:rsidR="00A51903" w:rsidRDefault="00A51903" w:rsidP="005D78D1">
            <w:pPr>
              <w:keepNext/>
              <w:jc w:val="center"/>
            </w:pPr>
            <w:r>
              <w:t>5</w:t>
            </w:r>
          </w:p>
        </w:tc>
        <w:tc>
          <w:tcPr>
            <w:tcW w:w="0" w:type="auto"/>
            <w:hideMark/>
          </w:tcPr>
          <w:p w14:paraId="1FCF8830" w14:textId="77777777" w:rsidR="00A51903" w:rsidRDefault="00A51903" w:rsidP="005D78D1">
            <w:pPr>
              <w:keepNext/>
            </w:pPr>
            <w:r>
              <w:t>Forest land</w:t>
            </w:r>
          </w:p>
        </w:tc>
      </w:tr>
      <w:tr w:rsidR="00A51903" w14:paraId="02B8223D" w14:textId="77777777" w:rsidTr="005D78D1">
        <w:tc>
          <w:tcPr>
            <w:tcW w:w="0" w:type="auto"/>
            <w:hideMark/>
          </w:tcPr>
          <w:p w14:paraId="0E1D0460" w14:textId="77777777" w:rsidR="00A51903" w:rsidRDefault="00A51903" w:rsidP="005D78D1">
            <w:pPr>
              <w:keepNext/>
              <w:jc w:val="center"/>
            </w:pPr>
            <w:r>
              <w:t>95</w:t>
            </w:r>
          </w:p>
        </w:tc>
        <w:tc>
          <w:tcPr>
            <w:tcW w:w="3841" w:type="dxa"/>
            <w:hideMark/>
          </w:tcPr>
          <w:p w14:paraId="0A3D7F91" w14:textId="77777777" w:rsidR="00A51903" w:rsidRDefault="00A51903" w:rsidP="005D78D1">
            <w:pPr>
              <w:keepNext/>
            </w:pPr>
            <w:r>
              <w:t>Emergent Herbaceous Wetlands</w:t>
            </w:r>
          </w:p>
        </w:tc>
        <w:tc>
          <w:tcPr>
            <w:tcW w:w="1708" w:type="dxa"/>
            <w:hideMark/>
          </w:tcPr>
          <w:p w14:paraId="745382FD" w14:textId="77777777" w:rsidR="00A51903" w:rsidRDefault="00A51903" w:rsidP="005D78D1">
            <w:pPr>
              <w:keepNext/>
              <w:jc w:val="center"/>
            </w:pPr>
            <w:r>
              <w:t>6</w:t>
            </w:r>
          </w:p>
        </w:tc>
        <w:tc>
          <w:tcPr>
            <w:tcW w:w="0" w:type="auto"/>
            <w:hideMark/>
          </w:tcPr>
          <w:p w14:paraId="42D50F48" w14:textId="77777777" w:rsidR="00A51903" w:rsidRDefault="00A51903" w:rsidP="005D78D1">
            <w:pPr>
              <w:keepNext/>
            </w:pPr>
            <w:r>
              <w:t>Wetland</w:t>
            </w:r>
          </w:p>
        </w:tc>
      </w:tr>
    </w:tbl>
    <w:p w14:paraId="6D0632E8" w14:textId="77777777" w:rsidR="00A51903" w:rsidRPr="001165AF" w:rsidRDefault="00A51903" w:rsidP="00A51903">
      <w:pPr>
        <w:pStyle w:val="Caption"/>
        <w:jc w:val="center"/>
        <w:rPr>
          <w:b w:val="0"/>
        </w:rPr>
      </w:pPr>
      <w:bookmarkStart w:id="21" w:name="_Ref378167365"/>
      <w:r w:rsidRPr="001165AF">
        <w:rPr>
          <w:b w:val="0"/>
        </w:rPr>
        <w:t xml:space="preserve">Table </w:t>
      </w:r>
      <w:r>
        <w:rPr>
          <w:b w:val="0"/>
        </w:rPr>
        <w:fldChar w:fldCharType="begin"/>
      </w:r>
      <w:r>
        <w:rPr>
          <w:b w:val="0"/>
        </w:rPr>
        <w:instrText xml:space="preserve"> SEQ Table \* MERGEFORMAT </w:instrText>
      </w:r>
      <w:r>
        <w:rPr>
          <w:b w:val="0"/>
        </w:rPr>
        <w:fldChar w:fldCharType="separate"/>
      </w:r>
      <w:r w:rsidR="00CC6F3D">
        <w:rPr>
          <w:b w:val="0"/>
          <w:noProof/>
        </w:rPr>
        <w:t>13</w:t>
      </w:r>
      <w:r>
        <w:rPr>
          <w:b w:val="0"/>
        </w:rPr>
        <w:fldChar w:fldCharType="end"/>
      </w:r>
      <w:bookmarkEnd w:id="21"/>
      <w:r w:rsidRPr="001165AF">
        <w:rPr>
          <w:b w:val="0"/>
        </w:rPr>
        <w:t>.  Regrouping of NLCD Categories for Longley Rice Applications</w:t>
      </w:r>
    </w:p>
    <w:p w14:paraId="21DBE9B1" w14:textId="77777777" w:rsidR="00A51903" w:rsidRDefault="00A51903" w:rsidP="00A51903">
      <w:pPr>
        <w:autoSpaceDE w:val="0"/>
        <w:autoSpaceDN w:val="0"/>
        <w:adjustRightInd w:val="0"/>
        <w:rPr>
          <w:rFonts w:ascii="TimesNewRoman" w:hAnsi="TimesNewRoman" w:cs="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423"/>
        <w:gridCol w:w="1007"/>
        <w:gridCol w:w="1007"/>
        <w:gridCol w:w="1007"/>
        <w:gridCol w:w="1007"/>
      </w:tblGrid>
      <w:tr w:rsidR="00A51903" w14:paraId="3BA43C91" w14:textId="77777777" w:rsidTr="005D78D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3B3B3"/>
            <w:hideMark/>
          </w:tcPr>
          <w:p w14:paraId="0CA0FC01" w14:textId="77777777" w:rsidR="00A51903" w:rsidRDefault="00A51903" w:rsidP="005D78D1">
            <w:pPr>
              <w:keepNext/>
              <w:jc w:val="center"/>
              <w:rPr>
                <w:sz w:val="20"/>
              </w:rPr>
            </w:pPr>
            <w:r>
              <w:rPr>
                <w:sz w:val="20"/>
              </w:rPr>
              <w:t xml:space="preserve"> </w:t>
            </w:r>
          </w:p>
        </w:tc>
        <w:tc>
          <w:tcPr>
            <w:tcW w:w="0" w:type="auto"/>
            <w:gridSpan w:val="4"/>
            <w:tcBorders>
              <w:top w:val="single" w:sz="4" w:space="0" w:color="auto"/>
              <w:left w:val="single" w:sz="4" w:space="0" w:color="auto"/>
              <w:bottom w:val="single" w:sz="4" w:space="0" w:color="auto"/>
              <w:right w:val="single" w:sz="4" w:space="0" w:color="auto"/>
            </w:tcBorders>
            <w:shd w:val="clear" w:color="auto" w:fill="E6E6E6"/>
            <w:hideMark/>
          </w:tcPr>
          <w:p w14:paraId="16F05788" w14:textId="77777777" w:rsidR="00A51903" w:rsidRDefault="00A51903" w:rsidP="005D78D1">
            <w:pPr>
              <w:keepNext/>
              <w:jc w:val="center"/>
              <w:rPr>
                <w:sz w:val="20"/>
              </w:rPr>
            </w:pPr>
            <w:r>
              <w:rPr>
                <w:sz w:val="20"/>
              </w:rPr>
              <w:t>Clutter Loss (dB)</w:t>
            </w:r>
            <w:r>
              <w:rPr>
                <w:rStyle w:val="FootnoteReference"/>
              </w:rPr>
              <w:footnoteReference w:id="41"/>
            </w:r>
          </w:p>
          <w:p w14:paraId="1D5AB37B" w14:textId="77777777" w:rsidR="00A51903" w:rsidRDefault="00A51903" w:rsidP="005D78D1">
            <w:pPr>
              <w:keepNext/>
              <w:jc w:val="center"/>
              <w:rPr>
                <w:sz w:val="20"/>
              </w:rPr>
            </w:pPr>
            <w:r>
              <w:rPr>
                <w:sz w:val="20"/>
              </w:rPr>
              <w:t>(to be subtracted from calculated field strength)</w:t>
            </w:r>
          </w:p>
        </w:tc>
      </w:tr>
      <w:tr w:rsidR="00A51903" w14:paraId="152AEC9D"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6B45A13" w14:textId="77777777" w:rsidR="00A51903" w:rsidRDefault="00A51903" w:rsidP="005D78D1">
            <w:pPr>
              <w:keepNext/>
              <w:jc w:val="center"/>
              <w:rPr>
                <w:sz w:val="20"/>
              </w:rPr>
            </w:pPr>
            <w:r>
              <w:rPr>
                <w:sz w:val="20"/>
              </w:rPr>
              <w:t>Clutter</w:t>
            </w:r>
          </w:p>
          <w:p w14:paraId="6FF044BF" w14:textId="77777777" w:rsidR="00A51903" w:rsidRDefault="00A51903" w:rsidP="005D78D1">
            <w:pPr>
              <w:keepNext/>
              <w:jc w:val="center"/>
              <w:rPr>
                <w:sz w:val="20"/>
              </w:rPr>
            </w:pPr>
            <w:r>
              <w:rPr>
                <w:sz w:val="20"/>
              </w:rPr>
              <w:t>Category</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6F8A35EA" w14:textId="77777777" w:rsidR="00A51903" w:rsidRDefault="00A51903" w:rsidP="005D78D1">
            <w:pPr>
              <w:keepNext/>
              <w:jc w:val="center"/>
              <w:rPr>
                <w:sz w:val="20"/>
              </w:rPr>
            </w:pPr>
            <w:r>
              <w:rPr>
                <w:sz w:val="20"/>
              </w:rPr>
              <w:t>Clutter</w:t>
            </w:r>
          </w:p>
          <w:p w14:paraId="24434CD1" w14:textId="77777777" w:rsidR="00A51903" w:rsidRDefault="00A51903" w:rsidP="005D78D1">
            <w:pPr>
              <w:keepNext/>
              <w:jc w:val="center"/>
              <w:rPr>
                <w:sz w:val="20"/>
              </w:rPr>
            </w:pPr>
            <w:r>
              <w:rPr>
                <w:sz w:val="20"/>
              </w:rPr>
              <w:t>Category Description</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44E6BCAD" w14:textId="77777777" w:rsidR="00A51903" w:rsidRDefault="00A51903" w:rsidP="005D78D1">
            <w:pPr>
              <w:keepNext/>
              <w:jc w:val="center"/>
              <w:rPr>
                <w:sz w:val="20"/>
              </w:rPr>
            </w:pPr>
            <w:r>
              <w:rPr>
                <w:sz w:val="20"/>
              </w:rPr>
              <w:t>Channels</w:t>
            </w:r>
          </w:p>
          <w:p w14:paraId="62E10F03" w14:textId="77777777" w:rsidR="00A51903" w:rsidRDefault="00A51903" w:rsidP="005D78D1">
            <w:pPr>
              <w:keepNext/>
              <w:jc w:val="center"/>
              <w:rPr>
                <w:sz w:val="20"/>
              </w:rPr>
            </w:pPr>
            <w:r>
              <w:rPr>
                <w:sz w:val="20"/>
              </w:rPr>
              <w:t>2-6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6F09E1F2" w14:textId="77777777" w:rsidR="00A51903" w:rsidRDefault="00A51903" w:rsidP="005D78D1">
            <w:pPr>
              <w:keepNext/>
              <w:jc w:val="center"/>
              <w:rPr>
                <w:sz w:val="20"/>
              </w:rPr>
            </w:pPr>
            <w:r>
              <w:rPr>
                <w:sz w:val="20"/>
              </w:rPr>
              <w:t>Channels</w:t>
            </w:r>
          </w:p>
          <w:p w14:paraId="692DE46B" w14:textId="77777777" w:rsidR="00A51903" w:rsidRDefault="00A51903" w:rsidP="005D78D1">
            <w:pPr>
              <w:keepNext/>
              <w:jc w:val="center"/>
              <w:rPr>
                <w:sz w:val="20"/>
              </w:rPr>
            </w:pPr>
            <w:r>
              <w:rPr>
                <w:sz w:val="20"/>
              </w:rPr>
              <w:t>7-13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0A0BF1B" w14:textId="77777777" w:rsidR="00A51903" w:rsidRDefault="00A51903" w:rsidP="005D78D1">
            <w:pPr>
              <w:keepNext/>
              <w:jc w:val="center"/>
              <w:rPr>
                <w:sz w:val="20"/>
              </w:rPr>
            </w:pPr>
            <w:r>
              <w:rPr>
                <w:sz w:val="20"/>
              </w:rPr>
              <w:t>Channels</w:t>
            </w:r>
          </w:p>
          <w:p w14:paraId="51D0274E" w14:textId="77777777" w:rsidR="00A51903" w:rsidRDefault="00A51903" w:rsidP="005D78D1">
            <w:pPr>
              <w:keepNext/>
              <w:jc w:val="center"/>
              <w:rPr>
                <w:sz w:val="20"/>
              </w:rPr>
            </w:pPr>
            <w:r>
              <w:rPr>
                <w:sz w:val="20"/>
              </w:rPr>
              <w:t>14-36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3980B387" w14:textId="77777777" w:rsidR="00A51903" w:rsidRDefault="00A51903" w:rsidP="005D78D1">
            <w:pPr>
              <w:keepNext/>
              <w:jc w:val="center"/>
              <w:rPr>
                <w:sz w:val="20"/>
              </w:rPr>
            </w:pPr>
            <w:r>
              <w:rPr>
                <w:sz w:val="20"/>
              </w:rPr>
              <w:t>Channels</w:t>
            </w:r>
          </w:p>
          <w:p w14:paraId="197413DE" w14:textId="77777777" w:rsidR="00A51903" w:rsidRDefault="00A51903" w:rsidP="005D78D1">
            <w:pPr>
              <w:keepNext/>
              <w:jc w:val="center"/>
              <w:rPr>
                <w:sz w:val="20"/>
              </w:rPr>
            </w:pPr>
            <w:r>
              <w:rPr>
                <w:sz w:val="20"/>
              </w:rPr>
              <w:t>38-51</w:t>
            </w:r>
          </w:p>
        </w:tc>
      </w:tr>
      <w:tr w:rsidR="00A51903" w14:paraId="369B5B15"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2AC40905" w14:textId="77777777" w:rsidR="00A51903" w:rsidRDefault="00A51903" w:rsidP="005D78D1">
            <w:pPr>
              <w:keepNext/>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3D9AD152" w14:textId="77777777" w:rsidR="00A51903" w:rsidRDefault="00A51903" w:rsidP="005D78D1">
            <w:pPr>
              <w:keepNext/>
            </w:pPr>
            <w:r>
              <w:t>Open land</w:t>
            </w:r>
          </w:p>
        </w:tc>
        <w:tc>
          <w:tcPr>
            <w:tcW w:w="0" w:type="auto"/>
            <w:tcBorders>
              <w:top w:val="single" w:sz="4" w:space="0" w:color="auto"/>
              <w:left w:val="single" w:sz="4" w:space="0" w:color="auto"/>
              <w:bottom w:val="single" w:sz="4" w:space="0" w:color="auto"/>
              <w:right w:val="single" w:sz="4" w:space="0" w:color="auto"/>
            </w:tcBorders>
            <w:hideMark/>
          </w:tcPr>
          <w:p w14:paraId="775CFBB8"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4531C63E"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218F10DE" w14:textId="77777777" w:rsidR="00A51903" w:rsidRDefault="00A51903" w:rsidP="005D78D1">
            <w:pPr>
              <w:keepNext/>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0886CE0C" w14:textId="77777777" w:rsidR="00A51903" w:rsidRDefault="00A51903" w:rsidP="005D78D1">
            <w:pPr>
              <w:keepNext/>
              <w:jc w:val="center"/>
            </w:pPr>
            <w:r>
              <w:t>5</w:t>
            </w:r>
          </w:p>
        </w:tc>
      </w:tr>
      <w:tr w:rsidR="00A51903" w14:paraId="509D4D88"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0101FB5E" w14:textId="77777777" w:rsidR="00A51903" w:rsidRDefault="00A51903" w:rsidP="005D78D1">
            <w:pPr>
              <w:keepNext/>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4414E43E" w14:textId="77777777" w:rsidR="00A51903" w:rsidRDefault="00A51903" w:rsidP="005D78D1">
            <w:pPr>
              <w:keepNext/>
            </w:pPr>
            <w:r>
              <w:t>Agricultural</w:t>
            </w:r>
          </w:p>
        </w:tc>
        <w:tc>
          <w:tcPr>
            <w:tcW w:w="0" w:type="auto"/>
            <w:tcBorders>
              <w:top w:val="single" w:sz="4" w:space="0" w:color="auto"/>
              <w:left w:val="single" w:sz="4" w:space="0" w:color="auto"/>
              <w:bottom w:val="single" w:sz="4" w:space="0" w:color="auto"/>
              <w:right w:val="single" w:sz="4" w:space="0" w:color="auto"/>
            </w:tcBorders>
            <w:hideMark/>
          </w:tcPr>
          <w:p w14:paraId="708506F9"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3A696BB4"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955ABEF" w14:textId="77777777" w:rsidR="00A51903" w:rsidRDefault="00A51903" w:rsidP="005D78D1">
            <w:pPr>
              <w:keepNext/>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66B1DDF7" w14:textId="77777777" w:rsidR="00A51903" w:rsidRDefault="00A51903" w:rsidP="005D78D1">
            <w:pPr>
              <w:keepNext/>
              <w:jc w:val="center"/>
            </w:pPr>
            <w:r>
              <w:t>6</w:t>
            </w:r>
          </w:p>
        </w:tc>
      </w:tr>
      <w:tr w:rsidR="00A51903" w14:paraId="18986524"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3DB43D76" w14:textId="77777777" w:rsidR="00A51903" w:rsidRDefault="00A51903" w:rsidP="005D78D1">
            <w:pPr>
              <w:keepNext/>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46A6B6A7" w14:textId="77777777" w:rsidR="00A51903" w:rsidRDefault="00A51903" w:rsidP="005D78D1">
            <w:pPr>
              <w:keepNext/>
            </w:pPr>
            <w:r>
              <w:t>Rangeland</w:t>
            </w:r>
          </w:p>
        </w:tc>
        <w:tc>
          <w:tcPr>
            <w:tcW w:w="0" w:type="auto"/>
            <w:tcBorders>
              <w:top w:val="single" w:sz="4" w:space="0" w:color="auto"/>
              <w:left w:val="single" w:sz="4" w:space="0" w:color="auto"/>
              <w:bottom w:val="single" w:sz="4" w:space="0" w:color="auto"/>
              <w:right w:val="single" w:sz="4" w:space="0" w:color="auto"/>
            </w:tcBorders>
            <w:hideMark/>
          </w:tcPr>
          <w:p w14:paraId="04B9F5E5"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6D1B01C5"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401FC985" w14:textId="77777777" w:rsidR="00A51903" w:rsidRDefault="00A51903" w:rsidP="005D78D1">
            <w:pPr>
              <w:keepNext/>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1E82BCF9" w14:textId="77777777" w:rsidR="00A51903" w:rsidRDefault="00A51903" w:rsidP="005D78D1">
            <w:pPr>
              <w:keepNext/>
              <w:jc w:val="center"/>
            </w:pPr>
            <w:r>
              <w:t>6</w:t>
            </w:r>
          </w:p>
        </w:tc>
      </w:tr>
      <w:tr w:rsidR="00A51903" w14:paraId="17EDA641"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296CD0E6" w14:textId="77777777" w:rsidR="00A51903" w:rsidRDefault="00A51903" w:rsidP="005D78D1">
            <w:pPr>
              <w:keepNext/>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4E96D195" w14:textId="77777777" w:rsidR="00A51903" w:rsidRDefault="00A51903" w:rsidP="005D78D1">
            <w:pPr>
              <w:keepNext/>
            </w:pPr>
            <w:r>
              <w:t>Water</w:t>
            </w:r>
          </w:p>
        </w:tc>
        <w:tc>
          <w:tcPr>
            <w:tcW w:w="0" w:type="auto"/>
            <w:tcBorders>
              <w:top w:val="single" w:sz="4" w:space="0" w:color="auto"/>
              <w:left w:val="single" w:sz="4" w:space="0" w:color="auto"/>
              <w:bottom w:val="single" w:sz="4" w:space="0" w:color="auto"/>
              <w:right w:val="single" w:sz="4" w:space="0" w:color="auto"/>
            </w:tcBorders>
            <w:hideMark/>
          </w:tcPr>
          <w:p w14:paraId="0AF32CA8"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2E04CF3F"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98F6FCB"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EC0724C" w14:textId="77777777" w:rsidR="00A51903" w:rsidRDefault="00A51903" w:rsidP="005D78D1">
            <w:pPr>
              <w:keepNext/>
              <w:jc w:val="center"/>
            </w:pPr>
            <w:r>
              <w:t>0</w:t>
            </w:r>
          </w:p>
        </w:tc>
      </w:tr>
      <w:tr w:rsidR="00A51903" w14:paraId="1AA09813"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130FBA85" w14:textId="77777777" w:rsidR="00A51903" w:rsidRDefault="00A51903" w:rsidP="005D78D1">
            <w:pPr>
              <w:keepNext/>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5D734EEA" w14:textId="77777777" w:rsidR="00A51903" w:rsidRDefault="00A51903" w:rsidP="005D78D1">
            <w:pPr>
              <w:keepNext/>
            </w:pPr>
            <w:r>
              <w:t>Forest land</w:t>
            </w:r>
          </w:p>
        </w:tc>
        <w:tc>
          <w:tcPr>
            <w:tcW w:w="0" w:type="auto"/>
            <w:tcBorders>
              <w:top w:val="single" w:sz="4" w:space="0" w:color="auto"/>
              <w:left w:val="single" w:sz="4" w:space="0" w:color="auto"/>
              <w:bottom w:val="single" w:sz="4" w:space="0" w:color="auto"/>
              <w:right w:val="single" w:sz="4" w:space="0" w:color="auto"/>
            </w:tcBorders>
            <w:hideMark/>
          </w:tcPr>
          <w:p w14:paraId="2BA7559B"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4D8BD2AE"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81E3FF8" w14:textId="77777777" w:rsidR="00A51903" w:rsidRDefault="00A51903" w:rsidP="005D78D1">
            <w:pPr>
              <w:keepNext/>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0B88D002" w14:textId="77777777" w:rsidR="00A51903" w:rsidRDefault="00A51903" w:rsidP="005D78D1">
            <w:pPr>
              <w:keepNext/>
              <w:jc w:val="center"/>
            </w:pPr>
            <w:r>
              <w:t>8</w:t>
            </w:r>
          </w:p>
        </w:tc>
      </w:tr>
      <w:tr w:rsidR="00A51903" w14:paraId="4D09FA99"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1DF6BEFC" w14:textId="77777777" w:rsidR="00A51903" w:rsidRDefault="00A51903" w:rsidP="005D78D1">
            <w:pPr>
              <w:keepNext/>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1E099839" w14:textId="77777777" w:rsidR="00A51903" w:rsidRDefault="00A51903" w:rsidP="005D78D1">
            <w:pPr>
              <w:keepNext/>
            </w:pPr>
            <w:r>
              <w:t>Wetland</w:t>
            </w:r>
          </w:p>
        </w:tc>
        <w:tc>
          <w:tcPr>
            <w:tcW w:w="0" w:type="auto"/>
            <w:tcBorders>
              <w:top w:val="single" w:sz="4" w:space="0" w:color="auto"/>
              <w:left w:val="single" w:sz="4" w:space="0" w:color="auto"/>
              <w:bottom w:val="single" w:sz="4" w:space="0" w:color="auto"/>
              <w:right w:val="single" w:sz="4" w:space="0" w:color="auto"/>
            </w:tcBorders>
            <w:hideMark/>
          </w:tcPr>
          <w:p w14:paraId="712191E7"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2FE74AE6"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7311652"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11322D8B" w14:textId="77777777" w:rsidR="00A51903" w:rsidRDefault="00A51903" w:rsidP="005D78D1">
            <w:pPr>
              <w:keepNext/>
              <w:jc w:val="center"/>
            </w:pPr>
            <w:r>
              <w:t>0</w:t>
            </w:r>
          </w:p>
        </w:tc>
      </w:tr>
      <w:tr w:rsidR="00A51903" w14:paraId="5C9D7C88"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12DF95E7" w14:textId="77777777" w:rsidR="00A51903" w:rsidRDefault="00A51903" w:rsidP="005D78D1">
            <w:pPr>
              <w:keepNext/>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26867BFD" w14:textId="77777777" w:rsidR="00A51903" w:rsidRDefault="00A51903" w:rsidP="005D78D1">
            <w:pPr>
              <w:keepNext/>
            </w:pPr>
            <w:r>
              <w:t>Residential</w:t>
            </w:r>
          </w:p>
        </w:tc>
        <w:tc>
          <w:tcPr>
            <w:tcW w:w="0" w:type="auto"/>
            <w:tcBorders>
              <w:top w:val="single" w:sz="4" w:space="0" w:color="auto"/>
              <w:left w:val="single" w:sz="4" w:space="0" w:color="auto"/>
              <w:bottom w:val="single" w:sz="4" w:space="0" w:color="auto"/>
              <w:right w:val="single" w:sz="4" w:space="0" w:color="auto"/>
            </w:tcBorders>
            <w:hideMark/>
          </w:tcPr>
          <w:p w14:paraId="104F4DD0"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4D68E12E"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4B937987" w14:textId="77777777" w:rsidR="00A51903" w:rsidRDefault="00A51903" w:rsidP="005D78D1">
            <w:pPr>
              <w:keepNext/>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73AA0562" w14:textId="77777777" w:rsidR="00A51903" w:rsidRDefault="00A51903" w:rsidP="005D78D1">
            <w:pPr>
              <w:keepNext/>
              <w:jc w:val="center"/>
            </w:pPr>
            <w:r>
              <w:t>7</w:t>
            </w:r>
          </w:p>
        </w:tc>
      </w:tr>
      <w:tr w:rsidR="00A51903" w14:paraId="324A2FDE"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20BF5808" w14:textId="77777777" w:rsidR="00A51903" w:rsidRDefault="00A51903" w:rsidP="005D78D1">
            <w:pPr>
              <w:keepNext/>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67A0F096" w14:textId="77777777" w:rsidR="00A51903" w:rsidRDefault="00A51903" w:rsidP="005D78D1">
            <w:pPr>
              <w:keepNext/>
            </w:pPr>
            <w:r>
              <w:t>Mixed Urban / Buildings</w:t>
            </w:r>
          </w:p>
        </w:tc>
        <w:tc>
          <w:tcPr>
            <w:tcW w:w="0" w:type="auto"/>
            <w:tcBorders>
              <w:top w:val="single" w:sz="4" w:space="0" w:color="auto"/>
              <w:left w:val="single" w:sz="4" w:space="0" w:color="auto"/>
              <w:bottom w:val="single" w:sz="4" w:space="0" w:color="auto"/>
              <w:right w:val="single" w:sz="4" w:space="0" w:color="auto"/>
            </w:tcBorders>
            <w:hideMark/>
          </w:tcPr>
          <w:p w14:paraId="243AA7D9"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946053F"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E4444CA" w14:textId="77777777" w:rsidR="00A51903" w:rsidRDefault="00A51903" w:rsidP="005D78D1">
            <w:pPr>
              <w:keepNext/>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6C0FB972" w14:textId="77777777" w:rsidR="00A51903" w:rsidRDefault="00A51903" w:rsidP="005D78D1">
            <w:pPr>
              <w:keepNext/>
              <w:jc w:val="center"/>
            </w:pPr>
            <w:r>
              <w:t>6</w:t>
            </w:r>
          </w:p>
        </w:tc>
      </w:tr>
      <w:tr w:rsidR="00A51903" w14:paraId="4D5C6921"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631B2F63" w14:textId="77777777" w:rsidR="00A51903" w:rsidRDefault="00A51903" w:rsidP="005D78D1">
            <w:pPr>
              <w:keepNext/>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24F5DDB5" w14:textId="77777777" w:rsidR="00A51903" w:rsidRDefault="00A51903" w:rsidP="005D78D1">
            <w:pPr>
              <w:keepNext/>
            </w:pPr>
            <w:r>
              <w:t>Commercial / Industrial</w:t>
            </w:r>
          </w:p>
        </w:tc>
        <w:tc>
          <w:tcPr>
            <w:tcW w:w="0" w:type="auto"/>
            <w:tcBorders>
              <w:top w:val="single" w:sz="4" w:space="0" w:color="auto"/>
              <w:left w:val="single" w:sz="4" w:space="0" w:color="auto"/>
              <w:bottom w:val="single" w:sz="4" w:space="0" w:color="auto"/>
              <w:right w:val="single" w:sz="4" w:space="0" w:color="auto"/>
            </w:tcBorders>
            <w:hideMark/>
          </w:tcPr>
          <w:p w14:paraId="07471C15"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4E0D155D" w14:textId="77777777" w:rsidR="00A51903" w:rsidRDefault="00A51903" w:rsidP="005D78D1">
            <w:pPr>
              <w:keepNext/>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66F9726A" w14:textId="77777777" w:rsidR="00A51903" w:rsidRDefault="00A51903" w:rsidP="005D78D1">
            <w:pPr>
              <w:keepNext/>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0AA7405A" w14:textId="77777777" w:rsidR="00A51903" w:rsidRDefault="00A51903" w:rsidP="005D78D1">
            <w:pPr>
              <w:keepNext/>
              <w:jc w:val="center"/>
            </w:pPr>
            <w:r>
              <w:t>6</w:t>
            </w:r>
          </w:p>
        </w:tc>
      </w:tr>
      <w:tr w:rsidR="00A51903" w14:paraId="52024D9D"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6D39E5CF" w14:textId="77777777" w:rsidR="00A51903" w:rsidRDefault="00A51903" w:rsidP="005D78D1">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14:paraId="613239B2" w14:textId="77777777" w:rsidR="00A51903" w:rsidRDefault="00A51903" w:rsidP="005D78D1">
            <w:r>
              <w:t>Snow and Ice</w:t>
            </w:r>
          </w:p>
        </w:tc>
        <w:tc>
          <w:tcPr>
            <w:tcW w:w="0" w:type="auto"/>
            <w:tcBorders>
              <w:top w:val="single" w:sz="4" w:space="0" w:color="auto"/>
              <w:left w:val="single" w:sz="4" w:space="0" w:color="auto"/>
              <w:bottom w:val="single" w:sz="4" w:space="0" w:color="auto"/>
              <w:right w:val="single" w:sz="4" w:space="0" w:color="auto"/>
            </w:tcBorders>
            <w:hideMark/>
          </w:tcPr>
          <w:p w14:paraId="5EDC5979"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466161CE"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20F1F66D"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D877E39" w14:textId="77777777" w:rsidR="00A51903" w:rsidRDefault="00A51903" w:rsidP="005D78D1">
            <w:pPr>
              <w:jc w:val="center"/>
            </w:pPr>
            <w:r>
              <w:t>0</w:t>
            </w:r>
          </w:p>
        </w:tc>
      </w:tr>
    </w:tbl>
    <w:p w14:paraId="3D685215" w14:textId="77777777" w:rsidR="00A51903" w:rsidRPr="001165AF" w:rsidRDefault="00A51903" w:rsidP="00A51903">
      <w:pPr>
        <w:pStyle w:val="Caption"/>
        <w:jc w:val="center"/>
        <w:rPr>
          <w:b w:val="0"/>
        </w:rPr>
      </w:pPr>
      <w:bookmarkStart w:id="22" w:name="_Ref378167316"/>
      <w:r w:rsidRPr="001165AF">
        <w:rPr>
          <w:b w:val="0"/>
        </w:rPr>
        <w:t xml:space="preserve">Table </w:t>
      </w:r>
      <w:r>
        <w:rPr>
          <w:b w:val="0"/>
        </w:rPr>
        <w:fldChar w:fldCharType="begin"/>
      </w:r>
      <w:r>
        <w:rPr>
          <w:b w:val="0"/>
        </w:rPr>
        <w:instrText xml:space="preserve"> SEQ Table \* MERGEFORMAT </w:instrText>
      </w:r>
      <w:r>
        <w:rPr>
          <w:b w:val="0"/>
        </w:rPr>
        <w:fldChar w:fldCharType="separate"/>
      </w:r>
      <w:r w:rsidR="00CC6F3D">
        <w:rPr>
          <w:b w:val="0"/>
          <w:noProof/>
        </w:rPr>
        <w:t>14</w:t>
      </w:r>
      <w:r>
        <w:rPr>
          <w:b w:val="0"/>
        </w:rPr>
        <w:fldChar w:fldCharType="end"/>
      </w:r>
      <w:bookmarkEnd w:id="22"/>
      <w:r w:rsidRPr="001165AF">
        <w:rPr>
          <w:b w:val="0"/>
        </w:rPr>
        <w:t>.  Clutter Loss as a Function of NLCD Clutter Category and TV Channel for Interference Cases Involving the Wireless Base Station to DTV</w:t>
      </w:r>
    </w:p>
    <w:p w14:paraId="6621C57F" w14:textId="77777777" w:rsidR="00A51903" w:rsidRDefault="00A51903" w:rsidP="00A519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423"/>
        <w:gridCol w:w="1007"/>
        <w:gridCol w:w="1007"/>
        <w:gridCol w:w="1007"/>
        <w:gridCol w:w="1007"/>
      </w:tblGrid>
      <w:tr w:rsidR="00A51903" w14:paraId="65AC7B1C" w14:textId="77777777" w:rsidTr="005D78D1">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B3B3B3"/>
            <w:hideMark/>
          </w:tcPr>
          <w:p w14:paraId="38A2791F" w14:textId="77777777" w:rsidR="00A51903" w:rsidRDefault="00A51903" w:rsidP="005D78D1">
            <w:pPr>
              <w:keepNext/>
              <w:jc w:val="center"/>
              <w:rPr>
                <w:sz w:val="20"/>
              </w:rPr>
            </w:pPr>
            <w:r>
              <w:rPr>
                <w:sz w:val="20"/>
              </w:rPr>
              <w:t xml:space="preserve"> </w:t>
            </w:r>
          </w:p>
        </w:tc>
        <w:tc>
          <w:tcPr>
            <w:tcW w:w="0" w:type="auto"/>
            <w:gridSpan w:val="4"/>
            <w:tcBorders>
              <w:top w:val="single" w:sz="4" w:space="0" w:color="auto"/>
              <w:left w:val="single" w:sz="4" w:space="0" w:color="auto"/>
              <w:bottom w:val="single" w:sz="4" w:space="0" w:color="auto"/>
              <w:right w:val="single" w:sz="4" w:space="0" w:color="auto"/>
            </w:tcBorders>
            <w:shd w:val="clear" w:color="auto" w:fill="E6E6E6"/>
            <w:hideMark/>
          </w:tcPr>
          <w:p w14:paraId="4C0D67E3" w14:textId="77777777" w:rsidR="00A51903" w:rsidRDefault="00A51903" w:rsidP="005D78D1">
            <w:pPr>
              <w:keepNext/>
              <w:jc w:val="center"/>
              <w:rPr>
                <w:sz w:val="20"/>
              </w:rPr>
            </w:pPr>
            <w:r>
              <w:rPr>
                <w:sz w:val="20"/>
              </w:rPr>
              <w:t>Clutter Loss (dB)</w:t>
            </w:r>
            <w:r>
              <w:rPr>
                <w:rStyle w:val="FootnoteReference"/>
              </w:rPr>
              <w:footnoteReference w:id="42"/>
            </w:r>
          </w:p>
          <w:p w14:paraId="39575033" w14:textId="77777777" w:rsidR="00A51903" w:rsidRDefault="00A51903" w:rsidP="005D78D1">
            <w:pPr>
              <w:keepNext/>
              <w:jc w:val="center"/>
              <w:rPr>
                <w:sz w:val="20"/>
              </w:rPr>
            </w:pPr>
            <w:r>
              <w:rPr>
                <w:sz w:val="20"/>
              </w:rPr>
              <w:t>(to be subtracted from calculated field strength)</w:t>
            </w:r>
          </w:p>
        </w:tc>
      </w:tr>
      <w:tr w:rsidR="00A51903" w14:paraId="103E2786"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4FBBF0F" w14:textId="77777777" w:rsidR="00A51903" w:rsidRDefault="00A51903" w:rsidP="005D78D1">
            <w:pPr>
              <w:keepNext/>
              <w:jc w:val="center"/>
              <w:rPr>
                <w:sz w:val="20"/>
              </w:rPr>
            </w:pPr>
            <w:r>
              <w:rPr>
                <w:sz w:val="20"/>
              </w:rPr>
              <w:t>Clutter</w:t>
            </w:r>
          </w:p>
          <w:p w14:paraId="68DD6CC7" w14:textId="77777777" w:rsidR="00A51903" w:rsidRDefault="00A51903" w:rsidP="005D78D1">
            <w:pPr>
              <w:keepNext/>
              <w:jc w:val="center"/>
              <w:rPr>
                <w:sz w:val="20"/>
              </w:rPr>
            </w:pPr>
            <w:r>
              <w:rPr>
                <w:sz w:val="20"/>
              </w:rPr>
              <w:t>Category</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11A2EF54" w14:textId="77777777" w:rsidR="00A51903" w:rsidRDefault="00A51903" w:rsidP="005D78D1">
            <w:pPr>
              <w:keepNext/>
              <w:jc w:val="center"/>
              <w:rPr>
                <w:sz w:val="20"/>
              </w:rPr>
            </w:pPr>
            <w:r>
              <w:rPr>
                <w:sz w:val="20"/>
              </w:rPr>
              <w:t>Clutter</w:t>
            </w:r>
          </w:p>
          <w:p w14:paraId="32C4259C" w14:textId="77777777" w:rsidR="00A51903" w:rsidRDefault="00A51903" w:rsidP="005D78D1">
            <w:pPr>
              <w:keepNext/>
              <w:jc w:val="center"/>
              <w:rPr>
                <w:sz w:val="20"/>
              </w:rPr>
            </w:pPr>
            <w:r>
              <w:rPr>
                <w:sz w:val="20"/>
              </w:rPr>
              <w:t>Category Description</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9E39F13" w14:textId="77777777" w:rsidR="00A51903" w:rsidRDefault="00A51903" w:rsidP="005D78D1">
            <w:pPr>
              <w:keepNext/>
              <w:jc w:val="center"/>
              <w:rPr>
                <w:sz w:val="20"/>
              </w:rPr>
            </w:pPr>
            <w:r>
              <w:rPr>
                <w:sz w:val="20"/>
              </w:rPr>
              <w:t>Channels</w:t>
            </w:r>
          </w:p>
          <w:p w14:paraId="1C5A67BB" w14:textId="77777777" w:rsidR="00A51903" w:rsidRDefault="00A51903" w:rsidP="005D78D1">
            <w:pPr>
              <w:keepNext/>
              <w:jc w:val="center"/>
              <w:rPr>
                <w:sz w:val="20"/>
              </w:rPr>
            </w:pPr>
            <w:r>
              <w:rPr>
                <w:sz w:val="20"/>
              </w:rPr>
              <w:t>2-6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534A43E1" w14:textId="77777777" w:rsidR="00A51903" w:rsidRDefault="00A51903" w:rsidP="005D78D1">
            <w:pPr>
              <w:keepNext/>
              <w:jc w:val="center"/>
              <w:rPr>
                <w:sz w:val="20"/>
              </w:rPr>
            </w:pPr>
            <w:r>
              <w:rPr>
                <w:sz w:val="20"/>
              </w:rPr>
              <w:t>Channels</w:t>
            </w:r>
          </w:p>
          <w:p w14:paraId="631AEB7F" w14:textId="77777777" w:rsidR="00A51903" w:rsidRDefault="00A51903" w:rsidP="005D78D1">
            <w:pPr>
              <w:keepNext/>
              <w:jc w:val="center"/>
              <w:rPr>
                <w:sz w:val="20"/>
              </w:rPr>
            </w:pPr>
            <w:r>
              <w:rPr>
                <w:sz w:val="20"/>
              </w:rPr>
              <w:t>7-13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1AC96265" w14:textId="77777777" w:rsidR="00A51903" w:rsidRDefault="00A51903" w:rsidP="005D78D1">
            <w:pPr>
              <w:keepNext/>
              <w:jc w:val="center"/>
              <w:rPr>
                <w:sz w:val="20"/>
              </w:rPr>
            </w:pPr>
            <w:r>
              <w:rPr>
                <w:sz w:val="20"/>
              </w:rPr>
              <w:t>Channels</w:t>
            </w:r>
          </w:p>
          <w:p w14:paraId="3AD08ED0" w14:textId="77777777" w:rsidR="00A51903" w:rsidRDefault="00A51903" w:rsidP="005D78D1">
            <w:pPr>
              <w:keepNext/>
              <w:jc w:val="center"/>
              <w:rPr>
                <w:sz w:val="20"/>
              </w:rPr>
            </w:pPr>
            <w:r>
              <w:rPr>
                <w:sz w:val="20"/>
              </w:rPr>
              <w:t>14-36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6E039E65" w14:textId="77777777" w:rsidR="00A51903" w:rsidRDefault="00A51903" w:rsidP="005D78D1">
            <w:pPr>
              <w:keepNext/>
              <w:jc w:val="center"/>
              <w:rPr>
                <w:sz w:val="20"/>
              </w:rPr>
            </w:pPr>
            <w:r>
              <w:rPr>
                <w:sz w:val="20"/>
              </w:rPr>
              <w:t>Channels</w:t>
            </w:r>
          </w:p>
          <w:p w14:paraId="1BE08AEB" w14:textId="77777777" w:rsidR="00A51903" w:rsidRDefault="00A51903" w:rsidP="005D78D1">
            <w:pPr>
              <w:keepNext/>
              <w:jc w:val="center"/>
              <w:rPr>
                <w:sz w:val="20"/>
              </w:rPr>
            </w:pPr>
            <w:r>
              <w:rPr>
                <w:sz w:val="20"/>
              </w:rPr>
              <w:t>38-51</w:t>
            </w:r>
          </w:p>
        </w:tc>
      </w:tr>
      <w:tr w:rsidR="00A51903" w14:paraId="5293F4AB"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3B7F0477" w14:textId="77777777" w:rsidR="00A51903" w:rsidRDefault="00A51903" w:rsidP="005D78D1">
            <w:pPr>
              <w:keepNext/>
              <w:jc w:val="center"/>
            </w:pPr>
            <w:r>
              <w:t>1</w:t>
            </w:r>
          </w:p>
        </w:tc>
        <w:tc>
          <w:tcPr>
            <w:tcW w:w="0" w:type="auto"/>
            <w:tcBorders>
              <w:top w:val="single" w:sz="4" w:space="0" w:color="auto"/>
              <w:left w:val="single" w:sz="4" w:space="0" w:color="auto"/>
              <w:bottom w:val="single" w:sz="4" w:space="0" w:color="auto"/>
              <w:right w:val="single" w:sz="4" w:space="0" w:color="auto"/>
            </w:tcBorders>
            <w:hideMark/>
          </w:tcPr>
          <w:p w14:paraId="12DB1955" w14:textId="77777777" w:rsidR="00A51903" w:rsidRDefault="00A51903" w:rsidP="005D78D1">
            <w:pPr>
              <w:keepNext/>
            </w:pPr>
            <w:r>
              <w:t>Open land</w:t>
            </w:r>
          </w:p>
        </w:tc>
        <w:tc>
          <w:tcPr>
            <w:tcW w:w="0" w:type="auto"/>
            <w:tcBorders>
              <w:top w:val="single" w:sz="4" w:space="0" w:color="auto"/>
              <w:left w:val="single" w:sz="4" w:space="0" w:color="auto"/>
              <w:bottom w:val="single" w:sz="4" w:space="0" w:color="auto"/>
              <w:right w:val="single" w:sz="4" w:space="0" w:color="auto"/>
            </w:tcBorders>
            <w:hideMark/>
          </w:tcPr>
          <w:p w14:paraId="7A678C05"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1739A38"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AF040AA" w14:textId="77777777" w:rsidR="00A51903" w:rsidRDefault="00A51903" w:rsidP="005D78D1">
            <w:pPr>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6DEDB05E" w14:textId="77777777" w:rsidR="00A51903" w:rsidRDefault="00A51903" w:rsidP="005D78D1">
            <w:pPr>
              <w:jc w:val="center"/>
            </w:pPr>
            <w:r>
              <w:t>7</w:t>
            </w:r>
          </w:p>
        </w:tc>
      </w:tr>
      <w:tr w:rsidR="00A51903" w14:paraId="2DABCF3E"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111E1AF7" w14:textId="77777777" w:rsidR="00A51903" w:rsidRDefault="00A51903" w:rsidP="005D78D1">
            <w:pPr>
              <w:keepNext/>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4AFD3D36" w14:textId="77777777" w:rsidR="00A51903" w:rsidRDefault="00A51903" w:rsidP="005D78D1">
            <w:pPr>
              <w:keepNext/>
            </w:pPr>
            <w:r>
              <w:t>Agricultural</w:t>
            </w:r>
          </w:p>
        </w:tc>
        <w:tc>
          <w:tcPr>
            <w:tcW w:w="0" w:type="auto"/>
            <w:tcBorders>
              <w:top w:val="single" w:sz="4" w:space="0" w:color="auto"/>
              <w:left w:val="single" w:sz="4" w:space="0" w:color="auto"/>
              <w:bottom w:val="single" w:sz="4" w:space="0" w:color="auto"/>
              <w:right w:val="single" w:sz="4" w:space="0" w:color="auto"/>
            </w:tcBorders>
            <w:hideMark/>
          </w:tcPr>
          <w:p w14:paraId="70222565"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6901794B"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89717C5" w14:textId="77777777" w:rsidR="00A51903" w:rsidRDefault="00A51903" w:rsidP="005D78D1">
            <w:pPr>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5777E57D" w14:textId="77777777" w:rsidR="00A51903" w:rsidRDefault="00A51903" w:rsidP="005D78D1">
            <w:pPr>
              <w:jc w:val="center"/>
            </w:pPr>
            <w:r>
              <w:t>6</w:t>
            </w:r>
          </w:p>
        </w:tc>
      </w:tr>
      <w:tr w:rsidR="00A51903" w14:paraId="2A8E3F6E"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333A4767" w14:textId="77777777" w:rsidR="00A51903" w:rsidRDefault="00A51903" w:rsidP="005D78D1">
            <w:pPr>
              <w:keepNext/>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5DD21800" w14:textId="77777777" w:rsidR="00A51903" w:rsidRDefault="00A51903" w:rsidP="005D78D1">
            <w:pPr>
              <w:keepNext/>
            </w:pPr>
            <w:r>
              <w:t>Rangeland</w:t>
            </w:r>
          </w:p>
        </w:tc>
        <w:tc>
          <w:tcPr>
            <w:tcW w:w="0" w:type="auto"/>
            <w:tcBorders>
              <w:top w:val="single" w:sz="4" w:space="0" w:color="auto"/>
              <w:left w:val="single" w:sz="4" w:space="0" w:color="auto"/>
              <w:bottom w:val="single" w:sz="4" w:space="0" w:color="auto"/>
              <w:right w:val="single" w:sz="4" w:space="0" w:color="auto"/>
            </w:tcBorders>
            <w:hideMark/>
          </w:tcPr>
          <w:p w14:paraId="5FEFB32E"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9B9DD3B"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3A68DB07" w14:textId="77777777" w:rsidR="00A51903" w:rsidRDefault="00A51903" w:rsidP="005D78D1">
            <w:pPr>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63A77707" w14:textId="77777777" w:rsidR="00A51903" w:rsidRDefault="00A51903" w:rsidP="005D78D1">
            <w:pPr>
              <w:jc w:val="center"/>
            </w:pPr>
            <w:r>
              <w:t>6</w:t>
            </w:r>
          </w:p>
        </w:tc>
      </w:tr>
      <w:tr w:rsidR="00A51903" w14:paraId="2A76E67B"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2E242A6A" w14:textId="77777777" w:rsidR="00A51903" w:rsidRDefault="00A51903" w:rsidP="005D78D1">
            <w:pPr>
              <w:keepNext/>
              <w:jc w:val="center"/>
            </w:pPr>
            <w:r>
              <w:t>4</w:t>
            </w:r>
          </w:p>
        </w:tc>
        <w:tc>
          <w:tcPr>
            <w:tcW w:w="0" w:type="auto"/>
            <w:tcBorders>
              <w:top w:val="single" w:sz="4" w:space="0" w:color="auto"/>
              <w:left w:val="single" w:sz="4" w:space="0" w:color="auto"/>
              <w:bottom w:val="single" w:sz="4" w:space="0" w:color="auto"/>
              <w:right w:val="single" w:sz="4" w:space="0" w:color="auto"/>
            </w:tcBorders>
            <w:hideMark/>
          </w:tcPr>
          <w:p w14:paraId="3C7BFAFA" w14:textId="77777777" w:rsidR="00A51903" w:rsidRDefault="00A51903" w:rsidP="005D78D1">
            <w:pPr>
              <w:keepNext/>
            </w:pPr>
            <w:r>
              <w:t>Water</w:t>
            </w:r>
          </w:p>
        </w:tc>
        <w:tc>
          <w:tcPr>
            <w:tcW w:w="0" w:type="auto"/>
            <w:tcBorders>
              <w:top w:val="single" w:sz="4" w:space="0" w:color="auto"/>
              <w:left w:val="single" w:sz="4" w:space="0" w:color="auto"/>
              <w:bottom w:val="single" w:sz="4" w:space="0" w:color="auto"/>
              <w:right w:val="single" w:sz="4" w:space="0" w:color="auto"/>
            </w:tcBorders>
            <w:hideMark/>
          </w:tcPr>
          <w:p w14:paraId="7B5813D2"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CFD58AB"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1E3FA237"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A3EE8D5" w14:textId="77777777" w:rsidR="00A51903" w:rsidRDefault="00A51903" w:rsidP="005D78D1">
            <w:pPr>
              <w:jc w:val="center"/>
            </w:pPr>
            <w:r>
              <w:t>0</w:t>
            </w:r>
          </w:p>
        </w:tc>
      </w:tr>
      <w:tr w:rsidR="00A51903" w14:paraId="102051C2"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2E74D1E1" w14:textId="77777777" w:rsidR="00A51903" w:rsidRDefault="00A51903" w:rsidP="005D78D1">
            <w:pPr>
              <w:keepNext/>
              <w:jc w:val="center"/>
            </w:pPr>
            <w:r>
              <w:t>5</w:t>
            </w:r>
          </w:p>
        </w:tc>
        <w:tc>
          <w:tcPr>
            <w:tcW w:w="0" w:type="auto"/>
            <w:tcBorders>
              <w:top w:val="single" w:sz="4" w:space="0" w:color="auto"/>
              <w:left w:val="single" w:sz="4" w:space="0" w:color="auto"/>
              <w:bottom w:val="single" w:sz="4" w:space="0" w:color="auto"/>
              <w:right w:val="single" w:sz="4" w:space="0" w:color="auto"/>
            </w:tcBorders>
            <w:hideMark/>
          </w:tcPr>
          <w:p w14:paraId="52A46C5E" w14:textId="77777777" w:rsidR="00A51903" w:rsidRDefault="00A51903" w:rsidP="005D78D1">
            <w:pPr>
              <w:keepNext/>
            </w:pPr>
            <w:r>
              <w:t>Forest land</w:t>
            </w:r>
          </w:p>
        </w:tc>
        <w:tc>
          <w:tcPr>
            <w:tcW w:w="0" w:type="auto"/>
            <w:tcBorders>
              <w:top w:val="single" w:sz="4" w:space="0" w:color="auto"/>
              <w:left w:val="single" w:sz="4" w:space="0" w:color="auto"/>
              <w:bottom w:val="single" w:sz="4" w:space="0" w:color="auto"/>
              <w:right w:val="single" w:sz="4" w:space="0" w:color="auto"/>
            </w:tcBorders>
            <w:hideMark/>
          </w:tcPr>
          <w:p w14:paraId="08DE44DE"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204AFA5"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18D33339" w14:textId="77777777" w:rsidR="00A51903" w:rsidRDefault="00A51903" w:rsidP="005D78D1">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14:paraId="7960C2DB" w14:textId="77777777" w:rsidR="00A51903" w:rsidRDefault="00A51903" w:rsidP="005D78D1">
            <w:pPr>
              <w:jc w:val="center"/>
            </w:pPr>
            <w:r>
              <w:t>13</w:t>
            </w:r>
          </w:p>
        </w:tc>
      </w:tr>
      <w:tr w:rsidR="00A51903" w14:paraId="307266E8"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42ED3F3E" w14:textId="77777777" w:rsidR="00A51903" w:rsidRDefault="00A51903" w:rsidP="005D78D1">
            <w:pPr>
              <w:keepNext/>
              <w:jc w:val="center"/>
            </w:pPr>
            <w:r>
              <w:t>6</w:t>
            </w:r>
          </w:p>
        </w:tc>
        <w:tc>
          <w:tcPr>
            <w:tcW w:w="0" w:type="auto"/>
            <w:tcBorders>
              <w:top w:val="single" w:sz="4" w:space="0" w:color="auto"/>
              <w:left w:val="single" w:sz="4" w:space="0" w:color="auto"/>
              <w:bottom w:val="single" w:sz="4" w:space="0" w:color="auto"/>
              <w:right w:val="single" w:sz="4" w:space="0" w:color="auto"/>
            </w:tcBorders>
            <w:hideMark/>
          </w:tcPr>
          <w:p w14:paraId="229FF71B" w14:textId="77777777" w:rsidR="00A51903" w:rsidRDefault="00A51903" w:rsidP="005D78D1">
            <w:pPr>
              <w:keepNext/>
            </w:pPr>
            <w:r>
              <w:t>Wetland</w:t>
            </w:r>
          </w:p>
        </w:tc>
        <w:tc>
          <w:tcPr>
            <w:tcW w:w="0" w:type="auto"/>
            <w:tcBorders>
              <w:top w:val="single" w:sz="4" w:space="0" w:color="auto"/>
              <w:left w:val="single" w:sz="4" w:space="0" w:color="auto"/>
              <w:bottom w:val="single" w:sz="4" w:space="0" w:color="auto"/>
              <w:right w:val="single" w:sz="4" w:space="0" w:color="auto"/>
            </w:tcBorders>
            <w:hideMark/>
          </w:tcPr>
          <w:p w14:paraId="6DD78885"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09D3BA0"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2B050C6B"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BBA2D8D" w14:textId="77777777" w:rsidR="00A51903" w:rsidRDefault="00A51903" w:rsidP="005D78D1">
            <w:pPr>
              <w:jc w:val="center"/>
            </w:pPr>
            <w:r>
              <w:t>0</w:t>
            </w:r>
          </w:p>
        </w:tc>
      </w:tr>
      <w:tr w:rsidR="00A51903" w14:paraId="69CA64FB"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2FE2AB13" w14:textId="77777777" w:rsidR="00A51903" w:rsidRDefault="00A51903" w:rsidP="005D78D1">
            <w:pPr>
              <w:keepNext/>
              <w:jc w:val="center"/>
            </w:pPr>
            <w:r>
              <w:t>7</w:t>
            </w:r>
          </w:p>
        </w:tc>
        <w:tc>
          <w:tcPr>
            <w:tcW w:w="0" w:type="auto"/>
            <w:tcBorders>
              <w:top w:val="single" w:sz="4" w:space="0" w:color="auto"/>
              <w:left w:val="single" w:sz="4" w:space="0" w:color="auto"/>
              <w:bottom w:val="single" w:sz="4" w:space="0" w:color="auto"/>
              <w:right w:val="single" w:sz="4" w:space="0" w:color="auto"/>
            </w:tcBorders>
            <w:hideMark/>
          </w:tcPr>
          <w:p w14:paraId="25C9B4BF" w14:textId="77777777" w:rsidR="00A51903" w:rsidRDefault="00A51903" w:rsidP="005D78D1">
            <w:pPr>
              <w:keepNext/>
            </w:pPr>
            <w:r>
              <w:t>Residential</w:t>
            </w:r>
          </w:p>
        </w:tc>
        <w:tc>
          <w:tcPr>
            <w:tcW w:w="0" w:type="auto"/>
            <w:tcBorders>
              <w:top w:val="single" w:sz="4" w:space="0" w:color="auto"/>
              <w:left w:val="single" w:sz="4" w:space="0" w:color="auto"/>
              <w:bottom w:val="single" w:sz="4" w:space="0" w:color="auto"/>
              <w:right w:val="single" w:sz="4" w:space="0" w:color="auto"/>
            </w:tcBorders>
            <w:hideMark/>
          </w:tcPr>
          <w:p w14:paraId="4627C9BF"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7F736D5D"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A3785D8" w14:textId="77777777" w:rsidR="00A51903" w:rsidRDefault="00A51903" w:rsidP="005D78D1">
            <w:pPr>
              <w:jc w:val="center"/>
            </w:pPr>
            <w:r>
              <w:t>11</w:t>
            </w:r>
          </w:p>
        </w:tc>
        <w:tc>
          <w:tcPr>
            <w:tcW w:w="0" w:type="auto"/>
            <w:tcBorders>
              <w:top w:val="single" w:sz="4" w:space="0" w:color="auto"/>
              <w:left w:val="single" w:sz="4" w:space="0" w:color="auto"/>
              <w:bottom w:val="single" w:sz="4" w:space="0" w:color="auto"/>
              <w:right w:val="single" w:sz="4" w:space="0" w:color="auto"/>
            </w:tcBorders>
            <w:hideMark/>
          </w:tcPr>
          <w:p w14:paraId="0F166918" w14:textId="77777777" w:rsidR="00A51903" w:rsidRDefault="00A51903" w:rsidP="005D78D1">
            <w:pPr>
              <w:jc w:val="center"/>
            </w:pPr>
            <w:r>
              <w:t>13</w:t>
            </w:r>
          </w:p>
        </w:tc>
      </w:tr>
      <w:tr w:rsidR="00A51903" w14:paraId="507ECA0B"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1490D1EB" w14:textId="77777777" w:rsidR="00A51903" w:rsidRDefault="00A51903" w:rsidP="005D78D1">
            <w:pPr>
              <w:keepNext/>
              <w:jc w:val="center"/>
            </w:pPr>
            <w:r>
              <w:t>8</w:t>
            </w:r>
          </w:p>
        </w:tc>
        <w:tc>
          <w:tcPr>
            <w:tcW w:w="0" w:type="auto"/>
            <w:tcBorders>
              <w:top w:val="single" w:sz="4" w:space="0" w:color="auto"/>
              <w:left w:val="single" w:sz="4" w:space="0" w:color="auto"/>
              <w:bottom w:val="single" w:sz="4" w:space="0" w:color="auto"/>
              <w:right w:val="single" w:sz="4" w:space="0" w:color="auto"/>
            </w:tcBorders>
            <w:hideMark/>
          </w:tcPr>
          <w:p w14:paraId="12D1EAF5" w14:textId="77777777" w:rsidR="00A51903" w:rsidRDefault="00A51903" w:rsidP="005D78D1">
            <w:pPr>
              <w:keepNext/>
            </w:pPr>
            <w:r>
              <w:t>Mixed Urban / Buildings</w:t>
            </w:r>
          </w:p>
        </w:tc>
        <w:tc>
          <w:tcPr>
            <w:tcW w:w="0" w:type="auto"/>
            <w:tcBorders>
              <w:top w:val="single" w:sz="4" w:space="0" w:color="auto"/>
              <w:left w:val="single" w:sz="4" w:space="0" w:color="auto"/>
              <w:bottom w:val="single" w:sz="4" w:space="0" w:color="auto"/>
              <w:right w:val="single" w:sz="4" w:space="0" w:color="auto"/>
            </w:tcBorders>
            <w:hideMark/>
          </w:tcPr>
          <w:p w14:paraId="1A2F7087"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28FCB560"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1C6DE8C" w14:textId="77777777" w:rsidR="00A51903" w:rsidRDefault="00A51903" w:rsidP="005D78D1">
            <w:pPr>
              <w:jc w:val="center"/>
            </w:pPr>
            <w:r>
              <w:t>13</w:t>
            </w:r>
          </w:p>
        </w:tc>
        <w:tc>
          <w:tcPr>
            <w:tcW w:w="0" w:type="auto"/>
            <w:tcBorders>
              <w:top w:val="single" w:sz="4" w:space="0" w:color="auto"/>
              <w:left w:val="single" w:sz="4" w:space="0" w:color="auto"/>
              <w:bottom w:val="single" w:sz="4" w:space="0" w:color="auto"/>
              <w:right w:val="single" w:sz="4" w:space="0" w:color="auto"/>
            </w:tcBorders>
            <w:hideMark/>
          </w:tcPr>
          <w:p w14:paraId="45545CF4" w14:textId="77777777" w:rsidR="00A51903" w:rsidRDefault="00A51903" w:rsidP="005D78D1">
            <w:pPr>
              <w:jc w:val="center"/>
            </w:pPr>
            <w:r>
              <w:t>13</w:t>
            </w:r>
          </w:p>
        </w:tc>
      </w:tr>
      <w:tr w:rsidR="00A51903" w14:paraId="76C008AD"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2B19EAD4" w14:textId="77777777" w:rsidR="00A51903" w:rsidRDefault="00A51903" w:rsidP="005D78D1">
            <w:pPr>
              <w:keepNext/>
              <w:jc w:val="center"/>
            </w:pPr>
            <w:r>
              <w:t>9</w:t>
            </w:r>
          </w:p>
        </w:tc>
        <w:tc>
          <w:tcPr>
            <w:tcW w:w="0" w:type="auto"/>
            <w:tcBorders>
              <w:top w:val="single" w:sz="4" w:space="0" w:color="auto"/>
              <w:left w:val="single" w:sz="4" w:space="0" w:color="auto"/>
              <w:bottom w:val="single" w:sz="4" w:space="0" w:color="auto"/>
              <w:right w:val="single" w:sz="4" w:space="0" w:color="auto"/>
            </w:tcBorders>
            <w:hideMark/>
          </w:tcPr>
          <w:p w14:paraId="1C5290E6" w14:textId="77777777" w:rsidR="00A51903" w:rsidRDefault="00A51903" w:rsidP="005D78D1">
            <w:pPr>
              <w:keepNext/>
            </w:pPr>
            <w:r>
              <w:t>Commercial / Industrial</w:t>
            </w:r>
          </w:p>
        </w:tc>
        <w:tc>
          <w:tcPr>
            <w:tcW w:w="0" w:type="auto"/>
            <w:tcBorders>
              <w:top w:val="single" w:sz="4" w:space="0" w:color="auto"/>
              <w:left w:val="single" w:sz="4" w:space="0" w:color="auto"/>
              <w:bottom w:val="single" w:sz="4" w:space="0" w:color="auto"/>
              <w:right w:val="single" w:sz="4" w:space="0" w:color="auto"/>
            </w:tcBorders>
            <w:hideMark/>
          </w:tcPr>
          <w:p w14:paraId="268D7EC7"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1D456D1D"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B77BCB1" w14:textId="77777777" w:rsidR="00A51903" w:rsidRDefault="00A51903" w:rsidP="005D78D1">
            <w:pPr>
              <w:jc w:val="center"/>
            </w:pPr>
            <w:r>
              <w:t>12</w:t>
            </w:r>
          </w:p>
        </w:tc>
        <w:tc>
          <w:tcPr>
            <w:tcW w:w="0" w:type="auto"/>
            <w:tcBorders>
              <w:top w:val="single" w:sz="4" w:space="0" w:color="auto"/>
              <w:left w:val="single" w:sz="4" w:space="0" w:color="auto"/>
              <w:bottom w:val="single" w:sz="4" w:space="0" w:color="auto"/>
              <w:right w:val="single" w:sz="4" w:space="0" w:color="auto"/>
            </w:tcBorders>
            <w:hideMark/>
          </w:tcPr>
          <w:p w14:paraId="0B8E8CE6" w14:textId="77777777" w:rsidR="00A51903" w:rsidRDefault="00A51903" w:rsidP="005D78D1">
            <w:pPr>
              <w:jc w:val="center"/>
            </w:pPr>
            <w:r>
              <w:t>13</w:t>
            </w:r>
          </w:p>
        </w:tc>
      </w:tr>
      <w:tr w:rsidR="00A51903" w14:paraId="19351560" w14:textId="77777777" w:rsidTr="005D78D1">
        <w:trPr>
          <w:jc w:val="center"/>
        </w:trPr>
        <w:tc>
          <w:tcPr>
            <w:tcW w:w="0" w:type="auto"/>
            <w:tcBorders>
              <w:top w:val="single" w:sz="4" w:space="0" w:color="auto"/>
              <w:left w:val="single" w:sz="4" w:space="0" w:color="auto"/>
              <w:bottom w:val="single" w:sz="4" w:space="0" w:color="auto"/>
              <w:right w:val="single" w:sz="4" w:space="0" w:color="auto"/>
            </w:tcBorders>
            <w:hideMark/>
          </w:tcPr>
          <w:p w14:paraId="4019CCBC" w14:textId="77777777" w:rsidR="00A51903" w:rsidRDefault="00A51903" w:rsidP="005D78D1">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14:paraId="38D013C0" w14:textId="77777777" w:rsidR="00A51903" w:rsidRDefault="00A51903" w:rsidP="005D78D1">
            <w:r>
              <w:t>Snow and Ice</w:t>
            </w:r>
          </w:p>
        </w:tc>
        <w:tc>
          <w:tcPr>
            <w:tcW w:w="0" w:type="auto"/>
            <w:tcBorders>
              <w:top w:val="single" w:sz="4" w:space="0" w:color="auto"/>
              <w:left w:val="single" w:sz="4" w:space="0" w:color="auto"/>
              <w:bottom w:val="single" w:sz="4" w:space="0" w:color="auto"/>
              <w:right w:val="single" w:sz="4" w:space="0" w:color="auto"/>
            </w:tcBorders>
            <w:hideMark/>
          </w:tcPr>
          <w:p w14:paraId="21928338"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0CC0C65A"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5A86175A" w14:textId="77777777" w:rsidR="00A51903" w:rsidRDefault="00A51903" w:rsidP="005D78D1">
            <w:pPr>
              <w:jc w:val="center"/>
            </w:pPr>
            <w:r>
              <w:t>0</w:t>
            </w:r>
          </w:p>
        </w:tc>
        <w:tc>
          <w:tcPr>
            <w:tcW w:w="0" w:type="auto"/>
            <w:tcBorders>
              <w:top w:val="single" w:sz="4" w:space="0" w:color="auto"/>
              <w:left w:val="single" w:sz="4" w:space="0" w:color="auto"/>
              <w:bottom w:val="single" w:sz="4" w:space="0" w:color="auto"/>
              <w:right w:val="single" w:sz="4" w:space="0" w:color="auto"/>
            </w:tcBorders>
            <w:hideMark/>
          </w:tcPr>
          <w:p w14:paraId="653ABB6C" w14:textId="77777777" w:rsidR="00A51903" w:rsidRDefault="00A51903" w:rsidP="005D78D1">
            <w:pPr>
              <w:jc w:val="center"/>
            </w:pPr>
            <w:r>
              <w:t>0</w:t>
            </w:r>
          </w:p>
        </w:tc>
      </w:tr>
    </w:tbl>
    <w:p w14:paraId="2481B003" w14:textId="77777777" w:rsidR="00A51903" w:rsidRPr="001165AF" w:rsidRDefault="00A51903" w:rsidP="00A51903">
      <w:pPr>
        <w:pStyle w:val="Caption"/>
        <w:jc w:val="center"/>
        <w:rPr>
          <w:b w:val="0"/>
        </w:rPr>
      </w:pPr>
      <w:bookmarkStart w:id="23" w:name="_Ref378167323"/>
      <w:r w:rsidRPr="001165AF">
        <w:rPr>
          <w:b w:val="0"/>
        </w:rPr>
        <w:t xml:space="preserve">Table </w:t>
      </w:r>
      <w:r>
        <w:rPr>
          <w:b w:val="0"/>
        </w:rPr>
        <w:fldChar w:fldCharType="begin"/>
      </w:r>
      <w:r>
        <w:rPr>
          <w:b w:val="0"/>
        </w:rPr>
        <w:instrText xml:space="preserve"> SEQ Table \* MERGEFORMAT </w:instrText>
      </w:r>
      <w:r>
        <w:rPr>
          <w:b w:val="0"/>
        </w:rPr>
        <w:fldChar w:fldCharType="separate"/>
      </w:r>
      <w:r w:rsidR="00CC6F3D">
        <w:rPr>
          <w:b w:val="0"/>
          <w:noProof/>
        </w:rPr>
        <w:t>15</w:t>
      </w:r>
      <w:r>
        <w:rPr>
          <w:b w:val="0"/>
        </w:rPr>
        <w:fldChar w:fldCharType="end"/>
      </w:r>
      <w:bookmarkEnd w:id="23"/>
      <w:r w:rsidRPr="001165AF">
        <w:rPr>
          <w:b w:val="0"/>
        </w:rPr>
        <w:t>.  Clutter Loss as a Function of NLCD Clutter Category and TV Channel for Interference Cases Involving the Wireless User equipment</w:t>
      </w:r>
    </w:p>
    <w:p w14:paraId="432E7205" w14:textId="77777777" w:rsidR="00A51903" w:rsidRDefault="00A51903" w:rsidP="006B3F4E">
      <w:pPr>
        <w:spacing w:before="60"/>
        <w:jc w:val="center"/>
        <w:rPr>
          <w:sz w:val="24"/>
        </w:rPr>
      </w:pPr>
    </w:p>
    <w:sectPr w:rsidR="00A51903" w:rsidSect="00841D1A">
      <w:footnotePr>
        <w:numRestart w:val="eachSect"/>
      </w:footnotePr>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547C" w14:textId="77777777" w:rsidR="00574138" w:rsidRDefault="00574138">
      <w:r>
        <w:separator/>
      </w:r>
    </w:p>
  </w:endnote>
  <w:endnote w:type="continuationSeparator" w:id="0">
    <w:p w14:paraId="66F1C760" w14:textId="77777777" w:rsidR="00574138" w:rsidRDefault="00574138">
      <w:r>
        <w:continuationSeparator/>
      </w:r>
    </w:p>
  </w:endnote>
  <w:endnote w:type="continuationNotice" w:id="1">
    <w:p w14:paraId="517AC6AE" w14:textId="77777777" w:rsidR="00574138" w:rsidRDefault="00574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A01D" w14:textId="77777777" w:rsidR="005D78D1" w:rsidRDefault="005D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77118" w14:textId="77777777" w:rsidR="005D78D1" w:rsidRDefault="005D7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914C" w14:textId="77777777" w:rsidR="005D78D1" w:rsidRDefault="005D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78C">
      <w:rPr>
        <w:rStyle w:val="PageNumber"/>
        <w:noProof/>
      </w:rPr>
      <w:t>2</w:t>
    </w:r>
    <w:r>
      <w:rPr>
        <w:rStyle w:val="PageNumber"/>
      </w:rPr>
      <w:fldChar w:fldCharType="end"/>
    </w:r>
  </w:p>
  <w:p w14:paraId="313BB480" w14:textId="77777777" w:rsidR="005D78D1" w:rsidRDefault="005D7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14861" w14:textId="77777777" w:rsidR="003F6829" w:rsidRDefault="003F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89D1E" w14:textId="77777777" w:rsidR="00574138" w:rsidRDefault="00574138">
      <w:r>
        <w:separator/>
      </w:r>
    </w:p>
  </w:footnote>
  <w:footnote w:type="continuationSeparator" w:id="0">
    <w:p w14:paraId="44626155" w14:textId="77777777" w:rsidR="00574138" w:rsidRPr="00B161F9" w:rsidRDefault="00574138" w:rsidP="00B161F9">
      <w:pPr>
        <w:widowControl w:val="0"/>
        <w:rPr>
          <w:snapToGrid w:val="0"/>
          <w:kern w:val="28"/>
          <w:sz w:val="20"/>
        </w:rPr>
      </w:pPr>
      <w:r w:rsidRPr="00B161F9">
        <w:rPr>
          <w:snapToGrid w:val="0"/>
          <w:kern w:val="28"/>
          <w:sz w:val="20"/>
        </w:rPr>
        <w:t xml:space="preserve">(Continued from previous page)  </w:t>
      </w:r>
      <w:r w:rsidRPr="00B161F9">
        <w:rPr>
          <w:snapToGrid w:val="0"/>
          <w:kern w:val="28"/>
          <w:sz w:val="20"/>
        </w:rPr>
        <w:separator/>
      </w:r>
    </w:p>
    <w:p w14:paraId="0D3CD36C" w14:textId="77777777" w:rsidR="00574138" w:rsidRDefault="00574138"/>
  </w:footnote>
  <w:footnote w:type="continuationNotice" w:id="1">
    <w:p w14:paraId="7813F8C7" w14:textId="77777777" w:rsidR="00574138" w:rsidRPr="00B161F9" w:rsidRDefault="00574138" w:rsidP="00B161F9">
      <w:pPr>
        <w:widowControl w:val="0"/>
        <w:rPr>
          <w:snapToGrid w:val="0"/>
          <w:kern w:val="28"/>
          <w:sz w:val="20"/>
        </w:rPr>
      </w:pPr>
      <w:r w:rsidRPr="00B161F9">
        <w:rPr>
          <w:snapToGrid w:val="0"/>
          <w:kern w:val="28"/>
          <w:sz w:val="20"/>
        </w:rPr>
        <w:t>(continued….)</w:t>
      </w:r>
    </w:p>
    <w:p w14:paraId="313BDD76" w14:textId="77777777" w:rsidR="00574138" w:rsidRDefault="00574138"/>
  </w:footnote>
  <w:footnote w:id="2">
    <w:p w14:paraId="3B6E16B3" w14:textId="013671B5" w:rsidR="005D78D1" w:rsidRPr="001154F3" w:rsidRDefault="005D78D1" w:rsidP="0073142C">
      <w:pPr>
        <w:pStyle w:val="FootnoteText"/>
        <w:ind w:left="270" w:hanging="270"/>
      </w:pPr>
      <w:r w:rsidRPr="001154F3">
        <w:rPr>
          <w:rStyle w:val="FootnoteReference"/>
        </w:rPr>
        <w:footnoteRef/>
      </w:r>
      <w:r w:rsidRPr="001154F3">
        <w:t xml:space="preserve"> </w:t>
      </w:r>
      <w:r>
        <w:tab/>
      </w:r>
      <w:r w:rsidRPr="0073142C">
        <w:rPr>
          <w:i/>
          <w:sz w:val="20"/>
        </w:rPr>
        <w:t>Expanding the Economic and Innovation Opportunities of Spectrum Through Incentive Auctions</w:t>
      </w:r>
      <w:r w:rsidRPr="0073142C">
        <w:rPr>
          <w:sz w:val="20"/>
        </w:rPr>
        <w:t>, Notice of Proposed Rulemaking, 27 FCC Rcd 12357</w:t>
      </w:r>
      <w:r>
        <w:rPr>
          <w:sz w:val="20"/>
          <w:lang w:val="en-US"/>
        </w:rPr>
        <w:t>, 12401-27, paras. 123-98</w:t>
      </w:r>
      <w:r w:rsidRPr="0073142C">
        <w:rPr>
          <w:sz w:val="20"/>
        </w:rPr>
        <w:t xml:space="preserve"> (2012) (</w:t>
      </w:r>
      <w:r w:rsidRPr="0073142C">
        <w:rPr>
          <w:i/>
          <w:sz w:val="20"/>
        </w:rPr>
        <w:t>NPRM</w:t>
      </w:r>
      <w:r w:rsidRPr="0073142C">
        <w:rPr>
          <w:sz w:val="20"/>
        </w:rPr>
        <w:t>).</w:t>
      </w:r>
      <w:r w:rsidRPr="001154F3">
        <w:t xml:space="preserve">  </w:t>
      </w:r>
    </w:p>
  </w:footnote>
  <w:footnote w:id="3">
    <w:p w14:paraId="0969960A" w14:textId="5E0BCDE5" w:rsidR="005D78D1" w:rsidRPr="001154F3" w:rsidRDefault="005D78D1" w:rsidP="0073142C">
      <w:pPr>
        <w:pStyle w:val="FootnoteText"/>
        <w:ind w:left="270" w:hanging="270"/>
      </w:pPr>
      <w:r w:rsidRPr="001154F3">
        <w:rPr>
          <w:rStyle w:val="FootnoteReference"/>
        </w:rPr>
        <w:footnoteRef/>
      </w:r>
      <w:r w:rsidRPr="001154F3">
        <w:t xml:space="preserve"> </w:t>
      </w:r>
      <w:r>
        <w:tab/>
      </w:r>
      <w:r w:rsidRPr="0073142C">
        <w:rPr>
          <w:i/>
          <w:sz w:val="20"/>
        </w:rPr>
        <w:t>NPRM</w:t>
      </w:r>
      <w:r w:rsidRPr="0073142C">
        <w:rPr>
          <w:sz w:val="20"/>
        </w:rPr>
        <w:t xml:space="preserve">, 27 FCC Rcd at 12401, para. 123-24.  </w:t>
      </w:r>
      <w:r w:rsidRPr="0073142C">
        <w:rPr>
          <w:i/>
          <w:sz w:val="20"/>
        </w:rPr>
        <w:t xml:space="preserve">See Wireless Telecommunications Bureau Seeks to Supplement the Record on the 600 MHz Band Plan, </w:t>
      </w:r>
      <w:r w:rsidRPr="0073142C">
        <w:rPr>
          <w:sz w:val="20"/>
        </w:rPr>
        <w:t>Public Notice, 28 FCC Rcd 7414 (May 17, 2013)</w:t>
      </w:r>
      <w:r w:rsidRPr="0073142C">
        <w:rPr>
          <w:sz w:val="20"/>
          <w:lang w:val="en-US"/>
        </w:rPr>
        <w:t xml:space="preserve"> (</w:t>
      </w:r>
      <w:r w:rsidRPr="0073142C">
        <w:rPr>
          <w:i/>
          <w:sz w:val="20"/>
          <w:lang w:val="en-US"/>
        </w:rPr>
        <w:t>600 MHz Band Supplemental Public Notice</w:t>
      </w:r>
      <w:r w:rsidRPr="0073142C">
        <w:rPr>
          <w:sz w:val="20"/>
          <w:lang w:val="en-US"/>
        </w:rPr>
        <w:t>)</w:t>
      </w:r>
      <w:r w:rsidRPr="0073142C">
        <w:rPr>
          <w:sz w:val="20"/>
        </w:rPr>
        <w:t xml:space="preserve"> (seeking further comment on how certain band plan approaches can best address the potential for market variation).</w:t>
      </w:r>
    </w:p>
  </w:footnote>
  <w:footnote w:id="4">
    <w:p w14:paraId="556C9F4F" w14:textId="0A6DE38A" w:rsidR="005D78D1" w:rsidRPr="00C51786" w:rsidRDefault="005D78D1" w:rsidP="0073142C">
      <w:pPr>
        <w:pStyle w:val="FootnoteText"/>
        <w:tabs>
          <w:tab w:val="clear" w:pos="720"/>
          <w:tab w:val="left" w:pos="0"/>
        </w:tabs>
        <w:spacing w:after="120"/>
        <w:ind w:left="270" w:hanging="270"/>
      </w:pPr>
      <w:r w:rsidRPr="00C51786">
        <w:rPr>
          <w:rStyle w:val="FootnoteReference"/>
        </w:rPr>
        <w:footnoteRef/>
      </w:r>
      <w:r w:rsidRPr="00C51786">
        <w:t xml:space="preserve"> </w:t>
      </w:r>
      <w:r>
        <w:tab/>
      </w:r>
      <w:r w:rsidRPr="0073142C">
        <w:rPr>
          <w:sz w:val="20"/>
        </w:rPr>
        <w:t>Alcatel-Lucent Supplemental Comments at 6-7; Block Stations Supplemental Comments 3-4; Sinclair</w:t>
      </w:r>
      <w:r w:rsidRPr="0073142C">
        <w:rPr>
          <w:sz w:val="20"/>
          <w:lang w:val="en-US"/>
        </w:rPr>
        <w:t xml:space="preserve"> </w:t>
      </w:r>
      <w:r w:rsidRPr="0073142C">
        <w:rPr>
          <w:sz w:val="20"/>
        </w:rPr>
        <w:t xml:space="preserve">Supplemental Comments 2; AT&amp;T Comments 4-7 27-28, Exh A 15, 32-33; T-Mobile Supplemental Comments 17 n.32, Supplemental Reply Comments 13-14; Qualcomm Supplemental Comments 14, 17; US Cellular Supplemental Comments 3; Cohen, Dippell and Everist Supplemental Comments 1-2; CTIA Supplemental Reply Comments 8-9; Ericsson Supplemental Comments 9; Free Press Supplemental Reply Comments 9; HBC Supplemental Reply Comments 3-5; NAB Reply Comments 12-18, Supplemental Comments 2-6, Supplemental Reply Comments 3-8; WISPA Supplemental Reply Comments 8. </w:t>
      </w:r>
    </w:p>
  </w:footnote>
  <w:footnote w:id="5">
    <w:p w14:paraId="386197BE" w14:textId="197A1F7C" w:rsidR="005D78D1" w:rsidRPr="0073142C" w:rsidRDefault="005D78D1" w:rsidP="007B7983">
      <w:pPr>
        <w:pStyle w:val="FootnoteText"/>
        <w:spacing w:after="120"/>
        <w:ind w:left="270" w:hanging="270"/>
        <w:rPr>
          <w:sz w:val="20"/>
          <w:lang w:val="en-US"/>
        </w:rPr>
      </w:pPr>
      <w:r w:rsidRPr="00C51786">
        <w:rPr>
          <w:rStyle w:val="FootnoteReference"/>
        </w:rPr>
        <w:footnoteRef/>
      </w:r>
      <w:r w:rsidRPr="00C51786">
        <w:t xml:space="preserve"> </w:t>
      </w:r>
      <w:r>
        <w:tab/>
      </w:r>
      <w:r w:rsidRPr="0073142C">
        <w:rPr>
          <w:sz w:val="20"/>
        </w:rPr>
        <w:t>Qualcomm Supplemental Comments at 14 (“the distances at which a full power TV broadcast signal will interfere with mobile broadband uplink operations is . . .  approximately 500 km (or 310 miles).”)</w:t>
      </w:r>
      <w:r>
        <w:rPr>
          <w:sz w:val="20"/>
        </w:rPr>
        <w:t>;</w:t>
      </w:r>
      <w:r w:rsidRPr="0073142C">
        <w:rPr>
          <w:sz w:val="20"/>
        </w:rPr>
        <w:t xml:space="preserve"> Letter from Rick Kaplan, NAB, to Marlene H. Dortch, Secretary, FCC, (filed Jul. 10, 2013) (interference from TV transmission to base station receiver is 225 to 375 km)</w:t>
      </w:r>
      <w:r>
        <w:rPr>
          <w:sz w:val="20"/>
        </w:rPr>
        <w:t>;</w:t>
      </w:r>
      <w:r w:rsidRPr="0073142C">
        <w:rPr>
          <w:sz w:val="20"/>
        </w:rPr>
        <w:t xml:space="preserve"> AT&amp;T Supplemental Comments at 4 (“separation distances between TV transmitters and wireless base station receivers would generally need to be in the range of more than 200 kilometers in order to avoid harmful co-channel interference to mobile base station receivers”); Verizon Supplemental Comments at 8 (geographic separation zones of 200-400 k</w:t>
      </w:r>
      <w:r>
        <w:rPr>
          <w:sz w:val="20"/>
          <w:lang w:val="en-US"/>
        </w:rPr>
        <w:t>ilometers</w:t>
      </w:r>
      <w:r w:rsidRPr="0073142C">
        <w:rPr>
          <w:sz w:val="20"/>
        </w:rPr>
        <w:t xml:space="preserve"> would likely be required to mitigate [co-channel] interference from broadcaster transmitters into wireless base stations).</w:t>
      </w:r>
      <w:r w:rsidRPr="0073142C">
        <w:rPr>
          <w:sz w:val="20"/>
          <w:lang w:val="en-US"/>
        </w:rPr>
        <w:t xml:space="preserve">  </w:t>
      </w:r>
      <w:r w:rsidRPr="0073142C">
        <w:rPr>
          <w:i/>
          <w:sz w:val="20"/>
          <w:lang w:val="en-US"/>
        </w:rPr>
        <w:t xml:space="preserve">See also </w:t>
      </w:r>
      <w:r w:rsidRPr="0073142C">
        <w:rPr>
          <w:sz w:val="20"/>
          <w:lang w:val="en-US"/>
        </w:rPr>
        <w:t xml:space="preserve">AT&amp;T Comments 4-6; AT&amp;T </w:t>
      </w:r>
      <w:r w:rsidRPr="0073142C">
        <w:rPr>
          <w:i/>
          <w:sz w:val="20"/>
          <w:lang w:val="en-US"/>
        </w:rPr>
        <w:t>Ex Parte</w:t>
      </w:r>
      <w:r w:rsidRPr="0073142C">
        <w:rPr>
          <w:sz w:val="20"/>
          <w:lang w:val="en-US"/>
        </w:rPr>
        <w:t xml:space="preserve"> 4-14; T-Mobile </w:t>
      </w:r>
      <w:r w:rsidRPr="0073142C">
        <w:rPr>
          <w:i/>
          <w:sz w:val="20"/>
          <w:lang w:val="en-US"/>
        </w:rPr>
        <w:t>Ex Parte</w:t>
      </w:r>
      <w:r w:rsidRPr="0073142C">
        <w:rPr>
          <w:sz w:val="20"/>
          <w:lang w:val="en-US"/>
        </w:rPr>
        <w:t xml:space="preserve"> (Supplement by Roberson and Associates, LLC) 1-17; NAB </w:t>
      </w:r>
      <w:r w:rsidRPr="0073142C">
        <w:rPr>
          <w:i/>
          <w:sz w:val="20"/>
          <w:lang w:val="en-US"/>
        </w:rPr>
        <w:t>Ex Parte</w:t>
      </w:r>
      <w:r w:rsidRPr="0073142C">
        <w:rPr>
          <w:sz w:val="20"/>
          <w:lang w:val="en-US"/>
        </w:rPr>
        <w:t xml:space="preserve"> 1-41; CEA </w:t>
      </w:r>
      <w:r w:rsidRPr="0073142C">
        <w:rPr>
          <w:i/>
          <w:sz w:val="20"/>
          <w:lang w:val="en-US"/>
        </w:rPr>
        <w:t>Ex Parte</w:t>
      </w:r>
      <w:r w:rsidRPr="0073142C">
        <w:rPr>
          <w:sz w:val="20"/>
          <w:lang w:val="en-US"/>
        </w:rPr>
        <w:t xml:space="preserve"> 1-58.</w:t>
      </w:r>
    </w:p>
  </w:footnote>
  <w:footnote w:id="6">
    <w:p w14:paraId="00599836" w14:textId="465805F7" w:rsidR="005D78D1" w:rsidRPr="00203847" w:rsidRDefault="005D78D1" w:rsidP="007B7983">
      <w:pPr>
        <w:pStyle w:val="FootnoteText"/>
        <w:ind w:left="270" w:hanging="270"/>
        <w:rPr>
          <w:lang w:val="en-US"/>
        </w:rPr>
      </w:pPr>
      <w:r>
        <w:rPr>
          <w:rStyle w:val="FootnoteReference"/>
        </w:rPr>
        <w:footnoteRef/>
      </w:r>
      <w:r>
        <w:t xml:space="preserve"> </w:t>
      </w:r>
      <w:r>
        <w:tab/>
      </w:r>
      <w:r w:rsidRPr="0073142C">
        <w:rPr>
          <w:i/>
          <w:sz w:val="20"/>
          <w:lang w:val="en-US"/>
        </w:rPr>
        <w:t>See</w:t>
      </w:r>
      <w:r w:rsidRPr="0073142C">
        <w:rPr>
          <w:sz w:val="20"/>
          <w:lang w:val="en-US"/>
        </w:rPr>
        <w:t xml:space="preserve"> </w:t>
      </w:r>
      <w:r w:rsidRPr="0073142C">
        <w:rPr>
          <w:sz w:val="20"/>
        </w:rPr>
        <w:t>47 C.F.R. §§</w:t>
      </w:r>
      <w:r w:rsidRPr="0073142C">
        <w:rPr>
          <w:sz w:val="20"/>
          <w:lang w:val="en-US"/>
        </w:rPr>
        <w:t xml:space="preserve"> 90.307 and 27.60</w:t>
      </w:r>
      <w:r>
        <w:rPr>
          <w:lang w:val="en-US"/>
        </w:rPr>
        <w:t xml:space="preserve"> </w:t>
      </w:r>
    </w:p>
  </w:footnote>
  <w:footnote w:id="7">
    <w:p w14:paraId="40636F34" w14:textId="799D120A" w:rsidR="005D78D1" w:rsidRPr="00776504" w:rsidRDefault="005D78D1" w:rsidP="00945867">
      <w:pPr>
        <w:pStyle w:val="FootnoteText"/>
        <w:spacing w:after="120"/>
        <w:ind w:left="270" w:hanging="270"/>
        <w:rPr>
          <w:lang w:val="en-US"/>
        </w:rPr>
      </w:pPr>
      <w:r>
        <w:rPr>
          <w:rStyle w:val="FootnoteReference"/>
        </w:rPr>
        <w:footnoteRef/>
      </w:r>
      <w:r>
        <w:t xml:space="preserve"> </w:t>
      </w:r>
      <w:r>
        <w:tab/>
      </w:r>
      <w:r w:rsidRPr="0073142C">
        <w:rPr>
          <w:i/>
          <w:sz w:val="20"/>
          <w:lang w:val="en-US"/>
        </w:rPr>
        <w:t>See</w:t>
      </w:r>
      <w:r w:rsidRPr="0073142C">
        <w:rPr>
          <w:sz w:val="20"/>
          <w:lang w:val="en-US"/>
        </w:rPr>
        <w:t xml:space="preserve"> OET Bulletin No. 69 (OET-69), </w:t>
      </w:r>
      <w:r w:rsidRPr="0073142C">
        <w:rPr>
          <w:i/>
          <w:sz w:val="20"/>
          <w:lang w:val="en-US"/>
        </w:rPr>
        <w:t>Longley-Rice Methodology for Evaluating TV Coverage and Interference</w:t>
      </w:r>
      <w:r w:rsidRPr="0073142C">
        <w:rPr>
          <w:sz w:val="20"/>
          <w:lang w:val="en-US"/>
        </w:rPr>
        <w:t>, Feb. 6, 2004, Table 3.</w:t>
      </w:r>
    </w:p>
  </w:footnote>
  <w:footnote w:id="8">
    <w:p w14:paraId="41ADF8B4" w14:textId="19CA0DE2" w:rsidR="005D78D1" w:rsidRPr="00776504" w:rsidRDefault="005D78D1" w:rsidP="00945867">
      <w:pPr>
        <w:pStyle w:val="FootnoteText"/>
        <w:spacing w:after="120"/>
        <w:ind w:left="270" w:hanging="270"/>
        <w:rPr>
          <w:lang w:val="en-US"/>
        </w:rPr>
      </w:pPr>
      <w:r>
        <w:rPr>
          <w:rStyle w:val="FootnoteReference"/>
        </w:rPr>
        <w:footnoteRef/>
      </w:r>
      <w:r>
        <w:t xml:space="preserve"> </w:t>
      </w:r>
      <w:r>
        <w:tab/>
      </w:r>
      <w:r w:rsidRPr="0073142C">
        <w:rPr>
          <w:i/>
          <w:sz w:val="20"/>
          <w:lang w:val="en-US"/>
        </w:rPr>
        <w:t>See</w:t>
      </w:r>
      <w:r w:rsidRPr="0073142C">
        <w:rPr>
          <w:sz w:val="20"/>
          <w:lang w:val="en-US"/>
        </w:rPr>
        <w:t xml:space="preserve"> OET-69, Table 5A.</w:t>
      </w:r>
    </w:p>
  </w:footnote>
  <w:footnote w:id="9">
    <w:p w14:paraId="4A2AF0ED" w14:textId="44945107" w:rsidR="005D78D1" w:rsidRPr="00776504" w:rsidRDefault="005D78D1" w:rsidP="00945867">
      <w:pPr>
        <w:pStyle w:val="FootnoteText"/>
        <w:spacing w:after="120"/>
        <w:ind w:left="270" w:hanging="270"/>
        <w:rPr>
          <w:lang w:val="en-US"/>
        </w:rPr>
      </w:pPr>
      <w:r>
        <w:rPr>
          <w:rStyle w:val="FootnoteReference"/>
        </w:rPr>
        <w:footnoteRef/>
      </w:r>
      <w:r>
        <w:t xml:space="preserve"> </w:t>
      </w:r>
      <w:r>
        <w:tab/>
      </w:r>
      <w:r w:rsidRPr="0073142C">
        <w:rPr>
          <w:i/>
          <w:sz w:val="20"/>
          <w:lang w:val="en-US"/>
        </w:rPr>
        <w:t>See</w:t>
      </w:r>
      <w:r w:rsidRPr="0073142C">
        <w:rPr>
          <w:sz w:val="20"/>
          <w:lang w:val="en-US"/>
        </w:rPr>
        <w:t xml:space="preserve"> </w:t>
      </w:r>
      <w:r>
        <w:rPr>
          <w:sz w:val="20"/>
          <w:lang w:val="en-US"/>
        </w:rPr>
        <w:t xml:space="preserve">Stephen R. </w:t>
      </w:r>
      <w:r w:rsidRPr="0073142C">
        <w:rPr>
          <w:sz w:val="20"/>
          <w:lang w:val="en-US"/>
        </w:rPr>
        <w:t xml:space="preserve">Martin, </w:t>
      </w:r>
      <w:r>
        <w:rPr>
          <w:sz w:val="20"/>
          <w:lang w:val="en-US"/>
        </w:rPr>
        <w:t>“</w:t>
      </w:r>
      <w:r w:rsidRPr="0073142C">
        <w:rPr>
          <w:sz w:val="20"/>
          <w:lang w:val="en-US"/>
        </w:rPr>
        <w:t>Interference Rejection Thresholds of Consumer Digital Television Receivers Available in 2005 and 2006,</w:t>
      </w:r>
      <w:r>
        <w:rPr>
          <w:sz w:val="20"/>
          <w:lang w:val="en-US"/>
        </w:rPr>
        <w:t>”</w:t>
      </w:r>
      <w:r w:rsidRPr="0073142C">
        <w:rPr>
          <w:sz w:val="20"/>
          <w:lang w:val="en-US"/>
        </w:rPr>
        <w:t xml:space="preserve"> </w:t>
      </w:r>
      <w:r w:rsidRPr="0073142C">
        <w:rPr>
          <w:sz w:val="20"/>
          <w:u w:val="single"/>
          <w:lang w:val="en-US"/>
        </w:rPr>
        <w:t>FCC/OET Report 07-TR-1003</w:t>
      </w:r>
      <w:r>
        <w:rPr>
          <w:sz w:val="20"/>
          <w:lang w:val="en-US"/>
        </w:rPr>
        <w:t xml:space="preserve">, </w:t>
      </w:r>
      <w:r w:rsidRPr="0073142C">
        <w:rPr>
          <w:sz w:val="20"/>
          <w:lang w:val="en-US"/>
        </w:rPr>
        <w:t xml:space="preserve">March 30, 2007.  </w:t>
      </w:r>
      <w:r w:rsidRPr="0073142C">
        <w:rPr>
          <w:i/>
          <w:sz w:val="20"/>
          <w:lang w:val="en-US"/>
        </w:rPr>
        <w:t>See also</w:t>
      </w:r>
      <w:r>
        <w:rPr>
          <w:i/>
          <w:sz w:val="20"/>
          <w:lang w:val="en-US"/>
        </w:rPr>
        <w:t>,</w:t>
      </w:r>
      <w:r w:rsidRPr="0073142C">
        <w:rPr>
          <w:sz w:val="20"/>
          <w:lang w:val="en-US"/>
        </w:rPr>
        <w:t xml:space="preserve"> </w:t>
      </w:r>
      <w:r>
        <w:rPr>
          <w:sz w:val="20"/>
          <w:lang w:val="en-US"/>
        </w:rPr>
        <w:t>“</w:t>
      </w:r>
      <w:r w:rsidRPr="0073142C">
        <w:rPr>
          <w:sz w:val="20"/>
          <w:lang w:val="en-US"/>
        </w:rPr>
        <w:t>Tests of ATSC 8-VSB Reception Performance of Consumer Digital Television Receivers Available in 2005,</w:t>
      </w:r>
      <w:r>
        <w:rPr>
          <w:sz w:val="20"/>
          <w:lang w:val="en-US"/>
        </w:rPr>
        <w:t xml:space="preserve">” </w:t>
      </w:r>
      <w:r w:rsidRPr="0073142C">
        <w:rPr>
          <w:sz w:val="20"/>
          <w:u w:val="single"/>
          <w:lang w:val="en-US"/>
        </w:rPr>
        <w:t>FCC/OET Report TR-05-1017</w:t>
      </w:r>
      <w:r w:rsidRPr="0073142C">
        <w:rPr>
          <w:sz w:val="20"/>
          <w:lang w:val="en-US"/>
        </w:rPr>
        <w:t xml:space="preserve"> November 2, 2005.</w:t>
      </w:r>
    </w:p>
  </w:footnote>
  <w:footnote w:id="10">
    <w:p w14:paraId="6C697E46" w14:textId="1DFA5C4F" w:rsidR="005D78D1" w:rsidRPr="0073142C" w:rsidRDefault="005D78D1" w:rsidP="0040728F">
      <w:pPr>
        <w:pStyle w:val="FootnoteText"/>
        <w:spacing w:after="120"/>
        <w:ind w:left="270" w:hanging="270"/>
        <w:rPr>
          <w:sz w:val="20"/>
          <w:lang w:val="en-US"/>
        </w:rPr>
      </w:pPr>
      <w:r>
        <w:rPr>
          <w:rStyle w:val="FootnoteReference"/>
        </w:rPr>
        <w:footnoteRef/>
      </w:r>
      <w:r>
        <w:t xml:space="preserve"> </w:t>
      </w:r>
      <w:r>
        <w:tab/>
      </w:r>
      <w:r w:rsidRPr="0073142C">
        <w:rPr>
          <w:i/>
          <w:sz w:val="20"/>
          <w:lang w:val="en-US"/>
        </w:rPr>
        <w:t>See</w:t>
      </w:r>
      <w:r w:rsidRPr="0073142C">
        <w:rPr>
          <w:sz w:val="20"/>
          <w:lang w:val="en-US"/>
        </w:rPr>
        <w:t xml:space="preserve"> 3GPP Technical Specification 36.101, </w:t>
      </w:r>
      <w:r w:rsidRPr="0073142C">
        <w:rPr>
          <w:i/>
          <w:sz w:val="20"/>
          <w:lang w:val="en-US"/>
        </w:rPr>
        <w:t>Evolved Universal Terrestrial Radio Access (E-UTRA); User Equipment (UE) radio transmission and reception</w:t>
      </w:r>
      <w:r w:rsidRPr="0073142C">
        <w:rPr>
          <w:sz w:val="20"/>
          <w:lang w:val="en-US"/>
        </w:rPr>
        <w:t xml:space="preserve">, available at </w:t>
      </w:r>
      <w:hyperlink r:id="rId1" w:history="1">
        <w:r w:rsidRPr="0073142C">
          <w:rPr>
            <w:rStyle w:val="Hyperlink"/>
            <w:sz w:val="20"/>
            <w:lang w:val="en-US"/>
          </w:rPr>
          <w:t>http://www.3gpp.org/DynaReport/36101.htm</w:t>
        </w:r>
      </w:hyperlink>
      <w:r w:rsidRPr="0073142C">
        <w:rPr>
          <w:sz w:val="20"/>
          <w:lang w:val="en-US"/>
        </w:rPr>
        <w:t xml:space="preserve">.  </w:t>
      </w:r>
      <w:r w:rsidRPr="0073142C">
        <w:rPr>
          <w:i/>
          <w:sz w:val="20"/>
          <w:lang w:val="en-US"/>
        </w:rPr>
        <w:t>See also</w:t>
      </w:r>
      <w:r w:rsidRPr="0073142C">
        <w:rPr>
          <w:sz w:val="20"/>
          <w:lang w:val="en-US"/>
        </w:rPr>
        <w:t xml:space="preserve"> 3GPP Technical Specification 36.104, </w:t>
      </w:r>
      <w:r w:rsidRPr="0073142C">
        <w:rPr>
          <w:i/>
          <w:sz w:val="20"/>
        </w:rPr>
        <w:t>Evolved Universal Terrestrial Radio Access (E-UTRA); Base Station (BS) radio transmission and reception</w:t>
      </w:r>
      <w:r w:rsidRPr="0073142C">
        <w:rPr>
          <w:sz w:val="20"/>
          <w:lang w:val="en-US"/>
        </w:rPr>
        <w:t xml:space="preserve">, available at </w:t>
      </w:r>
      <w:hyperlink r:id="rId2" w:history="1">
        <w:r w:rsidRPr="0073142C">
          <w:rPr>
            <w:rStyle w:val="Hyperlink"/>
            <w:sz w:val="20"/>
            <w:lang w:val="en-US"/>
          </w:rPr>
          <w:t>http://www.3gpp.org/DynaReport/36104.htm</w:t>
        </w:r>
      </w:hyperlink>
      <w:r w:rsidRPr="0073142C">
        <w:rPr>
          <w:sz w:val="20"/>
          <w:lang w:val="en-US"/>
        </w:rPr>
        <w:t>.</w:t>
      </w:r>
    </w:p>
  </w:footnote>
  <w:footnote w:id="11">
    <w:p w14:paraId="79D7BC02" w14:textId="4B4B7154" w:rsidR="005D78D1" w:rsidRPr="00203847" w:rsidRDefault="005D78D1" w:rsidP="0040728F">
      <w:pPr>
        <w:pStyle w:val="FootnoteText"/>
        <w:ind w:left="270" w:hanging="270"/>
        <w:rPr>
          <w:lang w:val="en-US"/>
        </w:rPr>
      </w:pPr>
      <w:r>
        <w:rPr>
          <w:rStyle w:val="FootnoteReference"/>
        </w:rPr>
        <w:footnoteRef/>
      </w:r>
      <w:r>
        <w:t xml:space="preserve"> </w:t>
      </w:r>
      <w:r>
        <w:tab/>
      </w:r>
      <w:r w:rsidRPr="00761A64">
        <w:rPr>
          <w:i/>
          <w:lang w:val="en-US"/>
        </w:rPr>
        <w:t>See</w:t>
      </w:r>
      <w:r>
        <w:rPr>
          <w:lang w:val="en-US"/>
        </w:rPr>
        <w:t xml:space="preserve"> </w:t>
      </w:r>
      <w:r w:rsidRPr="0073142C">
        <w:rPr>
          <w:sz w:val="20"/>
          <w:lang w:val="en-US"/>
        </w:rPr>
        <w:t xml:space="preserve">NPRM 27 FCC Rcd at </w:t>
      </w:r>
      <w:r>
        <w:rPr>
          <w:sz w:val="20"/>
          <w:lang w:val="en-US"/>
        </w:rPr>
        <w:t>12403-04</w:t>
      </w:r>
      <w:r w:rsidRPr="0073142C">
        <w:rPr>
          <w:sz w:val="20"/>
          <w:lang w:val="en-US"/>
        </w:rPr>
        <w:t>, paras. 127-130</w:t>
      </w:r>
      <w:r>
        <w:rPr>
          <w:sz w:val="20"/>
          <w:lang w:val="en-US"/>
        </w:rPr>
        <w:t>.</w:t>
      </w:r>
    </w:p>
  </w:footnote>
  <w:footnote w:id="12">
    <w:p w14:paraId="74F66D40" w14:textId="3F4A6D4C" w:rsidR="005D78D1" w:rsidRDefault="005D78D1" w:rsidP="0040728F">
      <w:pPr>
        <w:pStyle w:val="FootnoteText"/>
        <w:spacing w:after="120"/>
        <w:ind w:left="270" w:hanging="270"/>
        <w:rPr>
          <w:lang w:val="en-US"/>
        </w:rPr>
      </w:pPr>
      <w:r>
        <w:rPr>
          <w:rStyle w:val="FootnoteReference"/>
        </w:rPr>
        <w:footnoteRef/>
      </w:r>
      <w:r>
        <w:t xml:space="preserve"> </w:t>
      </w:r>
      <w:r>
        <w:tab/>
      </w:r>
      <w:r w:rsidRPr="0073142C">
        <w:rPr>
          <w:sz w:val="20"/>
        </w:rPr>
        <w:t xml:space="preserve">OET Bulletin No. 69 (Feb. 6, 2004), available at </w:t>
      </w:r>
      <w:hyperlink r:id="rId3" w:history="1">
        <w:r w:rsidRPr="0073142C">
          <w:rPr>
            <w:rStyle w:val="Hyperlink"/>
            <w:sz w:val="20"/>
          </w:rPr>
          <w:t>http://transition.fcc.gov/Bureaus/Engineering_Technology/Documents/bulletins/oet69/oet69.pdf</w:t>
        </w:r>
      </w:hyperlink>
      <w:r>
        <w:t>.</w:t>
      </w:r>
    </w:p>
    <w:p w14:paraId="2CCA1BC6" w14:textId="1AE13D98" w:rsidR="005D78D1" w:rsidRDefault="005D78D1" w:rsidP="007234B3">
      <w:pPr>
        <w:pStyle w:val="FootnoteText"/>
        <w:spacing w:after="120"/>
        <w:ind w:left="273" w:hanging="187"/>
        <w:rPr>
          <w:lang w:val="en-US"/>
        </w:rPr>
      </w:pPr>
      <w:r>
        <w:rPr>
          <w:lang w:val="en-US"/>
        </w:rPr>
        <w:tab/>
      </w:r>
      <w:r w:rsidRPr="0073142C">
        <w:rPr>
          <w:sz w:val="20"/>
        </w:rPr>
        <w:t xml:space="preserve">OET Bulletin No. 72 (July 2, 2002), available at </w:t>
      </w:r>
      <w:hyperlink r:id="rId4" w:history="1">
        <w:r w:rsidRPr="0073142C">
          <w:rPr>
            <w:rStyle w:val="Hyperlink"/>
            <w:sz w:val="20"/>
          </w:rPr>
          <w:t>http://transition.fcc.gov/Bureaus/Engineering_Technology/Documents/bulletins/oet72/oet72.pdf</w:t>
        </w:r>
      </w:hyperlink>
      <w:r>
        <w:t>.</w:t>
      </w:r>
    </w:p>
    <w:p w14:paraId="60984794" w14:textId="2EB8A454" w:rsidR="005D78D1" w:rsidRDefault="005D78D1" w:rsidP="007234B3">
      <w:pPr>
        <w:pStyle w:val="FootnoteText"/>
        <w:spacing w:after="120"/>
        <w:ind w:left="273" w:hanging="187"/>
        <w:rPr>
          <w:lang w:val="en-US"/>
        </w:rPr>
      </w:pPr>
      <w:r>
        <w:rPr>
          <w:lang w:val="en-US"/>
        </w:rPr>
        <w:tab/>
      </w:r>
      <w:r w:rsidRPr="0073142C">
        <w:rPr>
          <w:sz w:val="20"/>
        </w:rPr>
        <w:t xml:space="preserve">OET Bulletin No. 73 (Nov. 23, 2010), available at </w:t>
      </w:r>
      <w:hyperlink r:id="rId5" w:history="1">
        <w:r w:rsidRPr="0073142C">
          <w:rPr>
            <w:rStyle w:val="Hyperlink"/>
            <w:sz w:val="20"/>
          </w:rPr>
          <w:t>http://transition.fcc.gov/Bureaus/Engineering_Technology/Documents/bulletins/oet73/oet73.pdf</w:t>
        </w:r>
      </w:hyperlink>
      <w:r>
        <w:t>.</w:t>
      </w:r>
    </w:p>
    <w:p w14:paraId="4CFEF200" w14:textId="658B878F" w:rsidR="005D78D1" w:rsidRPr="0073142C" w:rsidRDefault="005D78D1" w:rsidP="007234B3">
      <w:pPr>
        <w:pStyle w:val="FootnoteText"/>
        <w:spacing w:after="120"/>
        <w:ind w:left="273" w:hanging="187"/>
        <w:rPr>
          <w:sz w:val="20"/>
          <w:lang w:val="en-US"/>
        </w:rPr>
      </w:pPr>
      <w:r>
        <w:rPr>
          <w:i/>
          <w:lang w:val="en-US"/>
        </w:rPr>
        <w:tab/>
      </w:r>
      <w:r w:rsidRPr="0073142C">
        <w:rPr>
          <w:i/>
          <w:sz w:val="20"/>
          <w:lang w:val="en-US"/>
        </w:rPr>
        <w:t>See also</w:t>
      </w:r>
      <w:r w:rsidRPr="0073142C">
        <w:rPr>
          <w:sz w:val="20"/>
          <w:lang w:val="en-US"/>
        </w:rPr>
        <w:t xml:space="preserve"> Hufford, G.A., Longley, A.G., and Kissick, W.A., </w:t>
      </w:r>
      <w:r>
        <w:rPr>
          <w:sz w:val="20"/>
          <w:lang w:val="en-US"/>
        </w:rPr>
        <w:t>“</w:t>
      </w:r>
      <w:r w:rsidRPr="0073142C">
        <w:rPr>
          <w:sz w:val="20"/>
          <w:lang w:val="en-US"/>
        </w:rPr>
        <w:t>A Guide to the Use of the ITS Irregular Terrain Model in the Area Prediction Mode,</w:t>
      </w:r>
      <w:r>
        <w:rPr>
          <w:sz w:val="20"/>
          <w:lang w:val="en-US"/>
        </w:rPr>
        <w:t xml:space="preserve">” </w:t>
      </w:r>
      <w:r w:rsidRPr="0073142C">
        <w:rPr>
          <w:sz w:val="20"/>
          <w:u w:val="single"/>
          <w:lang w:val="en-US"/>
        </w:rPr>
        <w:t>NTIA Report 82-100</w:t>
      </w:r>
      <w:r>
        <w:rPr>
          <w:sz w:val="20"/>
          <w:lang w:val="en-US"/>
        </w:rPr>
        <w:t xml:space="preserve">, </w:t>
      </w:r>
      <w:r w:rsidRPr="0073142C">
        <w:rPr>
          <w:sz w:val="20"/>
          <w:lang w:val="en-US"/>
        </w:rPr>
        <w:t>U.S. Department of Commerce, April 1982.</w:t>
      </w:r>
    </w:p>
  </w:footnote>
  <w:footnote w:id="13">
    <w:p w14:paraId="0DFBA4B0" w14:textId="0615A1E4" w:rsidR="005D78D1" w:rsidRPr="0073142C" w:rsidRDefault="005D78D1" w:rsidP="00BF7D5D">
      <w:pPr>
        <w:pStyle w:val="FootnoteText"/>
        <w:ind w:left="270" w:hanging="270"/>
        <w:rPr>
          <w:lang w:val="en-US"/>
        </w:rPr>
      </w:pPr>
      <w:r>
        <w:rPr>
          <w:rStyle w:val="FootnoteReference"/>
        </w:rPr>
        <w:footnoteRef/>
      </w:r>
      <w:r>
        <w:t xml:space="preserve"> </w:t>
      </w:r>
      <w:r>
        <w:rPr>
          <w:lang w:val="en-US"/>
        </w:rPr>
        <w:tab/>
      </w:r>
      <w:r w:rsidRPr="00876039">
        <w:rPr>
          <w:sz w:val="20"/>
        </w:rPr>
        <w:t>Case 4 (UE-into-DTV interference) is expected involve distances of less than one kilometer up to a few kilometers and the Longley-Rice model may not be suitable for such short distances.</w:t>
      </w:r>
      <w:r w:rsidRPr="00876039">
        <w:rPr>
          <w:sz w:val="20"/>
          <w:lang w:val="en-US"/>
        </w:rPr>
        <w:t xml:space="preserve">  </w:t>
      </w:r>
      <w:r w:rsidRPr="00761A64">
        <w:rPr>
          <w:i/>
          <w:sz w:val="20"/>
          <w:lang w:val="en-US"/>
        </w:rPr>
        <w:t>See</w:t>
      </w:r>
      <w:r>
        <w:rPr>
          <w:sz w:val="20"/>
          <w:lang w:val="en-US"/>
        </w:rPr>
        <w:t xml:space="preserve"> Daniel, W. and Wong, H., “</w:t>
      </w:r>
      <w:r w:rsidRPr="00BF7D5D">
        <w:rPr>
          <w:sz w:val="20"/>
          <w:lang w:val="en-US"/>
        </w:rPr>
        <w:t>Propagation in Suburban Areas at Distances less than Ten Miles,</w:t>
      </w:r>
      <w:r>
        <w:rPr>
          <w:sz w:val="20"/>
          <w:lang w:val="en-US"/>
        </w:rPr>
        <w:t>”</w:t>
      </w:r>
      <w:r w:rsidRPr="00BF7D5D">
        <w:rPr>
          <w:sz w:val="20"/>
          <w:lang w:val="en-US"/>
        </w:rPr>
        <w:t xml:space="preserve"> </w:t>
      </w:r>
      <w:r w:rsidRPr="00761A64">
        <w:rPr>
          <w:sz w:val="20"/>
          <w:u w:val="single"/>
          <w:lang w:val="en-US"/>
        </w:rPr>
        <w:t>FCC/OET TM 91-1</w:t>
      </w:r>
      <w:r w:rsidRPr="00BF7D5D">
        <w:rPr>
          <w:sz w:val="20"/>
          <w:lang w:val="en-US"/>
        </w:rPr>
        <w:t xml:space="preserve">, </w:t>
      </w:r>
      <w:r>
        <w:rPr>
          <w:sz w:val="20"/>
          <w:lang w:val="en-US"/>
        </w:rPr>
        <w:t xml:space="preserve">Federal Communications Commission, Office of Engineering and Technology, </w:t>
      </w:r>
      <w:r w:rsidRPr="00BF7D5D">
        <w:rPr>
          <w:sz w:val="20"/>
          <w:lang w:val="en-US"/>
        </w:rPr>
        <w:t>January 25,</w:t>
      </w:r>
      <w:r>
        <w:rPr>
          <w:sz w:val="20"/>
          <w:lang w:val="en-US"/>
        </w:rPr>
        <w:t xml:space="preserve"> </w:t>
      </w:r>
      <w:r w:rsidRPr="00BF7D5D">
        <w:rPr>
          <w:sz w:val="20"/>
          <w:lang w:val="en-US"/>
        </w:rPr>
        <w:t>1991.</w:t>
      </w:r>
      <w:r>
        <w:rPr>
          <w:lang w:val="en-US"/>
        </w:rPr>
        <w:t xml:space="preserve">  </w:t>
      </w:r>
    </w:p>
  </w:footnote>
  <w:footnote w:id="14">
    <w:p w14:paraId="174D6E68" w14:textId="77777777" w:rsidR="005D78D1" w:rsidRPr="00F95D59" w:rsidRDefault="005D78D1" w:rsidP="00F95D59">
      <w:pPr>
        <w:pStyle w:val="FootnoteText"/>
        <w:rPr>
          <w:sz w:val="20"/>
        </w:rPr>
      </w:pPr>
      <w:r w:rsidRPr="00F95D59">
        <w:rPr>
          <w:rStyle w:val="FootnoteReference"/>
          <w:sz w:val="20"/>
        </w:rPr>
        <w:footnoteRef/>
      </w:r>
      <w:r w:rsidRPr="00F95D59">
        <w:rPr>
          <w:sz w:val="20"/>
        </w:rPr>
        <w:t xml:space="preserve"> 47 C.F.R. § 0.31.</w:t>
      </w:r>
    </w:p>
  </w:footnote>
  <w:footnote w:id="15">
    <w:p w14:paraId="49EBAAB6" w14:textId="77777777" w:rsidR="005D78D1" w:rsidRPr="00EF70CD" w:rsidRDefault="005D78D1">
      <w:pPr>
        <w:pStyle w:val="FootnoteText"/>
        <w:rPr>
          <w:szCs w:val="22"/>
          <w:lang w:val="en-US"/>
        </w:rPr>
      </w:pPr>
      <w:r w:rsidRPr="00EF70CD">
        <w:rPr>
          <w:rStyle w:val="FootnoteReference"/>
          <w:szCs w:val="22"/>
        </w:rPr>
        <w:footnoteRef/>
      </w:r>
      <w:r w:rsidRPr="00EF70CD">
        <w:rPr>
          <w:szCs w:val="22"/>
        </w:rPr>
        <w:t xml:space="preserve"> 47 C.F.R. §§ 1.1200 </w:t>
      </w:r>
      <w:r w:rsidRPr="00EF70CD">
        <w:rPr>
          <w:i/>
          <w:szCs w:val="22"/>
        </w:rPr>
        <w:t>et seq</w:t>
      </w:r>
      <w:r w:rsidRPr="00EF70CD">
        <w:rPr>
          <w:szCs w:val="22"/>
        </w:rPr>
        <w:t>.</w:t>
      </w:r>
    </w:p>
  </w:footnote>
  <w:footnote w:id="16">
    <w:p w14:paraId="1583D0A0" w14:textId="77777777" w:rsidR="005D78D1" w:rsidRPr="003776AE" w:rsidRDefault="005D78D1" w:rsidP="005D78D1">
      <w:pPr>
        <w:pStyle w:val="FootnoteText"/>
        <w:spacing w:after="120"/>
        <w:ind w:left="274" w:hanging="274"/>
        <w:rPr>
          <w:sz w:val="20"/>
        </w:rPr>
      </w:pPr>
      <w:r>
        <w:rPr>
          <w:rStyle w:val="FootnoteReference"/>
        </w:rPr>
        <w:footnoteRef/>
      </w:r>
      <w:r>
        <w:t xml:space="preserve"> </w:t>
      </w:r>
      <w:r>
        <w:tab/>
      </w:r>
      <w:r w:rsidRPr="003776AE">
        <w:rPr>
          <w:i/>
          <w:sz w:val="20"/>
        </w:rPr>
        <w:t>See</w:t>
      </w:r>
      <w:r w:rsidRPr="003776AE">
        <w:rPr>
          <w:sz w:val="20"/>
        </w:rPr>
        <w:t xml:space="preserve"> 47 C.F.R. </w:t>
      </w:r>
      <w:r w:rsidRPr="003776AE">
        <w:rPr>
          <w:rFonts w:ascii="Calibri" w:hAnsi="Calibri" w:cs="Calibri"/>
          <w:sz w:val="20"/>
        </w:rPr>
        <w:t>§</w:t>
      </w:r>
      <w:r w:rsidRPr="003776AE">
        <w:rPr>
          <w:sz w:val="20"/>
        </w:rPr>
        <w:t xml:space="preserve"> 73.682(d).</w:t>
      </w:r>
    </w:p>
  </w:footnote>
  <w:footnote w:id="17">
    <w:p w14:paraId="7CE75460" w14:textId="77777777" w:rsidR="005D78D1" w:rsidRPr="003776AE" w:rsidRDefault="005D78D1" w:rsidP="00A51903">
      <w:pPr>
        <w:pStyle w:val="FootnoteText"/>
        <w:spacing w:after="60"/>
        <w:ind w:left="270" w:hanging="270"/>
        <w:rPr>
          <w:sz w:val="20"/>
        </w:rPr>
      </w:pPr>
      <w:r w:rsidRPr="003776AE">
        <w:rPr>
          <w:rStyle w:val="FootnoteReference"/>
          <w:sz w:val="20"/>
        </w:rPr>
        <w:footnoteRef/>
      </w:r>
      <w:r w:rsidRPr="003776AE">
        <w:rPr>
          <w:sz w:val="20"/>
        </w:rPr>
        <w:t xml:space="preserve"> </w:t>
      </w:r>
      <w:r w:rsidRPr="003776AE">
        <w:rPr>
          <w:sz w:val="20"/>
        </w:rPr>
        <w:tab/>
        <w:t xml:space="preserve">For analog NTSC television transmission standards, </w:t>
      </w:r>
      <w:r w:rsidRPr="003776AE">
        <w:rPr>
          <w:i/>
          <w:sz w:val="20"/>
        </w:rPr>
        <w:t>see</w:t>
      </w:r>
      <w:r w:rsidRPr="003776AE">
        <w:rPr>
          <w:sz w:val="20"/>
        </w:rPr>
        <w:t>,</w:t>
      </w:r>
      <w:r w:rsidRPr="003776AE">
        <w:rPr>
          <w:i/>
          <w:sz w:val="20"/>
        </w:rPr>
        <w:t xml:space="preserve"> e.g.</w:t>
      </w:r>
      <w:r w:rsidRPr="003776AE">
        <w:rPr>
          <w:sz w:val="20"/>
        </w:rPr>
        <w:t xml:space="preserve">, 28 FR 13676.  Domestically, low-power television stations, including Class A and television translators, are the only remaining over-the-air broadcast television service permitted to transmit analog signals.  However, they are required to cease analog operation and convert to digital by September 1, 2015.  </w:t>
      </w:r>
      <w:r w:rsidRPr="003776AE">
        <w:rPr>
          <w:i/>
          <w:iCs/>
          <w:sz w:val="20"/>
        </w:rPr>
        <w:t xml:space="preserve">See </w:t>
      </w:r>
      <w:r w:rsidRPr="003776AE">
        <w:rPr>
          <w:sz w:val="20"/>
        </w:rPr>
        <w:t xml:space="preserve">Amendment of Parts 73 and 74 of the Commission’s Rules to Establish Rules for Digital Low Power Television, Television Translator, and Television Booster Stations and to Amend Rules for Digital Class A Television Stations, </w:t>
      </w:r>
      <w:r w:rsidRPr="003776AE">
        <w:rPr>
          <w:i/>
          <w:iCs/>
          <w:sz w:val="20"/>
        </w:rPr>
        <w:t>Second Report and Order</w:t>
      </w:r>
      <w:r w:rsidRPr="003776AE">
        <w:rPr>
          <w:sz w:val="20"/>
        </w:rPr>
        <w:t>, 26 FCC Rcd 10732 (2011).</w:t>
      </w:r>
    </w:p>
  </w:footnote>
  <w:footnote w:id="18">
    <w:p w14:paraId="519CE74D" w14:textId="1FCA88CF" w:rsidR="005D78D1" w:rsidRPr="003776AE" w:rsidRDefault="005D78D1" w:rsidP="005D78D1">
      <w:pPr>
        <w:pStyle w:val="FootnoteText"/>
        <w:spacing w:after="120"/>
        <w:ind w:left="274" w:hanging="274"/>
        <w:rPr>
          <w:sz w:val="20"/>
        </w:rPr>
      </w:pPr>
      <w:r w:rsidRPr="00DA7E13">
        <w:rPr>
          <w:rStyle w:val="FootnoteReference"/>
          <w:sz w:val="20"/>
        </w:rPr>
        <w:footnoteRef/>
      </w:r>
      <w:r w:rsidRPr="003776AE">
        <w:rPr>
          <w:sz w:val="20"/>
        </w:rPr>
        <w:t xml:space="preserve"> </w:t>
      </w:r>
      <w:r w:rsidRPr="003776AE">
        <w:rPr>
          <w:sz w:val="20"/>
        </w:rPr>
        <w:tab/>
        <w:t xml:space="preserve">Specifically, we reference the radio access layer of the 3GPP LTE technical specification, Release 10.  </w:t>
      </w:r>
      <w:r w:rsidRPr="003776AE">
        <w:rPr>
          <w:i/>
          <w:sz w:val="20"/>
        </w:rPr>
        <w:t>See</w:t>
      </w:r>
      <w:r w:rsidRPr="003776AE">
        <w:rPr>
          <w:sz w:val="20"/>
        </w:rPr>
        <w:t xml:space="preserve"> Evolved Universal Terrestrial Radio Access (E-UTRA); Base Station (BS) radio transmission and reception, 3GPP specification detail, </w:t>
      </w:r>
      <w:hyperlink r:id="rId6" w:history="1">
        <w:r w:rsidRPr="003776AE">
          <w:rPr>
            <w:rStyle w:val="Hyperlink"/>
            <w:sz w:val="20"/>
          </w:rPr>
          <w:t>http://www.3gpp.org/DynaReport/36104.htm</w:t>
        </w:r>
      </w:hyperlink>
      <w:r w:rsidRPr="003776AE">
        <w:rPr>
          <w:sz w:val="20"/>
        </w:rPr>
        <w:t xml:space="preserve">, Version 10.11.0.  </w:t>
      </w:r>
      <w:r w:rsidRPr="003776AE">
        <w:rPr>
          <w:i/>
          <w:sz w:val="20"/>
        </w:rPr>
        <w:t>See also</w:t>
      </w:r>
      <w:r w:rsidRPr="003776AE">
        <w:rPr>
          <w:sz w:val="20"/>
        </w:rPr>
        <w:t xml:space="preserve"> Evolved Universal Terrestrial Radio Access (E-UTRA); User Equipment (UE) radio transmission and reception, 3GPP specification detail, </w:t>
      </w:r>
      <w:hyperlink r:id="rId7" w:history="1">
        <w:r w:rsidRPr="003776AE">
          <w:rPr>
            <w:rStyle w:val="Hyperlink"/>
            <w:sz w:val="20"/>
          </w:rPr>
          <w:t>http://www.3gpp.org/DynaReport/36101.htm</w:t>
        </w:r>
      </w:hyperlink>
      <w:r w:rsidRPr="003776AE">
        <w:rPr>
          <w:sz w:val="20"/>
        </w:rPr>
        <w:t xml:space="preserve">, Version 10.12.0.  For a synopsis of LTE deployments to date </w:t>
      </w:r>
      <w:r w:rsidRPr="003776AE">
        <w:rPr>
          <w:i/>
          <w:sz w:val="20"/>
        </w:rPr>
        <w:t>see</w:t>
      </w:r>
      <w:r w:rsidRPr="003776AE">
        <w:rPr>
          <w:sz w:val="20"/>
        </w:rPr>
        <w:t xml:space="preserve">, </w:t>
      </w:r>
      <w:r w:rsidRPr="003776AE">
        <w:rPr>
          <w:i/>
          <w:sz w:val="20"/>
        </w:rPr>
        <w:t>e.g.</w:t>
      </w:r>
      <w:r w:rsidRPr="003776AE">
        <w:rPr>
          <w:sz w:val="20"/>
        </w:rPr>
        <w:t xml:space="preserve">, </w:t>
      </w:r>
      <w:hyperlink r:id="rId8" w:history="1">
        <w:r w:rsidRPr="003776AE">
          <w:rPr>
            <w:rStyle w:val="Hyperlink"/>
            <w:sz w:val="20"/>
          </w:rPr>
          <w:t>http://www.4gamericas.org/index.cfm?fuseaction=pressreleasedisplay&amp;pressreleaseid=4746</w:t>
        </w:r>
      </w:hyperlink>
      <w:r w:rsidRPr="003776AE">
        <w:rPr>
          <w:sz w:val="20"/>
        </w:rPr>
        <w:t>.</w:t>
      </w:r>
    </w:p>
  </w:footnote>
  <w:footnote w:id="19">
    <w:p w14:paraId="0B625BB4" w14:textId="77777777" w:rsidR="005D78D1" w:rsidRPr="003776AE" w:rsidRDefault="005D78D1" w:rsidP="00A51903">
      <w:pPr>
        <w:pStyle w:val="FootnoteText"/>
        <w:ind w:left="270" w:hanging="270"/>
        <w:rPr>
          <w:sz w:val="20"/>
        </w:rPr>
      </w:pPr>
      <w:r>
        <w:rPr>
          <w:rStyle w:val="FootnoteReference"/>
        </w:rPr>
        <w:footnoteRef/>
      </w:r>
      <w:r>
        <w:t xml:space="preserve"> </w:t>
      </w:r>
      <w:r>
        <w:tab/>
      </w:r>
      <w:r w:rsidRPr="003776AE">
        <w:rPr>
          <w:sz w:val="20"/>
        </w:rPr>
        <w:t>The Commission has used the Longley Rice propagation model in several contexts including OET Bulletin Nos. 69, 72 and 73.</w:t>
      </w:r>
    </w:p>
  </w:footnote>
  <w:footnote w:id="20">
    <w:p w14:paraId="5764BCFD" w14:textId="77777777" w:rsidR="005D78D1" w:rsidRPr="003776AE" w:rsidRDefault="005D78D1" w:rsidP="005D78D1">
      <w:pPr>
        <w:pStyle w:val="FootnoteText"/>
        <w:spacing w:after="120"/>
        <w:ind w:left="274" w:hanging="274"/>
        <w:rPr>
          <w:sz w:val="20"/>
        </w:rPr>
      </w:pPr>
      <w:r>
        <w:rPr>
          <w:rStyle w:val="FootnoteReference"/>
        </w:rPr>
        <w:footnoteRef/>
      </w:r>
      <w:r>
        <w:t xml:space="preserve"> </w:t>
      </w:r>
      <w:r>
        <w:tab/>
      </w:r>
      <w:r w:rsidRPr="003776AE">
        <w:rPr>
          <w:i/>
          <w:sz w:val="20"/>
        </w:rPr>
        <w:t>See</w:t>
      </w:r>
      <w:r w:rsidRPr="003776AE">
        <w:rPr>
          <w:sz w:val="20"/>
        </w:rPr>
        <w:t xml:space="preserve"> NPRM 27 FCC Rcd at 12403-04, paras. 127-130.</w:t>
      </w:r>
    </w:p>
  </w:footnote>
  <w:footnote w:id="21">
    <w:p w14:paraId="4EB32361" w14:textId="77777777" w:rsidR="005D78D1" w:rsidRPr="003776AE" w:rsidRDefault="005D78D1" w:rsidP="005D78D1">
      <w:pPr>
        <w:pStyle w:val="FootnoteText"/>
        <w:spacing w:after="120"/>
        <w:ind w:left="274" w:hanging="274"/>
        <w:rPr>
          <w:sz w:val="20"/>
        </w:rPr>
      </w:pPr>
      <w:r w:rsidRPr="003776AE">
        <w:rPr>
          <w:rStyle w:val="FootnoteReference"/>
          <w:sz w:val="20"/>
        </w:rPr>
        <w:footnoteRef/>
      </w:r>
      <w:r w:rsidRPr="003776AE">
        <w:rPr>
          <w:sz w:val="20"/>
        </w:rPr>
        <w:t xml:space="preserve"> </w:t>
      </w:r>
      <w:r w:rsidRPr="003776AE">
        <w:rPr>
          <w:sz w:val="20"/>
        </w:rPr>
        <w:tab/>
      </w:r>
      <w:r w:rsidRPr="003776AE">
        <w:rPr>
          <w:i/>
          <w:sz w:val="20"/>
        </w:rPr>
        <w:t>See</w:t>
      </w:r>
      <w:r w:rsidRPr="003776AE">
        <w:rPr>
          <w:sz w:val="20"/>
        </w:rPr>
        <w:t xml:space="preserve"> NPRM 27 FCC Rcd at 12420, para. 176.</w:t>
      </w:r>
    </w:p>
  </w:footnote>
  <w:footnote w:id="22">
    <w:p w14:paraId="4961288A" w14:textId="77777777" w:rsidR="005D78D1" w:rsidRPr="003776AE" w:rsidRDefault="005D78D1" w:rsidP="005D78D1">
      <w:pPr>
        <w:pStyle w:val="FootnoteText"/>
        <w:spacing w:after="120"/>
        <w:ind w:left="274" w:hanging="274"/>
        <w:rPr>
          <w:sz w:val="20"/>
        </w:rPr>
      </w:pPr>
      <w:r w:rsidRPr="003776AE">
        <w:rPr>
          <w:rStyle w:val="FootnoteReference"/>
          <w:sz w:val="20"/>
        </w:rPr>
        <w:footnoteRef/>
      </w:r>
      <w:r w:rsidRPr="003776AE">
        <w:rPr>
          <w:sz w:val="20"/>
        </w:rPr>
        <w:t xml:space="preserve"> </w:t>
      </w:r>
      <w:r w:rsidRPr="003776AE">
        <w:rPr>
          <w:sz w:val="20"/>
        </w:rPr>
        <w:tab/>
        <w:t xml:space="preserve">Assuming a 5 MHz wireless block bandwidth, the entire 5 MHz wireless signal may overlap co-channel with the 6 MHz passband of a TV receiver.  However, we recognize that multiple contiguous wireless spectrum blocks might be licensed to a single network operator.  For co-channel wireless interference into DTV, where the overlap is +5 MHz, we assume in </w:t>
      </w:r>
      <w:r w:rsidRPr="003776AE">
        <w:rPr>
          <w:sz w:val="20"/>
        </w:rPr>
        <w:fldChar w:fldCharType="begin"/>
      </w:r>
      <w:r w:rsidRPr="003776AE">
        <w:rPr>
          <w:sz w:val="20"/>
        </w:rPr>
        <w:instrText xml:space="preserve"> REF _Ref378166261 \h  \* MERGEFORMAT </w:instrText>
      </w:r>
      <w:r w:rsidRPr="003776AE">
        <w:rPr>
          <w:sz w:val="20"/>
        </w:rPr>
      </w:r>
      <w:r w:rsidRPr="003776AE">
        <w:rPr>
          <w:sz w:val="20"/>
        </w:rPr>
        <w:fldChar w:fldCharType="separate"/>
      </w:r>
      <w:r w:rsidR="00CC6F3D" w:rsidRPr="003776AE">
        <w:rPr>
          <w:sz w:val="20"/>
        </w:rPr>
        <w:t xml:space="preserve">Table </w:t>
      </w:r>
      <w:r w:rsidR="00CC6F3D" w:rsidRPr="003776AE">
        <w:rPr>
          <w:noProof/>
          <w:sz w:val="20"/>
        </w:rPr>
        <w:t>10</w:t>
      </w:r>
      <w:r w:rsidRPr="003776AE">
        <w:rPr>
          <w:sz w:val="20"/>
        </w:rPr>
        <w:fldChar w:fldCharType="end"/>
      </w:r>
      <w:r w:rsidRPr="003776AE">
        <w:rPr>
          <w:sz w:val="20"/>
        </w:rPr>
        <w:t xml:space="preserve"> that the interference power in the wireless block is spread across contiguous adjacent 5 MHz wireless blocks affecting one 6 MHz TV channel.  For co-channel DTV into wireless, we assume that the susceptibility to interference of wireless systems having greater bandwidths are similar to 5 MHz systems, because the applicable 3GPP Technical Specifications shown in </w:t>
      </w:r>
      <w:r w:rsidRPr="003776AE">
        <w:rPr>
          <w:sz w:val="20"/>
        </w:rPr>
        <w:fldChar w:fldCharType="begin"/>
      </w:r>
      <w:r w:rsidRPr="003776AE">
        <w:rPr>
          <w:sz w:val="20"/>
        </w:rPr>
        <w:instrText xml:space="preserve"> REF _Ref378166378 \h  \* MERGEFORMAT </w:instrText>
      </w:r>
      <w:r w:rsidRPr="003776AE">
        <w:rPr>
          <w:sz w:val="20"/>
        </w:rPr>
      </w:r>
      <w:r w:rsidRPr="003776AE">
        <w:rPr>
          <w:sz w:val="20"/>
        </w:rPr>
        <w:fldChar w:fldCharType="separate"/>
      </w:r>
      <w:r w:rsidR="00CC6F3D" w:rsidRPr="003776AE">
        <w:rPr>
          <w:sz w:val="20"/>
        </w:rPr>
        <w:t xml:space="preserve">Table </w:t>
      </w:r>
      <w:r w:rsidR="00CC6F3D" w:rsidRPr="003776AE">
        <w:rPr>
          <w:noProof/>
          <w:sz w:val="20"/>
        </w:rPr>
        <w:t>5</w:t>
      </w:r>
      <w:r w:rsidRPr="003776AE">
        <w:rPr>
          <w:sz w:val="20"/>
        </w:rPr>
        <w:fldChar w:fldCharType="end"/>
      </w:r>
      <w:r w:rsidRPr="003776AE">
        <w:rPr>
          <w:sz w:val="20"/>
        </w:rPr>
        <w:t xml:space="preserve"> and used to derive the uplink row of </w:t>
      </w:r>
      <w:r w:rsidRPr="003776AE">
        <w:rPr>
          <w:sz w:val="20"/>
        </w:rPr>
        <w:fldChar w:fldCharType="begin"/>
      </w:r>
      <w:r w:rsidRPr="003776AE">
        <w:rPr>
          <w:sz w:val="20"/>
        </w:rPr>
        <w:instrText xml:space="preserve"> REF _Ref378166344 \h  \* MERGEFORMAT </w:instrText>
      </w:r>
      <w:r w:rsidRPr="003776AE">
        <w:rPr>
          <w:sz w:val="20"/>
        </w:rPr>
      </w:r>
      <w:r w:rsidRPr="003776AE">
        <w:rPr>
          <w:sz w:val="20"/>
        </w:rPr>
        <w:fldChar w:fldCharType="separate"/>
      </w:r>
      <w:r w:rsidR="00CC6F3D" w:rsidRPr="003776AE">
        <w:rPr>
          <w:sz w:val="20"/>
        </w:rPr>
        <w:t xml:space="preserve">Table </w:t>
      </w:r>
      <w:r w:rsidR="00CC6F3D" w:rsidRPr="003776AE">
        <w:rPr>
          <w:noProof/>
          <w:sz w:val="20"/>
        </w:rPr>
        <w:t>7</w:t>
      </w:r>
      <w:r w:rsidRPr="003776AE">
        <w:rPr>
          <w:sz w:val="20"/>
        </w:rPr>
        <w:fldChar w:fldCharType="end"/>
      </w:r>
      <w:r w:rsidRPr="003776AE">
        <w:rPr>
          <w:sz w:val="20"/>
        </w:rPr>
        <w:t xml:space="preserve"> are similar among 5, 10, 15 and 20 MHz base station (uplink) receiver bandwidths, and also shown in </w:t>
      </w:r>
      <w:r w:rsidRPr="003776AE">
        <w:rPr>
          <w:sz w:val="20"/>
        </w:rPr>
        <w:fldChar w:fldCharType="begin"/>
      </w:r>
      <w:r w:rsidRPr="003776AE">
        <w:rPr>
          <w:sz w:val="20"/>
        </w:rPr>
        <w:instrText xml:space="preserve"> REF _Ref378166386 \h  \* MERGEFORMAT </w:instrText>
      </w:r>
      <w:r w:rsidRPr="003776AE">
        <w:rPr>
          <w:sz w:val="20"/>
        </w:rPr>
      </w:r>
      <w:r w:rsidRPr="003776AE">
        <w:rPr>
          <w:sz w:val="20"/>
        </w:rPr>
        <w:fldChar w:fldCharType="separate"/>
      </w:r>
      <w:r w:rsidR="00CC6F3D" w:rsidRPr="003776AE">
        <w:rPr>
          <w:sz w:val="20"/>
        </w:rPr>
        <w:t xml:space="preserve">Table </w:t>
      </w:r>
      <w:r w:rsidR="00CC6F3D" w:rsidRPr="003776AE">
        <w:rPr>
          <w:noProof/>
          <w:sz w:val="20"/>
        </w:rPr>
        <w:t>6</w:t>
      </w:r>
      <w:r w:rsidRPr="003776AE">
        <w:rPr>
          <w:sz w:val="20"/>
        </w:rPr>
        <w:fldChar w:fldCharType="end"/>
      </w:r>
      <w:r w:rsidRPr="003776AE">
        <w:rPr>
          <w:sz w:val="20"/>
        </w:rPr>
        <w:t xml:space="preserve"> and used to derive the downlink row of </w:t>
      </w:r>
      <w:r w:rsidRPr="003776AE">
        <w:rPr>
          <w:sz w:val="20"/>
        </w:rPr>
        <w:fldChar w:fldCharType="begin"/>
      </w:r>
      <w:r w:rsidRPr="003776AE">
        <w:rPr>
          <w:sz w:val="20"/>
        </w:rPr>
        <w:instrText xml:space="preserve"> REF _Ref378166344 \h  \* MERGEFORMAT </w:instrText>
      </w:r>
      <w:r w:rsidRPr="003776AE">
        <w:rPr>
          <w:sz w:val="20"/>
        </w:rPr>
      </w:r>
      <w:r w:rsidRPr="003776AE">
        <w:rPr>
          <w:sz w:val="20"/>
        </w:rPr>
        <w:fldChar w:fldCharType="separate"/>
      </w:r>
      <w:r w:rsidR="00CC6F3D" w:rsidRPr="003776AE">
        <w:rPr>
          <w:sz w:val="20"/>
        </w:rPr>
        <w:t xml:space="preserve">Table </w:t>
      </w:r>
      <w:r w:rsidR="00CC6F3D" w:rsidRPr="003776AE">
        <w:rPr>
          <w:noProof/>
          <w:sz w:val="20"/>
        </w:rPr>
        <w:t>7</w:t>
      </w:r>
      <w:r w:rsidRPr="003776AE">
        <w:rPr>
          <w:sz w:val="20"/>
        </w:rPr>
        <w:fldChar w:fldCharType="end"/>
      </w:r>
      <w:r w:rsidRPr="003776AE">
        <w:rPr>
          <w:sz w:val="20"/>
        </w:rPr>
        <w:t xml:space="preserve"> are similar among 5 and 10 MHz UE (downlink) receiver bandwidths.</w:t>
      </w:r>
    </w:p>
  </w:footnote>
  <w:footnote w:id="23">
    <w:p w14:paraId="2F5D09FB" w14:textId="77777777" w:rsidR="005D78D1" w:rsidRPr="003776AE" w:rsidRDefault="005D78D1" w:rsidP="005D78D1">
      <w:pPr>
        <w:pStyle w:val="FootnoteText"/>
        <w:spacing w:after="120"/>
        <w:ind w:left="274" w:hanging="274"/>
        <w:rPr>
          <w:sz w:val="20"/>
        </w:rPr>
      </w:pPr>
      <w:r w:rsidRPr="00DA7E13">
        <w:rPr>
          <w:rStyle w:val="FootnoteReference"/>
          <w:sz w:val="20"/>
        </w:rPr>
        <w:footnoteRef/>
      </w:r>
      <w:r w:rsidRPr="003776AE">
        <w:rPr>
          <w:sz w:val="20"/>
        </w:rPr>
        <w:t xml:space="preserve"> </w:t>
      </w:r>
      <w:r w:rsidRPr="003776AE">
        <w:rPr>
          <w:sz w:val="20"/>
        </w:rPr>
        <w:tab/>
        <w:t xml:space="preserve">In the NPRM, the Commission recognized that six megahertz of spectrum separation was sufficient to protect DTV from mobile transmitters.  </w:t>
      </w:r>
      <w:r w:rsidRPr="003776AE">
        <w:rPr>
          <w:i/>
          <w:sz w:val="20"/>
        </w:rPr>
        <w:t xml:space="preserve">See </w:t>
      </w:r>
      <w:r w:rsidRPr="003776AE">
        <w:rPr>
          <w:sz w:val="20"/>
        </w:rPr>
        <w:t>NPRM, 27 FCC Rcd at 12413-14, paras 156, 158.</w:t>
      </w:r>
    </w:p>
  </w:footnote>
  <w:footnote w:id="24">
    <w:p w14:paraId="1F549F7A" w14:textId="56324FA8" w:rsidR="005D78D1" w:rsidRPr="003776AE" w:rsidRDefault="005D78D1" w:rsidP="005D78D1">
      <w:pPr>
        <w:pStyle w:val="FootnoteText"/>
        <w:spacing w:after="120"/>
        <w:ind w:left="274" w:hanging="274"/>
        <w:rPr>
          <w:sz w:val="20"/>
        </w:rPr>
      </w:pPr>
      <w:r w:rsidRPr="003776AE">
        <w:rPr>
          <w:rStyle w:val="FootnoteReference"/>
          <w:sz w:val="20"/>
        </w:rPr>
        <w:footnoteRef/>
      </w:r>
      <w:r w:rsidRPr="003776AE">
        <w:rPr>
          <w:sz w:val="20"/>
        </w:rPr>
        <w:t xml:space="preserve"> </w:t>
      </w:r>
      <w:r w:rsidRPr="003776AE">
        <w:rPr>
          <w:sz w:val="20"/>
        </w:rPr>
        <w:tab/>
        <w:t xml:space="preserve">OET Bulletin No. 69 (Feb. 6, 2004), available at </w:t>
      </w:r>
      <w:hyperlink r:id="rId9" w:history="1">
        <w:r w:rsidRPr="003776AE">
          <w:rPr>
            <w:rStyle w:val="Hyperlink"/>
            <w:sz w:val="20"/>
          </w:rPr>
          <w:t>http://transition.fcc.gov/Bureaus/Engineering_Technology/Documents/bulletins/oet69/oet69.pdf</w:t>
        </w:r>
      </w:hyperlink>
      <w:r w:rsidRPr="003776AE">
        <w:rPr>
          <w:sz w:val="20"/>
        </w:rPr>
        <w:t>.</w:t>
      </w:r>
    </w:p>
  </w:footnote>
  <w:footnote w:id="25">
    <w:p w14:paraId="0C76D521" w14:textId="77777777" w:rsidR="005D78D1" w:rsidRPr="003776AE" w:rsidRDefault="005D78D1" w:rsidP="005D78D1">
      <w:pPr>
        <w:pStyle w:val="FootnoteText"/>
        <w:spacing w:after="120"/>
        <w:ind w:left="274" w:hanging="274"/>
        <w:rPr>
          <w:sz w:val="20"/>
        </w:rPr>
      </w:pPr>
      <w:r w:rsidRPr="003776AE">
        <w:rPr>
          <w:rStyle w:val="FootnoteReference"/>
          <w:sz w:val="20"/>
        </w:rPr>
        <w:footnoteRef/>
      </w:r>
      <w:r w:rsidRPr="003776AE">
        <w:rPr>
          <w:sz w:val="20"/>
        </w:rPr>
        <w:t xml:space="preserve"> </w:t>
      </w:r>
      <w:r w:rsidRPr="003776AE">
        <w:rPr>
          <w:sz w:val="20"/>
        </w:rPr>
        <w:tab/>
        <w:t>Calculation distances from the DTV facility to the grid point are set for a 0 dBµV/m F(50,10) contour.  This generally equates to a distance of about 500 km but varies based on terrain and DTV facility parameters.</w:t>
      </w:r>
    </w:p>
  </w:footnote>
  <w:footnote w:id="26">
    <w:p w14:paraId="45DB033E" w14:textId="1A9EA462" w:rsidR="005D78D1" w:rsidRPr="003776AE" w:rsidRDefault="005D78D1" w:rsidP="005D78D1">
      <w:pPr>
        <w:pStyle w:val="FootnoteText"/>
        <w:spacing w:after="120"/>
        <w:ind w:left="274" w:hanging="274"/>
        <w:rPr>
          <w:sz w:val="20"/>
          <w:lang w:val="en-US"/>
        </w:rPr>
      </w:pPr>
      <w:r>
        <w:rPr>
          <w:rStyle w:val="FootnoteReference"/>
        </w:rPr>
        <w:footnoteRef/>
      </w:r>
      <w:r>
        <w:t xml:space="preserve"> </w:t>
      </w:r>
      <w:r w:rsidRPr="003776AE">
        <w:rPr>
          <w:sz w:val="20"/>
        </w:rPr>
        <w:tab/>
        <w:t xml:space="preserve">“Longley Rice Methodology for Evaluating TV Coverage and Interference,” </w:t>
      </w:r>
      <w:r w:rsidRPr="003776AE">
        <w:rPr>
          <w:sz w:val="20"/>
          <w:u w:val="single"/>
        </w:rPr>
        <w:t>OET Bulletin No. 69</w:t>
      </w:r>
      <w:r w:rsidRPr="003776AE">
        <w:rPr>
          <w:sz w:val="20"/>
        </w:rPr>
        <w:t xml:space="preserve">, February 6, 2004 </w:t>
      </w:r>
      <w:hyperlink r:id="rId10" w:history="1">
        <w:r w:rsidRPr="003776AE">
          <w:rPr>
            <w:rStyle w:val="Hyperlink"/>
            <w:sz w:val="20"/>
          </w:rPr>
          <w:t>http://transition.fcc.gov/Bureaus/Engineering_Technology/Documents/bulletins/oet69/oet69.pdf</w:t>
        </w:r>
      </w:hyperlink>
    </w:p>
  </w:footnote>
  <w:footnote w:id="27">
    <w:p w14:paraId="7E183A76" w14:textId="77777777" w:rsidR="005D78D1" w:rsidRDefault="005D78D1" w:rsidP="005D78D1">
      <w:pPr>
        <w:pStyle w:val="FootnoteText"/>
        <w:spacing w:after="120"/>
        <w:ind w:left="274" w:hanging="274"/>
      </w:pPr>
      <w:r w:rsidRPr="00DA7E13">
        <w:rPr>
          <w:rStyle w:val="FootnoteReference"/>
          <w:sz w:val="20"/>
        </w:rPr>
        <w:footnoteRef/>
      </w:r>
      <w:r w:rsidRPr="003776AE">
        <w:rPr>
          <w:sz w:val="20"/>
        </w:rPr>
        <w:t xml:space="preserve"> </w:t>
      </w:r>
      <w:r w:rsidRPr="003776AE">
        <w:rPr>
          <w:sz w:val="20"/>
        </w:rPr>
        <w:tab/>
        <w:t xml:space="preserve">The 3GPP LTE standard supports a maximum cell radius of 100 kilometers.  In practice, however, cell radii vary from fraction of a kilometer in dense urban environments to tens of kilometers in sparsely populated rural areas.  </w:t>
      </w:r>
      <w:r w:rsidRPr="003776AE">
        <w:rPr>
          <w:i/>
          <w:sz w:val="20"/>
        </w:rPr>
        <w:t>See</w:t>
      </w:r>
      <w:r w:rsidRPr="003776AE">
        <w:rPr>
          <w:sz w:val="20"/>
        </w:rPr>
        <w:t xml:space="preserve"> Commerce Spectrum Management Advisory Committee (CSMAC), Final Report, Working Group 1 – 1695-1710 MHz Meteorological-Satellite, Rev. 1, July 23, 2013, Appendix 3.  The uniform10-kilometer spacing for base station transmitting sites we describe in this appendix approaches a practical limit on computation.</w:t>
      </w:r>
      <w:r w:rsidRPr="00716B38">
        <w:t xml:space="preserve">  </w:t>
      </w:r>
    </w:p>
  </w:footnote>
  <w:footnote w:id="28">
    <w:p w14:paraId="0287B203" w14:textId="77777777" w:rsidR="005D78D1" w:rsidRPr="003776AE" w:rsidRDefault="005D78D1" w:rsidP="00A51903">
      <w:pPr>
        <w:pStyle w:val="FootnoteText"/>
        <w:ind w:left="270" w:hanging="270"/>
        <w:rPr>
          <w:sz w:val="20"/>
        </w:rPr>
      </w:pPr>
      <w:r>
        <w:rPr>
          <w:rStyle w:val="FootnoteReference"/>
        </w:rPr>
        <w:footnoteRef/>
      </w:r>
      <w:r>
        <w:t xml:space="preserve"> </w:t>
      </w:r>
      <w:r>
        <w:tab/>
      </w:r>
      <w:r w:rsidRPr="003776AE">
        <w:rPr>
          <w:sz w:val="20"/>
        </w:rPr>
        <w:t xml:space="preserve">See National Association of Broadcasters (NAB) </w:t>
      </w:r>
      <w:r w:rsidRPr="003776AE">
        <w:rPr>
          <w:i/>
          <w:sz w:val="20"/>
        </w:rPr>
        <w:t>Ex Parte</w:t>
      </w:r>
      <w:r w:rsidRPr="003776AE">
        <w:rPr>
          <w:sz w:val="20"/>
        </w:rPr>
        <w:t xml:space="preserve"> comments file under Proceeding GN 12-268 and received on 10 July 2013.</w:t>
      </w:r>
    </w:p>
  </w:footnote>
  <w:footnote w:id="29">
    <w:p w14:paraId="2AC4DB5B" w14:textId="77777777" w:rsidR="005D78D1" w:rsidRPr="003776AE" w:rsidRDefault="005D78D1" w:rsidP="00A51903">
      <w:pPr>
        <w:pStyle w:val="FootnoteText"/>
        <w:ind w:left="270" w:hanging="270"/>
        <w:rPr>
          <w:sz w:val="20"/>
        </w:rPr>
      </w:pPr>
      <w:r w:rsidRPr="00DA7E13">
        <w:rPr>
          <w:rStyle w:val="FootnoteReference"/>
          <w:sz w:val="20"/>
        </w:rPr>
        <w:footnoteRef/>
      </w:r>
      <w:r w:rsidRPr="003776AE">
        <w:rPr>
          <w:sz w:val="20"/>
        </w:rPr>
        <w:t xml:space="preserve"> </w:t>
      </w:r>
      <w:r w:rsidRPr="003776AE">
        <w:rPr>
          <w:sz w:val="20"/>
        </w:rPr>
        <w:tab/>
      </w:r>
      <w:r w:rsidRPr="003776AE">
        <w:rPr>
          <w:i/>
          <w:sz w:val="20"/>
        </w:rPr>
        <w:t>See</w:t>
      </w:r>
      <w:r w:rsidRPr="003776AE">
        <w:rPr>
          <w:sz w:val="20"/>
        </w:rPr>
        <w:t xml:space="preserve"> 47 CFR § 73.682(d) and § 73.8000.  </w:t>
      </w:r>
      <w:r w:rsidRPr="003776AE">
        <w:rPr>
          <w:i/>
          <w:sz w:val="20"/>
        </w:rPr>
        <w:t>See also</w:t>
      </w:r>
      <w:r w:rsidRPr="003776AE">
        <w:rPr>
          <w:sz w:val="20"/>
        </w:rPr>
        <w:t xml:space="preserve"> OET Bulletin No. 69, Table 5A.</w:t>
      </w:r>
    </w:p>
  </w:footnote>
  <w:footnote w:id="30">
    <w:p w14:paraId="5D2009BA" w14:textId="77777777" w:rsidR="005D78D1" w:rsidRPr="003776AE" w:rsidRDefault="005D78D1" w:rsidP="005D78D1">
      <w:pPr>
        <w:pStyle w:val="FootnoteText"/>
        <w:spacing w:after="120"/>
        <w:ind w:left="274" w:hanging="274"/>
        <w:rPr>
          <w:sz w:val="20"/>
        </w:rPr>
      </w:pPr>
      <w:r w:rsidRPr="00302750">
        <w:rPr>
          <w:rStyle w:val="FootnoteReference"/>
          <w:sz w:val="20"/>
        </w:rPr>
        <w:footnoteRef/>
      </w:r>
      <w:r w:rsidRPr="00302750">
        <w:t xml:space="preserve"> </w:t>
      </w:r>
      <w:r>
        <w:tab/>
      </w:r>
      <w:r w:rsidRPr="003776AE">
        <w:rPr>
          <w:i/>
          <w:sz w:val="20"/>
        </w:rPr>
        <w:t>See</w:t>
      </w:r>
      <w:r w:rsidRPr="003776AE">
        <w:rPr>
          <w:sz w:val="20"/>
        </w:rPr>
        <w:t xml:space="preserve"> Stephen R. Martin, “Interference Rejection Thresholds of Consumer Digital Television Receivers Available in 2005 and 2006,” </w:t>
      </w:r>
      <w:r w:rsidRPr="003776AE">
        <w:rPr>
          <w:sz w:val="20"/>
          <w:u w:val="single"/>
        </w:rPr>
        <w:t>FCC/OET Report TR-07-1003</w:t>
      </w:r>
      <w:r w:rsidRPr="003776AE">
        <w:rPr>
          <w:sz w:val="20"/>
        </w:rPr>
        <w:t xml:space="preserve">, March 30, 2007.  </w:t>
      </w:r>
      <w:r w:rsidRPr="003776AE">
        <w:rPr>
          <w:i/>
          <w:sz w:val="20"/>
        </w:rPr>
        <w:t>See also</w:t>
      </w:r>
      <w:r w:rsidRPr="003776AE">
        <w:rPr>
          <w:sz w:val="20"/>
        </w:rPr>
        <w:t xml:space="preserve"> “Tests of ATSC 8-VSB Reception Performance of Consumer Digital Television Receivers Available in 2005,” </w:t>
      </w:r>
      <w:r w:rsidRPr="003776AE">
        <w:rPr>
          <w:sz w:val="20"/>
          <w:u w:val="single"/>
        </w:rPr>
        <w:t>FCC/OET Report TR-05-1017</w:t>
      </w:r>
      <w:r w:rsidRPr="003776AE">
        <w:rPr>
          <w:sz w:val="20"/>
        </w:rPr>
        <w:t>, November 2, 2005.</w:t>
      </w:r>
    </w:p>
  </w:footnote>
  <w:footnote w:id="31">
    <w:p w14:paraId="312202FB" w14:textId="417D3733" w:rsidR="005D78D1" w:rsidRPr="003776AE" w:rsidRDefault="005D78D1" w:rsidP="005D78D1">
      <w:pPr>
        <w:pStyle w:val="FootnoteText"/>
        <w:spacing w:after="120"/>
        <w:ind w:left="274" w:hanging="274"/>
        <w:rPr>
          <w:sz w:val="20"/>
        </w:rPr>
      </w:pPr>
      <w:r w:rsidRPr="00DA7E13">
        <w:rPr>
          <w:rStyle w:val="FootnoteReference"/>
          <w:sz w:val="20"/>
        </w:rPr>
        <w:footnoteRef/>
      </w:r>
      <w:r w:rsidRPr="003776AE">
        <w:rPr>
          <w:sz w:val="20"/>
        </w:rPr>
        <w:t xml:space="preserve"> </w:t>
      </w:r>
      <w:r w:rsidRPr="003776AE">
        <w:rPr>
          <w:sz w:val="20"/>
        </w:rPr>
        <w:tab/>
      </w:r>
      <w:r w:rsidRPr="003776AE">
        <w:rPr>
          <w:i/>
          <w:sz w:val="20"/>
        </w:rPr>
        <w:t>See</w:t>
      </w:r>
      <w:r w:rsidRPr="003776AE">
        <w:rPr>
          <w:sz w:val="20"/>
        </w:rPr>
        <w:t xml:space="preserve"> </w:t>
      </w:r>
      <w:hyperlink r:id="rId11" w:history="1">
        <w:r w:rsidRPr="003776AE">
          <w:rPr>
            <w:rStyle w:val="Hyperlink"/>
            <w:sz w:val="20"/>
          </w:rPr>
          <w:t>http://www.fcc.gov/guides/dtv-transition-and-lptv-class-translator-stations</w:t>
        </w:r>
      </w:hyperlink>
    </w:p>
  </w:footnote>
  <w:footnote w:id="32">
    <w:p w14:paraId="00D92BEF" w14:textId="77777777" w:rsidR="005D78D1" w:rsidRPr="003776AE" w:rsidRDefault="005D78D1" w:rsidP="005D78D1">
      <w:pPr>
        <w:pStyle w:val="FootnoteText"/>
        <w:spacing w:after="120"/>
        <w:ind w:left="274" w:hanging="274"/>
        <w:rPr>
          <w:sz w:val="20"/>
        </w:rPr>
      </w:pPr>
      <w:r w:rsidRPr="003776AE">
        <w:rPr>
          <w:rStyle w:val="FootnoteReference"/>
          <w:sz w:val="20"/>
        </w:rPr>
        <w:footnoteRef/>
      </w:r>
      <w:r w:rsidRPr="003776AE">
        <w:rPr>
          <w:sz w:val="20"/>
        </w:rPr>
        <w:t xml:space="preserve"> </w:t>
      </w:r>
      <w:r w:rsidRPr="003776AE">
        <w:rPr>
          <w:sz w:val="20"/>
        </w:rPr>
        <w:tab/>
        <w:t xml:space="preserve">The transition for full-power stations from analog to DTV was completed in 2009.  </w:t>
      </w:r>
    </w:p>
  </w:footnote>
  <w:footnote w:id="33">
    <w:p w14:paraId="26770DA6" w14:textId="3D5177E0" w:rsidR="005D78D1" w:rsidRPr="003776AE" w:rsidRDefault="005D78D1" w:rsidP="005D78D1">
      <w:pPr>
        <w:pStyle w:val="FootnoteText"/>
        <w:spacing w:after="120"/>
        <w:ind w:left="274" w:hanging="274"/>
        <w:rPr>
          <w:sz w:val="20"/>
        </w:rPr>
      </w:pPr>
      <w:r w:rsidRPr="003776AE">
        <w:rPr>
          <w:rStyle w:val="FootnoteReference"/>
          <w:sz w:val="20"/>
        </w:rPr>
        <w:footnoteRef/>
      </w:r>
      <w:r w:rsidRPr="003776AE">
        <w:rPr>
          <w:sz w:val="20"/>
        </w:rPr>
        <w:t xml:space="preserve"> </w:t>
      </w:r>
      <w:r w:rsidRPr="003776AE">
        <w:rPr>
          <w:sz w:val="20"/>
        </w:rPr>
        <w:tab/>
      </w:r>
      <w:r w:rsidRPr="003776AE">
        <w:rPr>
          <w:i/>
          <w:sz w:val="20"/>
        </w:rPr>
        <w:t>See</w:t>
      </w:r>
      <w:r w:rsidRPr="003776AE">
        <w:rPr>
          <w:sz w:val="20"/>
        </w:rPr>
        <w:t xml:space="preserve"> </w:t>
      </w:r>
      <w:hyperlink r:id="rId12" w:history="1">
        <w:r w:rsidRPr="003776AE">
          <w:rPr>
            <w:rStyle w:val="Hyperlink"/>
            <w:sz w:val="20"/>
          </w:rPr>
          <w:t>http://www.fcc.gov/encyclopedia/international-agreements</w:t>
        </w:r>
      </w:hyperlink>
    </w:p>
  </w:footnote>
  <w:footnote w:id="34">
    <w:p w14:paraId="40535805" w14:textId="77777777" w:rsidR="005D78D1" w:rsidRPr="003776AE" w:rsidRDefault="005D78D1" w:rsidP="005D78D1">
      <w:pPr>
        <w:pStyle w:val="FootnoteText"/>
        <w:spacing w:after="120"/>
        <w:ind w:left="274" w:hanging="274"/>
        <w:rPr>
          <w:sz w:val="20"/>
        </w:rPr>
      </w:pPr>
      <w:r w:rsidRPr="003776AE">
        <w:rPr>
          <w:rStyle w:val="FootnoteReference"/>
          <w:sz w:val="20"/>
        </w:rPr>
        <w:footnoteRef/>
      </w:r>
      <w:r w:rsidRPr="003776AE">
        <w:rPr>
          <w:sz w:val="20"/>
        </w:rPr>
        <w:t xml:space="preserve"> </w:t>
      </w:r>
      <w:r w:rsidRPr="003776AE">
        <w:rPr>
          <w:sz w:val="20"/>
        </w:rPr>
        <w:tab/>
      </w:r>
      <w:r w:rsidRPr="003776AE">
        <w:rPr>
          <w:i/>
          <w:sz w:val="20"/>
        </w:rPr>
        <w:t>See</w:t>
      </w:r>
      <w:r w:rsidRPr="003776AE">
        <w:rPr>
          <w:sz w:val="20"/>
        </w:rPr>
        <w:t xml:space="preserve"> 47 CFR § 73.622(e).</w:t>
      </w:r>
    </w:p>
  </w:footnote>
  <w:footnote w:id="35">
    <w:p w14:paraId="58649E6E" w14:textId="77777777" w:rsidR="005D78D1" w:rsidRPr="003776AE" w:rsidRDefault="005D78D1" w:rsidP="00A51903">
      <w:pPr>
        <w:pStyle w:val="FootnoteText"/>
        <w:ind w:left="270" w:hanging="270"/>
        <w:rPr>
          <w:sz w:val="20"/>
        </w:rPr>
      </w:pPr>
      <w:r>
        <w:rPr>
          <w:rStyle w:val="FootnoteReference"/>
        </w:rPr>
        <w:footnoteRef/>
      </w:r>
      <w:r>
        <w:t xml:space="preserve"> </w:t>
      </w:r>
      <w:r>
        <w:tab/>
      </w:r>
      <w:r w:rsidRPr="003776AE">
        <w:rPr>
          <w:i/>
          <w:sz w:val="20"/>
        </w:rPr>
        <w:t xml:space="preserve">See </w:t>
      </w:r>
      <w:r w:rsidRPr="003776AE">
        <w:rPr>
          <w:sz w:val="20"/>
        </w:rPr>
        <w:t>OET Bulletin No. 69, Table 3.  The adjustment, K</w:t>
      </w:r>
      <w:r w:rsidRPr="003776AE">
        <w:rPr>
          <w:sz w:val="20"/>
          <w:vertAlign w:val="subscript"/>
        </w:rPr>
        <w:t>a</w:t>
      </w:r>
      <w:r w:rsidRPr="003776AE">
        <w:rPr>
          <w:sz w:val="20"/>
        </w:rPr>
        <w:t xml:space="preserve"> = 20 log[615/(channel mid-frequency in MHz)], is added to K</w:t>
      </w:r>
      <w:r w:rsidRPr="003776AE">
        <w:rPr>
          <w:sz w:val="20"/>
          <w:vertAlign w:val="subscript"/>
        </w:rPr>
        <w:t>d</w:t>
      </w:r>
      <w:r w:rsidRPr="003776AE">
        <w:rPr>
          <w:sz w:val="20"/>
        </w:rPr>
        <w:t xml:space="preserve"> to account for the fact that field strength requirements are greater for UHF channels above the geometric mean frequency of the UHF band and smaller for UHF channels below that frequency.  The geometric mean frequency, 615 MHz, is approximately the mid-frequency of channel 38. </w:t>
      </w:r>
    </w:p>
    <w:p w14:paraId="271EC59E" w14:textId="77777777" w:rsidR="005D78D1" w:rsidRDefault="005D78D1" w:rsidP="00A51903">
      <w:pPr>
        <w:pStyle w:val="FootnoteText"/>
        <w:ind w:left="270" w:hanging="270"/>
      </w:pPr>
    </w:p>
  </w:footnote>
  <w:footnote w:id="36">
    <w:p w14:paraId="62900833" w14:textId="77777777" w:rsidR="005D78D1" w:rsidRPr="003776AE" w:rsidRDefault="005D78D1" w:rsidP="00A51903">
      <w:pPr>
        <w:pStyle w:val="FootnoteText"/>
        <w:ind w:left="270" w:hanging="270"/>
        <w:rPr>
          <w:sz w:val="20"/>
        </w:rPr>
      </w:pPr>
      <w:r>
        <w:rPr>
          <w:rStyle w:val="FootnoteReference"/>
        </w:rPr>
        <w:footnoteRef/>
      </w:r>
      <w:r>
        <w:t xml:space="preserve"> </w:t>
      </w:r>
      <w:r>
        <w:tab/>
      </w:r>
      <w:r w:rsidRPr="003776AE">
        <w:rPr>
          <w:sz w:val="20"/>
        </w:rPr>
        <w:t>We assume -33 dB adjacent channel rejection for the DTV receiver and 43 + 10 log(P) in a 100 kHz bandwidth attenuation for the wireless emission mask.  These flat response curves lead to a constant OFR rejection at spectral overlaps less than 0 MHz.</w:t>
      </w:r>
    </w:p>
  </w:footnote>
  <w:footnote w:id="37">
    <w:p w14:paraId="4A978982" w14:textId="77777777" w:rsidR="005D78D1" w:rsidRDefault="005D78D1" w:rsidP="00A51903">
      <w:pPr>
        <w:pStyle w:val="FootnoteText"/>
        <w:ind w:left="270" w:hanging="270"/>
      </w:pPr>
      <w:r>
        <w:rPr>
          <w:rStyle w:val="FootnoteReference"/>
        </w:rPr>
        <w:footnoteRef/>
      </w:r>
      <w:r>
        <w:t xml:space="preserve"> </w:t>
      </w:r>
      <w:r>
        <w:tab/>
      </w:r>
      <w:r w:rsidRPr="003776AE">
        <w:rPr>
          <w:sz w:val="20"/>
        </w:rPr>
        <w:t>ERP of 720 W = 120 W/MHz x 6 MHz.  This adds an additional 0.8 dB of interference power in the wireless block to simulate operations of wireless base stations transmitting across contiguous adjacent wireless blocks affecting one 6 MHz TV channel.</w:t>
      </w:r>
    </w:p>
  </w:footnote>
  <w:footnote w:id="38">
    <w:p w14:paraId="3283192B" w14:textId="77777777" w:rsidR="005D78D1" w:rsidRDefault="005D78D1" w:rsidP="00A51903">
      <w:pPr>
        <w:pStyle w:val="FootnoteText"/>
        <w:ind w:left="270" w:hanging="270"/>
      </w:pPr>
      <w:r>
        <w:rPr>
          <w:rStyle w:val="FootnoteReference"/>
        </w:rPr>
        <w:footnoteRef/>
      </w:r>
      <w:r>
        <w:t xml:space="preserve"> </w:t>
      </w:r>
      <w:r>
        <w:tab/>
      </w:r>
      <w:r w:rsidRPr="003776AE">
        <w:rPr>
          <w:sz w:val="20"/>
        </w:rPr>
        <w:t>Approximately 41.5° at Low VHF, 45° at High VHF, and 48.1° and UHF.</w:t>
      </w:r>
    </w:p>
  </w:footnote>
  <w:footnote w:id="39">
    <w:p w14:paraId="6A695166" w14:textId="169F5945" w:rsidR="005D78D1" w:rsidRPr="003776AE" w:rsidRDefault="005D78D1" w:rsidP="00A51903">
      <w:pPr>
        <w:pStyle w:val="FootnoteText"/>
        <w:ind w:left="270" w:hanging="270"/>
        <w:rPr>
          <w:sz w:val="20"/>
        </w:rPr>
      </w:pPr>
      <w:r>
        <w:rPr>
          <w:rStyle w:val="FootnoteReference"/>
        </w:rPr>
        <w:footnoteRef/>
      </w:r>
      <w:r>
        <w:t xml:space="preserve"> </w:t>
      </w:r>
      <w:r w:rsidRPr="003776AE">
        <w:rPr>
          <w:sz w:val="20"/>
        </w:rPr>
        <w:tab/>
      </w:r>
      <w:r w:rsidRPr="003776AE">
        <w:rPr>
          <w:i/>
          <w:sz w:val="20"/>
        </w:rPr>
        <w:t>See</w:t>
      </w:r>
      <w:r w:rsidRPr="003776AE">
        <w:rPr>
          <w:sz w:val="20"/>
        </w:rPr>
        <w:t xml:space="preserve"> </w:t>
      </w:r>
      <w:hyperlink r:id="rId13" w:history="1">
        <w:r w:rsidRPr="003776AE">
          <w:rPr>
            <w:rStyle w:val="Hyperlink"/>
            <w:sz w:val="20"/>
          </w:rPr>
          <w:t>http://www.mrlc.gov/nlcd2006.php</w:t>
        </w:r>
      </w:hyperlink>
    </w:p>
  </w:footnote>
  <w:footnote w:id="40">
    <w:p w14:paraId="65649A88" w14:textId="77777777" w:rsidR="005D78D1" w:rsidRPr="003776AE" w:rsidRDefault="005D78D1" w:rsidP="00A51903">
      <w:pPr>
        <w:pStyle w:val="FootnoteText"/>
        <w:ind w:left="270" w:hanging="270"/>
        <w:rPr>
          <w:sz w:val="20"/>
        </w:rPr>
      </w:pPr>
      <w:r>
        <w:rPr>
          <w:rStyle w:val="FootnoteReference"/>
        </w:rPr>
        <w:footnoteRef/>
      </w:r>
      <w:r>
        <w:t xml:space="preserve"> </w:t>
      </w:r>
      <w:r>
        <w:tab/>
      </w:r>
      <w:r w:rsidRPr="003776AE">
        <w:rPr>
          <w:sz w:val="20"/>
        </w:rPr>
        <w:t>The NLCD2006 classification descriptions can be found at http://www.mrlc.gov/nlcd06_leg.php</w:t>
      </w:r>
    </w:p>
  </w:footnote>
  <w:footnote w:id="41">
    <w:p w14:paraId="5F89437F" w14:textId="5E24BD31" w:rsidR="005D78D1" w:rsidRPr="003776AE" w:rsidRDefault="005D78D1" w:rsidP="00A51903">
      <w:pPr>
        <w:pStyle w:val="FootnoteText"/>
        <w:ind w:left="270" w:hanging="270"/>
        <w:rPr>
          <w:sz w:val="20"/>
        </w:rPr>
      </w:pPr>
      <w:r w:rsidRPr="003776AE">
        <w:rPr>
          <w:rStyle w:val="FootnoteReference"/>
          <w:sz w:val="20"/>
        </w:rPr>
        <w:footnoteRef/>
      </w:r>
      <w:r w:rsidRPr="003776AE">
        <w:rPr>
          <w:sz w:val="20"/>
        </w:rPr>
        <w:t xml:space="preserve"> </w:t>
      </w:r>
      <w:r w:rsidRPr="003776AE">
        <w:rPr>
          <w:sz w:val="20"/>
        </w:rPr>
        <w:tab/>
      </w:r>
      <w:r w:rsidRPr="003776AE">
        <w:rPr>
          <w:i/>
          <w:sz w:val="20"/>
        </w:rPr>
        <w:t xml:space="preserve">See </w:t>
      </w:r>
      <w:r w:rsidRPr="003776AE">
        <w:rPr>
          <w:sz w:val="20"/>
        </w:rPr>
        <w:t xml:space="preserve">OET Bulletin No. 73 (Nov. 23, 2010), available at </w:t>
      </w:r>
      <w:hyperlink r:id="rId14" w:history="1">
        <w:r w:rsidRPr="003776AE">
          <w:rPr>
            <w:rStyle w:val="Hyperlink"/>
            <w:sz w:val="20"/>
          </w:rPr>
          <w:t>http://transition.fcc.gov/Bureaus/Engineering_Technology/Documents/bulletins/oet73/oet73.pdf</w:t>
        </w:r>
      </w:hyperlink>
    </w:p>
  </w:footnote>
  <w:footnote w:id="42">
    <w:p w14:paraId="2FEF5526" w14:textId="77777777" w:rsidR="005D78D1" w:rsidRPr="003776AE" w:rsidRDefault="005D78D1" w:rsidP="00A51903">
      <w:pPr>
        <w:pStyle w:val="FootnoteText"/>
        <w:ind w:left="270" w:hanging="270"/>
        <w:rPr>
          <w:sz w:val="20"/>
        </w:rPr>
      </w:pPr>
      <w:r>
        <w:rPr>
          <w:rStyle w:val="FootnoteReference"/>
        </w:rPr>
        <w:footnoteRef/>
      </w:r>
      <w:r>
        <w:t xml:space="preserve"> </w:t>
      </w:r>
      <w:r>
        <w:tab/>
      </w:r>
      <w:r w:rsidRPr="003776AE">
        <w:rPr>
          <w:sz w:val="20"/>
        </w:rPr>
        <w:t>For cases involving wireless user equipment (Cases 2 and 4), in which half of the link is presumed to be at a height below the clutter, we adjusted clutter losses to account for the presumed 1.5 meter user equipment height.  We used the nominal clutter category heights provided in ITU Recommendation P.452 (http://www.itu.int/rec/R-REC-P.452/en), along with the equations included in that recommendation, to develop adjustment factors for each clutter category, and reduced the clutter values on the record in OET Bulletin No. 73 by our derived adjustment factors.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E6BB" w14:textId="77777777" w:rsidR="003F6829" w:rsidRDefault="003F6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318F" w14:textId="77777777" w:rsidR="003F6829" w:rsidRDefault="003F6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B6E4" w14:textId="77777777" w:rsidR="005D78D1" w:rsidRDefault="005D78D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C39B7C5" wp14:editId="4D4BF561">
          <wp:simplePos x="0" y="0"/>
          <wp:positionH relativeFrom="column">
            <wp:posOffset>30480</wp:posOffset>
          </wp:positionH>
          <wp:positionV relativeFrom="paragraph">
            <wp:posOffset>0</wp:posOffset>
          </wp:positionV>
          <wp:extent cx="530225" cy="530225"/>
          <wp:effectExtent l="0" t="0" r="0" b="0"/>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6116AF8" wp14:editId="1541990B">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21B33" w14:textId="77777777" w:rsidR="005D78D1" w:rsidRDefault="005D78D1">
                          <w:pPr>
                            <w:rPr>
                              <w:rFonts w:ascii="Arial" w:hAnsi="Arial"/>
                              <w:b/>
                            </w:rPr>
                          </w:pPr>
                          <w:r>
                            <w:rPr>
                              <w:rFonts w:ascii="Arial" w:hAnsi="Arial"/>
                              <w:b/>
                            </w:rPr>
                            <w:t>Federal Communications Commission</w:t>
                          </w:r>
                        </w:p>
                        <w:p w14:paraId="796A5874" w14:textId="77777777" w:rsidR="005D78D1" w:rsidRDefault="005D78D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FD04DAD" w14:textId="77777777" w:rsidR="005D78D1" w:rsidRDefault="005D78D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14:paraId="4AD21B33" w14:textId="77777777" w:rsidR="005D78D1" w:rsidRDefault="005D78D1">
                    <w:pPr>
                      <w:rPr>
                        <w:rFonts w:ascii="Arial" w:hAnsi="Arial"/>
                        <w:b/>
                      </w:rPr>
                    </w:pPr>
                    <w:r>
                      <w:rPr>
                        <w:rFonts w:ascii="Arial" w:hAnsi="Arial"/>
                        <w:b/>
                      </w:rPr>
                      <w:t>Federal Communications Commission</w:t>
                    </w:r>
                  </w:p>
                  <w:p w14:paraId="796A5874" w14:textId="77777777" w:rsidR="005D78D1" w:rsidRDefault="005D78D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FD04DAD" w14:textId="77777777" w:rsidR="005D78D1" w:rsidRDefault="005D78D1">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14:paraId="75AA15DA" w14:textId="77777777" w:rsidR="005D78D1" w:rsidRDefault="005D78D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098F2AC" wp14:editId="56A26263">
              <wp:simplePos x="0" y="0"/>
              <wp:positionH relativeFrom="column">
                <wp:posOffset>3992245</wp:posOffset>
              </wp:positionH>
              <wp:positionV relativeFrom="paragraph">
                <wp:posOffset>76200</wp:posOffset>
              </wp:positionV>
              <wp:extent cx="223774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4C43" w14:textId="77777777" w:rsidR="005D78D1" w:rsidRDefault="005D78D1">
                          <w:pPr>
                            <w:spacing w:before="40"/>
                            <w:jc w:val="right"/>
                            <w:rPr>
                              <w:rFonts w:ascii="Arial" w:hAnsi="Arial"/>
                              <w:b/>
                              <w:sz w:val="16"/>
                            </w:rPr>
                          </w:pPr>
                          <w:r>
                            <w:rPr>
                              <w:rFonts w:ascii="Arial" w:hAnsi="Arial"/>
                              <w:b/>
                              <w:sz w:val="16"/>
                            </w:rPr>
                            <w:t>News Media Information 202 / 418-0500</w:t>
                          </w:r>
                        </w:p>
                        <w:p w14:paraId="618A80C7" w14:textId="77777777" w:rsidR="005D78D1" w:rsidRDefault="005D78D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97B355A" w14:textId="77777777" w:rsidR="005D78D1" w:rsidRDefault="005D78D1">
                          <w:pPr>
                            <w:jc w:val="right"/>
                            <w:rPr>
                              <w:rFonts w:ascii="Arial" w:hAnsi="Arial"/>
                              <w:b/>
                              <w:sz w:val="16"/>
                            </w:rPr>
                          </w:pPr>
                          <w:r>
                            <w:rPr>
                              <w:rFonts w:ascii="Arial" w:hAnsi="Arial"/>
                              <w:b/>
                              <w:sz w:val="16"/>
                            </w:rPr>
                            <w:t>TTY: 1-888-835-5322</w:t>
                          </w:r>
                        </w:p>
                        <w:p w14:paraId="26BA761E" w14:textId="77777777" w:rsidR="005D78D1" w:rsidRDefault="005D78D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4.35pt;margin-top:6pt;width:176.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" stroked="f">
              <v:textbox inset=",0,,0">
                <w:txbxContent>
                  <w:p w14:paraId="56504C43" w14:textId="77777777" w:rsidR="005D78D1" w:rsidRDefault="005D78D1">
                    <w:pPr>
                      <w:spacing w:before="40"/>
                      <w:jc w:val="right"/>
                      <w:rPr>
                        <w:rFonts w:ascii="Arial" w:hAnsi="Arial"/>
                        <w:b/>
                        <w:sz w:val="16"/>
                      </w:rPr>
                    </w:pPr>
                    <w:r>
                      <w:rPr>
                        <w:rFonts w:ascii="Arial" w:hAnsi="Arial"/>
                        <w:b/>
                        <w:sz w:val="16"/>
                      </w:rPr>
                      <w:t>News Media Information 202 / 418-0500</w:t>
                    </w:r>
                  </w:p>
                  <w:p w14:paraId="618A80C7" w14:textId="77777777" w:rsidR="005D78D1" w:rsidRDefault="005D78D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97B355A" w14:textId="77777777" w:rsidR="005D78D1" w:rsidRDefault="005D78D1">
                    <w:pPr>
                      <w:jc w:val="right"/>
                      <w:rPr>
                        <w:rFonts w:ascii="Arial" w:hAnsi="Arial"/>
                        <w:b/>
                        <w:sz w:val="16"/>
                      </w:rPr>
                    </w:pPr>
                    <w:r>
                      <w:rPr>
                        <w:rFonts w:ascii="Arial" w:hAnsi="Arial"/>
                        <w:b/>
                        <w:sz w:val="16"/>
                      </w:rPr>
                      <w:t>TTY: 1-888-835-5322</w:t>
                    </w:r>
                  </w:p>
                  <w:p w14:paraId="26BA761E" w14:textId="77777777" w:rsidR="005D78D1" w:rsidRDefault="005D78D1">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2EA548C2" wp14:editId="15E4F752">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64C1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14:paraId="191541E9" w14:textId="77777777" w:rsidR="005D78D1" w:rsidRDefault="005D78D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FA0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E81FAC"/>
    <w:multiLevelType w:val="hybridMultilevel"/>
    <w:tmpl w:val="A7F2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174A3"/>
    <w:multiLevelType w:val="hybridMultilevel"/>
    <w:tmpl w:val="E8325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E00723"/>
    <w:multiLevelType w:val="hybridMultilevel"/>
    <w:tmpl w:val="E7B479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2B4100B"/>
    <w:multiLevelType w:val="multilevel"/>
    <w:tmpl w:val="713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CFB5A31"/>
    <w:multiLevelType w:val="hybridMultilevel"/>
    <w:tmpl w:val="F5A0A53E"/>
    <w:lvl w:ilvl="0" w:tplc="D2C6B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ED2B5B"/>
    <w:multiLevelType w:val="multilevel"/>
    <w:tmpl w:val="FAA2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384C02"/>
    <w:multiLevelType w:val="multilevel"/>
    <w:tmpl w:val="4E9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34C95"/>
    <w:multiLevelType w:val="hybridMultilevel"/>
    <w:tmpl w:val="177C510E"/>
    <w:lvl w:ilvl="0" w:tplc="04090001">
      <w:start w:val="1"/>
      <w:numFmt w:val="bullet"/>
      <w:lvlText w:val=""/>
      <w:lvlJc w:val="left"/>
      <w:pPr>
        <w:ind w:left="1443" w:hanging="360"/>
      </w:pPr>
      <w:rPr>
        <w:rFonts w:ascii="Symbol" w:hAnsi="Symbol" w:hint="default"/>
      </w:rPr>
    </w:lvl>
    <w:lvl w:ilvl="1" w:tplc="AEEC0BAC">
      <w:start w:val="1"/>
      <w:numFmt w:val="bullet"/>
      <w:lvlText w:val="•"/>
      <w:lvlJc w:val="left"/>
      <w:pPr>
        <w:ind w:left="2163" w:hanging="360"/>
      </w:pPr>
      <w:rPr>
        <w:rFonts w:ascii="Times New Roman" w:hAnsi="Times New Roman"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F6648F7"/>
    <w:multiLevelType w:val="hybridMultilevel"/>
    <w:tmpl w:val="C2E8D046"/>
    <w:lvl w:ilvl="0" w:tplc="54022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3F3239"/>
    <w:multiLevelType w:val="multilevel"/>
    <w:tmpl w:val="07F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A70E6"/>
    <w:multiLevelType w:val="hybridMultilevel"/>
    <w:tmpl w:val="EDF8DB10"/>
    <w:lvl w:ilvl="0" w:tplc="04090001">
      <w:start w:val="1"/>
      <w:numFmt w:val="bullet"/>
      <w:lvlText w:val=""/>
      <w:lvlJc w:val="left"/>
      <w:pPr>
        <w:ind w:left="843" w:hanging="360"/>
      </w:pPr>
      <w:rPr>
        <w:rFonts w:ascii="Symbol" w:hAnsi="Symbol" w:hint="default"/>
      </w:rPr>
    </w:lvl>
    <w:lvl w:ilvl="1" w:tplc="04090003">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9002687"/>
    <w:multiLevelType w:val="multilevel"/>
    <w:tmpl w:val="A7E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5FAB6570"/>
    <w:multiLevelType w:val="multilevel"/>
    <w:tmpl w:val="4A7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8">
    <w:nsid w:val="719F25CD"/>
    <w:multiLevelType w:val="singleLevel"/>
    <w:tmpl w:val="223EFE6A"/>
    <w:lvl w:ilvl="0">
      <w:start w:val="1"/>
      <w:numFmt w:val="decimal"/>
      <w:lvlText w:val="%1."/>
      <w:lvlJc w:val="left"/>
      <w:pPr>
        <w:tabs>
          <w:tab w:val="num" w:pos="360"/>
        </w:tabs>
        <w:ind w:left="0" w:firstLine="0"/>
      </w:pPr>
      <w:rPr>
        <w:rFonts w:ascii="Times New Roman" w:hAnsi="Times New Roman" w:hint="default"/>
        <w:b w:val="0"/>
        <w:i w:val="0"/>
        <w:sz w:val="24"/>
      </w:rPr>
    </w:lvl>
  </w:abstractNum>
  <w:abstractNum w:abstractNumId="29">
    <w:nsid w:val="7EE60578"/>
    <w:multiLevelType w:val="hybridMultilevel"/>
    <w:tmpl w:val="1F1CEF4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0">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24"/>
  </w:num>
  <w:num w:numId="2">
    <w:abstractNumId w:val="22"/>
  </w:num>
  <w:num w:numId="3">
    <w:abstractNumId w:val="25"/>
  </w:num>
  <w:num w:numId="4">
    <w:abstractNumId w:val="10"/>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1"/>
  </w:num>
  <w:num w:numId="12">
    <w:abstractNumId w:val="14"/>
  </w:num>
  <w:num w:numId="13">
    <w:abstractNumId w:val="20"/>
  </w:num>
  <w:num w:numId="14">
    <w:abstractNumId w:val="29"/>
  </w:num>
  <w:num w:numId="15">
    <w:abstractNumId w:val="5"/>
  </w:num>
  <w:num w:numId="16">
    <w:abstractNumId w:val="26"/>
  </w:num>
  <w:num w:numId="17">
    <w:abstractNumId w:val="0"/>
  </w:num>
  <w:num w:numId="18">
    <w:abstractNumId w:val="19"/>
  </w:num>
  <w:num w:numId="19">
    <w:abstractNumId w:val="12"/>
  </w:num>
  <w:num w:numId="20">
    <w:abstractNumId w:val="23"/>
  </w:num>
  <w:num w:numId="21">
    <w:abstractNumId w:val="6"/>
  </w:num>
  <w:num w:numId="22">
    <w:abstractNumId w:val="15"/>
  </w:num>
  <w:num w:numId="23">
    <w:abstractNumId w:val="4"/>
  </w:num>
  <w:num w:numId="24">
    <w:abstractNumId w:val="2"/>
  </w:num>
  <w:num w:numId="25">
    <w:abstractNumId w:val="16"/>
  </w:num>
  <w:num w:numId="26">
    <w:abstractNumId w:val="7"/>
  </w:num>
  <w:num w:numId="27">
    <w:abstractNumId w:val="27"/>
  </w:num>
  <w:num w:numId="28">
    <w:abstractNumId w:val="9"/>
  </w:num>
  <w:num w:numId="29">
    <w:abstractNumId w:val="1"/>
  </w:num>
  <w:num w:numId="30">
    <w:abstractNumId w:val="30"/>
  </w:num>
  <w:num w:numId="31">
    <w:abstractNumId w:val="13"/>
  </w:num>
  <w:num w:numId="32">
    <w:abstractNumId w:val="28"/>
  </w:num>
  <w:num w:numId="33">
    <w:abstractNumId w:val="17"/>
  </w:num>
  <w:num w:numId="34">
    <w:abstractNumId w:val="8"/>
  </w:num>
  <w:num w:numId="35">
    <w:abstractNumId w:val="3"/>
  </w:num>
  <w:num w:numId="36">
    <w:abstractNumId w:val="18"/>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pavon">
    <w15:presenceInfo w15:providerId="Windows Live" w15:userId="ae38a79f0e0638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B3"/>
    <w:rsid w:val="00004ED4"/>
    <w:rsid w:val="000112AE"/>
    <w:rsid w:val="00011562"/>
    <w:rsid w:val="0001171D"/>
    <w:rsid w:val="00011C3C"/>
    <w:rsid w:val="00012C6B"/>
    <w:rsid w:val="0002326C"/>
    <w:rsid w:val="00025615"/>
    <w:rsid w:val="000339B0"/>
    <w:rsid w:val="00034575"/>
    <w:rsid w:val="00041F43"/>
    <w:rsid w:val="0004278C"/>
    <w:rsid w:val="0004520B"/>
    <w:rsid w:val="000469A3"/>
    <w:rsid w:val="000469CA"/>
    <w:rsid w:val="00055F26"/>
    <w:rsid w:val="00073FF0"/>
    <w:rsid w:val="00074276"/>
    <w:rsid w:val="00084E00"/>
    <w:rsid w:val="000A0EEF"/>
    <w:rsid w:val="000A1C17"/>
    <w:rsid w:val="000B53CB"/>
    <w:rsid w:val="000C0385"/>
    <w:rsid w:val="000C0635"/>
    <w:rsid w:val="000C6DE3"/>
    <w:rsid w:val="000C759F"/>
    <w:rsid w:val="000D0F3B"/>
    <w:rsid w:val="000E2D5E"/>
    <w:rsid w:val="000E76A4"/>
    <w:rsid w:val="000F1F0F"/>
    <w:rsid w:val="000F66E7"/>
    <w:rsid w:val="000F7629"/>
    <w:rsid w:val="00103F14"/>
    <w:rsid w:val="001044B1"/>
    <w:rsid w:val="00112464"/>
    <w:rsid w:val="00113344"/>
    <w:rsid w:val="00115451"/>
    <w:rsid w:val="0011688D"/>
    <w:rsid w:val="00116D5D"/>
    <w:rsid w:val="001207ED"/>
    <w:rsid w:val="00120D11"/>
    <w:rsid w:val="001224F5"/>
    <w:rsid w:val="00126B57"/>
    <w:rsid w:val="00126E62"/>
    <w:rsid w:val="0012739A"/>
    <w:rsid w:val="00132633"/>
    <w:rsid w:val="001332D6"/>
    <w:rsid w:val="0014350A"/>
    <w:rsid w:val="0014797D"/>
    <w:rsid w:val="00147AD9"/>
    <w:rsid w:val="00150BB0"/>
    <w:rsid w:val="0015603B"/>
    <w:rsid w:val="001676A7"/>
    <w:rsid w:val="00171B51"/>
    <w:rsid w:val="0018714C"/>
    <w:rsid w:val="00191B83"/>
    <w:rsid w:val="0019637C"/>
    <w:rsid w:val="001A003E"/>
    <w:rsid w:val="001A5929"/>
    <w:rsid w:val="001A6D66"/>
    <w:rsid w:val="001C0192"/>
    <w:rsid w:val="001D7D00"/>
    <w:rsid w:val="001E0F81"/>
    <w:rsid w:val="001E13F0"/>
    <w:rsid w:val="001E1805"/>
    <w:rsid w:val="001E2579"/>
    <w:rsid w:val="001F145F"/>
    <w:rsid w:val="001F61B4"/>
    <w:rsid w:val="001F76FC"/>
    <w:rsid w:val="00202097"/>
    <w:rsid w:val="002026BD"/>
    <w:rsid w:val="00203847"/>
    <w:rsid w:val="00206DFA"/>
    <w:rsid w:val="002107A8"/>
    <w:rsid w:val="00220D92"/>
    <w:rsid w:val="002347CA"/>
    <w:rsid w:val="0023548F"/>
    <w:rsid w:val="00240564"/>
    <w:rsid w:val="00241857"/>
    <w:rsid w:val="002418D4"/>
    <w:rsid w:val="00243ECF"/>
    <w:rsid w:val="002445BE"/>
    <w:rsid w:val="00265543"/>
    <w:rsid w:val="002904FE"/>
    <w:rsid w:val="002920FF"/>
    <w:rsid w:val="00292834"/>
    <w:rsid w:val="002A5DE1"/>
    <w:rsid w:val="002B26ED"/>
    <w:rsid w:val="002C6618"/>
    <w:rsid w:val="002C66AA"/>
    <w:rsid w:val="002D23AF"/>
    <w:rsid w:val="002D2FFF"/>
    <w:rsid w:val="002D5D15"/>
    <w:rsid w:val="002D6CDC"/>
    <w:rsid w:val="002E4774"/>
    <w:rsid w:val="002E528F"/>
    <w:rsid w:val="002F1495"/>
    <w:rsid w:val="002F374B"/>
    <w:rsid w:val="002F4DCE"/>
    <w:rsid w:val="00301327"/>
    <w:rsid w:val="00303CA7"/>
    <w:rsid w:val="003102D3"/>
    <w:rsid w:val="0031044E"/>
    <w:rsid w:val="00313E9C"/>
    <w:rsid w:val="00314E0F"/>
    <w:rsid w:val="0032133F"/>
    <w:rsid w:val="00331729"/>
    <w:rsid w:val="00331798"/>
    <w:rsid w:val="00332C80"/>
    <w:rsid w:val="00342F28"/>
    <w:rsid w:val="00347AD5"/>
    <w:rsid w:val="00352931"/>
    <w:rsid w:val="00365131"/>
    <w:rsid w:val="00365BF3"/>
    <w:rsid w:val="00371869"/>
    <w:rsid w:val="0037438A"/>
    <w:rsid w:val="003754E5"/>
    <w:rsid w:val="003776AE"/>
    <w:rsid w:val="0038768E"/>
    <w:rsid w:val="0039001B"/>
    <w:rsid w:val="0039078B"/>
    <w:rsid w:val="00397315"/>
    <w:rsid w:val="003A4F0F"/>
    <w:rsid w:val="003A71EF"/>
    <w:rsid w:val="003B4885"/>
    <w:rsid w:val="003B5613"/>
    <w:rsid w:val="003B5C62"/>
    <w:rsid w:val="003B73F4"/>
    <w:rsid w:val="003C0821"/>
    <w:rsid w:val="003C462D"/>
    <w:rsid w:val="003C7532"/>
    <w:rsid w:val="003D4705"/>
    <w:rsid w:val="003D4B1D"/>
    <w:rsid w:val="003E3856"/>
    <w:rsid w:val="003E3CCE"/>
    <w:rsid w:val="003E5B72"/>
    <w:rsid w:val="003F0657"/>
    <w:rsid w:val="003F192E"/>
    <w:rsid w:val="003F5027"/>
    <w:rsid w:val="003F6829"/>
    <w:rsid w:val="003F7213"/>
    <w:rsid w:val="0040008C"/>
    <w:rsid w:val="0040728F"/>
    <w:rsid w:val="00407DF9"/>
    <w:rsid w:val="00415EF4"/>
    <w:rsid w:val="00421F29"/>
    <w:rsid w:val="00425311"/>
    <w:rsid w:val="004308E0"/>
    <w:rsid w:val="0044160E"/>
    <w:rsid w:val="00454FC7"/>
    <w:rsid w:val="00456890"/>
    <w:rsid w:val="00460D1D"/>
    <w:rsid w:val="004716BC"/>
    <w:rsid w:val="00473D7C"/>
    <w:rsid w:val="0047404B"/>
    <w:rsid w:val="004743F2"/>
    <w:rsid w:val="0048546B"/>
    <w:rsid w:val="0049507F"/>
    <w:rsid w:val="00496324"/>
    <w:rsid w:val="004A33BB"/>
    <w:rsid w:val="004B4D04"/>
    <w:rsid w:val="004B588F"/>
    <w:rsid w:val="004B7AA9"/>
    <w:rsid w:val="004D4220"/>
    <w:rsid w:val="004D65D1"/>
    <w:rsid w:val="004E1644"/>
    <w:rsid w:val="004E2B17"/>
    <w:rsid w:val="004E3867"/>
    <w:rsid w:val="004E6B53"/>
    <w:rsid w:val="004F4AEB"/>
    <w:rsid w:val="00501D79"/>
    <w:rsid w:val="00510629"/>
    <w:rsid w:val="005166C8"/>
    <w:rsid w:val="00522665"/>
    <w:rsid w:val="00525037"/>
    <w:rsid w:val="00526D24"/>
    <w:rsid w:val="00535A69"/>
    <w:rsid w:val="005406EE"/>
    <w:rsid w:val="005445AB"/>
    <w:rsid w:val="00556F69"/>
    <w:rsid w:val="00561FA3"/>
    <w:rsid w:val="005658FE"/>
    <w:rsid w:val="005703E2"/>
    <w:rsid w:val="00574138"/>
    <w:rsid w:val="00575E5C"/>
    <w:rsid w:val="005804A8"/>
    <w:rsid w:val="0058403E"/>
    <w:rsid w:val="00584091"/>
    <w:rsid w:val="00585A5E"/>
    <w:rsid w:val="00586773"/>
    <w:rsid w:val="00586A36"/>
    <w:rsid w:val="00586FCA"/>
    <w:rsid w:val="00590593"/>
    <w:rsid w:val="005963A1"/>
    <w:rsid w:val="005978C6"/>
    <w:rsid w:val="005A1161"/>
    <w:rsid w:val="005A1738"/>
    <w:rsid w:val="005A45C6"/>
    <w:rsid w:val="005B2DC1"/>
    <w:rsid w:val="005B4D01"/>
    <w:rsid w:val="005B6F0E"/>
    <w:rsid w:val="005C0F09"/>
    <w:rsid w:val="005C5E1A"/>
    <w:rsid w:val="005C7EA9"/>
    <w:rsid w:val="005D4C15"/>
    <w:rsid w:val="005D78D1"/>
    <w:rsid w:val="005E1E7E"/>
    <w:rsid w:val="005E27E3"/>
    <w:rsid w:val="005E64C5"/>
    <w:rsid w:val="005F0257"/>
    <w:rsid w:val="006012E4"/>
    <w:rsid w:val="00601736"/>
    <w:rsid w:val="00601D10"/>
    <w:rsid w:val="006044AF"/>
    <w:rsid w:val="00604D83"/>
    <w:rsid w:val="006077F0"/>
    <w:rsid w:val="00614A09"/>
    <w:rsid w:val="00614BB9"/>
    <w:rsid w:val="00626DF2"/>
    <w:rsid w:val="0063286C"/>
    <w:rsid w:val="00641613"/>
    <w:rsid w:val="00652269"/>
    <w:rsid w:val="006535F2"/>
    <w:rsid w:val="00656A0D"/>
    <w:rsid w:val="006649D6"/>
    <w:rsid w:val="00664B63"/>
    <w:rsid w:val="00664FDF"/>
    <w:rsid w:val="006703A1"/>
    <w:rsid w:val="00676256"/>
    <w:rsid w:val="00676EF1"/>
    <w:rsid w:val="00681863"/>
    <w:rsid w:val="0068676C"/>
    <w:rsid w:val="006951C9"/>
    <w:rsid w:val="006A3919"/>
    <w:rsid w:val="006A7FBF"/>
    <w:rsid w:val="006B2FD7"/>
    <w:rsid w:val="006B3F4E"/>
    <w:rsid w:val="006B4B82"/>
    <w:rsid w:val="006B4BB2"/>
    <w:rsid w:val="006B55B5"/>
    <w:rsid w:val="006B7EBC"/>
    <w:rsid w:val="006C38D3"/>
    <w:rsid w:val="006C40DF"/>
    <w:rsid w:val="006D781F"/>
    <w:rsid w:val="006E08EE"/>
    <w:rsid w:val="006E4AC9"/>
    <w:rsid w:val="006F4BBA"/>
    <w:rsid w:val="006F4F45"/>
    <w:rsid w:val="006F6F81"/>
    <w:rsid w:val="006F6F98"/>
    <w:rsid w:val="00703840"/>
    <w:rsid w:val="00705E8A"/>
    <w:rsid w:val="00714105"/>
    <w:rsid w:val="00715A1B"/>
    <w:rsid w:val="00720D4D"/>
    <w:rsid w:val="007234B3"/>
    <w:rsid w:val="00726972"/>
    <w:rsid w:val="00727D31"/>
    <w:rsid w:val="00730539"/>
    <w:rsid w:val="0073142C"/>
    <w:rsid w:val="00732CCC"/>
    <w:rsid w:val="0074001E"/>
    <w:rsid w:val="007465D9"/>
    <w:rsid w:val="00746EAD"/>
    <w:rsid w:val="00761A64"/>
    <w:rsid w:val="00770963"/>
    <w:rsid w:val="00776504"/>
    <w:rsid w:val="007765EB"/>
    <w:rsid w:val="00776D64"/>
    <w:rsid w:val="00785145"/>
    <w:rsid w:val="00785A2C"/>
    <w:rsid w:val="007865AC"/>
    <w:rsid w:val="00794188"/>
    <w:rsid w:val="0079463E"/>
    <w:rsid w:val="00794FEC"/>
    <w:rsid w:val="007969E5"/>
    <w:rsid w:val="007A3F19"/>
    <w:rsid w:val="007A708B"/>
    <w:rsid w:val="007B0326"/>
    <w:rsid w:val="007B0DDC"/>
    <w:rsid w:val="007B1A79"/>
    <w:rsid w:val="007B7983"/>
    <w:rsid w:val="007C37CA"/>
    <w:rsid w:val="007C6FA5"/>
    <w:rsid w:val="007C794D"/>
    <w:rsid w:val="007D2EE3"/>
    <w:rsid w:val="007D3464"/>
    <w:rsid w:val="007D6F3F"/>
    <w:rsid w:val="007E170E"/>
    <w:rsid w:val="007E1A24"/>
    <w:rsid w:val="007F0520"/>
    <w:rsid w:val="007F37A8"/>
    <w:rsid w:val="007F6794"/>
    <w:rsid w:val="00801D44"/>
    <w:rsid w:val="00806453"/>
    <w:rsid w:val="00807E26"/>
    <w:rsid w:val="00811528"/>
    <w:rsid w:val="00812DCC"/>
    <w:rsid w:val="0081698A"/>
    <w:rsid w:val="00816BB5"/>
    <w:rsid w:val="00817978"/>
    <w:rsid w:val="00823883"/>
    <w:rsid w:val="008271A0"/>
    <w:rsid w:val="00827BE7"/>
    <w:rsid w:val="00831443"/>
    <w:rsid w:val="0084011E"/>
    <w:rsid w:val="00841D1A"/>
    <w:rsid w:val="0085063C"/>
    <w:rsid w:val="00854967"/>
    <w:rsid w:val="008618FE"/>
    <w:rsid w:val="00864705"/>
    <w:rsid w:val="008657B3"/>
    <w:rsid w:val="00872B56"/>
    <w:rsid w:val="00876039"/>
    <w:rsid w:val="008830C0"/>
    <w:rsid w:val="00884B83"/>
    <w:rsid w:val="008917A5"/>
    <w:rsid w:val="00892FBC"/>
    <w:rsid w:val="008A1DC5"/>
    <w:rsid w:val="008B0C25"/>
    <w:rsid w:val="008C2F35"/>
    <w:rsid w:val="008C3378"/>
    <w:rsid w:val="008C3723"/>
    <w:rsid w:val="008D036E"/>
    <w:rsid w:val="008D5424"/>
    <w:rsid w:val="008E3C61"/>
    <w:rsid w:val="008F07C9"/>
    <w:rsid w:val="008F6BEB"/>
    <w:rsid w:val="00925423"/>
    <w:rsid w:val="00925C21"/>
    <w:rsid w:val="00925D25"/>
    <w:rsid w:val="009273B4"/>
    <w:rsid w:val="009309AA"/>
    <w:rsid w:val="009310F2"/>
    <w:rsid w:val="009456AA"/>
    <w:rsid w:val="00945867"/>
    <w:rsid w:val="009471CA"/>
    <w:rsid w:val="009552FE"/>
    <w:rsid w:val="00964A5D"/>
    <w:rsid w:val="00975A67"/>
    <w:rsid w:val="00976DB0"/>
    <w:rsid w:val="0098004A"/>
    <w:rsid w:val="00982252"/>
    <w:rsid w:val="00986849"/>
    <w:rsid w:val="009931EA"/>
    <w:rsid w:val="00993FE7"/>
    <w:rsid w:val="009A3DDA"/>
    <w:rsid w:val="009A58E9"/>
    <w:rsid w:val="009B3B02"/>
    <w:rsid w:val="009B586F"/>
    <w:rsid w:val="009C5816"/>
    <w:rsid w:val="009C74AD"/>
    <w:rsid w:val="009D04A1"/>
    <w:rsid w:val="009D45F1"/>
    <w:rsid w:val="009E09EC"/>
    <w:rsid w:val="009E0B8A"/>
    <w:rsid w:val="009E5CDC"/>
    <w:rsid w:val="009E7805"/>
    <w:rsid w:val="00A027F3"/>
    <w:rsid w:val="00A1351B"/>
    <w:rsid w:val="00A17AFB"/>
    <w:rsid w:val="00A2216D"/>
    <w:rsid w:val="00A242C8"/>
    <w:rsid w:val="00A320A9"/>
    <w:rsid w:val="00A33FD1"/>
    <w:rsid w:val="00A34BFD"/>
    <w:rsid w:val="00A36B40"/>
    <w:rsid w:val="00A36FF7"/>
    <w:rsid w:val="00A417F6"/>
    <w:rsid w:val="00A449C6"/>
    <w:rsid w:val="00A51903"/>
    <w:rsid w:val="00A57545"/>
    <w:rsid w:val="00A633A2"/>
    <w:rsid w:val="00A66975"/>
    <w:rsid w:val="00A76583"/>
    <w:rsid w:val="00A7739A"/>
    <w:rsid w:val="00A773BD"/>
    <w:rsid w:val="00A85071"/>
    <w:rsid w:val="00A85AFB"/>
    <w:rsid w:val="00A90657"/>
    <w:rsid w:val="00A90A3B"/>
    <w:rsid w:val="00A9115A"/>
    <w:rsid w:val="00A92028"/>
    <w:rsid w:val="00A97BA5"/>
    <w:rsid w:val="00AA303D"/>
    <w:rsid w:val="00AB2341"/>
    <w:rsid w:val="00AB43F2"/>
    <w:rsid w:val="00AB4A56"/>
    <w:rsid w:val="00AB629A"/>
    <w:rsid w:val="00AC2EFE"/>
    <w:rsid w:val="00AC4B7D"/>
    <w:rsid w:val="00AC5615"/>
    <w:rsid w:val="00AD2738"/>
    <w:rsid w:val="00AE176A"/>
    <w:rsid w:val="00AE22C1"/>
    <w:rsid w:val="00AE32D1"/>
    <w:rsid w:val="00AF01E8"/>
    <w:rsid w:val="00AF0751"/>
    <w:rsid w:val="00AF07BF"/>
    <w:rsid w:val="00AF41C0"/>
    <w:rsid w:val="00AF5BD8"/>
    <w:rsid w:val="00B03C7F"/>
    <w:rsid w:val="00B161F9"/>
    <w:rsid w:val="00B23879"/>
    <w:rsid w:val="00B252D5"/>
    <w:rsid w:val="00B31BA4"/>
    <w:rsid w:val="00B364D4"/>
    <w:rsid w:val="00B37146"/>
    <w:rsid w:val="00B37746"/>
    <w:rsid w:val="00B37F68"/>
    <w:rsid w:val="00B438D7"/>
    <w:rsid w:val="00B44FD6"/>
    <w:rsid w:val="00B45075"/>
    <w:rsid w:val="00B465E4"/>
    <w:rsid w:val="00B46904"/>
    <w:rsid w:val="00B5477A"/>
    <w:rsid w:val="00B56389"/>
    <w:rsid w:val="00B640AF"/>
    <w:rsid w:val="00B8234C"/>
    <w:rsid w:val="00B83264"/>
    <w:rsid w:val="00B85240"/>
    <w:rsid w:val="00B91106"/>
    <w:rsid w:val="00B93257"/>
    <w:rsid w:val="00B944F0"/>
    <w:rsid w:val="00B9471C"/>
    <w:rsid w:val="00B9533D"/>
    <w:rsid w:val="00BA3BB2"/>
    <w:rsid w:val="00BA4E31"/>
    <w:rsid w:val="00BB19C4"/>
    <w:rsid w:val="00BB5AAE"/>
    <w:rsid w:val="00BC7018"/>
    <w:rsid w:val="00BD0A2B"/>
    <w:rsid w:val="00BE440F"/>
    <w:rsid w:val="00BF121E"/>
    <w:rsid w:val="00BF36E8"/>
    <w:rsid w:val="00BF395F"/>
    <w:rsid w:val="00BF4D3E"/>
    <w:rsid w:val="00BF68CF"/>
    <w:rsid w:val="00BF7D5D"/>
    <w:rsid w:val="00C07AE6"/>
    <w:rsid w:val="00C101E4"/>
    <w:rsid w:val="00C132AB"/>
    <w:rsid w:val="00C22CF2"/>
    <w:rsid w:val="00C2477E"/>
    <w:rsid w:val="00C30AD0"/>
    <w:rsid w:val="00C63923"/>
    <w:rsid w:val="00C65775"/>
    <w:rsid w:val="00C73BDB"/>
    <w:rsid w:val="00C85924"/>
    <w:rsid w:val="00C94C3D"/>
    <w:rsid w:val="00CB1C23"/>
    <w:rsid w:val="00CB1EE2"/>
    <w:rsid w:val="00CB692D"/>
    <w:rsid w:val="00CC2F15"/>
    <w:rsid w:val="00CC567D"/>
    <w:rsid w:val="00CC6F3D"/>
    <w:rsid w:val="00CD163E"/>
    <w:rsid w:val="00CD77EB"/>
    <w:rsid w:val="00CE1013"/>
    <w:rsid w:val="00CE77AF"/>
    <w:rsid w:val="00CF17C9"/>
    <w:rsid w:val="00CF44AB"/>
    <w:rsid w:val="00CF78DE"/>
    <w:rsid w:val="00D03578"/>
    <w:rsid w:val="00D10877"/>
    <w:rsid w:val="00D139C2"/>
    <w:rsid w:val="00D13D26"/>
    <w:rsid w:val="00D1596E"/>
    <w:rsid w:val="00D16461"/>
    <w:rsid w:val="00D24306"/>
    <w:rsid w:val="00D32B5D"/>
    <w:rsid w:val="00D33669"/>
    <w:rsid w:val="00D40788"/>
    <w:rsid w:val="00D442AD"/>
    <w:rsid w:val="00D45321"/>
    <w:rsid w:val="00D45784"/>
    <w:rsid w:val="00D45E8D"/>
    <w:rsid w:val="00D6498A"/>
    <w:rsid w:val="00D75C70"/>
    <w:rsid w:val="00D81933"/>
    <w:rsid w:val="00DA0D84"/>
    <w:rsid w:val="00DA1CF9"/>
    <w:rsid w:val="00DA6FA6"/>
    <w:rsid w:val="00DA72B6"/>
    <w:rsid w:val="00DA7E13"/>
    <w:rsid w:val="00DB1353"/>
    <w:rsid w:val="00DB2182"/>
    <w:rsid w:val="00DB26D8"/>
    <w:rsid w:val="00DB5568"/>
    <w:rsid w:val="00DB6952"/>
    <w:rsid w:val="00DC027F"/>
    <w:rsid w:val="00DC05E3"/>
    <w:rsid w:val="00DC1806"/>
    <w:rsid w:val="00DC1A7A"/>
    <w:rsid w:val="00DC3B98"/>
    <w:rsid w:val="00DD16C9"/>
    <w:rsid w:val="00DD2196"/>
    <w:rsid w:val="00DD60C8"/>
    <w:rsid w:val="00DE1D3D"/>
    <w:rsid w:val="00DE6EDD"/>
    <w:rsid w:val="00DF0995"/>
    <w:rsid w:val="00DF3EE4"/>
    <w:rsid w:val="00E127C6"/>
    <w:rsid w:val="00E17E35"/>
    <w:rsid w:val="00E253D9"/>
    <w:rsid w:val="00E31E7C"/>
    <w:rsid w:val="00E32F5B"/>
    <w:rsid w:val="00E3318A"/>
    <w:rsid w:val="00E347D0"/>
    <w:rsid w:val="00E35D36"/>
    <w:rsid w:val="00E47CB6"/>
    <w:rsid w:val="00E547BE"/>
    <w:rsid w:val="00E55E59"/>
    <w:rsid w:val="00E6698B"/>
    <w:rsid w:val="00E77B6C"/>
    <w:rsid w:val="00E86100"/>
    <w:rsid w:val="00E8620C"/>
    <w:rsid w:val="00E92BD9"/>
    <w:rsid w:val="00E93D9E"/>
    <w:rsid w:val="00E9569C"/>
    <w:rsid w:val="00EB021A"/>
    <w:rsid w:val="00EB0685"/>
    <w:rsid w:val="00EB490F"/>
    <w:rsid w:val="00EB49AF"/>
    <w:rsid w:val="00EB5A5C"/>
    <w:rsid w:val="00EE3319"/>
    <w:rsid w:val="00EF4820"/>
    <w:rsid w:val="00EF70CD"/>
    <w:rsid w:val="00F055A7"/>
    <w:rsid w:val="00F06D94"/>
    <w:rsid w:val="00F07FE0"/>
    <w:rsid w:val="00F138FA"/>
    <w:rsid w:val="00F25A12"/>
    <w:rsid w:val="00F40445"/>
    <w:rsid w:val="00F457B6"/>
    <w:rsid w:val="00F71BFD"/>
    <w:rsid w:val="00F72633"/>
    <w:rsid w:val="00F72964"/>
    <w:rsid w:val="00F76ADB"/>
    <w:rsid w:val="00F77F03"/>
    <w:rsid w:val="00F83ACE"/>
    <w:rsid w:val="00F871FB"/>
    <w:rsid w:val="00F92E1B"/>
    <w:rsid w:val="00F93549"/>
    <w:rsid w:val="00F935F4"/>
    <w:rsid w:val="00F93640"/>
    <w:rsid w:val="00F95D59"/>
    <w:rsid w:val="00F97238"/>
    <w:rsid w:val="00FA157B"/>
    <w:rsid w:val="00FA525F"/>
    <w:rsid w:val="00FC0245"/>
    <w:rsid w:val="00FC1941"/>
    <w:rsid w:val="00FC3CB8"/>
    <w:rsid w:val="00FD26FD"/>
    <w:rsid w:val="00FD472F"/>
    <w:rsid w:val="00FD5617"/>
    <w:rsid w:val="00FD66B1"/>
    <w:rsid w:val="00FE10F4"/>
    <w:rsid w:val="00FF2ED9"/>
    <w:rsid w:val="00FF5C60"/>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15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4D"/>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uiPriority w:val="99"/>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uiPriority w:val="99"/>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customStyle="1" w:styleId="MediumGrid1-Accent21">
    <w:name w:val="Medium Grid 1 - Accent 21"/>
    <w:basedOn w:val="Normal"/>
    <w:uiPriority w:val="34"/>
    <w:qFormat/>
    <w:pPr>
      <w:ind w:left="720"/>
    </w:p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link w:val="FootnoteText"/>
    <w:uiPriority w:val="99"/>
    <w:rsid w:val="006B3F4E"/>
    <w:rPr>
      <w:sz w:val="22"/>
    </w:rPr>
  </w:style>
  <w:style w:type="character" w:styleId="CommentReference">
    <w:name w:val="annotation reference"/>
    <w:rsid w:val="00B83264"/>
    <w:rPr>
      <w:sz w:val="16"/>
      <w:szCs w:val="16"/>
    </w:rPr>
  </w:style>
  <w:style w:type="paragraph" w:styleId="CommentText">
    <w:name w:val="annotation text"/>
    <w:basedOn w:val="Normal"/>
    <w:link w:val="CommentTextChar"/>
    <w:rsid w:val="00B83264"/>
    <w:rPr>
      <w:sz w:val="20"/>
    </w:rPr>
  </w:style>
  <w:style w:type="character" w:customStyle="1" w:styleId="CommentTextChar">
    <w:name w:val="Comment Text Char"/>
    <w:basedOn w:val="DefaultParagraphFont"/>
    <w:link w:val="CommentText"/>
    <w:rsid w:val="00B83264"/>
  </w:style>
  <w:style w:type="paragraph" w:styleId="CommentSubject">
    <w:name w:val="annotation subject"/>
    <w:basedOn w:val="CommentText"/>
    <w:next w:val="CommentText"/>
    <w:link w:val="CommentSubjectChar"/>
    <w:rsid w:val="00B83264"/>
    <w:rPr>
      <w:b/>
      <w:bCs/>
      <w:lang w:val="x-none" w:eastAsia="x-none"/>
    </w:rPr>
  </w:style>
  <w:style w:type="character" w:customStyle="1" w:styleId="CommentSubjectChar">
    <w:name w:val="Comment Subject Char"/>
    <w:link w:val="CommentSubject"/>
    <w:rsid w:val="00B83264"/>
    <w:rPr>
      <w:b/>
      <w:bCs/>
    </w:rPr>
  </w:style>
  <w:style w:type="character" w:styleId="Emphasis">
    <w:name w:val="Emphasis"/>
    <w:qFormat/>
    <w:rsid w:val="004E1644"/>
    <w:rPr>
      <w:i/>
      <w:i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D40788"/>
    <w:rPr>
      <w:lang w:val="en-US" w:eastAsia="en-US" w:bidi="ar-SA"/>
    </w:rPr>
  </w:style>
  <w:style w:type="paragraph" w:styleId="ListParagraph">
    <w:name w:val="List Paragraph"/>
    <w:basedOn w:val="Normal"/>
    <w:uiPriority w:val="72"/>
    <w:qFormat/>
    <w:rsid w:val="001C0192"/>
    <w:pPr>
      <w:ind w:left="720"/>
      <w:contextualSpacing/>
    </w:pPr>
  </w:style>
  <w:style w:type="paragraph" w:styleId="Revision">
    <w:name w:val="Revision"/>
    <w:hidden/>
    <w:uiPriority w:val="71"/>
    <w:semiHidden/>
    <w:rsid w:val="005406EE"/>
    <w:rPr>
      <w:sz w:val="22"/>
    </w:rPr>
  </w:style>
  <w:style w:type="table" w:styleId="TableGrid">
    <w:name w:val="Table Grid"/>
    <w:basedOn w:val="TableNormal"/>
    <w:rsid w:val="00664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locked/>
    <w:rsid w:val="00347AD5"/>
  </w:style>
  <w:style w:type="paragraph" w:customStyle="1" w:styleId="ParaNum0">
    <w:name w:val="ParaNum"/>
    <w:basedOn w:val="Normal"/>
    <w:link w:val="ParaNumChar"/>
    <w:rsid w:val="00A51903"/>
    <w:pPr>
      <w:widowControl w:val="0"/>
      <w:numPr>
        <w:numId w:val="27"/>
      </w:numPr>
      <w:tabs>
        <w:tab w:val="clear" w:pos="1080"/>
        <w:tab w:val="num" w:pos="1440"/>
      </w:tabs>
      <w:spacing w:after="120"/>
    </w:pPr>
    <w:rPr>
      <w:snapToGrid w:val="0"/>
      <w:kern w:val="28"/>
    </w:rPr>
  </w:style>
  <w:style w:type="character" w:customStyle="1" w:styleId="ParaNumChar">
    <w:name w:val="ParaNum Char"/>
    <w:link w:val="ParaNum0"/>
    <w:rsid w:val="00A51903"/>
    <w:rPr>
      <w:snapToGrid w:val="0"/>
      <w:kern w:val="28"/>
      <w:sz w:val="22"/>
    </w:rPr>
  </w:style>
  <w:style w:type="character" w:customStyle="1" w:styleId="Heading1Char">
    <w:name w:val="Heading 1 Char"/>
    <w:link w:val="Heading1"/>
    <w:rsid w:val="00A51903"/>
    <w:rPr>
      <w:b/>
      <w:caps/>
      <w:sz w:val="22"/>
    </w:rPr>
  </w:style>
  <w:style w:type="character" w:customStyle="1" w:styleId="Heading2Char">
    <w:name w:val="Heading 2 Char"/>
    <w:link w:val="Heading2"/>
    <w:rsid w:val="00A51903"/>
    <w:rPr>
      <w:b/>
      <w:sz w:val="22"/>
    </w:rPr>
  </w:style>
  <w:style w:type="character" w:customStyle="1" w:styleId="Heading3Char">
    <w:name w:val="Heading 3 Char"/>
    <w:link w:val="Heading3"/>
    <w:rsid w:val="00A51903"/>
    <w:rPr>
      <w:b/>
      <w:sz w:val="22"/>
    </w:rPr>
  </w:style>
  <w:style w:type="character" w:customStyle="1" w:styleId="Heading4Char">
    <w:name w:val="Heading 4 Char"/>
    <w:link w:val="Heading4"/>
    <w:rsid w:val="00A51903"/>
    <w:rPr>
      <w:b/>
      <w:sz w:val="22"/>
    </w:rPr>
  </w:style>
  <w:style w:type="character" w:customStyle="1" w:styleId="Heading5Char">
    <w:name w:val="Heading 5 Char"/>
    <w:link w:val="Heading5"/>
    <w:rsid w:val="00A51903"/>
    <w:rPr>
      <w:b/>
      <w:sz w:val="22"/>
    </w:rPr>
  </w:style>
  <w:style w:type="character" w:customStyle="1" w:styleId="Heading6Char">
    <w:name w:val="Heading 6 Char"/>
    <w:link w:val="Heading6"/>
    <w:rsid w:val="00A51903"/>
    <w:rPr>
      <w:b/>
      <w:sz w:val="22"/>
    </w:rPr>
  </w:style>
  <w:style w:type="character" w:customStyle="1" w:styleId="Heading7Char">
    <w:name w:val="Heading 7 Char"/>
    <w:link w:val="Heading7"/>
    <w:rsid w:val="00A51903"/>
    <w:rPr>
      <w:b/>
      <w:sz w:val="22"/>
    </w:rPr>
  </w:style>
  <w:style w:type="character" w:customStyle="1" w:styleId="Heading8Char">
    <w:name w:val="Heading 8 Char"/>
    <w:link w:val="Heading8"/>
    <w:rsid w:val="00A51903"/>
    <w:rPr>
      <w:b/>
      <w:sz w:val="22"/>
    </w:rPr>
  </w:style>
  <w:style w:type="character" w:customStyle="1" w:styleId="Heading9Char">
    <w:name w:val="Heading 9 Char"/>
    <w:link w:val="Heading9"/>
    <w:rsid w:val="00A51903"/>
    <w:rPr>
      <w:b/>
      <w:sz w:val="22"/>
    </w:rPr>
  </w:style>
  <w:style w:type="paragraph" w:customStyle="1" w:styleId="FreeForm">
    <w:name w:val="Free Form"/>
    <w:rsid w:val="00A51903"/>
    <w:rPr>
      <w:rFonts w:eastAsia="ヒラギノ角ゴ Pro W3"/>
      <w:color w:val="000000"/>
    </w:rPr>
  </w:style>
  <w:style w:type="paragraph" w:customStyle="1" w:styleId="Default">
    <w:name w:val="Default"/>
    <w:autoRedefine/>
    <w:rsid w:val="00A51903"/>
    <w:pPr>
      <w:widowControl w:val="0"/>
    </w:pPr>
    <w:rPr>
      <w:rFonts w:eastAsia="ヒラギノ角ゴ Pro W3"/>
      <w:color w:val="000000"/>
      <w:sz w:val="24"/>
    </w:rPr>
  </w:style>
  <w:style w:type="paragraph" w:customStyle="1" w:styleId="Heading1A">
    <w:name w:val="Heading 1 A"/>
    <w:next w:val="Normal"/>
    <w:autoRedefine/>
    <w:rsid w:val="00A51903"/>
    <w:pPr>
      <w:keepNext/>
      <w:spacing w:before="240" w:after="60"/>
      <w:outlineLvl w:val="0"/>
    </w:pPr>
    <w:rPr>
      <w:rFonts w:ascii="Arial" w:eastAsia="ヒラギノ角ゴ Pro W3" w:hAnsi="Arial"/>
      <w:b/>
      <w:color w:val="000000"/>
      <w:kern w:val="32"/>
      <w:sz w:val="32"/>
    </w:rPr>
  </w:style>
  <w:style w:type="paragraph" w:styleId="EndnoteText">
    <w:name w:val="endnote text"/>
    <w:basedOn w:val="Normal"/>
    <w:link w:val="EndnoteTextChar"/>
    <w:rsid w:val="00A51903"/>
    <w:pPr>
      <w:widowControl w:val="0"/>
    </w:pPr>
    <w:rPr>
      <w:snapToGrid w:val="0"/>
      <w:kern w:val="28"/>
      <w:sz w:val="20"/>
    </w:rPr>
  </w:style>
  <w:style w:type="character" w:customStyle="1" w:styleId="EndnoteTextChar">
    <w:name w:val="Endnote Text Char"/>
    <w:basedOn w:val="DefaultParagraphFont"/>
    <w:link w:val="EndnoteText"/>
    <w:rsid w:val="00A51903"/>
    <w:rPr>
      <w:snapToGrid w:val="0"/>
      <w:kern w:val="28"/>
    </w:rPr>
  </w:style>
  <w:style w:type="character" w:styleId="EndnoteReference">
    <w:name w:val="endnote reference"/>
    <w:rsid w:val="00A51903"/>
    <w:rPr>
      <w:vertAlign w:val="superscript"/>
    </w:rPr>
  </w:style>
  <w:style w:type="paragraph" w:styleId="TOC2">
    <w:name w:val="toc 2"/>
    <w:basedOn w:val="Normal"/>
    <w:next w:val="Normal"/>
    <w:rsid w:val="00A51903"/>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rsid w:val="00A51903"/>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rsid w:val="00A51903"/>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rsid w:val="00A51903"/>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rsid w:val="00A51903"/>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rsid w:val="00A51903"/>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rsid w:val="00A51903"/>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rsid w:val="00A51903"/>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rsid w:val="00A51903"/>
    <w:pPr>
      <w:widowControl w:val="0"/>
      <w:tabs>
        <w:tab w:val="right" w:pos="9360"/>
      </w:tabs>
      <w:suppressAutoHyphens/>
    </w:pPr>
    <w:rPr>
      <w:snapToGrid w:val="0"/>
      <w:kern w:val="28"/>
    </w:rPr>
  </w:style>
  <w:style w:type="character" w:customStyle="1" w:styleId="EquationCaption">
    <w:name w:val="_Equation Caption"/>
    <w:rsid w:val="00A51903"/>
  </w:style>
  <w:style w:type="paragraph" w:customStyle="1" w:styleId="Paratitle">
    <w:name w:val="Para title"/>
    <w:basedOn w:val="Normal"/>
    <w:rsid w:val="00A51903"/>
    <w:pPr>
      <w:widowControl w:val="0"/>
      <w:tabs>
        <w:tab w:val="center" w:pos="9270"/>
      </w:tabs>
      <w:spacing w:after="240"/>
    </w:pPr>
    <w:rPr>
      <w:snapToGrid w:val="0"/>
      <w:spacing w:val="-2"/>
      <w:kern w:val="28"/>
    </w:rPr>
  </w:style>
  <w:style w:type="paragraph" w:customStyle="1" w:styleId="TableFormat0">
    <w:name w:val="TableFormat"/>
    <w:basedOn w:val="Bullet"/>
    <w:rsid w:val="00A51903"/>
    <w:pPr>
      <w:numPr>
        <w:numId w:val="0"/>
      </w:numPr>
      <w:tabs>
        <w:tab w:val="left" w:pos="5040"/>
      </w:tabs>
      <w:ind w:left="5040" w:hanging="3600"/>
      <w:jc w:val="left"/>
    </w:pPr>
    <w:rPr>
      <w:snapToGrid w:val="0"/>
      <w:kern w:val="28"/>
    </w:rPr>
  </w:style>
  <w:style w:type="paragraph" w:customStyle="1" w:styleId="TOCTitle">
    <w:name w:val="TOC Title"/>
    <w:basedOn w:val="Normal"/>
    <w:rsid w:val="00A51903"/>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A51903"/>
    <w:pPr>
      <w:widowControl w:val="0"/>
      <w:jc w:val="center"/>
    </w:pPr>
    <w:rPr>
      <w:rFonts w:ascii="Times New Roman Bold" w:hAnsi="Times New Roman Bold"/>
      <w:b/>
      <w:bCs/>
      <w:caps/>
      <w:snapToGrid w:val="0"/>
      <w:kern w:val="28"/>
      <w:szCs w:val="22"/>
    </w:rPr>
  </w:style>
  <w:style w:type="paragraph" w:customStyle="1" w:styleId="StyleParaNum">
    <w:name w:val="Style ParaNum"/>
    <w:basedOn w:val="ParaNum0"/>
    <w:link w:val="StyleParaNumChar"/>
    <w:autoRedefine/>
    <w:rsid w:val="00A51903"/>
    <w:pPr>
      <w:tabs>
        <w:tab w:val="num" w:pos="810"/>
        <w:tab w:val="left" w:pos="1440"/>
      </w:tabs>
      <w:spacing w:after="220"/>
      <w:ind w:left="-270"/>
      <w:jc w:val="both"/>
    </w:pPr>
    <w:rPr>
      <w:rFonts w:eastAsia="Batang"/>
      <w:snapToGrid/>
      <w:kern w:val="0"/>
      <w:lang w:eastAsia="ja-JP"/>
    </w:rPr>
  </w:style>
  <w:style w:type="character" w:customStyle="1" w:styleId="StyleParaNumChar">
    <w:name w:val="Style ParaNum Char"/>
    <w:link w:val="StyleParaNum"/>
    <w:rsid w:val="00A51903"/>
    <w:rPr>
      <w:rFonts w:eastAsia="Batang"/>
      <w:sz w:val="22"/>
      <w:lang w:eastAsia="ja-JP"/>
    </w:rPr>
  </w:style>
  <w:style w:type="character" w:customStyle="1" w:styleId="FootnoteCharacters">
    <w:name w:val="Footnote Characters"/>
    <w:rsid w:val="00A51903"/>
    <w:rPr>
      <w:vertAlign w:val="superscript"/>
    </w:rPr>
  </w:style>
  <w:style w:type="character" w:customStyle="1" w:styleId="a">
    <w:name w:val="脚注番号"/>
    <w:rsid w:val="00A51903"/>
    <w:rPr>
      <w:vertAlign w:val="superscript"/>
    </w:rPr>
  </w:style>
  <w:style w:type="paragraph" w:customStyle="1" w:styleId="header2">
    <w:name w:val="header2"/>
    <w:rsid w:val="00A51903"/>
    <w:pPr>
      <w:widowControl w:val="0"/>
      <w:tabs>
        <w:tab w:val="left" w:pos="1440"/>
        <w:tab w:val="center" w:pos="4320"/>
        <w:tab w:val="right" w:pos="8640"/>
      </w:tabs>
      <w:suppressAutoHyphens/>
      <w:jc w:val="center"/>
    </w:pPr>
    <w:rPr>
      <w:b/>
      <w:snapToGrid w:val="0"/>
      <w:sz w:val="24"/>
    </w:rPr>
  </w:style>
  <w:style w:type="paragraph" w:customStyle="1" w:styleId="ParaNumChar1Char">
    <w:name w:val="ParaNum Char1 Char"/>
    <w:basedOn w:val="Normal"/>
    <w:link w:val="ParaNumChar1CharChar"/>
    <w:rsid w:val="00A51903"/>
    <w:pPr>
      <w:widowControl w:val="0"/>
      <w:tabs>
        <w:tab w:val="num" w:pos="1080"/>
        <w:tab w:val="left" w:pos="1440"/>
      </w:tabs>
      <w:spacing w:after="220"/>
      <w:ind w:firstLine="720"/>
    </w:pPr>
  </w:style>
  <w:style w:type="character" w:customStyle="1" w:styleId="ParaNumChar1CharChar">
    <w:name w:val="ParaNum Char1 Char Char"/>
    <w:link w:val="ParaNumChar1Char"/>
    <w:rsid w:val="00A51903"/>
    <w:rPr>
      <w:sz w:val="22"/>
    </w:rPr>
  </w:style>
  <w:style w:type="paragraph" w:customStyle="1" w:styleId="Statement">
    <w:name w:val="Statement"/>
    <w:basedOn w:val="Normal"/>
    <w:rsid w:val="00A51903"/>
    <w:pPr>
      <w:spacing w:before="120" w:line="360" w:lineRule="auto"/>
      <w:ind w:firstLine="630"/>
      <w:jc w:val="both"/>
    </w:pPr>
    <w:rPr>
      <w:sz w:val="24"/>
      <w:szCs w:val="24"/>
      <w:lang w:bidi="en-US"/>
    </w:rPr>
  </w:style>
  <w:style w:type="character" w:customStyle="1" w:styleId="BalloonTextChar">
    <w:name w:val="Balloon Text Char"/>
    <w:link w:val="BalloonText"/>
    <w:rsid w:val="00A51903"/>
    <w:rPr>
      <w:rFonts w:ascii="Tahoma" w:hAnsi="Tahoma" w:cs="Tahoma"/>
      <w:sz w:val="16"/>
      <w:szCs w:val="16"/>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A51903"/>
    <w:rPr>
      <w:sz w:val="24"/>
      <w:lang w:val="en-US" w:eastAsia="en-US" w:bidi="ar-SA"/>
    </w:rPr>
  </w:style>
  <w:style w:type="paragraph" w:customStyle="1" w:styleId="TableText">
    <w:name w:val="Table Text"/>
    <w:basedOn w:val="Normal"/>
    <w:rsid w:val="00A51903"/>
    <w:pPr>
      <w:spacing w:before="60" w:after="60"/>
    </w:pPr>
    <w:rPr>
      <w:sz w:val="24"/>
    </w:rPr>
  </w:style>
  <w:style w:type="character" w:styleId="SubtleEmphasis">
    <w:name w:val="Subtle Emphasis"/>
    <w:basedOn w:val="DefaultParagraphFont"/>
    <w:uiPriority w:val="65"/>
    <w:qFormat/>
    <w:rsid w:val="00A5190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4D"/>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uiPriority w:val="99"/>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uiPriority w:val="99"/>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customStyle="1" w:styleId="MediumGrid1-Accent21">
    <w:name w:val="Medium Grid 1 - Accent 21"/>
    <w:basedOn w:val="Normal"/>
    <w:uiPriority w:val="34"/>
    <w:qFormat/>
    <w:pPr>
      <w:ind w:left="720"/>
    </w:p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link w:val="FootnoteText"/>
    <w:uiPriority w:val="99"/>
    <w:rsid w:val="006B3F4E"/>
    <w:rPr>
      <w:sz w:val="22"/>
    </w:rPr>
  </w:style>
  <w:style w:type="character" w:styleId="CommentReference">
    <w:name w:val="annotation reference"/>
    <w:rsid w:val="00B83264"/>
    <w:rPr>
      <w:sz w:val="16"/>
      <w:szCs w:val="16"/>
    </w:rPr>
  </w:style>
  <w:style w:type="paragraph" w:styleId="CommentText">
    <w:name w:val="annotation text"/>
    <w:basedOn w:val="Normal"/>
    <w:link w:val="CommentTextChar"/>
    <w:rsid w:val="00B83264"/>
    <w:rPr>
      <w:sz w:val="20"/>
    </w:rPr>
  </w:style>
  <w:style w:type="character" w:customStyle="1" w:styleId="CommentTextChar">
    <w:name w:val="Comment Text Char"/>
    <w:basedOn w:val="DefaultParagraphFont"/>
    <w:link w:val="CommentText"/>
    <w:rsid w:val="00B83264"/>
  </w:style>
  <w:style w:type="paragraph" w:styleId="CommentSubject">
    <w:name w:val="annotation subject"/>
    <w:basedOn w:val="CommentText"/>
    <w:next w:val="CommentText"/>
    <w:link w:val="CommentSubjectChar"/>
    <w:rsid w:val="00B83264"/>
    <w:rPr>
      <w:b/>
      <w:bCs/>
      <w:lang w:val="x-none" w:eastAsia="x-none"/>
    </w:rPr>
  </w:style>
  <w:style w:type="character" w:customStyle="1" w:styleId="CommentSubjectChar">
    <w:name w:val="Comment Subject Char"/>
    <w:link w:val="CommentSubject"/>
    <w:rsid w:val="00B83264"/>
    <w:rPr>
      <w:b/>
      <w:bCs/>
    </w:rPr>
  </w:style>
  <w:style w:type="character" w:styleId="Emphasis">
    <w:name w:val="Emphasis"/>
    <w:qFormat/>
    <w:rsid w:val="004E1644"/>
    <w:rPr>
      <w:i/>
      <w:i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D40788"/>
    <w:rPr>
      <w:lang w:val="en-US" w:eastAsia="en-US" w:bidi="ar-SA"/>
    </w:rPr>
  </w:style>
  <w:style w:type="paragraph" w:styleId="ListParagraph">
    <w:name w:val="List Paragraph"/>
    <w:basedOn w:val="Normal"/>
    <w:uiPriority w:val="72"/>
    <w:qFormat/>
    <w:rsid w:val="001C0192"/>
    <w:pPr>
      <w:ind w:left="720"/>
      <w:contextualSpacing/>
    </w:pPr>
  </w:style>
  <w:style w:type="paragraph" w:styleId="Revision">
    <w:name w:val="Revision"/>
    <w:hidden/>
    <w:uiPriority w:val="71"/>
    <w:semiHidden/>
    <w:rsid w:val="005406EE"/>
    <w:rPr>
      <w:sz w:val="22"/>
    </w:rPr>
  </w:style>
  <w:style w:type="table" w:styleId="TableGrid">
    <w:name w:val="Table Grid"/>
    <w:basedOn w:val="TableNormal"/>
    <w:rsid w:val="00664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locked/>
    <w:rsid w:val="00347AD5"/>
  </w:style>
  <w:style w:type="paragraph" w:customStyle="1" w:styleId="ParaNum0">
    <w:name w:val="ParaNum"/>
    <w:basedOn w:val="Normal"/>
    <w:link w:val="ParaNumChar"/>
    <w:rsid w:val="00A51903"/>
    <w:pPr>
      <w:widowControl w:val="0"/>
      <w:numPr>
        <w:numId w:val="27"/>
      </w:numPr>
      <w:tabs>
        <w:tab w:val="clear" w:pos="1080"/>
        <w:tab w:val="num" w:pos="1440"/>
      </w:tabs>
      <w:spacing w:after="120"/>
    </w:pPr>
    <w:rPr>
      <w:snapToGrid w:val="0"/>
      <w:kern w:val="28"/>
    </w:rPr>
  </w:style>
  <w:style w:type="character" w:customStyle="1" w:styleId="ParaNumChar">
    <w:name w:val="ParaNum Char"/>
    <w:link w:val="ParaNum0"/>
    <w:rsid w:val="00A51903"/>
    <w:rPr>
      <w:snapToGrid w:val="0"/>
      <w:kern w:val="28"/>
      <w:sz w:val="22"/>
    </w:rPr>
  </w:style>
  <w:style w:type="character" w:customStyle="1" w:styleId="Heading1Char">
    <w:name w:val="Heading 1 Char"/>
    <w:link w:val="Heading1"/>
    <w:rsid w:val="00A51903"/>
    <w:rPr>
      <w:b/>
      <w:caps/>
      <w:sz w:val="22"/>
    </w:rPr>
  </w:style>
  <w:style w:type="character" w:customStyle="1" w:styleId="Heading2Char">
    <w:name w:val="Heading 2 Char"/>
    <w:link w:val="Heading2"/>
    <w:rsid w:val="00A51903"/>
    <w:rPr>
      <w:b/>
      <w:sz w:val="22"/>
    </w:rPr>
  </w:style>
  <w:style w:type="character" w:customStyle="1" w:styleId="Heading3Char">
    <w:name w:val="Heading 3 Char"/>
    <w:link w:val="Heading3"/>
    <w:rsid w:val="00A51903"/>
    <w:rPr>
      <w:b/>
      <w:sz w:val="22"/>
    </w:rPr>
  </w:style>
  <w:style w:type="character" w:customStyle="1" w:styleId="Heading4Char">
    <w:name w:val="Heading 4 Char"/>
    <w:link w:val="Heading4"/>
    <w:rsid w:val="00A51903"/>
    <w:rPr>
      <w:b/>
      <w:sz w:val="22"/>
    </w:rPr>
  </w:style>
  <w:style w:type="character" w:customStyle="1" w:styleId="Heading5Char">
    <w:name w:val="Heading 5 Char"/>
    <w:link w:val="Heading5"/>
    <w:rsid w:val="00A51903"/>
    <w:rPr>
      <w:b/>
      <w:sz w:val="22"/>
    </w:rPr>
  </w:style>
  <w:style w:type="character" w:customStyle="1" w:styleId="Heading6Char">
    <w:name w:val="Heading 6 Char"/>
    <w:link w:val="Heading6"/>
    <w:rsid w:val="00A51903"/>
    <w:rPr>
      <w:b/>
      <w:sz w:val="22"/>
    </w:rPr>
  </w:style>
  <w:style w:type="character" w:customStyle="1" w:styleId="Heading7Char">
    <w:name w:val="Heading 7 Char"/>
    <w:link w:val="Heading7"/>
    <w:rsid w:val="00A51903"/>
    <w:rPr>
      <w:b/>
      <w:sz w:val="22"/>
    </w:rPr>
  </w:style>
  <w:style w:type="character" w:customStyle="1" w:styleId="Heading8Char">
    <w:name w:val="Heading 8 Char"/>
    <w:link w:val="Heading8"/>
    <w:rsid w:val="00A51903"/>
    <w:rPr>
      <w:b/>
      <w:sz w:val="22"/>
    </w:rPr>
  </w:style>
  <w:style w:type="character" w:customStyle="1" w:styleId="Heading9Char">
    <w:name w:val="Heading 9 Char"/>
    <w:link w:val="Heading9"/>
    <w:rsid w:val="00A51903"/>
    <w:rPr>
      <w:b/>
      <w:sz w:val="22"/>
    </w:rPr>
  </w:style>
  <w:style w:type="paragraph" w:customStyle="1" w:styleId="FreeForm">
    <w:name w:val="Free Form"/>
    <w:rsid w:val="00A51903"/>
    <w:rPr>
      <w:rFonts w:eastAsia="ヒラギノ角ゴ Pro W3"/>
      <w:color w:val="000000"/>
    </w:rPr>
  </w:style>
  <w:style w:type="paragraph" w:customStyle="1" w:styleId="Default">
    <w:name w:val="Default"/>
    <w:autoRedefine/>
    <w:rsid w:val="00A51903"/>
    <w:pPr>
      <w:widowControl w:val="0"/>
    </w:pPr>
    <w:rPr>
      <w:rFonts w:eastAsia="ヒラギノ角ゴ Pro W3"/>
      <w:color w:val="000000"/>
      <w:sz w:val="24"/>
    </w:rPr>
  </w:style>
  <w:style w:type="paragraph" w:customStyle="1" w:styleId="Heading1A">
    <w:name w:val="Heading 1 A"/>
    <w:next w:val="Normal"/>
    <w:autoRedefine/>
    <w:rsid w:val="00A51903"/>
    <w:pPr>
      <w:keepNext/>
      <w:spacing w:before="240" w:after="60"/>
      <w:outlineLvl w:val="0"/>
    </w:pPr>
    <w:rPr>
      <w:rFonts w:ascii="Arial" w:eastAsia="ヒラギノ角ゴ Pro W3" w:hAnsi="Arial"/>
      <w:b/>
      <w:color w:val="000000"/>
      <w:kern w:val="32"/>
      <w:sz w:val="32"/>
    </w:rPr>
  </w:style>
  <w:style w:type="paragraph" w:styleId="EndnoteText">
    <w:name w:val="endnote text"/>
    <w:basedOn w:val="Normal"/>
    <w:link w:val="EndnoteTextChar"/>
    <w:rsid w:val="00A51903"/>
    <w:pPr>
      <w:widowControl w:val="0"/>
    </w:pPr>
    <w:rPr>
      <w:snapToGrid w:val="0"/>
      <w:kern w:val="28"/>
      <w:sz w:val="20"/>
    </w:rPr>
  </w:style>
  <w:style w:type="character" w:customStyle="1" w:styleId="EndnoteTextChar">
    <w:name w:val="Endnote Text Char"/>
    <w:basedOn w:val="DefaultParagraphFont"/>
    <w:link w:val="EndnoteText"/>
    <w:rsid w:val="00A51903"/>
    <w:rPr>
      <w:snapToGrid w:val="0"/>
      <w:kern w:val="28"/>
    </w:rPr>
  </w:style>
  <w:style w:type="character" w:styleId="EndnoteReference">
    <w:name w:val="endnote reference"/>
    <w:rsid w:val="00A51903"/>
    <w:rPr>
      <w:vertAlign w:val="superscript"/>
    </w:rPr>
  </w:style>
  <w:style w:type="paragraph" w:styleId="TOC2">
    <w:name w:val="toc 2"/>
    <w:basedOn w:val="Normal"/>
    <w:next w:val="Normal"/>
    <w:rsid w:val="00A51903"/>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rsid w:val="00A51903"/>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rsid w:val="00A51903"/>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rsid w:val="00A51903"/>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rsid w:val="00A51903"/>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rsid w:val="00A51903"/>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rsid w:val="00A51903"/>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rsid w:val="00A51903"/>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rsid w:val="00A51903"/>
    <w:pPr>
      <w:widowControl w:val="0"/>
      <w:tabs>
        <w:tab w:val="right" w:pos="9360"/>
      </w:tabs>
      <w:suppressAutoHyphens/>
    </w:pPr>
    <w:rPr>
      <w:snapToGrid w:val="0"/>
      <w:kern w:val="28"/>
    </w:rPr>
  </w:style>
  <w:style w:type="character" w:customStyle="1" w:styleId="EquationCaption">
    <w:name w:val="_Equation Caption"/>
    <w:rsid w:val="00A51903"/>
  </w:style>
  <w:style w:type="paragraph" w:customStyle="1" w:styleId="Paratitle">
    <w:name w:val="Para title"/>
    <w:basedOn w:val="Normal"/>
    <w:rsid w:val="00A51903"/>
    <w:pPr>
      <w:widowControl w:val="0"/>
      <w:tabs>
        <w:tab w:val="center" w:pos="9270"/>
      </w:tabs>
      <w:spacing w:after="240"/>
    </w:pPr>
    <w:rPr>
      <w:snapToGrid w:val="0"/>
      <w:spacing w:val="-2"/>
      <w:kern w:val="28"/>
    </w:rPr>
  </w:style>
  <w:style w:type="paragraph" w:customStyle="1" w:styleId="TableFormat0">
    <w:name w:val="TableFormat"/>
    <w:basedOn w:val="Bullet"/>
    <w:rsid w:val="00A51903"/>
    <w:pPr>
      <w:numPr>
        <w:numId w:val="0"/>
      </w:numPr>
      <w:tabs>
        <w:tab w:val="left" w:pos="5040"/>
      </w:tabs>
      <w:ind w:left="5040" w:hanging="3600"/>
      <w:jc w:val="left"/>
    </w:pPr>
    <w:rPr>
      <w:snapToGrid w:val="0"/>
      <w:kern w:val="28"/>
    </w:rPr>
  </w:style>
  <w:style w:type="paragraph" w:customStyle="1" w:styleId="TOCTitle">
    <w:name w:val="TOC Title"/>
    <w:basedOn w:val="Normal"/>
    <w:rsid w:val="00A51903"/>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A51903"/>
    <w:pPr>
      <w:widowControl w:val="0"/>
      <w:jc w:val="center"/>
    </w:pPr>
    <w:rPr>
      <w:rFonts w:ascii="Times New Roman Bold" w:hAnsi="Times New Roman Bold"/>
      <w:b/>
      <w:bCs/>
      <w:caps/>
      <w:snapToGrid w:val="0"/>
      <w:kern w:val="28"/>
      <w:szCs w:val="22"/>
    </w:rPr>
  </w:style>
  <w:style w:type="paragraph" w:customStyle="1" w:styleId="StyleParaNum">
    <w:name w:val="Style ParaNum"/>
    <w:basedOn w:val="ParaNum0"/>
    <w:link w:val="StyleParaNumChar"/>
    <w:autoRedefine/>
    <w:rsid w:val="00A51903"/>
    <w:pPr>
      <w:tabs>
        <w:tab w:val="num" w:pos="810"/>
        <w:tab w:val="left" w:pos="1440"/>
      </w:tabs>
      <w:spacing w:after="220"/>
      <w:ind w:left="-270"/>
      <w:jc w:val="both"/>
    </w:pPr>
    <w:rPr>
      <w:rFonts w:eastAsia="Batang"/>
      <w:snapToGrid/>
      <w:kern w:val="0"/>
      <w:lang w:eastAsia="ja-JP"/>
    </w:rPr>
  </w:style>
  <w:style w:type="character" w:customStyle="1" w:styleId="StyleParaNumChar">
    <w:name w:val="Style ParaNum Char"/>
    <w:link w:val="StyleParaNum"/>
    <w:rsid w:val="00A51903"/>
    <w:rPr>
      <w:rFonts w:eastAsia="Batang"/>
      <w:sz w:val="22"/>
      <w:lang w:eastAsia="ja-JP"/>
    </w:rPr>
  </w:style>
  <w:style w:type="character" w:customStyle="1" w:styleId="FootnoteCharacters">
    <w:name w:val="Footnote Characters"/>
    <w:rsid w:val="00A51903"/>
    <w:rPr>
      <w:vertAlign w:val="superscript"/>
    </w:rPr>
  </w:style>
  <w:style w:type="character" w:customStyle="1" w:styleId="a">
    <w:name w:val="脚注番号"/>
    <w:rsid w:val="00A51903"/>
    <w:rPr>
      <w:vertAlign w:val="superscript"/>
    </w:rPr>
  </w:style>
  <w:style w:type="paragraph" w:customStyle="1" w:styleId="header2">
    <w:name w:val="header2"/>
    <w:rsid w:val="00A51903"/>
    <w:pPr>
      <w:widowControl w:val="0"/>
      <w:tabs>
        <w:tab w:val="left" w:pos="1440"/>
        <w:tab w:val="center" w:pos="4320"/>
        <w:tab w:val="right" w:pos="8640"/>
      </w:tabs>
      <w:suppressAutoHyphens/>
      <w:jc w:val="center"/>
    </w:pPr>
    <w:rPr>
      <w:b/>
      <w:snapToGrid w:val="0"/>
      <w:sz w:val="24"/>
    </w:rPr>
  </w:style>
  <w:style w:type="paragraph" w:customStyle="1" w:styleId="ParaNumChar1Char">
    <w:name w:val="ParaNum Char1 Char"/>
    <w:basedOn w:val="Normal"/>
    <w:link w:val="ParaNumChar1CharChar"/>
    <w:rsid w:val="00A51903"/>
    <w:pPr>
      <w:widowControl w:val="0"/>
      <w:tabs>
        <w:tab w:val="num" w:pos="1080"/>
        <w:tab w:val="left" w:pos="1440"/>
      </w:tabs>
      <w:spacing w:after="220"/>
      <w:ind w:firstLine="720"/>
    </w:pPr>
  </w:style>
  <w:style w:type="character" w:customStyle="1" w:styleId="ParaNumChar1CharChar">
    <w:name w:val="ParaNum Char1 Char Char"/>
    <w:link w:val="ParaNumChar1Char"/>
    <w:rsid w:val="00A51903"/>
    <w:rPr>
      <w:sz w:val="22"/>
    </w:rPr>
  </w:style>
  <w:style w:type="paragraph" w:customStyle="1" w:styleId="Statement">
    <w:name w:val="Statement"/>
    <w:basedOn w:val="Normal"/>
    <w:rsid w:val="00A51903"/>
    <w:pPr>
      <w:spacing w:before="120" w:line="360" w:lineRule="auto"/>
      <w:ind w:firstLine="630"/>
      <w:jc w:val="both"/>
    </w:pPr>
    <w:rPr>
      <w:sz w:val="24"/>
      <w:szCs w:val="24"/>
      <w:lang w:bidi="en-US"/>
    </w:rPr>
  </w:style>
  <w:style w:type="character" w:customStyle="1" w:styleId="BalloonTextChar">
    <w:name w:val="Balloon Text Char"/>
    <w:link w:val="BalloonText"/>
    <w:rsid w:val="00A51903"/>
    <w:rPr>
      <w:rFonts w:ascii="Tahoma" w:hAnsi="Tahoma" w:cs="Tahoma"/>
      <w:sz w:val="16"/>
      <w:szCs w:val="16"/>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A51903"/>
    <w:rPr>
      <w:sz w:val="24"/>
      <w:lang w:val="en-US" w:eastAsia="en-US" w:bidi="ar-SA"/>
    </w:rPr>
  </w:style>
  <w:style w:type="paragraph" w:customStyle="1" w:styleId="TableText">
    <w:name w:val="Table Text"/>
    <w:basedOn w:val="Normal"/>
    <w:rsid w:val="00A51903"/>
    <w:pPr>
      <w:spacing w:before="60" w:after="60"/>
    </w:pPr>
    <w:rPr>
      <w:sz w:val="24"/>
    </w:rPr>
  </w:style>
  <w:style w:type="character" w:styleId="SubtleEmphasis">
    <w:name w:val="Subtle Emphasis"/>
    <w:basedOn w:val="DefaultParagraphFont"/>
    <w:uiPriority w:val="65"/>
    <w:qFormat/>
    <w:rsid w:val="00A5190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333">
      <w:bodyDiv w:val="1"/>
      <w:marLeft w:val="0"/>
      <w:marRight w:val="0"/>
      <w:marTop w:val="0"/>
      <w:marBottom w:val="0"/>
      <w:divBdr>
        <w:top w:val="none" w:sz="0" w:space="0" w:color="auto"/>
        <w:left w:val="none" w:sz="0" w:space="0" w:color="auto"/>
        <w:bottom w:val="none" w:sz="0" w:space="0" w:color="auto"/>
        <w:right w:val="none" w:sz="0" w:space="0" w:color="auto"/>
      </w:divBdr>
    </w:div>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271086538">
      <w:bodyDiv w:val="1"/>
      <w:marLeft w:val="0"/>
      <w:marRight w:val="0"/>
      <w:marTop w:val="0"/>
      <w:marBottom w:val="0"/>
      <w:divBdr>
        <w:top w:val="none" w:sz="0" w:space="0" w:color="auto"/>
        <w:left w:val="none" w:sz="0" w:space="0" w:color="auto"/>
        <w:bottom w:val="none" w:sz="0" w:space="0" w:color="auto"/>
        <w:right w:val="none" w:sz="0" w:space="0" w:color="auto"/>
      </w:divBdr>
    </w:div>
    <w:div w:id="470364684">
      <w:bodyDiv w:val="1"/>
      <w:marLeft w:val="0"/>
      <w:marRight w:val="0"/>
      <w:marTop w:val="0"/>
      <w:marBottom w:val="0"/>
      <w:divBdr>
        <w:top w:val="none" w:sz="0" w:space="0" w:color="auto"/>
        <w:left w:val="none" w:sz="0" w:space="0" w:color="auto"/>
        <w:bottom w:val="none" w:sz="0" w:space="0" w:color="auto"/>
        <w:right w:val="none" w:sz="0" w:space="0" w:color="auto"/>
      </w:divBdr>
      <w:divsChild>
        <w:div w:id="1955745695">
          <w:marLeft w:val="0"/>
          <w:marRight w:val="0"/>
          <w:marTop w:val="0"/>
          <w:marBottom w:val="0"/>
          <w:divBdr>
            <w:top w:val="none" w:sz="0" w:space="0" w:color="auto"/>
            <w:left w:val="none" w:sz="0" w:space="0" w:color="auto"/>
            <w:bottom w:val="none" w:sz="0" w:space="0" w:color="auto"/>
            <w:right w:val="none" w:sz="0" w:space="0" w:color="auto"/>
          </w:divBdr>
          <w:divsChild>
            <w:div w:id="935287781">
              <w:marLeft w:val="0"/>
              <w:marRight w:val="0"/>
              <w:marTop w:val="0"/>
              <w:marBottom w:val="0"/>
              <w:divBdr>
                <w:top w:val="none" w:sz="0" w:space="0" w:color="auto"/>
                <w:left w:val="none" w:sz="0" w:space="0" w:color="auto"/>
                <w:bottom w:val="none" w:sz="0" w:space="0" w:color="auto"/>
                <w:right w:val="none" w:sz="0" w:space="0" w:color="auto"/>
              </w:divBdr>
              <w:divsChild>
                <w:div w:id="175048569">
                  <w:marLeft w:val="0"/>
                  <w:marRight w:val="0"/>
                  <w:marTop w:val="0"/>
                  <w:marBottom w:val="0"/>
                  <w:divBdr>
                    <w:top w:val="none" w:sz="0" w:space="0" w:color="auto"/>
                    <w:left w:val="none" w:sz="0" w:space="0" w:color="auto"/>
                    <w:bottom w:val="none" w:sz="0" w:space="0" w:color="auto"/>
                    <w:right w:val="none" w:sz="0" w:space="0" w:color="auto"/>
                  </w:divBdr>
                  <w:divsChild>
                    <w:div w:id="1052995805">
                      <w:marLeft w:val="0"/>
                      <w:marRight w:val="0"/>
                      <w:marTop w:val="0"/>
                      <w:marBottom w:val="0"/>
                      <w:divBdr>
                        <w:top w:val="none" w:sz="0" w:space="0" w:color="auto"/>
                        <w:left w:val="none" w:sz="0" w:space="0" w:color="auto"/>
                        <w:bottom w:val="none" w:sz="0" w:space="0" w:color="auto"/>
                        <w:right w:val="none" w:sz="0" w:space="0" w:color="auto"/>
                      </w:divBdr>
                      <w:divsChild>
                        <w:div w:id="981930357">
                          <w:marLeft w:val="0"/>
                          <w:marRight w:val="0"/>
                          <w:marTop w:val="0"/>
                          <w:marBottom w:val="0"/>
                          <w:divBdr>
                            <w:top w:val="none" w:sz="0" w:space="0" w:color="auto"/>
                            <w:left w:val="none" w:sz="0" w:space="0" w:color="auto"/>
                            <w:bottom w:val="none" w:sz="0" w:space="0" w:color="auto"/>
                            <w:right w:val="none" w:sz="0" w:space="0" w:color="auto"/>
                          </w:divBdr>
                          <w:divsChild>
                            <w:div w:id="18438375">
                              <w:marLeft w:val="0"/>
                              <w:marRight w:val="0"/>
                              <w:marTop w:val="0"/>
                              <w:marBottom w:val="0"/>
                              <w:divBdr>
                                <w:top w:val="none" w:sz="0" w:space="0" w:color="auto"/>
                                <w:left w:val="none" w:sz="0" w:space="0" w:color="auto"/>
                                <w:bottom w:val="none" w:sz="0" w:space="0" w:color="auto"/>
                                <w:right w:val="none" w:sz="0" w:space="0" w:color="auto"/>
                              </w:divBdr>
                              <w:divsChild>
                                <w:div w:id="15121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025144">
      <w:bodyDiv w:val="1"/>
      <w:marLeft w:val="0"/>
      <w:marRight w:val="0"/>
      <w:marTop w:val="0"/>
      <w:marBottom w:val="0"/>
      <w:divBdr>
        <w:top w:val="none" w:sz="0" w:space="0" w:color="auto"/>
        <w:left w:val="none" w:sz="0" w:space="0" w:color="auto"/>
        <w:bottom w:val="none" w:sz="0" w:space="0" w:color="auto"/>
        <w:right w:val="none" w:sz="0" w:space="0" w:color="auto"/>
      </w:divBdr>
    </w:div>
    <w:div w:id="762915842">
      <w:bodyDiv w:val="1"/>
      <w:marLeft w:val="0"/>
      <w:marRight w:val="0"/>
      <w:marTop w:val="0"/>
      <w:marBottom w:val="0"/>
      <w:divBdr>
        <w:top w:val="none" w:sz="0" w:space="0" w:color="auto"/>
        <w:left w:val="none" w:sz="0" w:space="0" w:color="auto"/>
        <w:bottom w:val="none" w:sz="0" w:space="0" w:color="auto"/>
        <w:right w:val="none" w:sz="0" w:space="0" w:color="auto"/>
      </w:divBdr>
    </w:div>
    <w:div w:id="817384186">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 w:id="1025055289">
      <w:bodyDiv w:val="1"/>
      <w:marLeft w:val="0"/>
      <w:marRight w:val="0"/>
      <w:marTop w:val="0"/>
      <w:marBottom w:val="0"/>
      <w:divBdr>
        <w:top w:val="none" w:sz="0" w:space="0" w:color="auto"/>
        <w:left w:val="none" w:sz="0" w:space="0" w:color="auto"/>
        <w:bottom w:val="none" w:sz="0" w:space="0" w:color="auto"/>
        <w:right w:val="none" w:sz="0" w:space="0" w:color="auto"/>
      </w:divBdr>
      <w:divsChild>
        <w:div w:id="1227258113">
          <w:marLeft w:val="0"/>
          <w:marRight w:val="0"/>
          <w:marTop w:val="0"/>
          <w:marBottom w:val="0"/>
          <w:divBdr>
            <w:top w:val="none" w:sz="0" w:space="0" w:color="auto"/>
            <w:left w:val="none" w:sz="0" w:space="0" w:color="auto"/>
            <w:bottom w:val="none" w:sz="0" w:space="0" w:color="auto"/>
            <w:right w:val="none" w:sz="0" w:space="0" w:color="auto"/>
          </w:divBdr>
        </w:div>
        <w:div w:id="1280602644">
          <w:marLeft w:val="0"/>
          <w:marRight w:val="0"/>
          <w:marTop w:val="0"/>
          <w:marBottom w:val="0"/>
          <w:divBdr>
            <w:top w:val="none" w:sz="0" w:space="0" w:color="auto"/>
            <w:left w:val="none" w:sz="0" w:space="0" w:color="auto"/>
            <w:bottom w:val="none" w:sz="0" w:space="0" w:color="auto"/>
            <w:right w:val="none" w:sz="0" w:space="0" w:color="auto"/>
          </w:divBdr>
        </w:div>
        <w:div w:id="79763095">
          <w:marLeft w:val="0"/>
          <w:marRight w:val="0"/>
          <w:marTop w:val="0"/>
          <w:marBottom w:val="0"/>
          <w:divBdr>
            <w:top w:val="none" w:sz="0" w:space="0" w:color="auto"/>
            <w:left w:val="none" w:sz="0" w:space="0" w:color="auto"/>
            <w:bottom w:val="none" w:sz="0" w:space="0" w:color="auto"/>
            <w:right w:val="none" w:sz="0" w:space="0" w:color="auto"/>
          </w:divBdr>
        </w:div>
        <w:div w:id="774011360">
          <w:marLeft w:val="0"/>
          <w:marRight w:val="0"/>
          <w:marTop w:val="0"/>
          <w:marBottom w:val="0"/>
          <w:divBdr>
            <w:top w:val="none" w:sz="0" w:space="0" w:color="auto"/>
            <w:left w:val="none" w:sz="0" w:space="0" w:color="auto"/>
            <w:bottom w:val="none" w:sz="0" w:space="0" w:color="auto"/>
            <w:right w:val="none" w:sz="0" w:space="0" w:color="auto"/>
          </w:divBdr>
        </w:div>
        <w:div w:id="655113250">
          <w:marLeft w:val="0"/>
          <w:marRight w:val="0"/>
          <w:marTop w:val="0"/>
          <w:marBottom w:val="0"/>
          <w:divBdr>
            <w:top w:val="none" w:sz="0" w:space="0" w:color="auto"/>
            <w:left w:val="none" w:sz="0" w:space="0" w:color="auto"/>
            <w:bottom w:val="none" w:sz="0" w:space="0" w:color="auto"/>
            <w:right w:val="none" w:sz="0" w:space="0" w:color="auto"/>
          </w:divBdr>
        </w:div>
        <w:div w:id="2075274579">
          <w:marLeft w:val="0"/>
          <w:marRight w:val="0"/>
          <w:marTop w:val="0"/>
          <w:marBottom w:val="0"/>
          <w:divBdr>
            <w:top w:val="none" w:sz="0" w:space="0" w:color="auto"/>
            <w:left w:val="none" w:sz="0" w:space="0" w:color="auto"/>
            <w:bottom w:val="none" w:sz="0" w:space="0" w:color="auto"/>
            <w:right w:val="none" w:sz="0" w:space="0" w:color="auto"/>
          </w:divBdr>
        </w:div>
        <w:div w:id="1520509555">
          <w:marLeft w:val="0"/>
          <w:marRight w:val="0"/>
          <w:marTop w:val="0"/>
          <w:marBottom w:val="0"/>
          <w:divBdr>
            <w:top w:val="none" w:sz="0" w:space="0" w:color="auto"/>
            <w:left w:val="none" w:sz="0" w:space="0" w:color="auto"/>
            <w:bottom w:val="none" w:sz="0" w:space="0" w:color="auto"/>
            <w:right w:val="none" w:sz="0" w:space="0" w:color="auto"/>
          </w:divBdr>
        </w:div>
        <w:div w:id="752822962">
          <w:marLeft w:val="0"/>
          <w:marRight w:val="0"/>
          <w:marTop w:val="0"/>
          <w:marBottom w:val="0"/>
          <w:divBdr>
            <w:top w:val="none" w:sz="0" w:space="0" w:color="auto"/>
            <w:left w:val="none" w:sz="0" w:space="0" w:color="auto"/>
            <w:bottom w:val="none" w:sz="0" w:space="0" w:color="auto"/>
            <w:right w:val="none" w:sz="0" w:space="0" w:color="auto"/>
          </w:divBdr>
        </w:div>
        <w:div w:id="303244942">
          <w:marLeft w:val="0"/>
          <w:marRight w:val="0"/>
          <w:marTop w:val="0"/>
          <w:marBottom w:val="0"/>
          <w:divBdr>
            <w:top w:val="none" w:sz="0" w:space="0" w:color="auto"/>
            <w:left w:val="none" w:sz="0" w:space="0" w:color="auto"/>
            <w:bottom w:val="none" w:sz="0" w:space="0" w:color="auto"/>
            <w:right w:val="none" w:sz="0" w:space="0" w:color="auto"/>
          </w:divBdr>
        </w:div>
        <w:div w:id="755595675">
          <w:marLeft w:val="0"/>
          <w:marRight w:val="0"/>
          <w:marTop w:val="0"/>
          <w:marBottom w:val="0"/>
          <w:divBdr>
            <w:top w:val="none" w:sz="0" w:space="0" w:color="auto"/>
            <w:left w:val="none" w:sz="0" w:space="0" w:color="auto"/>
            <w:bottom w:val="none" w:sz="0" w:space="0" w:color="auto"/>
            <w:right w:val="none" w:sz="0" w:space="0" w:color="auto"/>
          </w:divBdr>
        </w:div>
        <w:div w:id="1561597101">
          <w:marLeft w:val="0"/>
          <w:marRight w:val="0"/>
          <w:marTop w:val="0"/>
          <w:marBottom w:val="0"/>
          <w:divBdr>
            <w:top w:val="none" w:sz="0" w:space="0" w:color="auto"/>
            <w:left w:val="none" w:sz="0" w:space="0" w:color="auto"/>
            <w:bottom w:val="none" w:sz="0" w:space="0" w:color="auto"/>
            <w:right w:val="none" w:sz="0" w:space="0" w:color="auto"/>
          </w:divBdr>
        </w:div>
        <w:div w:id="1062798428">
          <w:marLeft w:val="0"/>
          <w:marRight w:val="0"/>
          <w:marTop w:val="0"/>
          <w:marBottom w:val="0"/>
          <w:divBdr>
            <w:top w:val="none" w:sz="0" w:space="0" w:color="auto"/>
            <w:left w:val="none" w:sz="0" w:space="0" w:color="auto"/>
            <w:bottom w:val="none" w:sz="0" w:space="0" w:color="auto"/>
            <w:right w:val="none" w:sz="0" w:space="0" w:color="auto"/>
          </w:divBdr>
        </w:div>
        <w:div w:id="1131828734">
          <w:marLeft w:val="0"/>
          <w:marRight w:val="0"/>
          <w:marTop w:val="0"/>
          <w:marBottom w:val="0"/>
          <w:divBdr>
            <w:top w:val="none" w:sz="0" w:space="0" w:color="auto"/>
            <w:left w:val="none" w:sz="0" w:space="0" w:color="auto"/>
            <w:bottom w:val="none" w:sz="0" w:space="0" w:color="auto"/>
            <w:right w:val="none" w:sz="0" w:space="0" w:color="auto"/>
          </w:divBdr>
        </w:div>
        <w:div w:id="514852091">
          <w:marLeft w:val="0"/>
          <w:marRight w:val="0"/>
          <w:marTop w:val="0"/>
          <w:marBottom w:val="0"/>
          <w:divBdr>
            <w:top w:val="none" w:sz="0" w:space="0" w:color="auto"/>
            <w:left w:val="none" w:sz="0" w:space="0" w:color="auto"/>
            <w:bottom w:val="none" w:sz="0" w:space="0" w:color="auto"/>
            <w:right w:val="none" w:sz="0" w:space="0" w:color="auto"/>
          </w:divBdr>
        </w:div>
        <w:div w:id="719354873">
          <w:marLeft w:val="0"/>
          <w:marRight w:val="0"/>
          <w:marTop w:val="0"/>
          <w:marBottom w:val="0"/>
          <w:divBdr>
            <w:top w:val="none" w:sz="0" w:space="0" w:color="auto"/>
            <w:left w:val="none" w:sz="0" w:space="0" w:color="auto"/>
            <w:bottom w:val="none" w:sz="0" w:space="0" w:color="auto"/>
            <w:right w:val="none" w:sz="0" w:space="0" w:color="auto"/>
          </w:divBdr>
        </w:div>
        <w:div w:id="621501866">
          <w:marLeft w:val="0"/>
          <w:marRight w:val="0"/>
          <w:marTop w:val="0"/>
          <w:marBottom w:val="0"/>
          <w:divBdr>
            <w:top w:val="none" w:sz="0" w:space="0" w:color="auto"/>
            <w:left w:val="none" w:sz="0" w:space="0" w:color="auto"/>
            <w:bottom w:val="none" w:sz="0" w:space="0" w:color="auto"/>
            <w:right w:val="none" w:sz="0" w:space="0" w:color="auto"/>
          </w:divBdr>
        </w:div>
        <w:div w:id="1584148092">
          <w:marLeft w:val="0"/>
          <w:marRight w:val="0"/>
          <w:marTop w:val="0"/>
          <w:marBottom w:val="0"/>
          <w:divBdr>
            <w:top w:val="none" w:sz="0" w:space="0" w:color="auto"/>
            <w:left w:val="none" w:sz="0" w:space="0" w:color="auto"/>
            <w:bottom w:val="none" w:sz="0" w:space="0" w:color="auto"/>
            <w:right w:val="none" w:sz="0" w:space="0" w:color="auto"/>
          </w:divBdr>
        </w:div>
        <w:div w:id="1686008779">
          <w:marLeft w:val="0"/>
          <w:marRight w:val="0"/>
          <w:marTop w:val="0"/>
          <w:marBottom w:val="0"/>
          <w:divBdr>
            <w:top w:val="none" w:sz="0" w:space="0" w:color="auto"/>
            <w:left w:val="none" w:sz="0" w:space="0" w:color="auto"/>
            <w:bottom w:val="none" w:sz="0" w:space="0" w:color="auto"/>
            <w:right w:val="none" w:sz="0" w:space="0" w:color="auto"/>
          </w:divBdr>
        </w:div>
        <w:div w:id="1497378094">
          <w:marLeft w:val="0"/>
          <w:marRight w:val="0"/>
          <w:marTop w:val="0"/>
          <w:marBottom w:val="0"/>
          <w:divBdr>
            <w:top w:val="none" w:sz="0" w:space="0" w:color="auto"/>
            <w:left w:val="none" w:sz="0" w:space="0" w:color="auto"/>
            <w:bottom w:val="none" w:sz="0" w:space="0" w:color="auto"/>
            <w:right w:val="none" w:sz="0" w:space="0" w:color="auto"/>
          </w:divBdr>
        </w:div>
        <w:div w:id="1435055353">
          <w:marLeft w:val="0"/>
          <w:marRight w:val="0"/>
          <w:marTop w:val="0"/>
          <w:marBottom w:val="0"/>
          <w:divBdr>
            <w:top w:val="none" w:sz="0" w:space="0" w:color="auto"/>
            <w:left w:val="none" w:sz="0" w:space="0" w:color="auto"/>
            <w:bottom w:val="none" w:sz="0" w:space="0" w:color="auto"/>
            <w:right w:val="none" w:sz="0" w:space="0" w:color="auto"/>
          </w:divBdr>
        </w:div>
        <w:div w:id="1461652991">
          <w:marLeft w:val="0"/>
          <w:marRight w:val="0"/>
          <w:marTop w:val="0"/>
          <w:marBottom w:val="0"/>
          <w:divBdr>
            <w:top w:val="none" w:sz="0" w:space="0" w:color="auto"/>
            <w:left w:val="none" w:sz="0" w:space="0" w:color="auto"/>
            <w:bottom w:val="none" w:sz="0" w:space="0" w:color="auto"/>
            <w:right w:val="none" w:sz="0" w:space="0" w:color="auto"/>
          </w:divBdr>
        </w:div>
        <w:div w:id="1839418530">
          <w:marLeft w:val="0"/>
          <w:marRight w:val="0"/>
          <w:marTop w:val="0"/>
          <w:marBottom w:val="0"/>
          <w:divBdr>
            <w:top w:val="none" w:sz="0" w:space="0" w:color="auto"/>
            <w:left w:val="none" w:sz="0" w:space="0" w:color="auto"/>
            <w:bottom w:val="none" w:sz="0" w:space="0" w:color="auto"/>
            <w:right w:val="none" w:sz="0" w:space="0" w:color="auto"/>
          </w:divBdr>
        </w:div>
        <w:div w:id="295526747">
          <w:marLeft w:val="0"/>
          <w:marRight w:val="0"/>
          <w:marTop w:val="0"/>
          <w:marBottom w:val="0"/>
          <w:divBdr>
            <w:top w:val="none" w:sz="0" w:space="0" w:color="auto"/>
            <w:left w:val="none" w:sz="0" w:space="0" w:color="auto"/>
            <w:bottom w:val="none" w:sz="0" w:space="0" w:color="auto"/>
            <w:right w:val="none" w:sz="0" w:space="0" w:color="auto"/>
          </w:divBdr>
        </w:div>
        <w:div w:id="348145041">
          <w:marLeft w:val="0"/>
          <w:marRight w:val="0"/>
          <w:marTop w:val="0"/>
          <w:marBottom w:val="0"/>
          <w:divBdr>
            <w:top w:val="none" w:sz="0" w:space="0" w:color="auto"/>
            <w:left w:val="none" w:sz="0" w:space="0" w:color="auto"/>
            <w:bottom w:val="none" w:sz="0" w:space="0" w:color="auto"/>
            <w:right w:val="none" w:sz="0" w:space="0" w:color="auto"/>
          </w:divBdr>
        </w:div>
        <w:div w:id="1533880768">
          <w:marLeft w:val="0"/>
          <w:marRight w:val="0"/>
          <w:marTop w:val="0"/>
          <w:marBottom w:val="0"/>
          <w:divBdr>
            <w:top w:val="none" w:sz="0" w:space="0" w:color="auto"/>
            <w:left w:val="none" w:sz="0" w:space="0" w:color="auto"/>
            <w:bottom w:val="none" w:sz="0" w:space="0" w:color="auto"/>
            <w:right w:val="none" w:sz="0" w:space="0" w:color="auto"/>
          </w:divBdr>
        </w:div>
      </w:divsChild>
    </w:div>
    <w:div w:id="1944917279">
      <w:bodyDiv w:val="1"/>
      <w:marLeft w:val="0"/>
      <w:marRight w:val="0"/>
      <w:marTop w:val="0"/>
      <w:marBottom w:val="0"/>
      <w:divBdr>
        <w:top w:val="none" w:sz="0" w:space="0" w:color="auto"/>
        <w:left w:val="none" w:sz="0" w:space="0" w:color="auto"/>
        <w:bottom w:val="none" w:sz="0" w:space="0" w:color="auto"/>
        <w:right w:val="none" w:sz="0" w:space="0" w:color="auto"/>
      </w:divBdr>
      <w:divsChild>
        <w:div w:id="671105939">
          <w:marLeft w:val="0"/>
          <w:marRight w:val="0"/>
          <w:marTop w:val="0"/>
          <w:marBottom w:val="0"/>
          <w:divBdr>
            <w:top w:val="none" w:sz="0" w:space="0" w:color="auto"/>
            <w:left w:val="none" w:sz="0" w:space="0" w:color="auto"/>
            <w:bottom w:val="none" w:sz="0" w:space="0" w:color="auto"/>
            <w:right w:val="none" w:sz="0" w:space="0" w:color="auto"/>
          </w:divBdr>
          <w:divsChild>
            <w:div w:id="1665275987">
              <w:marLeft w:val="0"/>
              <w:marRight w:val="0"/>
              <w:marTop w:val="0"/>
              <w:marBottom w:val="0"/>
              <w:divBdr>
                <w:top w:val="none" w:sz="0" w:space="0" w:color="auto"/>
                <w:left w:val="none" w:sz="0" w:space="0" w:color="auto"/>
                <w:bottom w:val="none" w:sz="0" w:space="0" w:color="auto"/>
                <w:right w:val="none" w:sz="0" w:space="0" w:color="auto"/>
              </w:divBdr>
              <w:divsChild>
                <w:div w:id="544947440">
                  <w:marLeft w:val="0"/>
                  <w:marRight w:val="0"/>
                  <w:marTop w:val="0"/>
                  <w:marBottom w:val="0"/>
                  <w:divBdr>
                    <w:top w:val="none" w:sz="0" w:space="0" w:color="auto"/>
                    <w:left w:val="none" w:sz="0" w:space="0" w:color="auto"/>
                    <w:bottom w:val="none" w:sz="0" w:space="0" w:color="auto"/>
                    <w:right w:val="none" w:sz="0" w:space="0" w:color="auto"/>
                  </w:divBdr>
                  <w:divsChild>
                    <w:div w:id="1713116569">
                      <w:marLeft w:val="0"/>
                      <w:marRight w:val="0"/>
                      <w:marTop w:val="0"/>
                      <w:marBottom w:val="0"/>
                      <w:divBdr>
                        <w:top w:val="none" w:sz="0" w:space="0" w:color="auto"/>
                        <w:left w:val="none" w:sz="0" w:space="0" w:color="auto"/>
                        <w:bottom w:val="none" w:sz="0" w:space="0" w:color="auto"/>
                        <w:right w:val="none" w:sz="0" w:space="0" w:color="auto"/>
                      </w:divBdr>
                      <w:divsChild>
                        <w:div w:id="552616754">
                          <w:marLeft w:val="0"/>
                          <w:marRight w:val="0"/>
                          <w:marTop w:val="0"/>
                          <w:marBottom w:val="0"/>
                          <w:divBdr>
                            <w:top w:val="none" w:sz="0" w:space="0" w:color="auto"/>
                            <w:left w:val="none" w:sz="0" w:space="0" w:color="auto"/>
                            <w:bottom w:val="none" w:sz="0" w:space="0" w:color="auto"/>
                            <w:right w:val="none" w:sz="0" w:space="0" w:color="auto"/>
                          </w:divBdr>
                          <w:divsChild>
                            <w:div w:id="1319771486">
                              <w:marLeft w:val="0"/>
                              <w:marRight w:val="0"/>
                              <w:marTop w:val="0"/>
                              <w:marBottom w:val="0"/>
                              <w:divBdr>
                                <w:top w:val="none" w:sz="0" w:space="0" w:color="auto"/>
                                <w:left w:val="none" w:sz="0" w:space="0" w:color="auto"/>
                                <w:bottom w:val="none" w:sz="0" w:space="0" w:color="auto"/>
                                <w:right w:val="none" w:sz="0" w:space="0" w:color="auto"/>
                              </w:divBdr>
                              <w:divsChild>
                                <w:div w:id="9554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92258">
      <w:bodyDiv w:val="1"/>
      <w:marLeft w:val="0"/>
      <w:marRight w:val="0"/>
      <w:marTop w:val="0"/>
      <w:marBottom w:val="0"/>
      <w:divBdr>
        <w:top w:val="none" w:sz="0" w:space="0" w:color="auto"/>
        <w:left w:val="none" w:sz="0" w:space="0" w:color="auto"/>
        <w:bottom w:val="none" w:sz="0" w:space="0" w:color="auto"/>
        <w:right w:val="none" w:sz="0" w:space="0" w:color="auto"/>
      </w:divBdr>
    </w:div>
    <w:div w:id="2068406396">
      <w:bodyDiv w:val="1"/>
      <w:marLeft w:val="0"/>
      <w:marRight w:val="0"/>
      <w:marTop w:val="0"/>
      <w:marBottom w:val="0"/>
      <w:divBdr>
        <w:top w:val="none" w:sz="0" w:space="0" w:color="auto"/>
        <w:left w:val="none" w:sz="0" w:space="0" w:color="auto"/>
        <w:bottom w:val="none" w:sz="0" w:space="0" w:color="auto"/>
        <w:right w:val="none" w:sz="0" w:space="0" w:color="auto"/>
      </w:divBdr>
    </w:div>
    <w:div w:id="21193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ecilia.sulhoff@fcc.gov" TargetMode="External"/><Relationship Id="rId17" Type="http://schemas.openxmlformats.org/officeDocument/2006/relationships/header" Target="header3.xml"/><Relationship Id="rId25" Type="http://schemas.openxmlformats.org/officeDocument/2006/relationships/hyperlink" Target="ftp://ftp.fcc.gov/pub/Bureaus/MB/Databases/cdb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cfs2/" TargetMode="External"/><Relationship Id="rId24" Type="http://schemas.openxmlformats.org/officeDocument/2006/relationships/hyperlink" Target="http://www.fcc.gov/mb/video/tvq.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fcc.gov/mb/video/tvq.html" TargetMode="External"/><Relationship Id="rId28" Type="http://schemas.microsoft.com/office/2011/relationships/people" Target="people.xml"/><Relationship Id="rId10" Type="http://schemas.openxmlformats.org/officeDocument/2006/relationships/hyperlink" Target="http://www.fcc.gov/learn"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4gamericas.org/index.cfm?fuseaction=pressreleasedisplay&amp;pressreleaseid=4746" TargetMode="External"/><Relationship Id="rId13" Type="http://schemas.openxmlformats.org/officeDocument/2006/relationships/hyperlink" Target="http://www.mrlc.gov/nlcd2006.php" TargetMode="External"/><Relationship Id="rId3" Type="http://schemas.openxmlformats.org/officeDocument/2006/relationships/hyperlink" Target="http://transition.fcc.gov/Bureaus/Engineering_Technology/Documents/bulletins/oet69/oet69.pdf" TargetMode="External"/><Relationship Id="rId7" Type="http://schemas.openxmlformats.org/officeDocument/2006/relationships/hyperlink" Target="http://www.3gpp.org/DynaReport/36101.htm" TargetMode="External"/><Relationship Id="rId12" Type="http://schemas.openxmlformats.org/officeDocument/2006/relationships/hyperlink" Target="http://www.fcc.gov/encyclopedia/international-agreements" TargetMode="External"/><Relationship Id="rId2" Type="http://schemas.openxmlformats.org/officeDocument/2006/relationships/hyperlink" Target="http://www.3gpp.org/DynaReport/36104.htm" TargetMode="External"/><Relationship Id="rId1" Type="http://schemas.openxmlformats.org/officeDocument/2006/relationships/hyperlink" Target="http://www.3gpp.org/DynaReport/36101.htm" TargetMode="External"/><Relationship Id="rId6" Type="http://schemas.openxmlformats.org/officeDocument/2006/relationships/hyperlink" Target="http://www.3gpp.org/DynaReport/36104.htm" TargetMode="External"/><Relationship Id="rId11" Type="http://schemas.openxmlformats.org/officeDocument/2006/relationships/hyperlink" Target="http://www.fcc.gov/guides/dtv-transition-and-lptv-class-translator-stations" TargetMode="External"/><Relationship Id="rId5" Type="http://schemas.openxmlformats.org/officeDocument/2006/relationships/hyperlink" Target="http://transition.fcc.gov/Bureaus/Engineering_Technology/Documents/bulletins/oet73/oet73.pdf" TargetMode="External"/><Relationship Id="rId10" Type="http://schemas.openxmlformats.org/officeDocument/2006/relationships/hyperlink" Target="http://transition.fcc.gov/Bureaus/Engineering_Technology/Documents/bulletins/oet69/oet69.pdf" TargetMode="External"/><Relationship Id="rId4" Type="http://schemas.openxmlformats.org/officeDocument/2006/relationships/hyperlink" Target="http://transition.fcc.gov/Bureaus/Engineering_Technology/Documents/bulletins/oet72/oet72.pdf" TargetMode="External"/><Relationship Id="rId9" Type="http://schemas.openxmlformats.org/officeDocument/2006/relationships/hyperlink" Target="http://transition.fcc.gov/Bureaus/Engineering_Technology/Documents/bulletins/oet69/oet69.pdf" TargetMode="External"/><Relationship Id="rId14" Type="http://schemas.openxmlformats.org/officeDocument/2006/relationships/hyperlink" Target="http://transition.fcc.gov/Bureaus/Engineering_Technology/Documents/bulletins/oet73/oet7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8103</Words>
  <Characters>44153</Characters>
  <Application>Microsoft Office Word</Application>
  <DocSecurity>0</DocSecurity>
  <Lines>1233</Lines>
  <Paragraphs>669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51939</CharactersWithSpaces>
  <SharedDoc>false</SharedDoc>
  <HyperlinkBase> </HyperlinkBase>
  <HLinks>
    <vt:vector size="48" baseType="variant">
      <vt:variant>
        <vt:i4>4259880</vt:i4>
      </vt:variant>
      <vt:variant>
        <vt:i4>6</vt:i4>
      </vt:variant>
      <vt:variant>
        <vt:i4>0</vt:i4>
      </vt:variant>
      <vt:variant>
        <vt:i4>5</vt:i4>
      </vt:variant>
      <vt:variant>
        <vt:lpwstr>mailto:robert.weller@fcc.gov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2162744</vt:i4>
      </vt:variant>
      <vt:variant>
        <vt:i4>0</vt:i4>
      </vt:variant>
      <vt:variant>
        <vt:i4>0</vt:i4>
      </vt:variant>
      <vt:variant>
        <vt:i4>5</vt:i4>
      </vt:variant>
      <vt:variant>
        <vt:lpwstr>http://data.fcc.gov/download/incentive-auctions/OET-69/</vt:lpwstr>
      </vt:variant>
      <vt:variant>
        <vt:lpwstr/>
      </vt:variant>
      <vt:variant>
        <vt:i4>196702</vt:i4>
      </vt:variant>
      <vt:variant>
        <vt:i4>12</vt:i4>
      </vt:variant>
      <vt:variant>
        <vt:i4>0</vt:i4>
      </vt:variant>
      <vt:variant>
        <vt:i4>5</vt:i4>
      </vt:variant>
      <vt:variant>
        <vt:lpwstr>http://en.wikipedia.org/wiki/Parchive</vt:lpwstr>
      </vt:variant>
      <vt:variant>
        <vt:lpwstr/>
      </vt:variant>
      <vt:variant>
        <vt:i4>5636161</vt:i4>
      </vt:variant>
      <vt:variant>
        <vt:i4>9</vt:i4>
      </vt:variant>
      <vt:variant>
        <vt:i4>0</vt:i4>
      </vt:variant>
      <vt:variant>
        <vt:i4>5</vt:i4>
      </vt:variant>
      <vt:variant>
        <vt:lpwstr>http://en.wikipedia.org/wiki/.tgz</vt:lpwstr>
      </vt:variant>
      <vt:variant>
        <vt:lpwstr/>
      </vt:variant>
      <vt:variant>
        <vt:i4>8126523</vt:i4>
      </vt:variant>
      <vt:variant>
        <vt:i4>6</vt:i4>
      </vt:variant>
      <vt:variant>
        <vt:i4>0</vt:i4>
      </vt:variant>
      <vt:variant>
        <vt:i4>5</vt:i4>
      </vt:variant>
      <vt:variant>
        <vt:lpwstr>http://www.fcc.gov/encyclopedia/oet-bulletins-line</vt:lpwstr>
      </vt:variant>
      <vt:variant>
        <vt:lpwstr/>
      </vt:variant>
      <vt:variant>
        <vt:i4>6946873</vt:i4>
      </vt:variant>
      <vt:variant>
        <vt:i4>3</vt:i4>
      </vt:variant>
      <vt:variant>
        <vt:i4>0</vt:i4>
      </vt:variant>
      <vt:variant>
        <vt:i4>5</vt:i4>
      </vt:variant>
      <vt:variant>
        <vt:lpwstr>http://transition.fcc.gov/Daily_Releases/Daily_Business/2012/db1002/FCC-12-118A1.pdf</vt:lpwstr>
      </vt:variant>
      <vt:variant>
        <vt:lpwstr/>
      </vt:variant>
      <vt:variant>
        <vt:i4>7995482</vt:i4>
      </vt:variant>
      <vt:variant>
        <vt:i4>0</vt:i4>
      </vt:variant>
      <vt:variant>
        <vt:i4>0</vt:i4>
      </vt:variant>
      <vt:variant>
        <vt:i4>5</vt:i4>
      </vt:variant>
      <vt:variant>
        <vt:lpwstr>http://transition.fcc.gov/Bureaus/Engineering_Technology/Documents/bulletins/oet69/oet69.pdf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2014-01-29T18:00:00Z</cp:lastPrinted>
  <dcterms:created xsi:type="dcterms:W3CDTF">2014-01-29T19:43:00Z</dcterms:created>
  <dcterms:modified xsi:type="dcterms:W3CDTF">2014-01-29T19:43:00Z</dcterms:modified>
  <cp:category> </cp:category>
  <cp:contentStatus> </cp:contentStatus>
</cp:coreProperties>
</file>