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E1217" w14:textId="77777777" w:rsidR="006E6C14" w:rsidRPr="0027580F" w:rsidRDefault="006E6C14">
      <w:pPr>
        <w:pStyle w:val="Header"/>
        <w:tabs>
          <w:tab w:val="clear" w:pos="4320"/>
          <w:tab w:val="clear" w:pos="8640"/>
        </w:tabs>
        <w:rPr>
          <w:szCs w:val="22"/>
        </w:rPr>
        <w:sectPr w:rsidR="006E6C14" w:rsidRPr="0027580F" w:rsidSect="003910C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docGrid w:linePitch="299"/>
        </w:sectPr>
      </w:pPr>
      <w:bookmarkStart w:id="1" w:name="_GoBack"/>
      <w:bookmarkEnd w:id="1"/>
    </w:p>
    <w:p w14:paraId="555E1218" w14:textId="356C8438" w:rsidR="00450C55" w:rsidRPr="0027580F" w:rsidRDefault="00450C55" w:rsidP="00450C55">
      <w:pPr>
        <w:spacing w:before="120"/>
        <w:jc w:val="right"/>
        <w:rPr>
          <w:b/>
          <w:szCs w:val="22"/>
        </w:rPr>
      </w:pPr>
      <w:r w:rsidRPr="0027580F">
        <w:rPr>
          <w:b/>
          <w:szCs w:val="22"/>
        </w:rPr>
        <w:lastRenderedPageBreak/>
        <w:t>DA 1</w:t>
      </w:r>
      <w:r>
        <w:rPr>
          <w:b/>
          <w:szCs w:val="22"/>
        </w:rPr>
        <w:t>5</w:t>
      </w:r>
      <w:r w:rsidRPr="0027580F">
        <w:rPr>
          <w:b/>
          <w:szCs w:val="22"/>
        </w:rPr>
        <w:t>-</w:t>
      </w:r>
      <w:r w:rsidR="00C90034">
        <w:rPr>
          <w:b/>
          <w:szCs w:val="22"/>
        </w:rPr>
        <w:t>1010</w:t>
      </w:r>
    </w:p>
    <w:p w14:paraId="555E1219" w14:textId="27B4943E" w:rsidR="00450C55" w:rsidRPr="00561EE2" w:rsidRDefault="00450C55" w:rsidP="00450C55">
      <w:pPr>
        <w:spacing w:before="120"/>
        <w:jc w:val="right"/>
        <w:rPr>
          <w:b/>
          <w:szCs w:val="22"/>
        </w:rPr>
      </w:pPr>
      <w:r w:rsidRPr="0027580F">
        <w:rPr>
          <w:b/>
          <w:szCs w:val="22"/>
        </w:rPr>
        <w:t xml:space="preserve">Released: </w:t>
      </w:r>
      <w:r w:rsidR="0032611C">
        <w:rPr>
          <w:b/>
          <w:szCs w:val="22"/>
        </w:rPr>
        <w:t xml:space="preserve">September </w:t>
      </w:r>
      <w:r w:rsidR="004144A4">
        <w:rPr>
          <w:b/>
          <w:szCs w:val="22"/>
        </w:rPr>
        <w:t>11</w:t>
      </w:r>
      <w:r w:rsidR="00D05DB9">
        <w:rPr>
          <w:b/>
          <w:szCs w:val="22"/>
        </w:rPr>
        <w:t>,</w:t>
      </w:r>
      <w:r w:rsidRPr="0053099C">
        <w:rPr>
          <w:b/>
          <w:szCs w:val="22"/>
        </w:rPr>
        <w:t xml:space="preserve"> 201</w:t>
      </w:r>
      <w:r>
        <w:rPr>
          <w:b/>
          <w:szCs w:val="22"/>
        </w:rPr>
        <w:t>5</w:t>
      </w:r>
    </w:p>
    <w:p w14:paraId="555E121A" w14:textId="77777777" w:rsidR="00450C55" w:rsidRPr="00696C86" w:rsidRDefault="00450C55" w:rsidP="00450C55">
      <w:pPr>
        <w:spacing w:before="120"/>
        <w:jc w:val="center"/>
        <w:rPr>
          <w:b/>
          <w:szCs w:val="22"/>
        </w:rPr>
      </w:pPr>
    </w:p>
    <w:p w14:paraId="555E121B" w14:textId="77777777" w:rsidR="00450C55" w:rsidRDefault="00450C55" w:rsidP="00450C55">
      <w:pPr>
        <w:spacing w:before="120"/>
        <w:jc w:val="center"/>
        <w:rPr>
          <w:b/>
          <w:szCs w:val="22"/>
        </w:rPr>
      </w:pPr>
      <w:r w:rsidRPr="00E04DC5">
        <w:rPr>
          <w:b/>
          <w:szCs w:val="22"/>
        </w:rPr>
        <w:t xml:space="preserve">COMMISSION SEEKS COMMENT ON APPLICATIONS OF </w:t>
      </w:r>
      <w:r w:rsidRPr="001061A6">
        <w:rPr>
          <w:b/>
          <w:szCs w:val="22"/>
        </w:rPr>
        <w:t>CHARTER COMMUNICATIONS, INC., TIME WARNER CABLE INC., AND ADVANCE/NEWHOUSE PARTNERSHIP FOR CONSENT TO TRANSFER CONTROL OF LICENSES AND AUTHORIZATIONS</w:t>
      </w:r>
      <w:r>
        <w:rPr>
          <w:b/>
          <w:szCs w:val="22"/>
        </w:rPr>
        <w:t xml:space="preserve"> </w:t>
      </w:r>
    </w:p>
    <w:p w14:paraId="555E121C" w14:textId="77777777" w:rsidR="00450C55" w:rsidRPr="00467881" w:rsidRDefault="00450C55" w:rsidP="00450C55">
      <w:pPr>
        <w:spacing w:before="120"/>
        <w:jc w:val="center"/>
        <w:rPr>
          <w:b/>
          <w:szCs w:val="22"/>
        </w:rPr>
      </w:pPr>
      <w:r w:rsidRPr="00467881">
        <w:rPr>
          <w:b/>
          <w:szCs w:val="22"/>
        </w:rPr>
        <w:t>MB Docket No. 1</w:t>
      </w:r>
      <w:r>
        <w:rPr>
          <w:b/>
          <w:szCs w:val="22"/>
        </w:rPr>
        <w:t>5</w:t>
      </w:r>
      <w:r w:rsidRPr="00467881">
        <w:rPr>
          <w:b/>
          <w:szCs w:val="22"/>
        </w:rPr>
        <w:t>-</w:t>
      </w:r>
      <w:r>
        <w:rPr>
          <w:b/>
          <w:szCs w:val="22"/>
        </w:rPr>
        <w:t>149</w:t>
      </w:r>
    </w:p>
    <w:p w14:paraId="555E121D" w14:textId="77777777" w:rsidR="00450C55" w:rsidRPr="00467881" w:rsidRDefault="00450C55" w:rsidP="00450C55">
      <w:pPr>
        <w:spacing w:before="120"/>
        <w:jc w:val="center"/>
        <w:rPr>
          <w:b/>
          <w:szCs w:val="22"/>
        </w:rPr>
      </w:pPr>
    </w:p>
    <w:p w14:paraId="555E121E" w14:textId="5752AA27" w:rsidR="00D05DB9" w:rsidRDefault="00450C55" w:rsidP="00450C55">
      <w:pPr>
        <w:spacing w:before="120"/>
        <w:rPr>
          <w:b/>
          <w:szCs w:val="22"/>
        </w:rPr>
      </w:pPr>
      <w:r w:rsidRPr="00D05DB9">
        <w:rPr>
          <w:b/>
          <w:szCs w:val="22"/>
        </w:rPr>
        <w:t xml:space="preserve">Comments/Petitions Due:  </w:t>
      </w:r>
      <w:r w:rsidR="0032611C">
        <w:rPr>
          <w:b/>
          <w:szCs w:val="22"/>
        </w:rPr>
        <w:t xml:space="preserve">October </w:t>
      </w:r>
      <w:r w:rsidR="004144A4">
        <w:rPr>
          <w:b/>
          <w:szCs w:val="22"/>
        </w:rPr>
        <w:t>13</w:t>
      </w:r>
      <w:r w:rsidR="00D05DB9">
        <w:rPr>
          <w:b/>
          <w:szCs w:val="22"/>
        </w:rPr>
        <w:t>, 2015</w:t>
      </w:r>
    </w:p>
    <w:p w14:paraId="555E121F" w14:textId="6A19C456" w:rsidR="00450C55" w:rsidRPr="00D05DB9" w:rsidRDefault="00450C55" w:rsidP="00450C55">
      <w:pPr>
        <w:spacing w:before="120"/>
        <w:rPr>
          <w:b/>
          <w:szCs w:val="22"/>
        </w:rPr>
      </w:pPr>
      <w:r w:rsidRPr="00D05DB9">
        <w:rPr>
          <w:b/>
          <w:szCs w:val="22"/>
        </w:rPr>
        <w:t>Responses to Comments/Oppositions to Petitions Due:</w:t>
      </w:r>
      <w:r w:rsidR="00D05DB9">
        <w:rPr>
          <w:b/>
          <w:szCs w:val="22"/>
        </w:rPr>
        <w:t xml:space="preserve"> </w:t>
      </w:r>
      <w:r w:rsidR="001B2E89" w:rsidRPr="00D05DB9">
        <w:rPr>
          <w:b/>
          <w:szCs w:val="22"/>
        </w:rPr>
        <w:t xml:space="preserve"> </w:t>
      </w:r>
      <w:r w:rsidR="004144A4">
        <w:rPr>
          <w:b/>
          <w:szCs w:val="22"/>
        </w:rPr>
        <w:t>November</w:t>
      </w:r>
      <w:r w:rsidR="00D05DB9">
        <w:rPr>
          <w:b/>
          <w:szCs w:val="22"/>
        </w:rPr>
        <w:t xml:space="preserve"> </w:t>
      </w:r>
      <w:r w:rsidR="004144A4">
        <w:rPr>
          <w:b/>
          <w:szCs w:val="22"/>
        </w:rPr>
        <w:t>2</w:t>
      </w:r>
      <w:r w:rsidR="00D05DB9">
        <w:rPr>
          <w:b/>
          <w:szCs w:val="22"/>
        </w:rPr>
        <w:t>, 2015</w:t>
      </w:r>
    </w:p>
    <w:p w14:paraId="555E1220" w14:textId="00EC7287" w:rsidR="00450C55" w:rsidRPr="00467881" w:rsidRDefault="00450C55" w:rsidP="00450C55">
      <w:pPr>
        <w:tabs>
          <w:tab w:val="left" w:pos="7511"/>
        </w:tabs>
        <w:spacing w:before="120"/>
        <w:rPr>
          <w:b/>
          <w:szCs w:val="22"/>
        </w:rPr>
      </w:pPr>
      <w:r w:rsidRPr="00D05DB9">
        <w:rPr>
          <w:b/>
          <w:szCs w:val="22"/>
        </w:rPr>
        <w:t>Replies to Responses/Oppositions Due:</w:t>
      </w:r>
      <w:r w:rsidR="00D05DB9">
        <w:rPr>
          <w:b/>
          <w:szCs w:val="22"/>
        </w:rPr>
        <w:t xml:space="preserve">  </w:t>
      </w:r>
      <w:r w:rsidR="0032611C">
        <w:rPr>
          <w:b/>
          <w:szCs w:val="22"/>
        </w:rPr>
        <w:t xml:space="preserve">November </w:t>
      </w:r>
      <w:r w:rsidR="004144A4">
        <w:rPr>
          <w:b/>
          <w:szCs w:val="22"/>
        </w:rPr>
        <w:t>12</w:t>
      </w:r>
      <w:r w:rsidR="00D05DB9">
        <w:rPr>
          <w:b/>
          <w:szCs w:val="22"/>
        </w:rPr>
        <w:t>, 2015</w:t>
      </w:r>
    </w:p>
    <w:p w14:paraId="555E1221" w14:textId="77777777" w:rsidR="00450C55" w:rsidRPr="00467881" w:rsidRDefault="00450C55" w:rsidP="00450C55">
      <w:pPr>
        <w:spacing w:before="120"/>
        <w:rPr>
          <w:szCs w:val="22"/>
        </w:rPr>
      </w:pPr>
    </w:p>
    <w:p w14:paraId="555E1222" w14:textId="77777777" w:rsidR="00450C55" w:rsidRPr="0027580F" w:rsidRDefault="00450C55" w:rsidP="00450C55">
      <w:pPr>
        <w:rPr>
          <w:szCs w:val="22"/>
        </w:rPr>
      </w:pPr>
      <w:r w:rsidRPr="00467881">
        <w:rPr>
          <w:szCs w:val="22"/>
        </w:rPr>
        <w:tab/>
      </w:r>
      <w:r>
        <w:rPr>
          <w:szCs w:val="22"/>
        </w:rPr>
        <w:t>On June 25, 2015, Charter Communications, Inc. (“Charter”), Time Warner Cable Inc. (“Time Warner Cable”), and Advance/Newhouse Partnership (“Advance/Newhouse” and, together with Charter and Time Warner Cable, the “Applicants”) submitted joint applications to the Commission seeking consent to transfer control of various Commission licenses and authorizations pursuant to Sections 214 and 310(d) of the Communications Act of 1934, as amended.</w:t>
      </w:r>
      <w:r>
        <w:rPr>
          <w:rStyle w:val="FootnoteReference"/>
          <w:szCs w:val="22"/>
        </w:rPr>
        <w:footnoteReference w:id="2"/>
      </w:r>
      <w:r>
        <w:rPr>
          <w:szCs w:val="22"/>
        </w:rPr>
        <w:t xml:space="preserve">  These transfers are a necessary component of proposed transactions through which Charter, Time Warner Cable, and Advance/Newhouse’s Bright House Networks, LLC (“Bright House Networks”) </w:t>
      </w:r>
      <w:r w:rsidR="009E34D7">
        <w:rPr>
          <w:szCs w:val="22"/>
        </w:rPr>
        <w:t xml:space="preserve">would </w:t>
      </w:r>
      <w:r>
        <w:rPr>
          <w:szCs w:val="22"/>
        </w:rPr>
        <w:t>merge.</w:t>
      </w:r>
      <w:r>
        <w:rPr>
          <w:rStyle w:val="FootnoteReference"/>
          <w:szCs w:val="22"/>
        </w:rPr>
        <w:footnoteReference w:id="3"/>
      </w:r>
      <w:r>
        <w:rPr>
          <w:szCs w:val="22"/>
        </w:rPr>
        <w:t xml:space="preserve">  </w:t>
      </w:r>
      <w:r w:rsidRPr="0027580F">
        <w:rPr>
          <w:color w:val="000000"/>
          <w:szCs w:val="22"/>
        </w:rPr>
        <w:t>The details of the proposed transfers</w:t>
      </w:r>
      <w:r>
        <w:rPr>
          <w:color w:val="000000"/>
          <w:szCs w:val="22"/>
        </w:rPr>
        <w:t xml:space="preserve"> are described in our </w:t>
      </w:r>
      <w:r w:rsidR="002E69A8">
        <w:rPr>
          <w:color w:val="000000"/>
          <w:szCs w:val="22"/>
        </w:rPr>
        <w:t>July</w:t>
      </w:r>
      <w:r w:rsidR="00E72B53">
        <w:rPr>
          <w:color w:val="000000"/>
          <w:szCs w:val="22"/>
        </w:rPr>
        <w:t xml:space="preserve"> 27</w:t>
      </w:r>
      <w:r w:rsidR="002E69A8">
        <w:rPr>
          <w:color w:val="000000"/>
          <w:szCs w:val="22"/>
        </w:rPr>
        <w:t>, 2015</w:t>
      </w:r>
      <w:r w:rsidR="001E3B81">
        <w:rPr>
          <w:color w:val="000000"/>
          <w:szCs w:val="22"/>
        </w:rPr>
        <w:t>,</w:t>
      </w:r>
      <w:r w:rsidR="002E69A8">
        <w:rPr>
          <w:color w:val="000000"/>
          <w:szCs w:val="22"/>
        </w:rPr>
        <w:t xml:space="preserve"> </w:t>
      </w:r>
      <w:r w:rsidR="00F576C9">
        <w:rPr>
          <w:color w:val="000000"/>
          <w:szCs w:val="22"/>
        </w:rPr>
        <w:t>p</w:t>
      </w:r>
      <w:r>
        <w:rPr>
          <w:color w:val="000000"/>
          <w:szCs w:val="22"/>
        </w:rPr>
        <w:t xml:space="preserve">ublic </w:t>
      </w:r>
      <w:r w:rsidR="00F576C9">
        <w:rPr>
          <w:color w:val="000000"/>
          <w:szCs w:val="22"/>
        </w:rPr>
        <w:t>n</w:t>
      </w:r>
      <w:r>
        <w:rPr>
          <w:color w:val="000000"/>
          <w:szCs w:val="22"/>
        </w:rPr>
        <w:t>otice accepting for filing the Application</w:t>
      </w:r>
      <w:r>
        <w:rPr>
          <w:szCs w:val="22"/>
        </w:rPr>
        <w:t>.</w:t>
      </w:r>
      <w:r>
        <w:rPr>
          <w:rStyle w:val="FootnoteReference"/>
          <w:szCs w:val="22"/>
        </w:rPr>
        <w:footnoteReference w:id="4"/>
      </w:r>
    </w:p>
    <w:p w14:paraId="555E1223" w14:textId="77777777" w:rsidR="002875E6" w:rsidRDefault="002875E6" w:rsidP="00450C55">
      <w:pPr>
        <w:ind w:firstLine="720"/>
        <w:rPr>
          <w:b/>
          <w:szCs w:val="22"/>
        </w:rPr>
      </w:pPr>
    </w:p>
    <w:p w14:paraId="555E1224" w14:textId="1480DB20" w:rsidR="00450C55" w:rsidRPr="002875E6" w:rsidRDefault="00E72B53" w:rsidP="00450C55">
      <w:pPr>
        <w:ind w:firstLine="720"/>
        <w:rPr>
          <w:b/>
          <w:szCs w:val="22"/>
        </w:rPr>
      </w:pPr>
      <w:r>
        <w:rPr>
          <w:szCs w:val="22"/>
        </w:rPr>
        <w:t xml:space="preserve">In the July 27 </w:t>
      </w:r>
      <w:r w:rsidR="00F576C9">
        <w:rPr>
          <w:szCs w:val="22"/>
        </w:rPr>
        <w:t>p</w:t>
      </w:r>
      <w:r>
        <w:rPr>
          <w:szCs w:val="22"/>
        </w:rPr>
        <w:t xml:space="preserve">ublic </w:t>
      </w:r>
      <w:r w:rsidR="00F576C9">
        <w:rPr>
          <w:szCs w:val="22"/>
        </w:rPr>
        <w:t>n</w:t>
      </w:r>
      <w:r>
        <w:rPr>
          <w:szCs w:val="22"/>
        </w:rPr>
        <w:t>otice, we stated that</w:t>
      </w:r>
      <w:r w:rsidR="00F576C9">
        <w:rPr>
          <w:szCs w:val="22"/>
        </w:rPr>
        <w:t>,</w:t>
      </w:r>
      <w:r>
        <w:rPr>
          <w:szCs w:val="22"/>
        </w:rPr>
        <w:t xml:space="preserve"> “W</w:t>
      </w:r>
      <w:r>
        <w:rPr>
          <w:color w:val="000000"/>
          <w:szCs w:val="22"/>
        </w:rPr>
        <w:t xml:space="preserve">e expect that we will issue a protective order in this proceeding to protect any </w:t>
      </w:r>
      <w:r w:rsidRPr="00AC23AD">
        <w:rPr>
          <w:color w:val="000000"/>
          <w:szCs w:val="22"/>
        </w:rPr>
        <w:t xml:space="preserve">competitively sensitive information </w:t>
      </w:r>
      <w:r>
        <w:rPr>
          <w:color w:val="000000"/>
          <w:szCs w:val="22"/>
        </w:rPr>
        <w:t xml:space="preserve">that is filed in the record </w:t>
      </w:r>
      <w:r w:rsidRPr="00AC23AD">
        <w:rPr>
          <w:color w:val="000000"/>
          <w:szCs w:val="22"/>
        </w:rPr>
        <w:t xml:space="preserve">while still </w:t>
      </w:r>
      <w:r w:rsidRPr="00AC23AD">
        <w:rPr>
          <w:color w:val="000000"/>
          <w:szCs w:val="22"/>
        </w:rPr>
        <w:lastRenderedPageBreak/>
        <w:t xml:space="preserve">permitting a limited disclosure </w:t>
      </w:r>
      <w:r>
        <w:rPr>
          <w:color w:val="000000"/>
          <w:szCs w:val="22"/>
        </w:rPr>
        <w:t xml:space="preserve">to allow commenters to review and use the information for purposes of this proceeding.  </w:t>
      </w:r>
      <w:r w:rsidRPr="00B966E3">
        <w:rPr>
          <w:color w:val="000000"/>
          <w:szCs w:val="22"/>
        </w:rPr>
        <w:t>When we do so, we will issue a public notice setting forth the pleading cycle.”</w:t>
      </w:r>
      <w:r w:rsidRPr="00B966E3">
        <w:rPr>
          <w:rStyle w:val="FootnoteReference"/>
          <w:color w:val="000000"/>
          <w:szCs w:val="22"/>
        </w:rPr>
        <w:footnoteReference w:id="5"/>
      </w:r>
      <w:r w:rsidRPr="00B966E3">
        <w:rPr>
          <w:b/>
          <w:szCs w:val="22"/>
        </w:rPr>
        <w:t xml:space="preserve">  </w:t>
      </w:r>
      <w:r w:rsidR="00F576C9">
        <w:rPr>
          <w:szCs w:val="22"/>
        </w:rPr>
        <w:t>The protective o</w:t>
      </w:r>
      <w:r w:rsidRPr="00B966E3">
        <w:rPr>
          <w:szCs w:val="22"/>
        </w:rPr>
        <w:t xml:space="preserve">rder in this proceeding was </w:t>
      </w:r>
      <w:r w:rsidR="008C22C9" w:rsidRPr="00B966E3">
        <w:rPr>
          <w:szCs w:val="22"/>
        </w:rPr>
        <w:t>adopted</w:t>
      </w:r>
      <w:r w:rsidRPr="00B966E3">
        <w:rPr>
          <w:szCs w:val="22"/>
        </w:rPr>
        <w:t xml:space="preserve"> by the Commission on </w:t>
      </w:r>
      <w:r w:rsidR="0032611C">
        <w:t xml:space="preserve">September </w:t>
      </w:r>
      <w:r w:rsidR="004144A4">
        <w:t>11</w:t>
      </w:r>
      <w:r w:rsidRPr="00B966E3">
        <w:rPr>
          <w:szCs w:val="22"/>
        </w:rPr>
        <w:t>, 2015.</w:t>
      </w:r>
      <w:r w:rsidRPr="00B966E3">
        <w:rPr>
          <w:rStyle w:val="FootnoteReference"/>
          <w:szCs w:val="22"/>
        </w:rPr>
        <w:footnoteReference w:id="6"/>
      </w:r>
      <w:r w:rsidRPr="00B966E3">
        <w:rPr>
          <w:szCs w:val="22"/>
        </w:rPr>
        <w:t xml:space="preserve">  </w:t>
      </w:r>
      <w:r w:rsidR="009E34D7" w:rsidRPr="00B966E3">
        <w:rPr>
          <w:szCs w:val="22"/>
        </w:rPr>
        <w:t xml:space="preserve">We now begin the execution of the </w:t>
      </w:r>
      <w:r w:rsidR="00F576C9">
        <w:rPr>
          <w:szCs w:val="22"/>
        </w:rPr>
        <w:t>p</w:t>
      </w:r>
      <w:r w:rsidR="009E34D7" w:rsidRPr="00B966E3">
        <w:rPr>
          <w:szCs w:val="22"/>
        </w:rPr>
        <w:t xml:space="preserve">rotective </w:t>
      </w:r>
      <w:r w:rsidR="00F576C9">
        <w:rPr>
          <w:szCs w:val="22"/>
        </w:rPr>
        <w:t>o</w:t>
      </w:r>
      <w:r w:rsidR="009E34D7" w:rsidRPr="00B966E3">
        <w:rPr>
          <w:szCs w:val="22"/>
        </w:rPr>
        <w:t>rder</w:t>
      </w:r>
      <w:r w:rsidR="00B966E3" w:rsidRPr="00B966E3">
        <w:rPr>
          <w:szCs w:val="22"/>
        </w:rPr>
        <w:t xml:space="preserve">.  </w:t>
      </w:r>
      <w:r w:rsidR="009E34D7">
        <w:rPr>
          <w:szCs w:val="22"/>
        </w:rPr>
        <w:t xml:space="preserve">Accordingly, </w:t>
      </w:r>
      <w:r w:rsidR="0058052C">
        <w:rPr>
          <w:szCs w:val="22"/>
        </w:rPr>
        <w:t xml:space="preserve">and </w:t>
      </w:r>
      <w:r w:rsidR="0058052C" w:rsidRPr="009E34D7">
        <w:rPr>
          <w:szCs w:val="22"/>
        </w:rPr>
        <w:t>subject</w:t>
      </w:r>
      <w:r w:rsidR="008C22C9" w:rsidRPr="009E34D7">
        <w:rPr>
          <w:szCs w:val="22"/>
        </w:rPr>
        <w:t xml:space="preserve"> to the terms of the </w:t>
      </w:r>
      <w:r w:rsidR="00F576C9">
        <w:rPr>
          <w:szCs w:val="22"/>
        </w:rPr>
        <w:t>p</w:t>
      </w:r>
      <w:r w:rsidR="008C22C9" w:rsidRPr="009E34D7">
        <w:rPr>
          <w:szCs w:val="22"/>
        </w:rPr>
        <w:t xml:space="preserve">rotective </w:t>
      </w:r>
      <w:r w:rsidR="00F576C9">
        <w:rPr>
          <w:szCs w:val="22"/>
        </w:rPr>
        <w:t>o</w:t>
      </w:r>
      <w:r w:rsidR="008C22C9" w:rsidRPr="009E34D7">
        <w:rPr>
          <w:szCs w:val="22"/>
        </w:rPr>
        <w:t>rder,</w:t>
      </w:r>
      <w:r w:rsidR="008C22C9">
        <w:rPr>
          <w:szCs w:val="22"/>
        </w:rPr>
        <w:t xml:space="preserve"> </w:t>
      </w:r>
      <w:r w:rsidR="006C191A">
        <w:rPr>
          <w:szCs w:val="22"/>
        </w:rPr>
        <w:t xml:space="preserve">appropriate representatives of </w:t>
      </w:r>
      <w:r w:rsidR="006C191A">
        <w:t>participants in this proceeding that have executed acknowledgements and are not subject to any objections</w:t>
      </w:r>
      <w:r w:rsidR="006C191A">
        <w:rPr>
          <w:szCs w:val="22"/>
        </w:rPr>
        <w:t xml:space="preserve"> will be able to</w:t>
      </w:r>
      <w:r w:rsidR="008C22C9">
        <w:rPr>
          <w:szCs w:val="22"/>
        </w:rPr>
        <w:t xml:space="preserve"> access the confidential </w:t>
      </w:r>
      <w:r w:rsidR="00384663">
        <w:rPr>
          <w:szCs w:val="22"/>
        </w:rPr>
        <w:t xml:space="preserve">and/or highly confidential </w:t>
      </w:r>
      <w:r w:rsidR="008C22C9">
        <w:rPr>
          <w:szCs w:val="22"/>
        </w:rPr>
        <w:t xml:space="preserve">information contained in the </w:t>
      </w:r>
      <w:r w:rsidR="00F576C9">
        <w:rPr>
          <w:szCs w:val="22"/>
        </w:rPr>
        <w:t>A</w:t>
      </w:r>
      <w:r w:rsidR="008C22C9">
        <w:rPr>
          <w:szCs w:val="22"/>
        </w:rPr>
        <w:t xml:space="preserve">pplication and other confidential </w:t>
      </w:r>
      <w:r w:rsidR="00384663">
        <w:rPr>
          <w:szCs w:val="22"/>
        </w:rPr>
        <w:t xml:space="preserve">and/or highly confidential </w:t>
      </w:r>
      <w:r w:rsidR="008C22C9">
        <w:rPr>
          <w:szCs w:val="22"/>
        </w:rPr>
        <w:t xml:space="preserve">information that may be submitted in this proceeding in the future.  </w:t>
      </w:r>
      <w:r w:rsidR="00B966E3">
        <w:rPr>
          <w:szCs w:val="22"/>
        </w:rPr>
        <w:t>P</w:t>
      </w:r>
      <w:r w:rsidR="00A17FC5">
        <w:rPr>
          <w:szCs w:val="22"/>
        </w:rPr>
        <w:t xml:space="preserve">articipants in this proceeding </w:t>
      </w:r>
      <w:r w:rsidR="002D55E3">
        <w:rPr>
          <w:szCs w:val="22"/>
        </w:rPr>
        <w:t xml:space="preserve">now </w:t>
      </w:r>
      <w:r w:rsidR="008C22C9">
        <w:rPr>
          <w:szCs w:val="22"/>
        </w:rPr>
        <w:t xml:space="preserve">have the ability to access information they need to comment </w:t>
      </w:r>
      <w:r w:rsidR="001B2E89">
        <w:rPr>
          <w:szCs w:val="22"/>
        </w:rPr>
        <w:t xml:space="preserve">fully </w:t>
      </w:r>
      <w:r w:rsidR="008C22C9">
        <w:rPr>
          <w:szCs w:val="22"/>
        </w:rPr>
        <w:t xml:space="preserve">on the </w:t>
      </w:r>
      <w:r w:rsidR="00F576C9">
        <w:rPr>
          <w:szCs w:val="22"/>
        </w:rPr>
        <w:t>A</w:t>
      </w:r>
      <w:r w:rsidR="008C22C9">
        <w:rPr>
          <w:szCs w:val="22"/>
        </w:rPr>
        <w:t xml:space="preserve">pplication, and </w:t>
      </w:r>
      <w:r>
        <w:rPr>
          <w:szCs w:val="22"/>
        </w:rPr>
        <w:t xml:space="preserve">we establish the pleading cycle as </w:t>
      </w:r>
      <w:r w:rsidR="00051191">
        <w:rPr>
          <w:szCs w:val="22"/>
        </w:rPr>
        <w:t>set forth in this notice</w:t>
      </w:r>
      <w:r>
        <w:rPr>
          <w:szCs w:val="22"/>
        </w:rPr>
        <w:t>.</w:t>
      </w:r>
      <w:r w:rsidR="00B966E3" w:rsidRPr="00B966E3">
        <w:rPr>
          <w:szCs w:val="22"/>
        </w:rPr>
        <w:t xml:space="preserve"> </w:t>
      </w:r>
      <w:r w:rsidR="00B966E3">
        <w:rPr>
          <w:szCs w:val="22"/>
        </w:rPr>
        <w:t xml:space="preserve"> At the moment, however, the only material designated as confidential and highly confidential information to which the </w:t>
      </w:r>
      <w:r w:rsidR="00F576C9">
        <w:rPr>
          <w:szCs w:val="22"/>
        </w:rPr>
        <w:t>p</w:t>
      </w:r>
      <w:r w:rsidR="00B966E3">
        <w:rPr>
          <w:szCs w:val="22"/>
        </w:rPr>
        <w:t xml:space="preserve">rotective </w:t>
      </w:r>
      <w:r w:rsidR="00F576C9">
        <w:rPr>
          <w:szCs w:val="22"/>
        </w:rPr>
        <w:t>o</w:t>
      </w:r>
      <w:r w:rsidR="00B966E3">
        <w:rPr>
          <w:szCs w:val="22"/>
        </w:rPr>
        <w:t xml:space="preserve">rder applies is the Application itself.  </w:t>
      </w:r>
    </w:p>
    <w:p w14:paraId="555E1225" w14:textId="77777777" w:rsidR="002875E6" w:rsidRPr="0027580F" w:rsidRDefault="002875E6" w:rsidP="00450C55">
      <w:pPr>
        <w:ind w:firstLine="720"/>
        <w:rPr>
          <w:szCs w:val="22"/>
        </w:rPr>
      </w:pPr>
    </w:p>
    <w:p w14:paraId="555E1226" w14:textId="77777777" w:rsidR="00450C55" w:rsidRPr="00467881" w:rsidRDefault="00450C55" w:rsidP="00450C55">
      <w:pPr>
        <w:ind w:firstLine="720"/>
        <w:rPr>
          <w:b/>
          <w:szCs w:val="22"/>
        </w:rPr>
      </w:pPr>
      <w:r w:rsidRPr="0027580F">
        <w:rPr>
          <w:color w:val="000000"/>
          <w:szCs w:val="22"/>
        </w:rPr>
        <w:t xml:space="preserve">We seek comment from interested persons to assist the Commission in its independent review of </w:t>
      </w:r>
      <w:r>
        <w:rPr>
          <w:color w:val="000000"/>
          <w:szCs w:val="22"/>
        </w:rPr>
        <w:t>all</w:t>
      </w:r>
      <w:r w:rsidRPr="0027580F">
        <w:rPr>
          <w:color w:val="000000"/>
          <w:szCs w:val="22"/>
        </w:rPr>
        <w:t xml:space="preserve"> proposed transfers</w:t>
      </w:r>
      <w:r w:rsidRPr="00561EE2">
        <w:rPr>
          <w:color w:val="000000"/>
          <w:szCs w:val="22"/>
        </w:rPr>
        <w:t xml:space="preserve"> of licenses and authorizations referred to in this </w:t>
      </w:r>
      <w:r w:rsidR="00F576C9">
        <w:rPr>
          <w:color w:val="000000"/>
          <w:szCs w:val="22"/>
        </w:rPr>
        <w:t>p</w:t>
      </w:r>
      <w:r w:rsidRPr="00561EE2">
        <w:rPr>
          <w:color w:val="000000"/>
          <w:szCs w:val="22"/>
        </w:rPr>
        <w:t xml:space="preserve">ublic </w:t>
      </w:r>
      <w:r w:rsidR="00F576C9">
        <w:rPr>
          <w:color w:val="000000"/>
          <w:szCs w:val="22"/>
        </w:rPr>
        <w:t>n</w:t>
      </w:r>
      <w:r w:rsidRPr="00561EE2">
        <w:rPr>
          <w:color w:val="000000"/>
          <w:szCs w:val="22"/>
        </w:rPr>
        <w:t>otice</w:t>
      </w:r>
      <w:r w:rsidRPr="0027580F">
        <w:rPr>
          <w:color w:val="000000"/>
          <w:szCs w:val="22"/>
        </w:rPr>
        <w:t xml:space="preserve"> </w:t>
      </w:r>
      <w:r>
        <w:rPr>
          <w:color w:val="000000"/>
          <w:szCs w:val="22"/>
        </w:rPr>
        <w:t xml:space="preserve">and </w:t>
      </w:r>
      <w:r w:rsidR="004854F1">
        <w:rPr>
          <w:color w:val="000000"/>
          <w:szCs w:val="22"/>
        </w:rPr>
        <w:t xml:space="preserve">the July 27 </w:t>
      </w:r>
      <w:r w:rsidR="00F576C9">
        <w:rPr>
          <w:color w:val="000000"/>
          <w:szCs w:val="22"/>
        </w:rPr>
        <w:t>p</w:t>
      </w:r>
      <w:r>
        <w:rPr>
          <w:color w:val="000000"/>
          <w:szCs w:val="22"/>
        </w:rPr>
        <w:t xml:space="preserve">ublic </w:t>
      </w:r>
      <w:r w:rsidR="00F576C9">
        <w:rPr>
          <w:color w:val="000000"/>
          <w:szCs w:val="22"/>
        </w:rPr>
        <w:t>n</w:t>
      </w:r>
      <w:r>
        <w:rPr>
          <w:color w:val="000000"/>
          <w:szCs w:val="22"/>
        </w:rPr>
        <w:t>otice.</w:t>
      </w:r>
      <w:r>
        <w:rPr>
          <w:rStyle w:val="FootnoteReference"/>
          <w:color w:val="000000"/>
          <w:szCs w:val="22"/>
        </w:rPr>
        <w:footnoteReference w:id="7"/>
      </w:r>
      <w:r w:rsidRPr="00561EE2">
        <w:rPr>
          <w:color w:val="000000"/>
          <w:szCs w:val="22"/>
        </w:rPr>
        <w:t xml:space="preserve"> </w:t>
      </w:r>
      <w:r>
        <w:rPr>
          <w:color w:val="000000"/>
          <w:szCs w:val="22"/>
        </w:rPr>
        <w:t xml:space="preserve"> </w:t>
      </w:r>
      <w:r w:rsidRPr="0027580F">
        <w:rPr>
          <w:color w:val="000000"/>
          <w:szCs w:val="22"/>
        </w:rPr>
        <w:t xml:space="preserve">The details of the procedures on how to file petitions to deny and comments are set forth below. </w:t>
      </w:r>
    </w:p>
    <w:p w14:paraId="555E1227" w14:textId="77777777" w:rsidR="00450C55" w:rsidRPr="00467881" w:rsidRDefault="00450C55" w:rsidP="00450C55">
      <w:pPr>
        <w:pStyle w:val="BodyText"/>
        <w:jc w:val="left"/>
        <w:rPr>
          <w:b w:val="0"/>
          <w:i/>
          <w:sz w:val="22"/>
          <w:szCs w:val="22"/>
        </w:rPr>
      </w:pPr>
      <w:r w:rsidRPr="00467881">
        <w:rPr>
          <w:b w:val="0"/>
          <w:sz w:val="22"/>
          <w:szCs w:val="22"/>
          <w:u w:val="none"/>
        </w:rPr>
        <w:tab/>
      </w:r>
    </w:p>
    <w:p w14:paraId="555E1228" w14:textId="77777777" w:rsidR="00450C55" w:rsidRPr="00467881" w:rsidRDefault="00450C55" w:rsidP="00450C55">
      <w:pPr>
        <w:rPr>
          <w:b/>
          <w:szCs w:val="22"/>
        </w:rPr>
      </w:pPr>
      <w:r w:rsidRPr="00467881">
        <w:rPr>
          <w:b/>
          <w:i/>
          <w:szCs w:val="22"/>
        </w:rPr>
        <w:t>EX PARTE</w:t>
      </w:r>
      <w:r w:rsidRPr="00467881">
        <w:rPr>
          <w:b/>
          <w:szCs w:val="22"/>
        </w:rPr>
        <w:t xml:space="preserve"> STATUS OF THIS PROCEEDING</w:t>
      </w:r>
    </w:p>
    <w:p w14:paraId="555E1229" w14:textId="77777777" w:rsidR="00450C55" w:rsidRPr="00467881" w:rsidRDefault="00450C55" w:rsidP="00450C55">
      <w:pPr>
        <w:rPr>
          <w:b/>
          <w:szCs w:val="22"/>
        </w:rPr>
      </w:pPr>
    </w:p>
    <w:p w14:paraId="555E122A" w14:textId="77777777" w:rsidR="00450C55" w:rsidRDefault="00450C55" w:rsidP="00450C55">
      <w:pPr>
        <w:ind w:firstLine="720"/>
        <w:rPr>
          <w:b/>
          <w:spacing w:val="-2"/>
          <w:szCs w:val="22"/>
        </w:rPr>
      </w:pPr>
      <w:r w:rsidRPr="00467881">
        <w:rPr>
          <w:szCs w:val="22"/>
        </w:rPr>
        <w:t>Pursuant to section 1.1200(a) of the Commission’s rules,</w:t>
      </w:r>
      <w:r w:rsidRPr="0027580F">
        <w:rPr>
          <w:rStyle w:val="FootnoteReference"/>
          <w:szCs w:val="22"/>
        </w:rPr>
        <w:footnoteReference w:id="8"/>
      </w:r>
      <w:r w:rsidRPr="0027580F">
        <w:rPr>
          <w:szCs w:val="22"/>
        </w:rPr>
        <w:t xml:space="preserve"> the Commission may in its discretion modify the </w:t>
      </w:r>
      <w:r w:rsidRPr="0027580F">
        <w:rPr>
          <w:i/>
          <w:szCs w:val="22"/>
        </w:rPr>
        <w:t>ex parte</w:t>
      </w:r>
      <w:r w:rsidRPr="0027580F">
        <w:rPr>
          <w:szCs w:val="22"/>
        </w:rPr>
        <w:t xml:space="preserve"> procedures in particular proceedings if the public interest so requires.  As we have previously announced, </w:t>
      </w:r>
      <w:r w:rsidR="001E3B81">
        <w:rPr>
          <w:szCs w:val="22"/>
        </w:rPr>
        <w:t xml:space="preserve">this proceeding </w:t>
      </w:r>
      <w:r w:rsidRPr="0027580F">
        <w:rPr>
          <w:szCs w:val="22"/>
        </w:rPr>
        <w:t xml:space="preserve">will be governed by the permit-but-disclose </w:t>
      </w:r>
      <w:r w:rsidRPr="0027580F">
        <w:rPr>
          <w:i/>
          <w:szCs w:val="22"/>
        </w:rPr>
        <w:t>ex parte</w:t>
      </w:r>
      <w:r w:rsidRPr="0027580F">
        <w:rPr>
          <w:szCs w:val="22"/>
        </w:rPr>
        <w:t xml:space="preserve"> procedures that are applicable to non-restricted proceedings under section 1.1206 of the Commission’s rules.</w:t>
      </w:r>
      <w:r w:rsidRPr="0027580F">
        <w:rPr>
          <w:rStyle w:val="FootnoteReference"/>
          <w:szCs w:val="22"/>
        </w:rPr>
        <w:footnoteReference w:id="9"/>
      </w:r>
      <w:r w:rsidRPr="0027580F">
        <w:rPr>
          <w:szCs w:val="22"/>
        </w:rPr>
        <w:t xml:space="preserve">  </w:t>
      </w:r>
      <w:r w:rsidRPr="0027580F">
        <w:rPr>
          <w:spacing w:val="-2"/>
          <w:szCs w:val="22"/>
        </w:rPr>
        <w:t xml:space="preserve">Parties making oral </w:t>
      </w:r>
      <w:r w:rsidRPr="0027580F">
        <w:rPr>
          <w:i/>
          <w:spacing w:val="-2"/>
          <w:szCs w:val="22"/>
        </w:rPr>
        <w:t>ex parte</w:t>
      </w:r>
      <w:r w:rsidRPr="0027580F">
        <w:rPr>
          <w:spacing w:val="-2"/>
          <w:szCs w:val="22"/>
        </w:rPr>
        <w:t xml:space="preserve"> presentations are reminded that they must file notices of the presentations</w:t>
      </w:r>
      <w:r w:rsidR="004C4280">
        <w:rPr>
          <w:spacing w:val="-2"/>
          <w:szCs w:val="22"/>
        </w:rPr>
        <w:t>,</w:t>
      </w:r>
      <w:r w:rsidRPr="0027580F">
        <w:rPr>
          <w:spacing w:val="-2"/>
          <w:szCs w:val="22"/>
        </w:rPr>
        <w:t xml:space="preserve"> which must contain, with regard to material already in the written record, either a succinct summary of the matters discussed or a citation to the page or paragraph number in the party’s written submission(s) where the matters discussed can be found, and with regard to any new information, a summary of the new data and arguments presented.  Memoranda must contain a summary of the substance of the </w:t>
      </w:r>
      <w:r w:rsidRPr="00561EE2">
        <w:rPr>
          <w:i/>
          <w:spacing w:val="-2"/>
          <w:szCs w:val="22"/>
        </w:rPr>
        <w:t>ex parte</w:t>
      </w:r>
      <w:r w:rsidRPr="00696C86">
        <w:rPr>
          <w:spacing w:val="-2"/>
          <w:szCs w:val="22"/>
        </w:rPr>
        <w:t xml:space="preserve"> presentation and not merely a listing of the subjects discussed.  More than a one or two sente</w:t>
      </w:r>
      <w:r w:rsidRPr="00E04DC5">
        <w:rPr>
          <w:spacing w:val="-2"/>
          <w:szCs w:val="22"/>
        </w:rPr>
        <w:t xml:space="preserve">nce description of the views and arguments presented is generally required.  All of the </w:t>
      </w:r>
      <w:r w:rsidRPr="0019582E">
        <w:rPr>
          <w:spacing w:val="-2"/>
          <w:szCs w:val="22"/>
        </w:rPr>
        <w:t xml:space="preserve">disclosure requirements pertaining to oral and written </w:t>
      </w:r>
      <w:r w:rsidRPr="00092812">
        <w:rPr>
          <w:i/>
          <w:spacing w:val="-2"/>
          <w:szCs w:val="22"/>
        </w:rPr>
        <w:t xml:space="preserve">ex parte </w:t>
      </w:r>
      <w:r w:rsidRPr="00F711B2">
        <w:rPr>
          <w:spacing w:val="-2"/>
          <w:szCs w:val="22"/>
        </w:rPr>
        <w:t>presentations are set forth in section 1.1206(b).</w:t>
      </w:r>
      <w:r w:rsidRPr="0027580F">
        <w:rPr>
          <w:rStyle w:val="FootnoteReference"/>
          <w:spacing w:val="-2"/>
          <w:szCs w:val="22"/>
        </w:rPr>
        <w:footnoteReference w:id="10"/>
      </w:r>
      <w:r>
        <w:rPr>
          <w:spacing w:val="-2"/>
          <w:szCs w:val="22"/>
        </w:rPr>
        <w:t xml:space="preserve">  </w:t>
      </w:r>
      <w:r>
        <w:t xml:space="preserve">Requests for exemptions from the disclosure </w:t>
      </w:r>
      <w:r>
        <w:lastRenderedPageBreak/>
        <w:t>requirements pursuant to section 1.1204(a)(9)</w:t>
      </w:r>
      <w:r>
        <w:rPr>
          <w:rStyle w:val="FootnoteReference"/>
        </w:rPr>
        <w:footnoteReference w:id="11"/>
      </w:r>
      <w:r>
        <w:t xml:space="preserve"> may be made to Jonathan Sallet at (202) 418-1700 or Owen Kendler at (202) 418-1758.</w:t>
      </w:r>
      <w:r>
        <w:rPr>
          <w:sz w:val="24"/>
          <w:szCs w:val="24"/>
        </w:rPr>
        <w:t xml:space="preserve"> </w:t>
      </w:r>
    </w:p>
    <w:p w14:paraId="555E122B" w14:textId="77777777" w:rsidR="00450C55" w:rsidRDefault="00450C55" w:rsidP="00450C55">
      <w:pPr>
        <w:rPr>
          <w:b/>
          <w:spacing w:val="-2"/>
          <w:szCs w:val="22"/>
        </w:rPr>
      </w:pPr>
    </w:p>
    <w:p w14:paraId="555E122C" w14:textId="77777777" w:rsidR="00450C55" w:rsidRPr="0027580F" w:rsidRDefault="00450C55" w:rsidP="00450C55">
      <w:pPr>
        <w:rPr>
          <w:b/>
          <w:spacing w:val="-2"/>
          <w:szCs w:val="22"/>
        </w:rPr>
      </w:pPr>
      <w:r w:rsidRPr="0027580F">
        <w:rPr>
          <w:b/>
          <w:spacing w:val="-2"/>
          <w:szCs w:val="22"/>
        </w:rPr>
        <w:t xml:space="preserve">REQUESTS FOR </w:t>
      </w:r>
      <w:r w:rsidRPr="0027580F">
        <w:rPr>
          <w:b/>
          <w:i/>
          <w:spacing w:val="-2"/>
          <w:szCs w:val="22"/>
        </w:rPr>
        <w:t>EX PARTE</w:t>
      </w:r>
      <w:r w:rsidRPr="0027580F">
        <w:rPr>
          <w:b/>
          <w:spacing w:val="-2"/>
          <w:szCs w:val="22"/>
        </w:rPr>
        <w:t xml:space="preserve"> MEETINGS</w:t>
      </w:r>
    </w:p>
    <w:p w14:paraId="555E122D" w14:textId="77777777" w:rsidR="00450C55" w:rsidRPr="0027580F" w:rsidRDefault="00450C55" w:rsidP="00450C55">
      <w:pPr>
        <w:rPr>
          <w:b/>
          <w:spacing w:val="-2"/>
          <w:szCs w:val="22"/>
        </w:rPr>
      </w:pPr>
    </w:p>
    <w:p w14:paraId="555E122E" w14:textId="0A3BCDE9" w:rsidR="00450C55" w:rsidRPr="002B418F" w:rsidRDefault="00450C55" w:rsidP="00450C55">
      <w:pPr>
        <w:ind w:firstLine="720"/>
        <w:rPr>
          <w:rFonts w:ascii="Calibri" w:hAnsi="Calibri" w:cs="Calibri"/>
          <w:color w:val="1F497D"/>
          <w:szCs w:val="22"/>
        </w:rPr>
      </w:pPr>
      <w:r w:rsidRPr="002B418F">
        <w:rPr>
          <w:spacing w:val="-2"/>
          <w:szCs w:val="22"/>
        </w:rPr>
        <w:t xml:space="preserve">All requests for meetings with Commission staff regarding this Docket should be made on-line, using the link at </w:t>
      </w:r>
      <w:hyperlink r:id="rId14" w:history="1">
        <w:r w:rsidRPr="002B418F">
          <w:rPr>
            <w:rStyle w:val="Hyperlink"/>
            <w:szCs w:val="22"/>
          </w:rPr>
          <w:t>http://transition.fcc.gov/transaction/comcast-twc_exparte-meeting-request</w:t>
        </w:r>
      </w:hyperlink>
      <w:r w:rsidRPr="002B418F">
        <w:rPr>
          <w:rFonts w:ascii="Calibri" w:hAnsi="Calibri" w:cs="Calibri"/>
          <w:color w:val="1F497D"/>
          <w:szCs w:val="22"/>
        </w:rPr>
        <w:t xml:space="preserve">.  </w:t>
      </w:r>
      <w:r w:rsidRPr="002B418F">
        <w:rPr>
          <w:spacing w:val="-2"/>
          <w:szCs w:val="22"/>
        </w:rPr>
        <w:t xml:space="preserve">Those who lack Internet access may direct their requests to </w:t>
      </w:r>
      <w:r>
        <w:rPr>
          <w:spacing w:val="-2"/>
          <w:szCs w:val="22"/>
        </w:rPr>
        <w:t xml:space="preserve">Natividad Persaud, Wireline </w:t>
      </w:r>
      <w:r w:rsidR="002E69A8">
        <w:rPr>
          <w:spacing w:val="-2"/>
          <w:szCs w:val="22"/>
        </w:rPr>
        <w:t>Competition</w:t>
      </w:r>
      <w:r>
        <w:rPr>
          <w:spacing w:val="-2"/>
          <w:szCs w:val="22"/>
        </w:rPr>
        <w:t xml:space="preserve"> Bureau, at </w:t>
      </w:r>
      <w:r w:rsidRPr="002B418F">
        <w:rPr>
          <w:spacing w:val="-2"/>
          <w:szCs w:val="22"/>
        </w:rPr>
        <w:t>(202) 418-</w:t>
      </w:r>
      <w:r>
        <w:rPr>
          <w:spacing w:val="-2"/>
          <w:szCs w:val="22"/>
        </w:rPr>
        <w:t>1604</w:t>
      </w:r>
      <w:r w:rsidRPr="002B418F">
        <w:rPr>
          <w:spacing w:val="-2"/>
          <w:szCs w:val="22"/>
        </w:rPr>
        <w:t>.</w:t>
      </w:r>
    </w:p>
    <w:p w14:paraId="555E122F" w14:textId="77777777" w:rsidR="00450C55" w:rsidRPr="00092812" w:rsidRDefault="00450C55" w:rsidP="00450C55">
      <w:pPr>
        <w:ind w:firstLine="720"/>
        <w:rPr>
          <w:b/>
          <w:szCs w:val="22"/>
        </w:rPr>
      </w:pPr>
    </w:p>
    <w:p w14:paraId="555E1230" w14:textId="77777777" w:rsidR="00450C55" w:rsidRPr="00467881" w:rsidRDefault="00450C55" w:rsidP="00450C55">
      <w:pPr>
        <w:rPr>
          <w:b/>
          <w:szCs w:val="22"/>
        </w:rPr>
      </w:pPr>
      <w:r w:rsidRPr="00F711B2">
        <w:rPr>
          <w:b/>
          <w:szCs w:val="22"/>
        </w:rPr>
        <w:t>GENERAL I</w:t>
      </w:r>
      <w:r w:rsidRPr="00467881">
        <w:rPr>
          <w:b/>
          <w:szCs w:val="22"/>
        </w:rPr>
        <w:t>NFORMATION</w:t>
      </w:r>
    </w:p>
    <w:p w14:paraId="555E1231" w14:textId="77777777" w:rsidR="00450C55" w:rsidRPr="00467881" w:rsidRDefault="00450C55" w:rsidP="00450C55">
      <w:pPr>
        <w:ind w:firstLine="720"/>
        <w:rPr>
          <w:spacing w:val="-2"/>
          <w:szCs w:val="22"/>
        </w:rPr>
      </w:pPr>
    </w:p>
    <w:p w14:paraId="555E1232" w14:textId="697E8018" w:rsidR="00450C55" w:rsidRDefault="00450C55" w:rsidP="00450C55">
      <w:pPr>
        <w:ind w:firstLine="720"/>
        <w:rPr>
          <w:spacing w:val="-2"/>
          <w:szCs w:val="22"/>
        </w:rPr>
      </w:pPr>
      <w:r w:rsidRPr="00467881">
        <w:rPr>
          <w:szCs w:val="22"/>
        </w:rPr>
        <w:t xml:space="preserve">Interested persons must file comments or petitions to deny the applications no later than </w:t>
      </w:r>
      <w:r w:rsidR="006F104D">
        <w:rPr>
          <w:b/>
          <w:szCs w:val="22"/>
        </w:rPr>
        <w:t xml:space="preserve">October </w:t>
      </w:r>
      <w:r w:rsidR="004144A4">
        <w:rPr>
          <w:b/>
          <w:szCs w:val="22"/>
        </w:rPr>
        <w:t>13</w:t>
      </w:r>
      <w:r>
        <w:rPr>
          <w:szCs w:val="22"/>
        </w:rPr>
        <w:t xml:space="preserve">, </w:t>
      </w:r>
      <w:r w:rsidRPr="0053099C">
        <w:rPr>
          <w:b/>
          <w:szCs w:val="22"/>
        </w:rPr>
        <w:t>201</w:t>
      </w:r>
      <w:r>
        <w:rPr>
          <w:b/>
          <w:szCs w:val="22"/>
        </w:rPr>
        <w:t>5</w:t>
      </w:r>
      <w:r w:rsidRPr="00467881">
        <w:rPr>
          <w:szCs w:val="22"/>
        </w:rPr>
        <w:t>.  Responses to comments or oppositions to petitions must be filed no later than</w:t>
      </w:r>
      <w:r>
        <w:rPr>
          <w:szCs w:val="22"/>
        </w:rPr>
        <w:t xml:space="preserve"> </w:t>
      </w:r>
      <w:r w:rsidR="004144A4">
        <w:rPr>
          <w:b/>
          <w:szCs w:val="22"/>
        </w:rPr>
        <w:t>November</w:t>
      </w:r>
      <w:r w:rsidRPr="00801AE5">
        <w:rPr>
          <w:b/>
          <w:szCs w:val="22"/>
        </w:rPr>
        <w:t xml:space="preserve"> </w:t>
      </w:r>
      <w:r w:rsidR="004144A4">
        <w:rPr>
          <w:b/>
          <w:szCs w:val="22"/>
        </w:rPr>
        <w:t>2</w:t>
      </w:r>
      <w:r w:rsidR="00D05DB9">
        <w:rPr>
          <w:b/>
          <w:szCs w:val="22"/>
        </w:rPr>
        <w:t>,</w:t>
      </w:r>
      <w:r w:rsidRPr="0053099C">
        <w:rPr>
          <w:b/>
          <w:szCs w:val="22"/>
        </w:rPr>
        <w:t xml:space="preserve"> 201</w:t>
      </w:r>
      <w:r>
        <w:rPr>
          <w:b/>
          <w:szCs w:val="22"/>
        </w:rPr>
        <w:t>5</w:t>
      </w:r>
      <w:r w:rsidRPr="00467881">
        <w:rPr>
          <w:szCs w:val="22"/>
        </w:rPr>
        <w:t>.  Replies to responses or oppositions must be filed no later than</w:t>
      </w:r>
      <w:r w:rsidR="00D05DB9">
        <w:rPr>
          <w:szCs w:val="22"/>
        </w:rPr>
        <w:t xml:space="preserve"> </w:t>
      </w:r>
      <w:r w:rsidR="006F104D">
        <w:rPr>
          <w:b/>
          <w:szCs w:val="22"/>
        </w:rPr>
        <w:t xml:space="preserve">November </w:t>
      </w:r>
      <w:r w:rsidR="004144A4">
        <w:rPr>
          <w:b/>
          <w:szCs w:val="22"/>
        </w:rPr>
        <w:t>12</w:t>
      </w:r>
      <w:r w:rsidR="00D05DB9">
        <w:rPr>
          <w:szCs w:val="22"/>
        </w:rPr>
        <w:t>,</w:t>
      </w:r>
      <w:r w:rsidRPr="0053099C">
        <w:rPr>
          <w:b/>
          <w:szCs w:val="22"/>
        </w:rPr>
        <w:t xml:space="preserve"> 201</w:t>
      </w:r>
      <w:r>
        <w:rPr>
          <w:b/>
          <w:szCs w:val="22"/>
        </w:rPr>
        <w:t>5</w:t>
      </w:r>
      <w:r w:rsidRPr="00467881">
        <w:rPr>
          <w:szCs w:val="22"/>
        </w:rPr>
        <w:t>.  Persons and entities that file comments or petitions to deny may participate fully in the proceeding, including seeking access to any confidential and/or highly confidential information that may be filed under a protective order.</w:t>
      </w:r>
      <w:r w:rsidRPr="0027580F">
        <w:rPr>
          <w:rStyle w:val="FootnoteReference"/>
          <w:szCs w:val="22"/>
        </w:rPr>
        <w:footnoteReference w:id="12"/>
      </w:r>
      <w:r w:rsidRPr="0027580F">
        <w:rPr>
          <w:szCs w:val="22"/>
        </w:rPr>
        <w:t xml:space="preserve">  </w:t>
      </w:r>
      <w:r w:rsidRPr="0027580F">
        <w:rPr>
          <w:spacing w:val="-2"/>
          <w:szCs w:val="22"/>
        </w:rPr>
        <w:t xml:space="preserve">Persons and entities that do not file petitions to deny, </w:t>
      </w:r>
      <w:r>
        <w:rPr>
          <w:spacing w:val="-2"/>
        </w:rPr>
        <w:t>however, even if they file comments, generally may not seek reconsideration of the Commission’s decision regarding the transfer of control of the licenses or authorizations at issue or appeal a final decision to the courts.</w:t>
      </w:r>
      <w:r>
        <w:rPr>
          <w:rStyle w:val="FootnoteReference"/>
          <w:spacing w:val="-2"/>
          <w:szCs w:val="22"/>
        </w:rPr>
        <w:footnoteReference w:id="13"/>
      </w:r>
      <w:r>
        <w:rPr>
          <w:spacing w:val="-2"/>
          <w:szCs w:val="22"/>
        </w:rPr>
        <w:t xml:space="preserve">  </w:t>
      </w:r>
    </w:p>
    <w:p w14:paraId="555E1233" w14:textId="77777777" w:rsidR="00450C55" w:rsidRPr="00561EE2" w:rsidRDefault="00450C55" w:rsidP="00450C55">
      <w:pPr>
        <w:ind w:firstLine="720"/>
        <w:rPr>
          <w:spacing w:val="-2"/>
          <w:szCs w:val="22"/>
        </w:rPr>
      </w:pPr>
    </w:p>
    <w:p w14:paraId="555E1234" w14:textId="77777777" w:rsidR="00450C55" w:rsidRPr="0058052C" w:rsidRDefault="00450C55" w:rsidP="00450C55">
      <w:pPr>
        <w:ind w:firstLine="720"/>
        <w:rPr>
          <w:szCs w:val="22"/>
        </w:rPr>
      </w:pPr>
      <w:r w:rsidRPr="0058052C">
        <w:rPr>
          <w:spacing w:val="-2"/>
          <w:szCs w:val="22"/>
        </w:rPr>
        <w:t xml:space="preserve">To allow the Commission to consider fully all substantive issues regarding the applications referred to in this </w:t>
      </w:r>
      <w:r w:rsidR="00F576C9">
        <w:rPr>
          <w:spacing w:val="-2"/>
          <w:szCs w:val="22"/>
        </w:rPr>
        <w:t>p</w:t>
      </w:r>
      <w:r w:rsidRPr="0058052C">
        <w:rPr>
          <w:spacing w:val="-2"/>
          <w:szCs w:val="22"/>
        </w:rPr>
        <w:t xml:space="preserve">ublic </w:t>
      </w:r>
      <w:r w:rsidR="00F576C9">
        <w:rPr>
          <w:spacing w:val="-2"/>
          <w:szCs w:val="22"/>
        </w:rPr>
        <w:t>n</w:t>
      </w:r>
      <w:r w:rsidRPr="0058052C">
        <w:rPr>
          <w:spacing w:val="-2"/>
          <w:szCs w:val="22"/>
        </w:rPr>
        <w:t xml:space="preserve">otice in as timely and efficient a manner as possible, </w:t>
      </w:r>
      <w:r w:rsidRPr="0058052C">
        <w:rPr>
          <w:szCs w:val="22"/>
        </w:rPr>
        <w:t>petitioners and commenters should raise all issues in their initial filings.  New issues may not be raised in responses or replies.</w:t>
      </w:r>
      <w:r w:rsidRPr="0058052C">
        <w:rPr>
          <w:rStyle w:val="FootnoteReference"/>
          <w:szCs w:val="22"/>
        </w:rPr>
        <w:footnoteReference w:id="14"/>
      </w:r>
      <w:r w:rsidRPr="0058052C">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14:paraId="555E1235" w14:textId="77777777" w:rsidR="00450C55" w:rsidRPr="0027580F" w:rsidRDefault="00450C55" w:rsidP="00450C55">
      <w:pPr>
        <w:ind w:firstLine="720"/>
        <w:rPr>
          <w:b/>
          <w:szCs w:val="22"/>
        </w:rPr>
      </w:pPr>
    </w:p>
    <w:p w14:paraId="555E1236" w14:textId="77777777" w:rsidR="00450C55" w:rsidRPr="00092812" w:rsidRDefault="00450C55" w:rsidP="00450C55">
      <w:pPr>
        <w:ind w:firstLine="720"/>
        <w:rPr>
          <w:szCs w:val="22"/>
        </w:rPr>
      </w:pPr>
      <w:r w:rsidRPr="0027580F">
        <w:rPr>
          <w:szCs w:val="22"/>
        </w:rPr>
        <w:t xml:space="preserve">All filings concerning matters referenced in this </w:t>
      </w:r>
      <w:r w:rsidR="00F576C9">
        <w:rPr>
          <w:szCs w:val="22"/>
        </w:rPr>
        <w:t>p</w:t>
      </w:r>
      <w:r w:rsidRPr="0027580F">
        <w:rPr>
          <w:szCs w:val="22"/>
        </w:rPr>
        <w:t xml:space="preserve">ublic </w:t>
      </w:r>
      <w:r w:rsidR="00F576C9">
        <w:rPr>
          <w:szCs w:val="22"/>
        </w:rPr>
        <w:t>n</w:t>
      </w:r>
      <w:r w:rsidRPr="0027580F">
        <w:rPr>
          <w:szCs w:val="22"/>
        </w:rPr>
        <w:t>otice should refer to MB Docket No. 1</w:t>
      </w:r>
      <w:r>
        <w:rPr>
          <w:szCs w:val="22"/>
        </w:rPr>
        <w:t>5</w:t>
      </w:r>
      <w:r w:rsidRPr="00696C86">
        <w:rPr>
          <w:szCs w:val="22"/>
        </w:rPr>
        <w:t>-</w:t>
      </w:r>
      <w:r>
        <w:rPr>
          <w:szCs w:val="22"/>
        </w:rPr>
        <w:t>149</w:t>
      </w:r>
      <w:r w:rsidRPr="0019582E">
        <w:rPr>
          <w:szCs w:val="22"/>
        </w:rPr>
        <w:t xml:space="preserve">, and if they pertain only to specific applications or matters, to the specific file numbers of the individual applications or matters as well. </w:t>
      </w:r>
    </w:p>
    <w:p w14:paraId="555E1237" w14:textId="77777777" w:rsidR="00450C55" w:rsidRPr="00F711B2" w:rsidRDefault="00450C55" w:rsidP="00450C55">
      <w:pPr>
        <w:ind w:firstLine="720"/>
        <w:rPr>
          <w:szCs w:val="22"/>
        </w:rPr>
      </w:pPr>
    </w:p>
    <w:p w14:paraId="555E1238" w14:textId="77777777" w:rsidR="00450C55" w:rsidRPr="00467881" w:rsidRDefault="00450C55" w:rsidP="00450C55">
      <w:pPr>
        <w:ind w:firstLine="720"/>
        <w:rPr>
          <w:szCs w:val="22"/>
        </w:rPr>
      </w:pPr>
      <w:r w:rsidRPr="00467881">
        <w:rPr>
          <w:szCs w:val="22"/>
        </w:rPr>
        <w:t xml:space="preserve">Comments may be filed using the Commission’s Electronic Comment Filing System (ECFS).  </w:t>
      </w:r>
      <w:r w:rsidRPr="00467881">
        <w:rPr>
          <w:i/>
          <w:szCs w:val="22"/>
        </w:rPr>
        <w:t>See Electronic Filing of Documents in Rulemaking Proceedings</w:t>
      </w:r>
      <w:r w:rsidRPr="00467881">
        <w:rPr>
          <w:szCs w:val="22"/>
        </w:rPr>
        <w:t xml:space="preserve">, 63 FR 24121 (1998).  </w:t>
      </w:r>
    </w:p>
    <w:p w14:paraId="555E1239" w14:textId="77777777" w:rsidR="00450C55" w:rsidRPr="00467881" w:rsidRDefault="00450C55" w:rsidP="00450C55">
      <w:pPr>
        <w:rPr>
          <w:szCs w:val="22"/>
        </w:rPr>
      </w:pPr>
    </w:p>
    <w:p w14:paraId="555E123A" w14:textId="5D7DFA9C" w:rsidR="00450C55" w:rsidRPr="0027580F" w:rsidRDefault="00450C55" w:rsidP="00450C55">
      <w:pPr>
        <w:numPr>
          <w:ilvl w:val="0"/>
          <w:numId w:val="16"/>
        </w:numPr>
        <w:rPr>
          <w:szCs w:val="22"/>
        </w:rPr>
      </w:pPr>
      <w:r w:rsidRPr="00467881">
        <w:rPr>
          <w:szCs w:val="22"/>
        </w:rPr>
        <w:t xml:space="preserve">Electronic Filers:  Comments may be filed electronically using the Internet by accessing the ECFS:  </w:t>
      </w:r>
      <w:hyperlink r:id="rId15" w:history="1">
        <w:r w:rsidRPr="0027580F">
          <w:rPr>
            <w:rStyle w:val="Hyperlink"/>
            <w:szCs w:val="22"/>
          </w:rPr>
          <w:t>http://fjallfoss.fcc.gov/ecfs2/</w:t>
        </w:r>
      </w:hyperlink>
      <w:r w:rsidRPr="00F6450C">
        <w:rPr>
          <w:szCs w:val="22"/>
        </w:rPr>
        <w:t xml:space="preserve">.  </w:t>
      </w:r>
    </w:p>
    <w:p w14:paraId="555E123B" w14:textId="77777777" w:rsidR="00450C55" w:rsidRPr="0027580F" w:rsidRDefault="00450C55" w:rsidP="00450C55">
      <w:pPr>
        <w:rPr>
          <w:szCs w:val="22"/>
        </w:rPr>
      </w:pPr>
    </w:p>
    <w:p w14:paraId="555E123C" w14:textId="77777777" w:rsidR="00450C55" w:rsidRPr="0027580F" w:rsidRDefault="00450C55" w:rsidP="00450C55">
      <w:pPr>
        <w:numPr>
          <w:ilvl w:val="0"/>
          <w:numId w:val="13"/>
        </w:numPr>
        <w:rPr>
          <w:szCs w:val="22"/>
        </w:rPr>
      </w:pPr>
      <w:r w:rsidRPr="0027580F">
        <w:rPr>
          <w:szCs w:val="22"/>
        </w:rPr>
        <w:t>Paper Filers:  Parties who choose to file by paper must file an original and one copy of each filing.  Filings may be sent by hand or messenger delivery, by commercial overnight courier, or by first-class or overnight U.S. Postal Service mail.  All filings must be addressed to the Commission’s Secretary, Office of the Secretary, Federal Communications Commission.</w:t>
      </w:r>
    </w:p>
    <w:p w14:paraId="555E123D" w14:textId="77777777" w:rsidR="00450C55" w:rsidRPr="00561EE2" w:rsidRDefault="00450C55" w:rsidP="00450C55">
      <w:pPr>
        <w:rPr>
          <w:szCs w:val="22"/>
        </w:rPr>
      </w:pPr>
    </w:p>
    <w:p w14:paraId="555E123E" w14:textId="77777777" w:rsidR="00450C55" w:rsidRPr="00467881" w:rsidRDefault="00450C55" w:rsidP="00450C55">
      <w:pPr>
        <w:numPr>
          <w:ilvl w:val="0"/>
          <w:numId w:val="14"/>
        </w:numPr>
        <w:rPr>
          <w:szCs w:val="22"/>
        </w:rPr>
      </w:pPr>
      <w:r w:rsidRPr="00696C86">
        <w:rPr>
          <w:szCs w:val="22"/>
        </w:rPr>
        <w:t>All hand-delivered or messenger-delivered paper filings for the Commission’s Secretary must be delivered to FCC Head</w:t>
      </w:r>
      <w:r w:rsidRPr="00E04DC5">
        <w:rPr>
          <w:szCs w:val="22"/>
        </w:rPr>
        <w:t>quarters at 445 12</w:t>
      </w:r>
      <w:r w:rsidRPr="0019582E">
        <w:rPr>
          <w:szCs w:val="22"/>
          <w:vertAlign w:val="superscript"/>
        </w:rPr>
        <w:t>th</w:t>
      </w:r>
      <w:r w:rsidRPr="0019582E">
        <w:rPr>
          <w:szCs w:val="22"/>
        </w:rPr>
        <w:t xml:space="preserve"> St., SW, Room TW-A325, Washington, DC 20554.  The filing hours are 8:00 a.m. to 7:00 p.m.   All hand deliveries must be held together with rubber bands or fasteners.  Any envelopes and boxes must be disposed of </w:t>
      </w:r>
      <w:r w:rsidRPr="00092812">
        <w:rPr>
          <w:szCs w:val="22"/>
          <w:u w:val="single"/>
        </w:rPr>
        <w:t>before</w:t>
      </w:r>
      <w:r w:rsidRPr="00F711B2">
        <w:rPr>
          <w:szCs w:val="22"/>
        </w:rPr>
        <w:t xml:space="preserve"> entering the buil</w:t>
      </w:r>
      <w:r w:rsidRPr="00467881">
        <w:rPr>
          <w:szCs w:val="22"/>
        </w:rPr>
        <w:t xml:space="preserve">ding.  </w:t>
      </w:r>
    </w:p>
    <w:p w14:paraId="555E123F" w14:textId="77777777" w:rsidR="00450C55" w:rsidRPr="00467881" w:rsidRDefault="00450C55" w:rsidP="00450C55">
      <w:pPr>
        <w:ind w:left="1080"/>
        <w:rPr>
          <w:szCs w:val="22"/>
        </w:rPr>
      </w:pPr>
    </w:p>
    <w:p w14:paraId="555E1240" w14:textId="77777777" w:rsidR="00450C55" w:rsidRPr="00467881" w:rsidRDefault="00450C55" w:rsidP="00450C55">
      <w:pPr>
        <w:numPr>
          <w:ilvl w:val="0"/>
          <w:numId w:val="14"/>
        </w:numPr>
        <w:rPr>
          <w:szCs w:val="22"/>
        </w:rPr>
      </w:pPr>
      <w:r w:rsidRPr="00467881">
        <w:rPr>
          <w:szCs w:val="22"/>
        </w:rPr>
        <w:t>Commercial overnight mail (other than U.S. Postal Service Express Mail and Priority Mail) must be sent to 9300 East Hampton Drive, Capitol Heights, MD  20743.</w:t>
      </w:r>
    </w:p>
    <w:p w14:paraId="555E1241" w14:textId="77777777" w:rsidR="00450C55" w:rsidRPr="00467881" w:rsidRDefault="00450C55" w:rsidP="00450C55">
      <w:pPr>
        <w:rPr>
          <w:szCs w:val="22"/>
        </w:rPr>
      </w:pPr>
    </w:p>
    <w:p w14:paraId="555E1242" w14:textId="77777777" w:rsidR="00450C55" w:rsidRPr="00467881" w:rsidRDefault="00450C55" w:rsidP="00450C55">
      <w:pPr>
        <w:numPr>
          <w:ilvl w:val="0"/>
          <w:numId w:val="14"/>
        </w:numPr>
        <w:rPr>
          <w:szCs w:val="22"/>
        </w:rPr>
      </w:pPr>
      <w:r w:rsidRPr="00467881">
        <w:rPr>
          <w:szCs w:val="22"/>
        </w:rPr>
        <w:t>U.S. Postal Service first-class, Express, and Priority mail must be addressed to 445 12</w:t>
      </w:r>
      <w:r w:rsidRPr="00467881">
        <w:rPr>
          <w:szCs w:val="22"/>
          <w:vertAlign w:val="superscript"/>
        </w:rPr>
        <w:t>th</w:t>
      </w:r>
      <w:r w:rsidRPr="00467881">
        <w:rPr>
          <w:szCs w:val="22"/>
        </w:rPr>
        <w:t xml:space="preserve"> Street, SW, Washington DC  20554.</w:t>
      </w:r>
    </w:p>
    <w:p w14:paraId="555E1243" w14:textId="77777777" w:rsidR="00450C55" w:rsidRPr="00467881" w:rsidRDefault="00450C55" w:rsidP="00450C55">
      <w:pPr>
        <w:pStyle w:val="ListParagraph"/>
        <w:rPr>
          <w:szCs w:val="22"/>
        </w:rPr>
      </w:pPr>
    </w:p>
    <w:p w14:paraId="555E1244" w14:textId="77777777" w:rsidR="00450C55" w:rsidRPr="00467881" w:rsidRDefault="00450C55" w:rsidP="00450C55">
      <w:pPr>
        <w:ind w:left="720" w:hanging="720"/>
        <w:rPr>
          <w:b/>
          <w:spacing w:val="-2"/>
          <w:szCs w:val="22"/>
        </w:rPr>
      </w:pPr>
      <w:r w:rsidRPr="00467881">
        <w:rPr>
          <w:spacing w:val="-2"/>
          <w:szCs w:val="22"/>
        </w:rPr>
        <w:tab/>
      </w:r>
      <w:r w:rsidRPr="00467881">
        <w:rPr>
          <w:b/>
          <w:spacing w:val="-2"/>
          <w:szCs w:val="22"/>
        </w:rPr>
        <w:t>In addition, one copy of each submission must be sent to the following:</w:t>
      </w:r>
    </w:p>
    <w:p w14:paraId="555E1245" w14:textId="77777777" w:rsidR="00450C55" w:rsidRPr="00467881" w:rsidRDefault="00450C55" w:rsidP="00450C55">
      <w:pPr>
        <w:ind w:left="720" w:hanging="720"/>
        <w:rPr>
          <w:spacing w:val="-2"/>
          <w:szCs w:val="22"/>
        </w:rPr>
      </w:pPr>
    </w:p>
    <w:p w14:paraId="555E1246" w14:textId="4156383C" w:rsidR="00450C55" w:rsidRPr="00467881" w:rsidRDefault="00450C55" w:rsidP="00450C55">
      <w:pPr>
        <w:ind w:left="270" w:hanging="270"/>
        <w:rPr>
          <w:spacing w:val="-2"/>
          <w:szCs w:val="22"/>
        </w:rPr>
      </w:pPr>
      <w:r>
        <w:rPr>
          <w:spacing w:val="-2"/>
          <w:szCs w:val="22"/>
        </w:rPr>
        <w:t>1</w:t>
      </w:r>
      <w:r w:rsidRPr="00467881">
        <w:rPr>
          <w:spacing w:val="-2"/>
          <w:szCs w:val="22"/>
        </w:rPr>
        <w:t xml:space="preserve">.  </w:t>
      </w:r>
      <w:r w:rsidRPr="00467881">
        <w:rPr>
          <w:szCs w:val="22"/>
        </w:rPr>
        <w:t xml:space="preserve">Vanessa Lemmé, Media Bureau, at </w:t>
      </w:r>
      <w:hyperlink r:id="rId16" w:history="1">
        <w:r w:rsidRPr="00AC492A">
          <w:rPr>
            <w:rStyle w:val="Hyperlink"/>
            <w:szCs w:val="22"/>
          </w:rPr>
          <w:t>Vanessa.Lemme@fcc.gov</w:t>
        </w:r>
      </w:hyperlink>
      <w:r w:rsidRPr="00467881">
        <w:rPr>
          <w:szCs w:val="22"/>
        </w:rPr>
        <w:t>,</w:t>
      </w:r>
      <w:r w:rsidRPr="00467881">
        <w:rPr>
          <w:color w:val="000000"/>
          <w:szCs w:val="22"/>
        </w:rPr>
        <w:t xml:space="preserve"> or (202) 418-2053 (facsimile);</w:t>
      </w:r>
    </w:p>
    <w:p w14:paraId="555E1247" w14:textId="61D344B0" w:rsidR="00450C55" w:rsidRPr="0005506D" w:rsidRDefault="00450C55" w:rsidP="0005506D">
      <w:pPr>
        <w:spacing w:before="120"/>
        <w:ind w:left="270" w:hanging="270"/>
        <w:rPr>
          <w:szCs w:val="22"/>
        </w:rPr>
      </w:pPr>
      <w:r>
        <w:rPr>
          <w:spacing w:val="-2"/>
          <w:szCs w:val="22"/>
        </w:rPr>
        <w:t>2</w:t>
      </w:r>
      <w:r w:rsidRPr="00467881">
        <w:rPr>
          <w:spacing w:val="-2"/>
          <w:szCs w:val="22"/>
        </w:rPr>
        <w:t xml:space="preserve">.  </w:t>
      </w:r>
      <w:r w:rsidR="004144A4">
        <w:rPr>
          <w:color w:val="000000"/>
          <w:szCs w:val="22"/>
        </w:rPr>
        <w:t>Ty Bream</w:t>
      </w:r>
      <w:r w:rsidRPr="00467881">
        <w:rPr>
          <w:color w:val="000000"/>
          <w:szCs w:val="22"/>
        </w:rPr>
        <w:t xml:space="preserve">, </w:t>
      </w:r>
      <w:r w:rsidR="0005506D">
        <w:rPr>
          <w:szCs w:val="22"/>
        </w:rPr>
        <w:t xml:space="preserve">Media Bureau, at </w:t>
      </w:r>
      <w:hyperlink r:id="rId17" w:history="1">
        <w:r w:rsidR="0005506D" w:rsidRPr="004E57FF">
          <w:rPr>
            <w:rStyle w:val="Hyperlink"/>
            <w:szCs w:val="22"/>
          </w:rPr>
          <w:t>Ty.Bream@fcc.gov</w:t>
        </w:r>
      </w:hyperlink>
      <w:r w:rsidR="0005506D">
        <w:rPr>
          <w:szCs w:val="22"/>
        </w:rPr>
        <w:t xml:space="preserve">, </w:t>
      </w:r>
      <w:r w:rsidRPr="00467881">
        <w:rPr>
          <w:szCs w:val="22"/>
        </w:rPr>
        <w:t xml:space="preserve">or (202) 418-2053 </w:t>
      </w:r>
      <w:r w:rsidRPr="00467881">
        <w:rPr>
          <w:color w:val="000000"/>
          <w:szCs w:val="22"/>
        </w:rPr>
        <w:t>(facsimile)</w:t>
      </w:r>
      <w:r w:rsidRPr="00467881">
        <w:rPr>
          <w:szCs w:val="22"/>
        </w:rPr>
        <w:t>;</w:t>
      </w:r>
      <w:r w:rsidRPr="00467881">
        <w:rPr>
          <w:spacing w:val="-2"/>
          <w:szCs w:val="22"/>
        </w:rPr>
        <w:t xml:space="preserve"> </w:t>
      </w:r>
    </w:p>
    <w:p w14:paraId="555E1248" w14:textId="0996CF23" w:rsidR="00450C55" w:rsidRPr="00467881" w:rsidRDefault="00450C55" w:rsidP="00450C55">
      <w:pPr>
        <w:spacing w:before="120"/>
        <w:ind w:left="270" w:hanging="270"/>
        <w:rPr>
          <w:spacing w:val="-2"/>
          <w:szCs w:val="22"/>
        </w:rPr>
      </w:pPr>
      <w:r>
        <w:rPr>
          <w:spacing w:val="-2"/>
          <w:szCs w:val="22"/>
        </w:rPr>
        <w:t xml:space="preserve">3.  Elizabeth McIntyre, Wireline Competition Bureau, at </w:t>
      </w:r>
      <w:hyperlink r:id="rId18" w:history="1">
        <w:r w:rsidR="004144A4" w:rsidRPr="004144A4">
          <w:rPr>
            <w:rStyle w:val="Hyperlink"/>
            <w:spacing w:val="-2"/>
            <w:szCs w:val="22"/>
          </w:rPr>
          <w:t>Elizabeth.McIntyre@fcc.gov</w:t>
        </w:r>
      </w:hyperlink>
      <w:r>
        <w:rPr>
          <w:spacing w:val="-2"/>
          <w:szCs w:val="22"/>
        </w:rPr>
        <w:t>, or (202) 418-</w:t>
      </w:r>
      <w:r w:rsidR="008C22C9">
        <w:rPr>
          <w:spacing w:val="-2"/>
          <w:szCs w:val="22"/>
        </w:rPr>
        <w:t>1567</w:t>
      </w:r>
      <w:r>
        <w:rPr>
          <w:spacing w:val="-2"/>
          <w:szCs w:val="22"/>
        </w:rPr>
        <w:t xml:space="preserve"> (facsimile);  </w:t>
      </w:r>
    </w:p>
    <w:p w14:paraId="555E1249" w14:textId="1D28A048" w:rsidR="00450C55" w:rsidRPr="00467881" w:rsidRDefault="00450C55" w:rsidP="00450C55">
      <w:pPr>
        <w:spacing w:before="120"/>
        <w:ind w:left="270" w:hanging="270"/>
        <w:rPr>
          <w:color w:val="000000"/>
          <w:szCs w:val="22"/>
        </w:rPr>
      </w:pPr>
      <w:r>
        <w:rPr>
          <w:spacing w:val="-2"/>
          <w:szCs w:val="22"/>
        </w:rPr>
        <w:t>4</w:t>
      </w:r>
      <w:r w:rsidRPr="00467881">
        <w:rPr>
          <w:spacing w:val="-2"/>
          <w:szCs w:val="22"/>
        </w:rPr>
        <w:t xml:space="preserve">.  </w:t>
      </w:r>
      <w:r>
        <w:rPr>
          <w:spacing w:val="-2"/>
          <w:szCs w:val="22"/>
        </w:rPr>
        <w:t>Adam Copeland</w:t>
      </w:r>
      <w:r w:rsidRPr="00467881">
        <w:rPr>
          <w:color w:val="000000"/>
          <w:szCs w:val="22"/>
        </w:rPr>
        <w:t xml:space="preserve">, Wireline Competition Bureau, at </w:t>
      </w:r>
      <w:hyperlink r:id="rId19" w:history="1">
        <w:r w:rsidRPr="006768E2">
          <w:rPr>
            <w:rStyle w:val="Hyperlink"/>
            <w:szCs w:val="22"/>
          </w:rPr>
          <w:t>Adam.</w:t>
        </w:r>
        <w:r w:rsidR="002E69A8">
          <w:rPr>
            <w:rStyle w:val="Hyperlink"/>
            <w:szCs w:val="22"/>
          </w:rPr>
          <w:t>C</w:t>
        </w:r>
        <w:r w:rsidRPr="006768E2">
          <w:rPr>
            <w:rStyle w:val="Hyperlink"/>
            <w:szCs w:val="22"/>
          </w:rPr>
          <w:t>opeland@fc</w:t>
        </w:r>
        <w:r w:rsidR="002E69A8">
          <w:rPr>
            <w:rStyle w:val="Hyperlink"/>
            <w:szCs w:val="22"/>
          </w:rPr>
          <w:t>c</w:t>
        </w:r>
        <w:r w:rsidRPr="006768E2">
          <w:rPr>
            <w:rStyle w:val="Hyperlink"/>
            <w:szCs w:val="22"/>
          </w:rPr>
          <w:t>.gov</w:t>
        </w:r>
      </w:hyperlink>
      <w:r w:rsidR="00552F6C">
        <w:rPr>
          <w:color w:val="000000"/>
          <w:szCs w:val="22"/>
        </w:rPr>
        <w:t>, or</w:t>
      </w:r>
      <w:r w:rsidRPr="00467881">
        <w:rPr>
          <w:color w:val="000000"/>
          <w:szCs w:val="22"/>
        </w:rPr>
        <w:t xml:space="preserve"> (202) 418-</w:t>
      </w:r>
      <w:r w:rsidR="008C22C9">
        <w:rPr>
          <w:color w:val="000000"/>
          <w:szCs w:val="22"/>
        </w:rPr>
        <w:t>1567</w:t>
      </w:r>
      <w:r w:rsidRPr="00467881">
        <w:rPr>
          <w:color w:val="000000"/>
          <w:szCs w:val="22"/>
        </w:rPr>
        <w:t xml:space="preserve"> (facsimile); and </w:t>
      </w:r>
    </w:p>
    <w:p w14:paraId="555E124A" w14:textId="3EBFB7C0" w:rsidR="00450C55" w:rsidRPr="00467881" w:rsidRDefault="00450C55" w:rsidP="00450C55">
      <w:pPr>
        <w:spacing w:before="120"/>
        <w:ind w:left="270" w:hanging="270"/>
        <w:rPr>
          <w:spacing w:val="-2"/>
          <w:szCs w:val="22"/>
        </w:rPr>
      </w:pPr>
      <w:r>
        <w:rPr>
          <w:color w:val="000000"/>
          <w:szCs w:val="22"/>
        </w:rPr>
        <w:t>5</w:t>
      </w:r>
      <w:r w:rsidRPr="00467881">
        <w:rPr>
          <w:color w:val="000000"/>
          <w:szCs w:val="22"/>
        </w:rPr>
        <w:t xml:space="preserve">.  Jim Bird, Office of General Counsel, at </w:t>
      </w:r>
      <w:hyperlink r:id="rId20" w:history="1">
        <w:r w:rsidRPr="00AC492A">
          <w:rPr>
            <w:rStyle w:val="Hyperlink"/>
            <w:szCs w:val="22"/>
          </w:rPr>
          <w:t>TransactionTeam@fcc.gov</w:t>
        </w:r>
      </w:hyperlink>
      <w:r w:rsidRPr="00467881">
        <w:rPr>
          <w:color w:val="000000"/>
          <w:szCs w:val="22"/>
        </w:rPr>
        <w:t>, or (202) 418-1234 (facsimile).</w:t>
      </w:r>
    </w:p>
    <w:p w14:paraId="555E124B" w14:textId="77777777" w:rsidR="00450C55" w:rsidRPr="00467881" w:rsidRDefault="00450C55" w:rsidP="00450C55">
      <w:pPr>
        <w:rPr>
          <w:spacing w:val="-2"/>
          <w:szCs w:val="22"/>
        </w:rPr>
      </w:pPr>
    </w:p>
    <w:p w14:paraId="555E124C" w14:textId="77777777" w:rsidR="00450C55" w:rsidRPr="00467881" w:rsidRDefault="00450C55" w:rsidP="00450C55">
      <w:pPr>
        <w:rPr>
          <w:spacing w:val="-2"/>
          <w:szCs w:val="22"/>
        </w:rPr>
      </w:pPr>
      <w:r w:rsidRPr="00467881">
        <w:rPr>
          <w:spacing w:val="-2"/>
          <w:szCs w:val="22"/>
        </w:rPr>
        <w:t xml:space="preserve">Any submission that is e-mailed to the persons listed above should include in the subject line of the e-mail:  (1) </w:t>
      </w:r>
      <w:r w:rsidRPr="00467881">
        <w:rPr>
          <w:szCs w:val="22"/>
        </w:rPr>
        <w:t xml:space="preserve">MB Docket No. </w:t>
      </w:r>
      <w:r w:rsidR="008F245C">
        <w:rPr>
          <w:szCs w:val="22"/>
        </w:rPr>
        <w:t>15-149</w:t>
      </w:r>
      <w:r w:rsidRPr="00467881">
        <w:rPr>
          <w:szCs w:val="22"/>
        </w:rPr>
        <w:t>; (2) the name of the submitting party; and (3) a brief description or title identifying the type of document being submitted (</w:t>
      </w:r>
      <w:r w:rsidRPr="00467881">
        <w:rPr>
          <w:i/>
          <w:szCs w:val="22"/>
        </w:rPr>
        <w:t>e.g</w:t>
      </w:r>
      <w:r w:rsidRPr="00467881">
        <w:rPr>
          <w:szCs w:val="22"/>
        </w:rPr>
        <w:t>., MB Docket No. 1</w:t>
      </w:r>
      <w:r w:rsidR="00552F6C">
        <w:rPr>
          <w:szCs w:val="22"/>
        </w:rPr>
        <w:t>5</w:t>
      </w:r>
      <w:r w:rsidRPr="00467881">
        <w:rPr>
          <w:szCs w:val="22"/>
        </w:rPr>
        <w:t>-</w:t>
      </w:r>
      <w:r w:rsidR="00552F6C">
        <w:rPr>
          <w:szCs w:val="22"/>
        </w:rPr>
        <w:t>149</w:t>
      </w:r>
      <w:r w:rsidRPr="00467881">
        <w:rPr>
          <w:szCs w:val="22"/>
        </w:rPr>
        <w:t xml:space="preserve">, </w:t>
      </w:r>
      <w:r w:rsidR="00552F6C">
        <w:rPr>
          <w:szCs w:val="22"/>
        </w:rPr>
        <w:t>Charter-TWC-BHN</w:t>
      </w:r>
      <w:r w:rsidRPr="00467881">
        <w:rPr>
          <w:szCs w:val="22"/>
        </w:rPr>
        <w:t xml:space="preserve">, </w:t>
      </w:r>
      <w:r w:rsidRPr="00467881">
        <w:rPr>
          <w:i/>
          <w:szCs w:val="22"/>
        </w:rPr>
        <w:t xml:space="preserve">Ex Parte </w:t>
      </w:r>
      <w:r w:rsidRPr="00467881">
        <w:rPr>
          <w:szCs w:val="22"/>
        </w:rPr>
        <w:t>Notice).</w:t>
      </w:r>
    </w:p>
    <w:p w14:paraId="555E124D" w14:textId="77777777" w:rsidR="00450C55" w:rsidRPr="00467881" w:rsidRDefault="00450C55" w:rsidP="00450C55">
      <w:pPr>
        <w:ind w:firstLine="720"/>
        <w:rPr>
          <w:i/>
          <w:szCs w:val="22"/>
        </w:rPr>
      </w:pPr>
    </w:p>
    <w:p w14:paraId="555E124E" w14:textId="3E398A4C" w:rsidR="00450C55" w:rsidRPr="00467881" w:rsidRDefault="00450C55" w:rsidP="00450C55">
      <w:pPr>
        <w:ind w:firstLine="720"/>
        <w:rPr>
          <w:szCs w:val="22"/>
        </w:rPr>
      </w:pPr>
      <w:r w:rsidRPr="00467881">
        <w:rPr>
          <w:i/>
          <w:szCs w:val="22"/>
        </w:rPr>
        <w:t>People with Disabilities</w:t>
      </w:r>
      <w:r w:rsidRPr="00467881">
        <w:rPr>
          <w:szCs w:val="22"/>
        </w:rPr>
        <w:t xml:space="preserve">.  To request materials in accessible formats for people with disabilities (braille, large print, electronic files, audio format), send an e-mail to </w:t>
      </w:r>
      <w:hyperlink r:id="rId21" w:history="1">
        <w:r w:rsidRPr="00AC492A">
          <w:rPr>
            <w:rStyle w:val="Hyperlink"/>
            <w:szCs w:val="22"/>
          </w:rPr>
          <w:t>fcc504@fcc.gov</w:t>
        </w:r>
      </w:hyperlink>
      <w:r>
        <w:rPr>
          <w:szCs w:val="22"/>
        </w:rPr>
        <w:t xml:space="preserve"> </w:t>
      </w:r>
      <w:r w:rsidRPr="00467881">
        <w:rPr>
          <w:szCs w:val="22"/>
        </w:rPr>
        <w:t>or call the Consumer &amp; Governmental Affairs Bureau at 202-418-0530 (voice), 202-418-0432 (TTY).</w:t>
      </w:r>
    </w:p>
    <w:p w14:paraId="555E124F" w14:textId="77777777" w:rsidR="00450C55" w:rsidRPr="00467881" w:rsidRDefault="00450C55" w:rsidP="00450C55">
      <w:pPr>
        <w:ind w:firstLine="720"/>
        <w:rPr>
          <w:i/>
          <w:szCs w:val="22"/>
        </w:rPr>
      </w:pPr>
    </w:p>
    <w:p w14:paraId="555E1250" w14:textId="08558F80" w:rsidR="00450C55" w:rsidRPr="00467881" w:rsidRDefault="00450C55" w:rsidP="00450C55">
      <w:pPr>
        <w:ind w:firstLine="720"/>
        <w:rPr>
          <w:szCs w:val="22"/>
        </w:rPr>
      </w:pPr>
      <w:r w:rsidRPr="00467881">
        <w:rPr>
          <w:i/>
          <w:szCs w:val="22"/>
        </w:rPr>
        <w:t>Availability of Documents</w:t>
      </w:r>
      <w:r w:rsidRPr="00467881">
        <w:rPr>
          <w:szCs w:val="22"/>
        </w:rPr>
        <w:t>.  Documents in this proceeding will be available for public inspection and copying during business hours at the FCC Reference Information Center, Portals II, 445 12</w:t>
      </w:r>
      <w:r w:rsidRPr="00467881">
        <w:rPr>
          <w:szCs w:val="22"/>
          <w:vertAlign w:val="superscript"/>
        </w:rPr>
        <w:t>th</w:t>
      </w:r>
      <w:r w:rsidRPr="00467881">
        <w:rPr>
          <w:szCs w:val="22"/>
        </w:rPr>
        <w:t xml:space="preserve"> Street, S.W., Room CY-A257, Washington, D.C. 20554.  </w:t>
      </w:r>
      <w:r w:rsidRPr="00467881">
        <w:rPr>
          <w:spacing w:val="-2"/>
          <w:szCs w:val="22"/>
        </w:rPr>
        <w:t xml:space="preserve">The Application is also available electronically through the Commission’s ECFS, which may be accessed on the Commission’s Internet website at </w:t>
      </w:r>
      <w:hyperlink r:id="rId22" w:history="1">
        <w:r w:rsidRPr="00AC492A">
          <w:rPr>
            <w:rStyle w:val="Hyperlink"/>
            <w:spacing w:val="-2"/>
            <w:szCs w:val="22"/>
          </w:rPr>
          <w:t>http://www.fcc.gov</w:t>
        </w:r>
      </w:hyperlink>
      <w:r w:rsidRPr="00786D55">
        <w:rPr>
          <w:spacing w:val="-2"/>
          <w:szCs w:val="22"/>
        </w:rPr>
        <w:t xml:space="preserve">. </w:t>
      </w:r>
      <w:r w:rsidRPr="00467881">
        <w:rPr>
          <w:spacing w:val="-2"/>
          <w:szCs w:val="22"/>
        </w:rPr>
        <w:t xml:space="preserve"> Additional information regarding the proposed transaction will be available on the FCC’s Office of General Counsel’s transaction </w:t>
      </w:r>
      <w:r w:rsidRPr="00467881">
        <w:rPr>
          <w:szCs w:val="22"/>
        </w:rPr>
        <w:t xml:space="preserve">website, </w:t>
      </w:r>
      <w:hyperlink r:id="rId23" w:history="1">
        <w:r w:rsidRPr="00AC492A">
          <w:rPr>
            <w:rStyle w:val="Hyperlink"/>
            <w:szCs w:val="22"/>
          </w:rPr>
          <w:t>http://www.fcc.gov/transaction/charter-twc-bhn</w:t>
        </w:r>
      </w:hyperlink>
      <w:r w:rsidRPr="00786D55">
        <w:rPr>
          <w:szCs w:val="22"/>
        </w:rPr>
        <w:t xml:space="preserve">, </w:t>
      </w:r>
      <w:r w:rsidRPr="00467881">
        <w:rPr>
          <w:szCs w:val="22"/>
        </w:rPr>
        <w:t xml:space="preserve">which will contain an unofficial listing and electronic copies of materials in this Docket.  </w:t>
      </w:r>
      <w:r w:rsidRPr="00467881">
        <w:rPr>
          <w:spacing w:val="-2"/>
          <w:szCs w:val="22"/>
        </w:rPr>
        <w:tab/>
      </w:r>
    </w:p>
    <w:p w14:paraId="555E1251" w14:textId="77777777" w:rsidR="00450C55" w:rsidRPr="00467881" w:rsidRDefault="00450C55" w:rsidP="00450C55">
      <w:pPr>
        <w:ind w:hanging="720"/>
        <w:rPr>
          <w:spacing w:val="-2"/>
          <w:szCs w:val="22"/>
        </w:rPr>
      </w:pPr>
      <w:r w:rsidRPr="00467881">
        <w:rPr>
          <w:spacing w:val="-2"/>
          <w:szCs w:val="22"/>
        </w:rPr>
        <w:tab/>
      </w:r>
      <w:r w:rsidRPr="00467881">
        <w:rPr>
          <w:spacing w:val="-2"/>
          <w:szCs w:val="22"/>
        </w:rPr>
        <w:tab/>
      </w:r>
    </w:p>
    <w:p w14:paraId="555E1252" w14:textId="04283FE7" w:rsidR="00450C55" w:rsidRPr="00467881" w:rsidRDefault="00450C55" w:rsidP="00450C55">
      <w:pPr>
        <w:ind w:firstLine="720"/>
        <w:rPr>
          <w:spacing w:val="-2"/>
          <w:szCs w:val="22"/>
        </w:rPr>
      </w:pPr>
      <w:r w:rsidRPr="00467881">
        <w:rPr>
          <w:i/>
          <w:spacing w:val="-2"/>
          <w:szCs w:val="22"/>
        </w:rPr>
        <w:t>Further Information</w:t>
      </w:r>
      <w:r w:rsidRPr="00467881">
        <w:rPr>
          <w:spacing w:val="-2"/>
          <w:szCs w:val="22"/>
        </w:rPr>
        <w:t>.  For further information, contact</w:t>
      </w:r>
      <w:r w:rsidR="0005506D">
        <w:rPr>
          <w:spacing w:val="-2"/>
          <w:szCs w:val="22"/>
        </w:rPr>
        <w:t xml:space="preserve"> Ty Bream, Media Bureau, (202) 418-0</w:t>
      </w:r>
      <w:r w:rsidRPr="00467881">
        <w:rPr>
          <w:spacing w:val="-2"/>
          <w:szCs w:val="22"/>
        </w:rPr>
        <w:t>6</w:t>
      </w:r>
      <w:r w:rsidR="0005506D">
        <w:rPr>
          <w:spacing w:val="-2"/>
          <w:szCs w:val="22"/>
        </w:rPr>
        <w:t>44</w:t>
      </w:r>
      <w:r w:rsidRPr="00467881">
        <w:rPr>
          <w:spacing w:val="-2"/>
          <w:szCs w:val="22"/>
        </w:rPr>
        <w:t xml:space="preserve">, or </w:t>
      </w:r>
      <w:r>
        <w:rPr>
          <w:spacing w:val="-2"/>
          <w:szCs w:val="22"/>
        </w:rPr>
        <w:t>Adam Copeland</w:t>
      </w:r>
      <w:r w:rsidRPr="00467881">
        <w:rPr>
          <w:color w:val="000000"/>
          <w:szCs w:val="22"/>
        </w:rPr>
        <w:t>, Wireline Competition Bureau, (202) 418-</w:t>
      </w:r>
      <w:r w:rsidR="00916528">
        <w:rPr>
          <w:color w:val="000000"/>
          <w:szCs w:val="22"/>
        </w:rPr>
        <w:t>1037</w:t>
      </w:r>
      <w:r w:rsidRPr="00467881">
        <w:rPr>
          <w:spacing w:val="-2"/>
          <w:szCs w:val="22"/>
        </w:rPr>
        <w:t xml:space="preserve">.  Press inquiries should be directed to Janice Wise, Media Bureau, (202) 418-8165.  TTY: (202) 418-2555 or (888) 835-5322.    </w:t>
      </w:r>
    </w:p>
    <w:p w14:paraId="555E1253" w14:textId="77777777" w:rsidR="00450C55" w:rsidRPr="00467881" w:rsidRDefault="00450C55" w:rsidP="00450C55">
      <w:pPr>
        <w:spacing w:before="120"/>
        <w:rPr>
          <w:spacing w:val="-2"/>
          <w:szCs w:val="22"/>
        </w:rPr>
      </w:pPr>
    </w:p>
    <w:p w14:paraId="555E1254" w14:textId="77777777" w:rsidR="00450C55" w:rsidRDefault="00450C55" w:rsidP="00450C55">
      <w:pPr>
        <w:tabs>
          <w:tab w:val="left" w:pos="-720"/>
        </w:tabs>
        <w:suppressAutoHyphens/>
        <w:spacing w:before="120"/>
        <w:jc w:val="center"/>
        <w:rPr>
          <w:szCs w:val="22"/>
        </w:rPr>
      </w:pPr>
      <w:r w:rsidRPr="00467881">
        <w:rPr>
          <w:szCs w:val="22"/>
        </w:rPr>
        <w:t>-FCC-</w:t>
      </w:r>
    </w:p>
    <w:p w14:paraId="555E1255" w14:textId="77777777" w:rsidR="00BC1957" w:rsidRDefault="00BC1957" w:rsidP="00450C55">
      <w:pPr>
        <w:spacing w:before="120"/>
        <w:jc w:val="right"/>
        <w:rPr>
          <w:szCs w:val="22"/>
        </w:rPr>
      </w:pPr>
    </w:p>
    <w:sectPr w:rsidR="00BC1957">
      <w:headerReference w:type="default" r:id="rId24"/>
      <w:footerReference w:type="even" r:id="rId25"/>
      <w:footerReference w:type="default" r:id="rId26"/>
      <w:headerReference w:type="first" r:id="rId27"/>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E0A4D" w14:textId="77777777" w:rsidR="002822DB" w:rsidRDefault="002822DB">
      <w:r>
        <w:separator/>
      </w:r>
    </w:p>
  </w:endnote>
  <w:endnote w:type="continuationSeparator" w:id="0">
    <w:p w14:paraId="63670731" w14:textId="77777777" w:rsidR="002822DB" w:rsidRDefault="0028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6B3B5" w14:textId="77777777" w:rsidR="00500F84" w:rsidRDefault="00500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2E7CE" w14:textId="77777777" w:rsidR="00500F84" w:rsidRDefault="00500F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16DB4" w14:textId="77777777" w:rsidR="00500F84" w:rsidRDefault="00500F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E125F" w14:textId="77777777" w:rsidR="001D1C19" w:rsidRDefault="00552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55E1260" w14:textId="77777777" w:rsidR="001D1C19" w:rsidRDefault="00EF658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E1261" w14:textId="77777777" w:rsidR="001D1C19" w:rsidRDefault="00552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6582">
      <w:rPr>
        <w:rStyle w:val="PageNumber"/>
        <w:noProof/>
      </w:rPr>
      <w:t>2</w:t>
    </w:r>
    <w:r>
      <w:rPr>
        <w:rStyle w:val="PageNumber"/>
      </w:rPr>
      <w:fldChar w:fldCharType="end"/>
    </w:r>
  </w:p>
  <w:p w14:paraId="555E1262" w14:textId="77777777" w:rsidR="001D1C19" w:rsidRDefault="00552F6C" w:rsidP="003910C1">
    <w:pPr>
      <w:pStyle w:val="Footer"/>
      <w:tabs>
        <w:tab w:val="clear" w:pos="4320"/>
        <w:tab w:val="clear" w:pos="8640"/>
        <w:tab w:val="left" w:pos="55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2896C" w14:textId="77777777" w:rsidR="002822DB" w:rsidRPr="0053099C" w:rsidRDefault="002822DB" w:rsidP="0053099C">
      <w:r>
        <w:separator/>
      </w:r>
    </w:p>
  </w:footnote>
  <w:footnote w:type="continuationSeparator" w:id="0">
    <w:p w14:paraId="6F9C6281" w14:textId="77777777" w:rsidR="002822DB" w:rsidRPr="0053099C" w:rsidRDefault="002822DB" w:rsidP="0053099C">
      <w:pPr>
        <w:pStyle w:val="Footer"/>
      </w:pPr>
      <w:r>
        <w:rPr>
          <w:sz w:val="20"/>
        </w:rPr>
        <w:t xml:space="preserve">(Continued from previous page)  </w:t>
      </w:r>
      <w:r>
        <w:rPr>
          <w:sz w:val="20"/>
        </w:rPr>
        <w:separator/>
      </w:r>
    </w:p>
  </w:footnote>
  <w:footnote w:type="continuationNotice" w:id="1">
    <w:p w14:paraId="7233E319" w14:textId="77777777" w:rsidR="002822DB" w:rsidRDefault="002822DB">
      <w:r>
        <w:rPr>
          <w:sz w:val="20"/>
        </w:rPr>
        <w:t>(continued….)</w:t>
      </w:r>
    </w:p>
  </w:footnote>
  <w:footnote w:id="2">
    <w:p w14:paraId="555E126C" w14:textId="5375556F" w:rsidR="00450C55" w:rsidRPr="00246937" w:rsidRDefault="00450C55" w:rsidP="00600F50">
      <w:pPr>
        <w:pStyle w:val="FootnoteText"/>
        <w:ind w:left="720"/>
        <w:rPr>
          <w:sz w:val="20"/>
        </w:rPr>
      </w:pPr>
      <w:r w:rsidRPr="00246937">
        <w:rPr>
          <w:rStyle w:val="FootnoteReference"/>
          <w:sz w:val="20"/>
        </w:rPr>
        <w:footnoteRef/>
      </w:r>
      <w:r w:rsidRPr="00246937">
        <w:rPr>
          <w:sz w:val="20"/>
        </w:rPr>
        <w:t xml:space="preserve"> </w:t>
      </w:r>
      <w:r w:rsidRPr="00246937">
        <w:rPr>
          <w:i/>
          <w:sz w:val="20"/>
        </w:rPr>
        <w:t>See</w:t>
      </w:r>
      <w:r w:rsidRPr="00246937">
        <w:rPr>
          <w:sz w:val="20"/>
        </w:rPr>
        <w:t xml:space="preserve"> 47 U.S.C. §§ 214, 310(d); Application of Charter Communications, Inc., Time Warner Cable Inc., and Advance/Newhouse Partnership for Consent to the Transfer of Control of Licenses and Authorizations</w:t>
      </w:r>
      <w:r w:rsidR="003A310D">
        <w:rPr>
          <w:sz w:val="20"/>
        </w:rPr>
        <w:t>, MB Docket No. 15-149</w:t>
      </w:r>
      <w:r w:rsidRPr="00246937">
        <w:rPr>
          <w:sz w:val="20"/>
        </w:rPr>
        <w:t xml:space="preserve"> (filed June 25, 2015)</w:t>
      </w:r>
      <w:r w:rsidR="001E3B81" w:rsidRPr="00246937">
        <w:rPr>
          <w:sz w:val="20"/>
        </w:rPr>
        <w:t xml:space="preserve"> (the “Application”)</w:t>
      </w:r>
      <w:r w:rsidR="003A310D">
        <w:rPr>
          <w:sz w:val="20"/>
        </w:rPr>
        <w:t xml:space="preserve">, </w:t>
      </w:r>
      <w:r w:rsidR="003A310D" w:rsidRPr="00806950">
        <w:rPr>
          <w:i/>
          <w:sz w:val="20"/>
        </w:rPr>
        <w:t>available at</w:t>
      </w:r>
      <w:r w:rsidR="003A310D" w:rsidRPr="00806950">
        <w:rPr>
          <w:sz w:val="20"/>
        </w:rPr>
        <w:t xml:space="preserve"> </w:t>
      </w:r>
      <w:hyperlink r:id="rId1" w:history="1">
        <w:r w:rsidR="003A310D" w:rsidRPr="00806950">
          <w:rPr>
            <w:rStyle w:val="Hyperlink"/>
            <w:sz w:val="20"/>
          </w:rPr>
          <w:t>https://transition.fcc.gov/transaction/charter-twc-bhn/charter-twc-bhn-public-interet.pdf</w:t>
        </w:r>
      </w:hyperlink>
      <w:r w:rsidRPr="008A26E5">
        <w:rPr>
          <w:sz w:val="20"/>
        </w:rPr>
        <w:t>.</w:t>
      </w:r>
      <w:r w:rsidR="001E3B81" w:rsidRPr="00246937">
        <w:rPr>
          <w:sz w:val="20"/>
        </w:rPr>
        <w:t xml:space="preserve">  </w:t>
      </w:r>
    </w:p>
  </w:footnote>
  <w:footnote w:id="3">
    <w:p w14:paraId="555E126D" w14:textId="77777777" w:rsidR="00450C55" w:rsidRDefault="00450C55" w:rsidP="00600F50">
      <w:pPr>
        <w:pStyle w:val="FootnoteText"/>
        <w:ind w:left="720"/>
      </w:pPr>
      <w:r w:rsidRPr="00246937">
        <w:rPr>
          <w:rStyle w:val="FootnoteReference"/>
          <w:sz w:val="20"/>
        </w:rPr>
        <w:footnoteRef/>
      </w:r>
      <w:r w:rsidRPr="00246937">
        <w:rPr>
          <w:sz w:val="20"/>
        </w:rPr>
        <w:t xml:space="preserve"> </w:t>
      </w:r>
      <w:r w:rsidRPr="00246937">
        <w:rPr>
          <w:i/>
          <w:sz w:val="20"/>
        </w:rPr>
        <w:t xml:space="preserve">See </w:t>
      </w:r>
      <w:r w:rsidRPr="00246937">
        <w:rPr>
          <w:sz w:val="20"/>
        </w:rPr>
        <w:t>Application at 2</w:t>
      </w:r>
      <w:r>
        <w:t>.</w:t>
      </w:r>
    </w:p>
  </w:footnote>
  <w:footnote w:id="4">
    <w:p w14:paraId="555E126E" w14:textId="0876BC56" w:rsidR="00450C55" w:rsidRPr="00246937" w:rsidRDefault="00450C55" w:rsidP="00600F50">
      <w:pPr>
        <w:spacing w:after="240"/>
        <w:ind w:left="720"/>
        <w:rPr>
          <w:sz w:val="20"/>
        </w:rPr>
      </w:pPr>
      <w:r w:rsidRPr="00246937">
        <w:rPr>
          <w:rStyle w:val="FootnoteReference"/>
          <w:sz w:val="20"/>
        </w:rPr>
        <w:footnoteRef/>
      </w:r>
      <w:r w:rsidRPr="00246937">
        <w:rPr>
          <w:sz w:val="20"/>
        </w:rPr>
        <w:t xml:space="preserve"> </w:t>
      </w:r>
      <w:r w:rsidRPr="00246937">
        <w:rPr>
          <w:i/>
          <w:sz w:val="20"/>
        </w:rPr>
        <w:t xml:space="preserve">See Commission Accepts For Filing Applications Of Charter Communications, Inc., Time Warner Cable, Inc., And Advance/Newhouse Partnership For Consent To Transfer Control Of Licenses And Authorizations, </w:t>
      </w:r>
      <w:r w:rsidRPr="00246937">
        <w:rPr>
          <w:sz w:val="20"/>
        </w:rPr>
        <w:t>MB Docket No. 15-149, Public Notice, DA 15-586 (Med. Bur. rel. July 27, 2015)</w:t>
      </w:r>
      <w:r w:rsidR="00F576C9">
        <w:rPr>
          <w:sz w:val="20"/>
        </w:rPr>
        <w:t xml:space="preserve"> (“July 27 </w:t>
      </w:r>
      <w:r w:rsidR="00404188">
        <w:rPr>
          <w:sz w:val="20"/>
        </w:rPr>
        <w:t>P</w:t>
      </w:r>
      <w:r w:rsidR="00F576C9">
        <w:rPr>
          <w:sz w:val="20"/>
        </w:rPr>
        <w:t xml:space="preserve">ublic </w:t>
      </w:r>
      <w:r w:rsidR="00404188">
        <w:rPr>
          <w:sz w:val="20"/>
        </w:rPr>
        <w:t>N</w:t>
      </w:r>
      <w:r w:rsidR="00E72B53" w:rsidRPr="00246937">
        <w:rPr>
          <w:sz w:val="20"/>
        </w:rPr>
        <w:t>otice”)</w:t>
      </w:r>
      <w:r w:rsidRPr="00246937">
        <w:rPr>
          <w:sz w:val="20"/>
        </w:rPr>
        <w:t>.</w:t>
      </w:r>
    </w:p>
  </w:footnote>
  <w:footnote w:id="5">
    <w:p w14:paraId="555E126F" w14:textId="77777777" w:rsidR="00E72B53" w:rsidRPr="00246937" w:rsidRDefault="00E72B53" w:rsidP="00E72B53">
      <w:pPr>
        <w:pStyle w:val="FootnoteText"/>
        <w:rPr>
          <w:sz w:val="20"/>
        </w:rPr>
      </w:pPr>
      <w:r w:rsidRPr="00246937">
        <w:rPr>
          <w:rStyle w:val="FootnoteReference"/>
          <w:sz w:val="20"/>
        </w:rPr>
        <w:footnoteRef/>
      </w:r>
      <w:r w:rsidRPr="00246937">
        <w:rPr>
          <w:sz w:val="20"/>
        </w:rPr>
        <w:t xml:space="preserve"> </w:t>
      </w:r>
      <w:r w:rsidR="003A310D">
        <w:rPr>
          <w:i/>
          <w:sz w:val="20"/>
        </w:rPr>
        <w:t>Id.</w:t>
      </w:r>
      <w:r w:rsidRPr="00246937">
        <w:rPr>
          <w:sz w:val="20"/>
        </w:rPr>
        <w:t xml:space="preserve"> at 1-2.  As the </w:t>
      </w:r>
      <w:r w:rsidR="00F6450C">
        <w:rPr>
          <w:sz w:val="20"/>
        </w:rPr>
        <w:t>p</w:t>
      </w:r>
      <w:r w:rsidRPr="00246937">
        <w:rPr>
          <w:sz w:val="20"/>
        </w:rPr>
        <w:t xml:space="preserve">ublic </w:t>
      </w:r>
      <w:r w:rsidR="00F6450C">
        <w:rPr>
          <w:sz w:val="20"/>
        </w:rPr>
        <w:t>n</w:t>
      </w:r>
      <w:r w:rsidRPr="00246937">
        <w:rPr>
          <w:sz w:val="20"/>
        </w:rPr>
        <w:t>otice also contemplated, the informal 180-day clock for this merger proceeding is initiated at the same time as the comment cycle.</w:t>
      </w:r>
      <w:r w:rsidR="003A310D">
        <w:rPr>
          <w:sz w:val="20"/>
        </w:rPr>
        <w:t xml:space="preserve">  </w:t>
      </w:r>
      <w:r w:rsidR="003A310D">
        <w:rPr>
          <w:i/>
          <w:sz w:val="20"/>
        </w:rPr>
        <w:t xml:space="preserve">Id. </w:t>
      </w:r>
      <w:r w:rsidR="003A310D">
        <w:rPr>
          <w:sz w:val="20"/>
        </w:rPr>
        <w:t xml:space="preserve">at </w:t>
      </w:r>
      <w:r w:rsidR="00051191">
        <w:rPr>
          <w:sz w:val="20"/>
        </w:rPr>
        <w:t xml:space="preserve">2 </w:t>
      </w:r>
      <w:r w:rsidR="003A310D">
        <w:rPr>
          <w:sz w:val="20"/>
        </w:rPr>
        <w:t>n.4</w:t>
      </w:r>
      <w:r w:rsidR="00F6450C">
        <w:rPr>
          <w:sz w:val="20"/>
        </w:rPr>
        <w:t>.</w:t>
      </w:r>
    </w:p>
  </w:footnote>
  <w:footnote w:id="6">
    <w:p w14:paraId="555E1270" w14:textId="3FA0A388" w:rsidR="00E72B53" w:rsidRPr="00246937" w:rsidRDefault="00E72B53">
      <w:pPr>
        <w:pStyle w:val="FootnoteText"/>
        <w:rPr>
          <w:sz w:val="20"/>
        </w:rPr>
      </w:pPr>
      <w:r w:rsidRPr="00246937">
        <w:rPr>
          <w:rStyle w:val="FootnoteReference"/>
          <w:sz w:val="20"/>
        </w:rPr>
        <w:footnoteRef/>
      </w:r>
      <w:r w:rsidRPr="00246937">
        <w:rPr>
          <w:sz w:val="20"/>
        </w:rPr>
        <w:t xml:space="preserve"> </w:t>
      </w:r>
      <w:r w:rsidR="001B2E89" w:rsidRPr="00246937">
        <w:rPr>
          <w:i/>
          <w:sz w:val="20"/>
        </w:rPr>
        <w:t xml:space="preserve">Applications Of Charter Communications, Inc., Time Warner Cable, Inc., And Advance/Newhouse Partnership For Consent To Transfer Control Of Licenses And Authorizations, </w:t>
      </w:r>
      <w:r w:rsidR="001B2E89" w:rsidRPr="00246937">
        <w:rPr>
          <w:sz w:val="20"/>
        </w:rPr>
        <w:t>MB Docket No. 15-149, Order, FCC 15-</w:t>
      </w:r>
      <w:r w:rsidR="000A7F70">
        <w:rPr>
          <w:sz w:val="20"/>
        </w:rPr>
        <w:t xml:space="preserve">110 </w:t>
      </w:r>
      <w:r w:rsidR="001B2E89" w:rsidRPr="00246937">
        <w:rPr>
          <w:sz w:val="20"/>
        </w:rPr>
        <w:t xml:space="preserve">(rel. </w:t>
      </w:r>
      <w:r w:rsidR="0032611C">
        <w:rPr>
          <w:sz w:val="20"/>
        </w:rPr>
        <w:t xml:space="preserve">Sept. </w:t>
      </w:r>
      <w:r w:rsidR="004144A4">
        <w:rPr>
          <w:sz w:val="20"/>
        </w:rPr>
        <w:t>11</w:t>
      </w:r>
      <w:r w:rsidR="001B2E89" w:rsidRPr="00246937">
        <w:rPr>
          <w:sz w:val="20"/>
        </w:rPr>
        <w:t>, 2015)</w:t>
      </w:r>
      <w:r w:rsidR="001B2E89" w:rsidRPr="001E3B81">
        <w:rPr>
          <w:sz w:val="20"/>
        </w:rPr>
        <w:t>.</w:t>
      </w:r>
    </w:p>
  </w:footnote>
  <w:footnote w:id="7">
    <w:p w14:paraId="555E1271" w14:textId="4A8C2FCE" w:rsidR="00450C55" w:rsidRPr="00246937" w:rsidRDefault="00450C55" w:rsidP="00450C55">
      <w:pPr>
        <w:pStyle w:val="FootnoteText"/>
        <w:rPr>
          <w:sz w:val="20"/>
        </w:rPr>
      </w:pPr>
      <w:r w:rsidRPr="00246937">
        <w:rPr>
          <w:rStyle w:val="FootnoteReference"/>
          <w:sz w:val="20"/>
        </w:rPr>
        <w:footnoteRef/>
      </w:r>
      <w:r w:rsidRPr="00246937">
        <w:rPr>
          <w:sz w:val="20"/>
        </w:rPr>
        <w:t xml:space="preserve"> </w:t>
      </w:r>
      <w:r w:rsidR="00051191">
        <w:rPr>
          <w:i/>
          <w:sz w:val="20"/>
        </w:rPr>
        <w:t>See</w:t>
      </w:r>
      <w:r w:rsidR="00B66C3E">
        <w:rPr>
          <w:i/>
          <w:sz w:val="20"/>
        </w:rPr>
        <w:t xml:space="preserve"> </w:t>
      </w:r>
      <w:r w:rsidR="00051191">
        <w:rPr>
          <w:sz w:val="20"/>
        </w:rPr>
        <w:t xml:space="preserve">July 27 </w:t>
      </w:r>
      <w:r w:rsidR="00404188">
        <w:rPr>
          <w:sz w:val="20"/>
        </w:rPr>
        <w:t>P</w:t>
      </w:r>
      <w:r w:rsidR="00F6450C">
        <w:rPr>
          <w:sz w:val="20"/>
        </w:rPr>
        <w:t xml:space="preserve">ublic </w:t>
      </w:r>
      <w:r w:rsidR="00404188">
        <w:rPr>
          <w:sz w:val="20"/>
        </w:rPr>
        <w:t>N</w:t>
      </w:r>
      <w:r w:rsidR="00051191">
        <w:rPr>
          <w:sz w:val="20"/>
        </w:rPr>
        <w:t>otice</w:t>
      </w:r>
      <w:r w:rsidR="00B66C3E">
        <w:rPr>
          <w:sz w:val="20"/>
        </w:rPr>
        <w:t xml:space="preserve">. </w:t>
      </w:r>
    </w:p>
  </w:footnote>
  <w:footnote w:id="8">
    <w:p w14:paraId="555E1272" w14:textId="77777777" w:rsidR="00450C55" w:rsidRPr="008D7A42" w:rsidRDefault="00450C55" w:rsidP="00450C55">
      <w:pPr>
        <w:pStyle w:val="FootnoteText"/>
        <w:rPr>
          <w:sz w:val="20"/>
        </w:rPr>
      </w:pPr>
      <w:r w:rsidRPr="008D7A42">
        <w:rPr>
          <w:rStyle w:val="FootnoteReference"/>
          <w:sz w:val="20"/>
        </w:rPr>
        <w:footnoteRef/>
      </w:r>
      <w:r w:rsidRPr="008D7A42">
        <w:rPr>
          <w:sz w:val="20"/>
        </w:rPr>
        <w:t xml:space="preserve"> 47 C.F.R. § 1.1200(a).</w:t>
      </w:r>
    </w:p>
  </w:footnote>
  <w:footnote w:id="9">
    <w:p w14:paraId="555E1273" w14:textId="77777777" w:rsidR="00450C55" w:rsidRPr="0027580F" w:rsidRDefault="00450C55" w:rsidP="00450C55">
      <w:pPr>
        <w:pStyle w:val="FootnoteText"/>
        <w:rPr>
          <w:sz w:val="20"/>
        </w:rPr>
      </w:pPr>
      <w:r w:rsidRPr="008D7A42">
        <w:rPr>
          <w:rStyle w:val="FootnoteReference"/>
          <w:sz w:val="20"/>
        </w:rPr>
        <w:footnoteRef/>
      </w:r>
      <w:r w:rsidRPr="009277A9">
        <w:rPr>
          <w:sz w:val="20"/>
        </w:rPr>
        <w:t xml:space="preserve"> </w:t>
      </w:r>
      <w:r w:rsidRPr="009277A9">
        <w:rPr>
          <w:i/>
          <w:sz w:val="20"/>
        </w:rPr>
        <w:t xml:space="preserve">Id. </w:t>
      </w:r>
      <w:r w:rsidRPr="00E359EE">
        <w:rPr>
          <w:sz w:val="20"/>
        </w:rPr>
        <w:t>§ 1.1206</w:t>
      </w:r>
      <w:r w:rsidRPr="00E359EE">
        <w:rPr>
          <w:spacing w:val="-2"/>
          <w:sz w:val="20"/>
        </w:rPr>
        <w:t xml:space="preserve">; </w:t>
      </w:r>
      <w:r w:rsidRPr="00E359EE">
        <w:rPr>
          <w:i/>
          <w:spacing w:val="-2"/>
          <w:sz w:val="20"/>
        </w:rPr>
        <w:t xml:space="preserve">see also Commission </w:t>
      </w:r>
      <w:r w:rsidR="004C4280">
        <w:rPr>
          <w:i/>
          <w:spacing w:val="-2"/>
          <w:sz w:val="20"/>
        </w:rPr>
        <w:t>Opens Docket for Proposed</w:t>
      </w:r>
      <w:r w:rsidRPr="00E359EE">
        <w:rPr>
          <w:i/>
          <w:spacing w:val="-2"/>
          <w:sz w:val="20"/>
        </w:rPr>
        <w:t xml:space="preserve"> Transfer of Control of Time Warner Cable, Inc. and </w:t>
      </w:r>
      <w:r w:rsidR="004C4280">
        <w:rPr>
          <w:i/>
          <w:spacing w:val="-2"/>
          <w:sz w:val="20"/>
        </w:rPr>
        <w:t>Charter Communications Inc. and Proposed Transfer of Control of Bright House Networks from Advance/Newhouse Partnership to Charter Communications Inc.</w:t>
      </w:r>
      <w:r w:rsidRPr="0027580F">
        <w:rPr>
          <w:spacing w:val="-2"/>
          <w:sz w:val="20"/>
        </w:rPr>
        <w:t xml:space="preserve">, </w:t>
      </w:r>
      <w:r w:rsidR="004C4280">
        <w:rPr>
          <w:spacing w:val="-2"/>
          <w:sz w:val="20"/>
        </w:rPr>
        <w:t xml:space="preserve">MB Docket No. 15-149, </w:t>
      </w:r>
      <w:r w:rsidRPr="0027580F">
        <w:rPr>
          <w:spacing w:val="-2"/>
          <w:sz w:val="20"/>
        </w:rPr>
        <w:t xml:space="preserve">Public Notice, </w:t>
      </w:r>
      <w:r w:rsidR="004C4280">
        <w:rPr>
          <w:spacing w:val="-2"/>
          <w:sz w:val="20"/>
        </w:rPr>
        <w:t>30</w:t>
      </w:r>
      <w:r>
        <w:rPr>
          <w:spacing w:val="-2"/>
          <w:sz w:val="20"/>
        </w:rPr>
        <w:t xml:space="preserve"> FCC Rcd </w:t>
      </w:r>
      <w:r w:rsidR="004C4280">
        <w:rPr>
          <w:spacing w:val="-2"/>
          <w:sz w:val="20"/>
        </w:rPr>
        <w:t>6416</w:t>
      </w:r>
      <w:r>
        <w:rPr>
          <w:spacing w:val="-2"/>
          <w:sz w:val="20"/>
        </w:rPr>
        <w:t xml:space="preserve"> (</w:t>
      </w:r>
      <w:r w:rsidRPr="0027580F">
        <w:rPr>
          <w:spacing w:val="-2"/>
          <w:sz w:val="20"/>
        </w:rPr>
        <w:t>201</w:t>
      </w:r>
      <w:r w:rsidR="004C4280">
        <w:rPr>
          <w:spacing w:val="-2"/>
          <w:sz w:val="20"/>
        </w:rPr>
        <w:t>5</w:t>
      </w:r>
      <w:r w:rsidRPr="0027580F">
        <w:rPr>
          <w:spacing w:val="-2"/>
          <w:sz w:val="20"/>
        </w:rPr>
        <w:t>).</w:t>
      </w:r>
    </w:p>
  </w:footnote>
  <w:footnote w:id="10">
    <w:p w14:paraId="555E1274" w14:textId="77777777" w:rsidR="00450C55" w:rsidRPr="0027580F" w:rsidRDefault="00450C55" w:rsidP="00450C55">
      <w:pPr>
        <w:pStyle w:val="FootnoteText"/>
        <w:rPr>
          <w:sz w:val="20"/>
        </w:rPr>
      </w:pPr>
      <w:r w:rsidRPr="0027580F">
        <w:rPr>
          <w:rStyle w:val="FootnoteReference"/>
          <w:sz w:val="20"/>
        </w:rPr>
        <w:footnoteRef/>
      </w:r>
      <w:r w:rsidRPr="0027580F">
        <w:rPr>
          <w:sz w:val="20"/>
        </w:rPr>
        <w:t xml:space="preserve"> 47 C.F.R. </w:t>
      </w:r>
      <w:r w:rsidRPr="0027580F">
        <w:rPr>
          <w:spacing w:val="-2"/>
          <w:sz w:val="20"/>
        </w:rPr>
        <w:t>§ 1.1206(b).</w:t>
      </w:r>
    </w:p>
  </w:footnote>
  <w:footnote w:id="11">
    <w:p w14:paraId="555E1275" w14:textId="77777777" w:rsidR="00450C55" w:rsidRDefault="00450C55" w:rsidP="00450C55">
      <w:pPr>
        <w:pStyle w:val="FootnoteText"/>
        <w:rPr>
          <w:i/>
          <w:sz w:val="20"/>
        </w:rPr>
      </w:pPr>
      <w:r>
        <w:rPr>
          <w:rStyle w:val="FootnoteReference"/>
          <w:sz w:val="20"/>
        </w:rPr>
        <w:footnoteRef/>
      </w:r>
      <w:r>
        <w:rPr>
          <w:sz w:val="20"/>
        </w:rPr>
        <w:t xml:space="preserve"> </w:t>
      </w:r>
      <w:r>
        <w:rPr>
          <w:i/>
          <w:sz w:val="20"/>
        </w:rPr>
        <w:t xml:space="preserve">Id. </w:t>
      </w:r>
      <w:r>
        <w:rPr>
          <w:sz w:val="20"/>
        </w:rPr>
        <w:t>§ 1.1204(a)(9).</w:t>
      </w:r>
    </w:p>
  </w:footnote>
  <w:footnote w:id="12">
    <w:p w14:paraId="555E1276" w14:textId="77777777" w:rsidR="00450C55" w:rsidRPr="00525496" w:rsidRDefault="00450C55" w:rsidP="00450C55">
      <w:pPr>
        <w:autoSpaceDE w:val="0"/>
        <w:autoSpaceDN w:val="0"/>
        <w:adjustRightInd w:val="0"/>
        <w:rPr>
          <w:i/>
          <w:sz w:val="20"/>
        </w:rPr>
      </w:pPr>
      <w:r w:rsidRPr="00320D48">
        <w:rPr>
          <w:rStyle w:val="FootnoteReference"/>
          <w:sz w:val="20"/>
        </w:rPr>
        <w:footnoteRef/>
      </w:r>
      <w:r w:rsidRPr="00320D48">
        <w:rPr>
          <w:sz w:val="20"/>
        </w:rPr>
        <w:t xml:space="preserve"> </w:t>
      </w:r>
      <w:r w:rsidR="001B2E89">
        <w:rPr>
          <w:sz w:val="20"/>
        </w:rPr>
        <w:t>The</w:t>
      </w:r>
      <w:r w:rsidRPr="00320D48">
        <w:rPr>
          <w:sz w:val="20"/>
        </w:rPr>
        <w:t xml:space="preserve"> </w:t>
      </w:r>
      <w:r w:rsidR="00F6450C">
        <w:rPr>
          <w:sz w:val="20"/>
        </w:rPr>
        <w:t>p</w:t>
      </w:r>
      <w:r w:rsidRPr="00320D48">
        <w:rPr>
          <w:sz w:val="20"/>
        </w:rPr>
        <w:t xml:space="preserve">rotective </w:t>
      </w:r>
      <w:r w:rsidR="00F6450C">
        <w:rPr>
          <w:sz w:val="20"/>
        </w:rPr>
        <w:t>o</w:t>
      </w:r>
      <w:r w:rsidRPr="00320D48">
        <w:rPr>
          <w:sz w:val="20"/>
        </w:rPr>
        <w:t xml:space="preserve">rder </w:t>
      </w:r>
      <w:r w:rsidR="001B2E89">
        <w:rPr>
          <w:sz w:val="20"/>
        </w:rPr>
        <w:t>governs</w:t>
      </w:r>
      <w:r w:rsidR="001B2E89" w:rsidRPr="00320D48">
        <w:rPr>
          <w:sz w:val="20"/>
        </w:rPr>
        <w:t xml:space="preserve"> </w:t>
      </w:r>
      <w:r w:rsidRPr="00320D48">
        <w:rPr>
          <w:sz w:val="20"/>
        </w:rPr>
        <w:t xml:space="preserve">the review of both confidential information and highly confidential information </w:t>
      </w:r>
      <w:r w:rsidRPr="005F3C7E">
        <w:rPr>
          <w:sz w:val="20"/>
        </w:rPr>
        <w:t xml:space="preserve">submitted by </w:t>
      </w:r>
      <w:r w:rsidR="00384663">
        <w:rPr>
          <w:sz w:val="20"/>
        </w:rPr>
        <w:t>A</w:t>
      </w:r>
      <w:r w:rsidRPr="005F3C7E">
        <w:rPr>
          <w:sz w:val="20"/>
        </w:rPr>
        <w:t>pplicants and others in this proceeding.</w:t>
      </w:r>
      <w:r w:rsidRPr="00525496">
        <w:rPr>
          <w:sz w:val="20"/>
        </w:rPr>
        <w:t xml:space="preserve"> </w:t>
      </w:r>
      <w:r w:rsidRPr="00525496">
        <w:rPr>
          <w:sz w:val="20"/>
        </w:rPr>
        <w:br/>
      </w:r>
    </w:p>
  </w:footnote>
  <w:footnote w:id="13">
    <w:p w14:paraId="555E1277" w14:textId="77777777" w:rsidR="00450C55" w:rsidRPr="00E03C5C" w:rsidRDefault="00450C55" w:rsidP="00450C55">
      <w:pPr>
        <w:spacing w:after="240"/>
        <w:rPr>
          <w:sz w:val="20"/>
        </w:rPr>
      </w:pPr>
      <w:r>
        <w:rPr>
          <w:rStyle w:val="FootnoteReference"/>
        </w:rPr>
        <w:footnoteRef/>
      </w:r>
      <w:r>
        <w:rPr>
          <w:sz w:val="20"/>
        </w:rPr>
        <w:t xml:space="preserve"> 47 U.S.C. § 405(a); 47 C.F.R. § 1.106(b)(1) (“If the petition is filed by a person who is not a party to the proceeding, it shall state with particularity the manner in which the person's interests are adversely affected by the action taken, and shall show good reason why it was not possible for him to participate in the earlier stages of the proceeding.”</w:t>
      </w:r>
      <w:r>
        <w:rPr>
          <w:sz w:val="24"/>
          <w:szCs w:val="24"/>
        </w:rPr>
        <w:t>)</w:t>
      </w:r>
      <w:r>
        <w:rPr>
          <w:sz w:val="20"/>
        </w:rPr>
        <w:t>;</w:t>
      </w:r>
      <w:r>
        <w:rPr>
          <w:i/>
          <w:iCs/>
          <w:sz w:val="20"/>
        </w:rPr>
        <w:t xml:space="preserve"> </w:t>
      </w:r>
      <w:r>
        <w:rPr>
          <w:sz w:val="20"/>
        </w:rPr>
        <w:t>47 C.F.R.</w:t>
      </w:r>
      <w:r>
        <w:rPr>
          <w:i/>
          <w:iCs/>
          <w:sz w:val="20"/>
        </w:rPr>
        <w:t>.</w:t>
      </w:r>
      <w:r>
        <w:rPr>
          <w:sz w:val="20"/>
        </w:rPr>
        <w:t xml:space="preserve"> § 1.106(m); </w:t>
      </w:r>
      <w:r>
        <w:rPr>
          <w:i/>
          <w:iCs/>
          <w:sz w:val="20"/>
        </w:rPr>
        <w:t>Shareholders of Tribune Co., Transferors &amp; Sam Zell, et al. Transferees</w:t>
      </w:r>
      <w:r>
        <w:rPr>
          <w:sz w:val="20"/>
        </w:rPr>
        <w:t>, 29 FCC Rcd 844, 847-48 ¶¶ 10-15 (2014) (discussing prerequisites for petitions to deny).</w:t>
      </w:r>
    </w:p>
  </w:footnote>
  <w:footnote w:id="14">
    <w:p w14:paraId="555E1278" w14:textId="77777777" w:rsidR="00450C55" w:rsidRPr="006612FA" w:rsidRDefault="00450C55" w:rsidP="00450C55">
      <w:pPr>
        <w:pStyle w:val="FootnoteText"/>
        <w:rPr>
          <w:sz w:val="20"/>
        </w:rPr>
      </w:pPr>
      <w:r w:rsidRPr="006612FA">
        <w:rPr>
          <w:rStyle w:val="FootnoteReference"/>
          <w:sz w:val="20"/>
        </w:rPr>
        <w:footnoteRef/>
      </w:r>
      <w:r w:rsidRPr="006612FA">
        <w:rPr>
          <w:sz w:val="20"/>
        </w:rPr>
        <w:t xml:space="preserve"> </w:t>
      </w:r>
      <w:r w:rsidRPr="006612FA">
        <w:rPr>
          <w:i/>
          <w:sz w:val="20"/>
        </w:rPr>
        <w:t>See</w:t>
      </w:r>
      <w:r w:rsidRPr="006612FA">
        <w:rPr>
          <w:sz w:val="20"/>
        </w:rPr>
        <w:t xml:space="preserve"> Section 1.45(c) of the Commission’s Rules, 47 C.F.R. § 1.45(c).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09ADD" w14:textId="77777777" w:rsidR="00500F84" w:rsidRDefault="00500F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2E4EA" w14:textId="77777777" w:rsidR="00500F84" w:rsidRDefault="00500F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E125B" w14:textId="77777777" w:rsidR="002F7936" w:rsidRDefault="002F793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555E1264" wp14:editId="555E1265">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14:paraId="555E125C" w14:textId="77777777" w:rsidR="002F7936" w:rsidRDefault="005272AC">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555E1266" wp14:editId="555E1267">
              <wp:simplePos x="0" y="0"/>
              <wp:positionH relativeFrom="column">
                <wp:posOffset>596900</wp:posOffset>
              </wp:positionH>
              <wp:positionV relativeFrom="paragraph">
                <wp:posOffset>3810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E1279" w14:textId="77777777" w:rsidR="002F7936" w:rsidRDefault="002F7936">
                          <w:pPr>
                            <w:rPr>
                              <w:rFonts w:ascii="Arial" w:hAnsi="Arial"/>
                              <w:b/>
                            </w:rPr>
                          </w:pPr>
                          <w:r>
                            <w:rPr>
                              <w:rFonts w:ascii="Arial" w:hAnsi="Arial"/>
                              <w:b/>
                            </w:rPr>
                            <w:t>Federal Communications Commission</w:t>
                          </w:r>
                        </w:p>
                        <w:p w14:paraId="555E127A" w14:textId="77777777" w:rsidR="002F7936" w:rsidRDefault="002F793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55E127B" w14:textId="77777777" w:rsidR="002F7936" w:rsidRDefault="002F793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5E1266" id="_x0000_t202" coordsize="21600,21600" o:spt="202" path="m,l,21600r21600,l21600,xe">
              <v:stroke joinstyle="miter"/>
              <v:path gradientshapeok="t" o:connecttype="rect"/>
            </v:shapetype>
            <v:shape id="Text Box 1" o:spid="_x0000_s1026" type="#_x0000_t202" style="position:absolute;left:0;text-align:left;margin-left:47pt;margin-top:.3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pDNuIdwAAAAHAQAADwAAAGRycy9kb3ducmV2LnhtbEyPQU/CQBCF7yb+h82QeDGyRUuB&#10;2i1RE41XkB8wbYe2oTvbdBda/r3jSW5v8l7e+ybbTrZTFxp869jAYh6BIi5d1XJt4PDz+bQG5QNy&#10;hZ1jMnAlD9v8/i7DtHIj7+iyD7WSEvYpGmhC6FOtfdmQRT93PbF4RzdYDHIOta4GHKXcdvo5ihJt&#10;sWVZaLCnj4bK0/5sDRy/x8flZiy+wmG1i5N3bFeFuxrzMJveXkEFmsJ/GP7wBR1yYSrcmSuvOgOb&#10;WF4JBhJQ4i7XLyIKiUWLGHSe6Vv+/BcAAP//AwBQSwECLQAUAAYACAAAACEAtoM4kv4AAADhAQAA&#10;EwAAAAAAAAAAAAAAAAAAAAAAW0NvbnRlbnRfVHlwZXNdLnhtbFBLAQItABQABgAIAAAAIQA4/SH/&#10;1gAAAJQBAAALAAAAAAAAAAAAAAAAAC8BAABfcmVscy8ucmVsc1BLAQItABQABgAIAAAAIQBIGle5&#10;hAIAAA8FAAAOAAAAAAAAAAAAAAAAAC4CAABkcnMvZTJvRG9jLnhtbFBLAQItABQABgAIAAAAIQCk&#10;M24h3AAAAAcBAAAPAAAAAAAAAAAAAAAAAN4EAABkcnMvZG93bnJldi54bWxQSwUGAAAAAAQABADz&#10;AAAA5wUAAAAA&#10;" o:allowincell="f" stroked="f">
              <v:textbox>
                <w:txbxContent>
                  <w:p w14:paraId="555E1279" w14:textId="77777777" w:rsidR="002F7936" w:rsidRDefault="002F7936">
                    <w:pPr>
                      <w:rPr>
                        <w:rFonts w:ascii="Arial" w:hAnsi="Arial"/>
                        <w:b/>
                      </w:rPr>
                    </w:pPr>
                    <w:r>
                      <w:rPr>
                        <w:rFonts w:ascii="Arial" w:hAnsi="Arial"/>
                        <w:b/>
                      </w:rPr>
                      <w:t>Federal Communications Commission</w:t>
                    </w:r>
                  </w:p>
                  <w:p w14:paraId="555E127A" w14:textId="77777777" w:rsidR="002F7936" w:rsidRDefault="002F793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55E127B" w14:textId="77777777" w:rsidR="002F7936" w:rsidRDefault="002F7936">
                    <w:pPr>
                      <w:rPr>
                        <w:rFonts w:ascii="Arial" w:hAnsi="Arial"/>
                        <w:sz w:val="24"/>
                      </w:rPr>
                    </w:pPr>
                    <w:r>
                      <w:rPr>
                        <w:rFonts w:ascii="Arial" w:hAnsi="Arial"/>
                        <w:b/>
                      </w:rPr>
                      <w:t>Washington, D.C. 20554</w:t>
                    </w:r>
                  </w:p>
                </w:txbxContent>
              </v:textbox>
            </v:shape>
          </w:pict>
        </mc:Fallback>
      </mc:AlternateContent>
    </w:r>
    <w:r w:rsidR="002F7936">
      <w:rPr>
        <w:rFonts w:ascii="Arial" w:hAnsi="Arial"/>
        <w:b/>
        <w:noProof/>
      </w:rPr>
      <mc:AlternateContent>
        <mc:Choice Requires="wps">
          <w:drawing>
            <wp:anchor distT="0" distB="0" distL="114300" distR="114300" simplePos="0" relativeHeight="251657216" behindDoc="0" locked="0" layoutInCell="0" allowOverlap="1" wp14:anchorId="555E1268" wp14:editId="555E1269">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4FE18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sidR="002F7936">
      <w:rPr>
        <w:rFonts w:ascii="News Gothic MT" w:hAnsi="News Gothic MT"/>
        <w:b/>
        <w:noProof/>
        <w:sz w:val="24"/>
      </w:rPr>
      <mc:AlternateContent>
        <mc:Choice Requires="wps">
          <w:drawing>
            <wp:anchor distT="0" distB="0" distL="114300" distR="114300" simplePos="0" relativeHeight="251658240" behindDoc="0" locked="0" layoutInCell="0" allowOverlap="1" wp14:anchorId="555E126A" wp14:editId="555E126B">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E127C" w14:textId="77777777" w:rsidR="002F7936" w:rsidRDefault="002F7936">
                          <w:pPr>
                            <w:spacing w:before="40"/>
                            <w:jc w:val="right"/>
                            <w:rPr>
                              <w:rFonts w:ascii="Arial" w:hAnsi="Arial"/>
                              <w:b/>
                              <w:sz w:val="16"/>
                            </w:rPr>
                          </w:pPr>
                          <w:r>
                            <w:rPr>
                              <w:rFonts w:ascii="Arial" w:hAnsi="Arial"/>
                              <w:b/>
                              <w:sz w:val="16"/>
                            </w:rPr>
                            <w:t>News Media Information 202 / 418-0500</w:t>
                          </w:r>
                        </w:p>
                        <w:p w14:paraId="555E127D" w14:textId="77777777" w:rsidR="002F7936" w:rsidRDefault="002F793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555E127E" w14:textId="77777777" w:rsidR="002F7936" w:rsidRDefault="002F7936">
                          <w:pPr>
                            <w:jc w:val="right"/>
                            <w:rPr>
                              <w:rFonts w:ascii="Arial" w:hAnsi="Arial"/>
                              <w:b/>
                              <w:sz w:val="16"/>
                            </w:rPr>
                          </w:pPr>
                          <w:r>
                            <w:rPr>
                              <w:rFonts w:ascii="Arial" w:hAnsi="Arial"/>
                              <w:b/>
                              <w:sz w:val="16"/>
                            </w:rPr>
                            <w:t>TTY: 1-888-835-5322</w:t>
                          </w:r>
                        </w:p>
                        <w:p w14:paraId="555E127F" w14:textId="77777777" w:rsidR="002F7936" w:rsidRDefault="002F793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5E126A"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14:paraId="555E127C" w14:textId="77777777" w:rsidR="002F7936" w:rsidRDefault="002F7936">
                    <w:pPr>
                      <w:spacing w:before="40"/>
                      <w:jc w:val="right"/>
                      <w:rPr>
                        <w:rFonts w:ascii="Arial" w:hAnsi="Arial"/>
                        <w:b/>
                        <w:sz w:val="16"/>
                      </w:rPr>
                    </w:pPr>
                    <w:r>
                      <w:rPr>
                        <w:rFonts w:ascii="Arial" w:hAnsi="Arial"/>
                        <w:b/>
                        <w:sz w:val="16"/>
                      </w:rPr>
                      <w:t>News Media Information 202 / 418-0500</w:t>
                    </w:r>
                  </w:p>
                  <w:p w14:paraId="555E127D" w14:textId="77777777" w:rsidR="002F7936" w:rsidRDefault="002F793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555E127E" w14:textId="77777777" w:rsidR="002F7936" w:rsidRDefault="002F7936">
                    <w:pPr>
                      <w:jc w:val="right"/>
                      <w:rPr>
                        <w:rFonts w:ascii="Arial" w:hAnsi="Arial"/>
                        <w:b/>
                        <w:sz w:val="16"/>
                      </w:rPr>
                    </w:pPr>
                    <w:r>
                      <w:rPr>
                        <w:rFonts w:ascii="Arial" w:hAnsi="Arial"/>
                        <w:b/>
                        <w:sz w:val="16"/>
                      </w:rPr>
                      <w:t>TTY: 1-888-835-5322</w:t>
                    </w:r>
                  </w:p>
                  <w:p w14:paraId="555E127F" w14:textId="77777777" w:rsidR="002F7936" w:rsidRDefault="002F7936">
                    <w:pPr>
                      <w:jc w:val="right"/>
                    </w:pPr>
                  </w:p>
                </w:txbxContent>
              </v:textbox>
            </v:shape>
          </w:pict>
        </mc:Fallback>
      </mc:AlternateContent>
    </w:r>
  </w:p>
  <w:p w14:paraId="555E125D" w14:textId="77777777" w:rsidR="002F7936" w:rsidRDefault="002F7936">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E125E" w14:textId="77777777" w:rsidR="001D1C19" w:rsidRDefault="00EF6582">
    <w:pPr>
      <w:pStyle w:val="Header"/>
      <w:jc w:val="both"/>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E1263" w14:textId="77777777" w:rsidR="001D1C19" w:rsidRDefault="00EF6582">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C7B1A8E"/>
    <w:multiLevelType w:val="hybridMultilevel"/>
    <w:tmpl w:val="F336EC8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News Gothic M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News Gothic M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News Gothic M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0"/>
  </w:num>
  <w:num w:numId="14">
    <w:abstractNumId w:val="9"/>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32"/>
    <w:rsid w:val="0000320B"/>
    <w:rsid w:val="00011880"/>
    <w:rsid w:val="000127EC"/>
    <w:rsid w:val="000141B7"/>
    <w:rsid w:val="00014D9A"/>
    <w:rsid w:val="00024AED"/>
    <w:rsid w:val="0004182E"/>
    <w:rsid w:val="0004379D"/>
    <w:rsid w:val="00044A25"/>
    <w:rsid w:val="0004603E"/>
    <w:rsid w:val="00046779"/>
    <w:rsid w:val="00050FB2"/>
    <w:rsid w:val="00051191"/>
    <w:rsid w:val="0005506D"/>
    <w:rsid w:val="000612C8"/>
    <w:rsid w:val="0007378B"/>
    <w:rsid w:val="00073F59"/>
    <w:rsid w:val="00075A43"/>
    <w:rsid w:val="0007615C"/>
    <w:rsid w:val="000776AA"/>
    <w:rsid w:val="000827B8"/>
    <w:rsid w:val="000864B2"/>
    <w:rsid w:val="00092812"/>
    <w:rsid w:val="00092B24"/>
    <w:rsid w:val="000956DA"/>
    <w:rsid w:val="00097613"/>
    <w:rsid w:val="000A192C"/>
    <w:rsid w:val="000A1D2A"/>
    <w:rsid w:val="000A2836"/>
    <w:rsid w:val="000A2DAD"/>
    <w:rsid w:val="000A7F70"/>
    <w:rsid w:val="000B03AE"/>
    <w:rsid w:val="000B2A35"/>
    <w:rsid w:val="000B41E4"/>
    <w:rsid w:val="000B7DF7"/>
    <w:rsid w:val="000C1A4B"/>
    <w:rsid w:val="000C4D7E"/>
    <w:rsid w:val="000E0634"/>
    <w:rsid w:val="000E181F"/>
    <w:rsid w:val="000E1A36"/>
    <w:rsid w:val="000E4917"/>
    <w:rsid w:val="000E4C88"/>
    <w:rsid w:val="000E690A"/>
    <w:rsid w:val="000F0415"/>
    <w:rsid w:val="000F1777"/>
    <w:rsid w:val="000F50D6"/>
    <w:rsid w:val="000F7DB6"/>
    <w:rsid w:val="0010263D"/>
    <w:rsid w:val="0010561D"/>
    <w:rsid w:val="00111D9C"/>
    <w:rsid w:val="001146BE"/>
    <w:rsid w:val="00116EA5"/>
    <w:rsid w:val="00123746"/>
    <w:rsid w:val="00131B1A"/>
    <w:rsid w:val="00135C3F"/>
    <w:rsid w:val="00136BD7"/>
    <w:rsid w:val="001529F7"/>
    <w:rsid w:val="0015445B"/>
    <w:rsid w:val="00167D9E"/>
    <w:rsid w:val="00171F6E"/>
    <w:rsid w:val="00173959"/>
    <w:rsid w:val="001802E8"/>
    <w:rsid w:val="00185041"/>
    <w:rsid w:val="0019582E"/>
    <w:rsid w:val="00195E45"/>
    <w:rsid w:val="001A32FE"/>
    <w:rsid w:val="001A7CB2"/>
    <w:rsid w:val="001B0134"/>
    <w:rsid w:val="001B2E89"/>
    <w:rsid w:val="001C18B9"/>
    <w:rsid w:val="001C4C90"/>
    <w:rsid w:val="001C708F"/>
    <w:rsid w:val="001D1D0A"/>
    <w:rsid w:val="001D3A25"/>
    <w:rsid w:val="001E10CE"/>
    <w:rsid w:val="001E190D"/>
    <w:rsid w:val="001E3B81"/>
    <w:rsid w:val="001E5348"/>
    <w:rsid w:val="001F1DC8"/>
    <w:rsid w:val="001F4CF9"/>
    <w:rsid w:val="001F5F51"/>
    <w:rsid w:val="0020183A"/>
    <w:rsid w:val="00204DD6"/>
    <w:rsid w:val="00204F67"/>
    <w:rsid w:val="00207937"/>
    <w:rsid w:val="002105CA"/>
    <w:rsid w:val="002108D6"/>
    <w:rsid w:val="002129C2"/>
    <w:rsid w:val="002141FB"/>
    <w:rsid w:val="0022161A"/>
    <w:rsid w:val="00222FBD"/>
    <w:rsid w:val="00233BAC"/>
    <w:rsid w:val="00236129"/>
    <w:rsid w:val="002364C5"/>
    <w:rsid w:val="00236CDC"/>
    <w:rsid w:val="002373A3"/>
    <w:rsid w:val="002427CA"/>
    <w:rsid w:val="00246937"/>
    <w:rsid w:val="0024745A"/>
    <w:rsid w:val="00260D3C"/>
    <w:rsid w:val="00262F64"/>
    <w:rsid w:val="00263CFD"/>
    <w:rsid w:val="0026751A"/>
    <w:rsid w:val="0027580F"/>
    <w:rsid w:val="0027796F"/>
    <w:rsid w:val="002815F4"/>
    <w:rsid w:val="002822DB"/>
    <w:rsid w:val="00282494"/>
    <w:rsid w:val="002875E6"/>
    <w:rsid w:val="002924B9"/>
    <w:rsid w:val="00294613"/>
    <w:rsid w:val="002A070F"/>
    <w:rsid w:val="002A0A67"/>
    <w:rsid w:val="002A549A"/>
    <w:rsid w:val="002A7BAF"/>
    <w:rsid w:val="002B3F76"/>
    <w:rsid w:val="002C6DD2"/>
    <w:rsid w:val="002D1EBB"/>
    <w:rsid w:val="002D20CD"/>
    <w:rsid w:val="002D26B6"/>
    <w:rsid w:val="002D51D9"/>
    <w:rsid w:val="002D537B"/>
    <w:rsid w:val="002D55E3"/>
    <w:rsid w:val="002D70C1"/>
    <w:rsid w:val="002E2786"/>
    <w:rsid w:val="002E69A8"/>
    <w:rsid w:val="002F17DE"/>
    <w:rsid w:val="002F7936"/>
    <w:rsid w:val="0030017E"/>
    <w:rsid w:val="0030328F"/>
    <w:rsid w:val="00310DBB"/>
    <w:rsid w:val="0031232C"/>
    <w:rsid w:val="003137FB"/>
    <w:rsid w:val="00314DD8"/>
    <w:rsid w:val="00315F79"/>
    <w:rsid w:val="003174EE"/>
    <w:rsid w:val="00320D48"/>
    <w:rsid w:val="00322356"/>
    <w:rsid w:val="00324956"/>
    <w:rsid w:val="00324D55"/>
    <w:rsid w:val="00325A50"/>
    <w:rsid w:val="00325E9B"/>
    <w:rsid w:val="0032611C"/>
    <w:rsid w:val="003264C2"/>
    <w:rsid w:val="0034012A"/>
    <w:rsid w:val="00350548"/>
    <w:rsid w:val="00357C3D"/>
    <w:rsid w:val="00362641"/>
    <w:rsid w:val="0036344C"/>
    <w:rsid w:val="00384663"/>
    <w:rsid w:val="00390833"/>
    <w:rsid w:val="003910C1"/>
    <w:rsid w:val="00391EF5"/>
    <w:rsid w:val="00392A5B"/>
    <w:rsid w:val="00395220"/>
    <w:rsid w:val="00397363"/>
    <w:rsid w:val="003A0300"/>
    <w:rsid w:val="003A310D"/>
    <w:rsid w:val="003A53DE"/>
    <w:rsid w:val="003A74ED"/>
    <w:rsid w:val="003B16E5"/>
    <w:rsid w:val="003C009C"/>
    <w:rsid w:val="003C1829"/>
    <w:rsid w:val="003C3126"/>
    <w:rsid w:val="003C42D0"/>
    <w:rsid w:val="003C5BF6"/>
    <w:rsid w:val="003C6403"/>
    <w:rsid w:val="003C6A32"/>
    <w:rsid w:val="003D1099"/>
    <w:rsid w:val="003D24AE"/>
    <w:rsid w:val="003D713B"/>
    <w:rsid w:val="003D7C98"/>
    <w:rsid w:val="003F0AAC"/>
    <w:rsid w:val="003F0F9E"/>
    <w:rsid w:val="003F1DA4"/>
    <w:rsid w:val="003F3D4E"/>
    <w:rsid w:val="003F4A9E"/>
    <w:rsid w:val="003F6DCA"/>
    <w:rsid w:val="00401FE5"/>
    <w:rsid w:val="00404188"/>
    <w:rsid w:val="004144A4"/>
    <w:rsid w:val="00415BA6"/>
    <w:rsid w:val="004302BE"/>
    <w:rsid w:val="00435130"/>
    <w:rsid w:val="004463A8"/>
    <w:rsid w:val="00450C55"/>
    <w:rsid w:val="004525D6"/>
    <w:rsid w:val="004551BA"/>
    <w:rsid w:val="00456AFB"/>
    <w:rsid w:val="004600F4"/>
    <w:rsid w:val="00460AC9"/>
    <w:rsid w:val="00461214"/>
    <w:rsid w:val="00467881"/>
    <w:rsid w:val="00476895"/>
    <w:rsid w:val="004854F1"/>
    <w:rsid w:val="00494976"/>
    <w:rsid w:val="004A262D"/>
    <w:rsid w:val="004A4736"/>
    <w:rsid w:val="004A77BD"/>
    <w:rsid w:val="004B507A"/>
    <w:rsid w:val="004B51BA"/>
    <w:rsid w:val="004C4280"/>
    <w:rsid w:val="004C5706"/>
    <w:rsid w:val="004C6E47"/>
    <w:rsid w:val="004E07BD"/>
    <w:rsid w:val="004E41EE"/>
    <w:rsid w:val="004E42F7"/>
    <w:rsid w:val="004F3C3D"/>
    <w:rsid w:val="00500F84"/>
    <w:rsid w:val="00501850"/>
    <w:rsid w:val="005071AE"/>
    <w:rsid w:val="0051344F"/>
    <w:rsid w:val="00517DC9"/>
    <w:rsid w:val="00521ACE"/>
    <w:rsid w:val="00525496"/>
    <w:rsid w:val="005272AC"/>
    <w:rsid w:val="0053099C"/>
    <w:rsid w:val="00530DB9"/>
    <w:rsid w:val="00534AD5"/>
    <w:rsid w:val="005439EE"/>
    <w:rsid w:val="00545743"/>
    <w:rsid w:val="00547E3A"/>
    <w:rsid w:val="00550CF4"/>
    <w:rsid w:val="00552995"/>
    <w:rsid w:val="00552F6C"/>
    <w:rsid w:val="00553FC3"/>
    <w:rsid w:val="00561EE2"/>
    <w:rsid w:val="00572729"/>
    <w:rsid w:val="0058052C"/>
    <w:rsid w:val="005826F1"/>
    <w:rsid w:val="005936F0"/>
    <w:rsid w:val="005956A7"/>
    <w:rsid w:val="00597065"/>
    <w:rsid w:val="00597A27"/>
    <w:rsid w:val="005C6C2F"/>
    <w:rsid w:val="005D0F7E"/>
    <w:rsid w:val="005D6437"/>
    <w:rsid w:val="005E0C72"/>
    <w:rsid w:val="005E47FA"/>
    <w:rsid w:val="005E498A"/>
    <w:rsid w:val="005E520B"/>
    <w:rsid w:val="005E6E19"/>
    <w:rsid w:val="005F256F"/>
    <w:rsid w:val="005F25AF"/>
    <w:rsid w:val="005F3C7E"/>
    <w:rsid w:val="00600F50"/>
    <w:rsid w:val="00601709"/>
    <w:rsid w:val="00604014"/>
    <w:rsid w:val="00604E2F"/>
    <w:rsid w:val="006055D4"/>
    <w:rsid w:val="006070BE"/>
    <w:rsid w:val="0061385D"/>
    <w:rsid w:val="00617629"/>
    <w:rsid w:val="0062173C"/>
    <w:rsid w:val="00625D67"/>
    <w:rsid w:val="00630FA1"/>
    <w:rsid w:val="00632CAE"/>
    <w:rsid w:val="006366CF"/>
    <w:rsid w:val="00656FB4"/>
    <w:rsid w:val="006612FA"/>
    <w:rsid w:val="00664576"/>
    <w:rsid w:val="006671F5"/>
    <w:rsid w:val="00677414"/>
    <w:rsid w:val="00677D1E"/>
    <w:rsid w:val="006825C4"/>
    <w:rsid w:val="00696C86"/>
    <w:rsid w:val="006A3BB0"/>
    <w:rsid w:val="006A5F31"/>
    <w:rsid w:val="006C0EBA"/>
    <w:rsid w:val="006C191A"/>
    <w:rsid w:val="006C1EF7"/>
    <w:rsid w:val="006C260E"/>
    <w:rsid w:val="006C3CE1"/>
    <w:rsid w:val="006D1046"/>
    <w:rsid w:val="006D3E3D"/>
    <w:rsid w:val="006E6C14"/>
    <w:rsid w:val="006E700C"/>
    <w:rsid w:val="006F0847"/>
    <w:rsid w:val="006F104D"/>
    <w:rsid w:val="006F6DCC"/>
    <w:rsid w:val="0070073F"/>
    <w:rsid w:val="00702F2C"/>
    <w:rsid w:val="0070443C"/>
    <w:rsid w:val="00711C7A"/>
    <w:rsid w:val="007121F4"/>
    <w:rsid w:val="0071261F"/>
    <w:rsid w:val="00724E5B"/>
    <w:rsid w:val="0073302F"/>
    <w:rsid w:val="007416AF"/>
    <w:rsid w:val="007421F6"/>
    <w:rsid w:val="00745127"/>
    <w:rsid w:val="00745DDC"/>
    <w:rsid w:val="00757C40"/>
    <w:rsid w:val="007609AF"/>
    <w:rsid w:val="00760C70"/>
    <w:rsid w:val="00762A33"/>
    <w:rsid w:val="00762FA4"/>
    <w:rsid w:val="007816AC"/>
    <w:rsid w:val="007921F2"/>
    <w:rsid w:val="00796A04"/>
    <w:rsid w:val="00797437"/>
    <w:rsid w:val="00797BB7"/>
    <w:rsid w:val="007A4745"/>
    <w:rsid w:val="007B5765"/>
    <w:rsid w:val="007C1EFA"/>
    <w:rsid w:val="007C357A"/>
    <w:rsid w:val="007C43D6"/>
    <w:rsid w:val="007D25E9"/>
    <w:rsid w:val="007D4070"/>
    <w:rsid w:val="007E41AA"/>
    <w:rsid w:val="007F09E3"/>
    <w:rsid w:val="007F203B"/>
    <w:rsid w:val="007F5008"/>
    <w:rsid w:val="007F5943"/>
    <w:rsid w:val="00802DDF"/>
    <w:rsid w:val="008036F4"/>
    <w:rsid w:val="00805760"/>
    <w:rsid w:val="008174A5"/>
    <w:rsid w:val="00822F50"/>
    <w:rsid w:val="00835D53"/>
    <w:rsid w:val="00840D6A"/>
    <w:rsid w:val="00841101"/>
    <w:rsid w:val="0084583C"/>
    <w:rsid w:val="008512C0"/>
    <w:rsid w:val="00852DD7"/>
    <w:rsid w:val="00853C0A"/>
    <w:rsid w:val="0085646A"/>
    <w:rsid w:val="00860DE9"/>
    <w:rsid w:val="00863801"/>
    <w:rsid w:val="00867853"/>
    <w:rsid w:val="00871AAE"/>
    <w:rsid w:val="008755EB"/>
    <w:rsid w:val="00875EF6"/>
    <w:rsid w:val="00885C79"/>
    <w:rsid w:val="00896AB2"/>
    <w:rsid w:val="00896AE8"/>
    <w:rsid w:val="008A26E5"/>
    <w:rsid w:val="008B6EFA"/>
    <w:rsid w:val="008B7DB8"/>
    <w:rsid w:val="008C22C9"/>
    <w:rsid w:val="008C3386"/>
    <w:rsid w:val="008D7A42"/>
    <w:rsid w:val="008F245C"/>
    <w:rsid w:val="008F3AE7"/>
    <w:rsid w:val="008F6486"/>
    <w:rsid w:val="008F6F70"/>
    <w:rsid w:val="008F769E"/>
    <w:rsid w:val="00902A06"/>
    <w:rsid w:val="00914FB0"/>
    <w:rsid w:val="00916528"/>
    <w:rsid w:val="0091721F"/>
    <w:rsid w:val="009176C1"/>
    <w:rsid w:val="00917B87"/>
    <w:rsid w:val="00921715"/>
    <w:rsid w:val="009238DE"/>
    <w:rsid w:val="009277A9"/>
    <w:rsid w:val="00930773"/>
    <w:rsid w:val="00936AF0"/>
    <w:rsid w:val="009412A5"/>
    <w:rsid w:val="009433F6"/>
    <w:rsid w:val="009445B7"/>
    <w:rsid w:val="00953A18"/>
    <w:rsid w:val="00954530"/>
    <w:rsid w:val="0095567E"/>
    <w:rsid w:val="00964D12"/>
    <w:rsid w:val="00965984"/>
    <w:rsid w:val="009710DF"/>
    <w:rsid w:val="009759E3"/>
    <w:rsid w:val="00977FDC"/>
    <w:rsid w:val="00986094"/>
    <w:rsid w:val="009862AA"/>
    <w:rsid w:val="0099204D"/>
    <w:rsid w:val="009930AA"/>
    <w:rsid w:val="009937A1"/>
    <w:rsid w:val="009A1CD6"/>
    <w:rsid w:val="009A36C9"/>
    <w:rsid w:val="009A542F"/>
    <w:rsid w:val="009B5496"/>
    <w:rsid w:val="009B6A3B"/>
    <w:rsid w:val="009B7E39"/>
    <w:rsid w:val="009C22BA"/>
    <w:rsid w:val="009C37AB"/>
    <w:rsid w:val="009C78C7"/>
    <w:rsid w:val="009D3A0B"/>
    <w:rsid w:val="009D5284"/>
    <w:rsid w:val="009D5D2A"/>
    <w:rsid w:val="009D7320"/>
    <w:rsid w:val="009E0C8C"/>
    <w:rsid w:val="009E2FA0"/>
    <w:rsid w:val="009E34D7"/>
    <w:rsid w:val="009F19C6"/>
    <w:rsid w:val="009F21E8"/>
    <w:rsid w:val="00A06A52"/>
    <w:rsid w:val="00A0740E"/>
    <w:rsid w:val="00A13280"/>
    <w:rsid w:val="00A17FC5"/>
    <w:rsid w:val="00A331DC"/>
    <w:rsid w:val="00A36D16"/>
    <w:rsid w:val="00A477E3"/>
    <w:rsid w:val="00A56D67"/>
    <w:rsid w:val="00A653E8"/>
    <w:rsid w:val="00A708B1"/>
    <w:rsid w:val="00A73511"/>
    <w:rsid w:val="00A7631B"/>
    <w:rsid w:val="00A825CF"/>
    <w:rsid w:val="00AA2605"/>
    <w:rsid w:val="00AA61C6"/>
    <w:rsid w:val="00AB1FED"/>
    <w:rsid w:val="00AB3E66"/>
    <w:rsid w:val="00AB3EC6"/>
    <w:rsid w:val="00AC2C51"/>
    <w:rsid w:val="00AC4621"/>
    <w:rsid w:val="00AC50C2"/>
    <w:rsid w:val="00AC5588"/>
    <w:rsid w:val="00AD44F6"/>
    <w:rsid w:val="00AE2649"/>
    <w:rsid w:val="00AE56FB"/>
    <w:rsid w:val="00AE664B"/>
    <w:rsid w:val="00AF4CAF"/>
    <w:rsid w:val="00AF5FC9"/>
    <w:rsid w:val="00B00ECD"/>
    <w:rsid w:val="00B102D6"/>
    <w:rsid w:val="00B1263E"/>
    <w:rsid w:val="00B20353"/>
    <w:rsid w:val="00B222E0"/>
    <w:rsid w:val="00B24297"/>
    <w:rsid w:val="00B2635F"/>
    <w:rsid w:val="00B30253"/>
    <w:rsid w:val="00B47D6C"/>
    <w:rsid w:val="00B51996"/>
    <w:rsid w:val="00B52D5C"/>
    <w:rsid w:val="00B53EE0"/>
    <w:rsid w:val="00B5417B"/>
    <w:rsid w:val="00B55A8B"/>
    <w:rsid w:val="00B62C21"/>
    <w:rsid w:val="00B64EBD"/>
    <w:rsid w:val="00B66C3E"/>
    <w:rsid w:val="00B67859"/>
    <w:rsid w:val="00B71605"/>
    <w:rsid w:val="00B7579C"/>
    <w:rsid w:val="00B826DB"/>
    <w:rsid w:val="00B85D64"/>
    <w:rsid w:val="00B87826"/>
    <w:rsid w:val="00B9399D"/>
    <w:rsid w:val="00B94324"/>
    <w:rsid w:val="00B966E3"/>
    <w:rsid w:val="00BA3097"/>
    <w:rsid w:val="00BB47B4"/>
    <w:rsid w:val="00BB683A"/>
    <w:rsid w:val="00BC1957"/>
    <w:rsid w:val="00BD0409"/>
    <w:rsid w:val="00BD5131"/>
    <w:rsid w:val="00BD5357"/>
    <w:rsid w:val="00BD6997"/>
    <w:rsid w:val="00BD705C"/>
    <w:rsid w:val="00BE1691"/>
    <w:rsid w:val="00BE7753"/>
    <w:rsid w:val="00BF57F2"/>
    <w:rsid w:val="00BF58F7"/>
    <w:rsid w:val="00C004FB"/>
    <w:rsid w:val="00C04ADC"/>
    <w:rsid w:val="00C05FC3"/>
    <w:rsid w:val="00C06C1D"/>
    <w:rsid w:val="00C17B45"/>
    <w:rsid w:val="00C207F0"/>
    <w:rsid w:val="00C20A7B"/>
    <w:rsid w:val="00C2445E"/>
    <w:rsid w:val="00C3627E"/>
    <w:rsid w:val="00C43E89"/>
    <w:rsid w:val="00C47EC7"/>
    <w:rsid w:val="00C64D30"/>
    <w:rsid w:val="00C658DB"/>
    <w:rsid w:val="00C67428"/>
    <w:rsid w:val="00C67B4F"/>
    <w:rsid w:val="00C7118E"/>
    <w:rsid w:val="00C73000"/>
    <w:rsid w:val="00C74438"/>
    <w:rsid w:val="00C74F8F"/>
    <w:rsid w:val="00C81B55"/>
    <w:rsid w:val="00C8200B"/>
    <w:rsid w:val="00C90034"/>
    <w:rsid w:val="00C90AB1"/>
    <w:rsid w:val="00C9428F"/>
    <w:rsid w:val="00C94FC6"/>
    <w:rsid w:val="00CA3762"/>
    <w:rsid w:val="00CA3B9E"/>
    <w:rsid w:val="00CB4F4A"/>
    <w:rsid w:val="00CC23B2"/>
    <w:rsid w:val="00CC41F2"/>
    <w:rsid w:val="00CC45F6"/>
    <w:rsid w:val="00CC6A7B"/>
    <w:rsid w:val="00CD016B"/>
    <w:rsid w:val="00CD5207"/>
    <w:rsid w:val="00CE01EF"/>
    <w:rsid w:val="00CE14F6"/>
    <w:rsid w:val="00CE2898"/>
    <w:rsid w:val="00CF4FEA"/>
    <w:rsid w:val="00D000B5"/>
    <w:rsid w:val="00D00B6D"/>
    <w:rsid w:val="00D015EA"/>
    <w:rsid w:val="00D05481"/>
    <w:rsid w:val="00D05DB9"/>
    <w:rsid w:val="00D0784A"/>
    <w:rsid w:val="00D13196"/>
    <w:rsid w:val="00D2579A"/>
    <w:rsid w:val="00D25B2F"/>
    <w:rsid w:val="00D27C5E"/>
    <w:rsid w:val="00D31D49"/>
    <w:rsid w:val="00D40185"/>
    <w:rsid w:val="00D43037"/>
    <w:rsid w:val="00D43C66"/>
    <w:rsid w:val="00D473A8"/>
    <w:rsid w:val="00D600DC"/>
    <w:rsid w:val="00D61B28"/>
    <w:rsid w:val="00D65404"/>
    <w:rsid w:val="00D665CA"/>
    <w:rsid w:val="00D70095"/>
    <w:rsid w:val="00D75169"/>
    <w:rsid w:val="00D759E1"/>
    <w:rsid w:val="00D77617"/>
    <w:rsid w:val="00D77E4B"/>
    <w:rsid w:val="00D83C43"/>
    <w:rsid w:val="00D853EB"/>
    <w:rsid w:val="00D876B3"/>
    <w:rsid w:val="00D914C7"/>
    <w:rsid w:val="00D959F7"/>
    <w:rsid w:val="00DA1B0E"/>
    <w:rsid w:val="00DB138E"/>
    <w:rsid w:val="00DB2EE7"/>
    <w:rsid w:val="00DB4C1E"/>
    <w:rsid w:val="00DB7255"/>
    <w:rsid w:val="00DC78F5"/>
    <w:rsid w:val="00DD1513"/>
    <w:rsid w:val="00DD3F5C"/>
    <w:rsid w:val="00DD597B"/>
    <w:rsid w:val="00DE19E2"/>
    <w:rsid w:val="00DE26E6"/>
    <w:rsid w:val="00DE4D7C"/>
    <w:rsid w:val="00DE4D99"/>
    <w:rsid w:val="00DF3BE2"/>
    <w:rsid w:val="00DF45C6"/>
    <w:rsid w:val="00DF61F1"/>
    <w:rsid w:val="00E01CA5"/>
    <w:rsid w:val="00E03C5C"/>
    <w:rsid w:val="00E04D34"/>
    <w:rsid w:val="00E04DC5"/>
    <w:rsid w:val="00E0525D"/>
    <w:rsid w:val="00E073D5"/>
    <w:rsid w:val="00E119D4"/>
    <w:rsid w:val="00E1239C"/>
    <w:rsid w:val="00E1617F"/>
    <w:rsid w:val="00E16AA1"/>
    <w:rsid w:val="00E245C3"/>
    <w:rsid w:val="00E2556F"/>
    <w:rsid w:val="00E27350"/>
    <w:rsid w:val="00E349E6"/>
    <w:rsid w:val="00E353AE"/>
    <w:rsid w:val="00E359EE"/>
    <w:rsid w:val="00E4327E"/>
    <w:rsid w:val="00E43329"/>
    <w:rsid w:val="00E56708"/>
    <w:rsid w:val="00E57427"/>
    <w:rsid w:val="00E62761"/>
    <w:rsid w:val="00E65B89"/>
    <w:rsid w:val="00E71B0F"/>
    <w:rsid w:val="00E721E3"/>
    <w:rsid w:val="00E72B53"/>
    <w:rsid w:val="00E73C7C"/>
    <w:rsid w:val="00E76733"/>
    <w:rsid w:val="00E969DD"/>
    <w:rsid w:val="00EA0967"/>
    <w:rsid w:val="00EA125C"/>
    <w:rsid w:val="00EA1725"/>
    <w:rsid w:val="00EA67D0"/>
    <w:rsid w:val="00EB0033"/>
    <w:rsid w:val="00EB1ECF"/>
    <w:rsid w:val="00EB34FA"/>
    <w:rsid w:val="00EB56EE"/>
    <w:rsid w:val="00EC0035"/>
    <w:rsid w:val="00EC0C50"/>
    <w:rsid w:val="00EC1596"/>
    <w:rsid w:val="00EC368A"/>
    <w:rsid w:val="00EC38B4"/>
    <w:rsid w:val="00EC39A9"/>
    <w:rsid w:val="00ED4E21"/>
    <w:rsid w:val="00EE3818"/>
    <w:rsid w:val="00EF1DA6"/>
    <w:rsid w:val="00EF6582"/>
    <w:rsid w:val="00F04753"/>
    <w:rsid w:val="00F05F17"/>
    <w:rsid w:val="00F066B9"/>
    <w:rsid w:val="00F14BF6"/>
    <w:rsid w:val="00F16C7D"/>
    <w:rsid w:val="00F17BF8"/>
    <w:rsid w:val="00F21E04"/>
    <w:rsid w:val="00F24C24"/>
    <w:rsid w:val="00F253A7"/>
    <w:rsid w:val="00F27852"/>
    <w:rsid w:val="00F31261"/>
    <w:rsid w:val="00F3319D"/>
    <w:rsid w:val="00F33394"/>
    <w:rsid w:val="00F451DF"/>
    <w:rsid w:val="00F50790"/>
    <w:rsid w:val="00F515B8"/>
    <w:rsid w:val="00F524EC"/>
    <w:rsid w:val="00F53E73"/>
    <w:rsid w:val="00F54C1E"/>
    <w:rsid w:val="00F576C9"/>
    <w:rsid w:val="00F63124"/>
    <w:rsid w:val="00F6450C"/>
    <w:rsid w:val="00F6760D"/>
    <w:rsid w:val="00F711B2"/>
    <w:rsid w:val="00F76107"/>
    <w:rsid w:val="00F80418"/>
    <w:rsid w:val="00F80982"/>
    <w:rsid w:val="00F83155"/>
    <w:rsid w:val="00F86CA8"/>
    <w:rsid w:val="00F913B4"/>
    <w:rsid w:val="00F92EC7"/>
    <w:rsid w:val="00F94417"/>
    <w:rsid w:val="00F964D0"/>
    <w:rsid w:val="00FA3374"/>
    <w:rsid w:val="00FA6375"/>
    <w:rsid w:val="00FB2F9E"/>
    <w:rsid w:val="00FB3D6C"/>
    <w:rsid w:val="00FB4B3D"/>
    <w:rsid w:val="00FB571F"/>
    <w:rsid w:val="00FC1C97"/>
    <w:rsid w:val="00FD7895"/>
    <w:rsid w:val="00FE68E0"/>
    <w:rsid w:val="00FF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5E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o,fr,Appel note de bas de p,Style 17,FR,Style 124,Style 13,Style 6,Footnote Reference/,Style 20,callout,Style 34,Style 7,Style 4,Style 9,Footnote Reference1"/>
    <w:qFormat/>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styleId="PageNumber">
    <w:name w:val="page number"/>
    <w:basedOn w:val="DefaultParagraphFont"/>
  </w:style>
  <w:style w:type="paragraph" w:styleId="BodyText">
    <w:name w:val="Body Text"/>
    <w:basedOn w:val="Normal"/>
    <w:link w:val="BodyTextChar"/>
    <w:pPr>
      <w:jc w:val="center"/>
    </w:pPr>
    <w:rPr>
      <w:b/>
      <w:sz w:val="24"/>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
    <w:link w:val="FootnoteText"/>
    <w:rPr>
      <w:sz w:val="22"/>
      <w:lang w:val="en-US" w:eastAsia="en-US" w:bidi="ar-SA"/>
    </w:r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E57427"/>
    <w:pPr>
      <w:ind w:left="720"/>
    </w:pPr>
  </w:style>
  <w:style w:type="character" w:customStyle="1" w:styleId="Normal1">
    <w:name w:val="Normal1"/>
    <w:rsid w:val="00FF1863"/>
    <w:rPr>
      <w:rFonts w:ascii="Times New Roman" w:hAnsi="Times New Roman"/>
      <w:noProof w:val="0"/>
      <w:sz w:val="20"/>
      <w:lang w:val="en-US"/>
    </w:rPr>
  </w:style>
  <w:style w:type="character" w:customStyle="1" w:styleId="searchterm">
    <w:name w:val="searchterm"/>
    <w:rsid w:val="00745127"/>
  </w:style>
  <w:style w:type="character" w:styleId="CommentReference">
    <w:name w:val="annotation reference"/>
    <w:rsid w:val="00863801"/>
    <w:rPr>
      <w:sz w:val="16"/>
      <w:szCs w:val="16"/>
    </w:rPr>
  </w:style>
  <w:style w:type="paragraph" w:styleId="CommentText">
    <w:name w:val="annotation text"/>
    <w:basedOn w:val="Normal"/>
    <w:link w:val="CommentTextChar"/>
    <w:rsid w:val="00863801"/>
    <w:rPr>
      <w:sz w:val="20"/>
    </w:rPr>
  </w:style>
  <w:style w:type="character" w:customStyle="1" w:styleId="CommentTextChar">
    <w:name w:val="Comment Text Char"/>
    <w:basedOn w:val="DefaultParagraphFont"/>
    <w:link w:val="CommentText"/>
    <w:rsid w:val="00863801"/>
  </w:style>
  <w:style w:type="paragraph" w:styleId="CommentSubject">
    <w:name w:val="annotation subject"/>
    <w:basedOn w:val="CommentText"/>
    <w:next w:val="CommentText"/>
    <w:link w:val="CommentSubjectChar"/>
    <w:rsid w:val="00863801"/>
    <w:rPr>
      <w:b/>
      <w:bCs/>
    </w:rPr>
  </w:style>
  <w:style w:type="character" w:customStyle="1" w:styleId="CommentSubjectChar">
    <w:name w:val="Comment Subject Char"/>
    <w:link w:val="CommentSubject"/>
    <w:rsid w:val="00863801"/>
    <w:rPr>
      <w:b/>
      <w:bCs/>
    </w:rPr>
  </w:style>
  <w:style w:type="character" w:customStyle="1" w:styleId="Heading1Char">
    <w:name w:val="Heading 1 Char"/>
    <w:link w:val="Heading1"/>
    <w:rsid w:val="00BC1957"/>
    <w:rPr>
      <w:b/>
      <w:caps/>
      <w:sz w:val="22"/>
    </w:rPr>
  </w:style>
  <w:style w:type="character" w:customStyle="1" w:styleId="Heading2Char">
    <w:name w:val="Heading 2 Char"/>
    <w:link w:val="Heading2"/>
    <w:rsid w:val="00BC1957"/>
    <w:rPr>
      <w:b/>
      <w:sz w:val="22"/>
    </w:rPr>
  </w:style>
  <w:style w:type="character" w:customStyle="1" w:styleId="Heading3Char">
    <w:name w:val="Heading 3 Char"/>
    <w:link w:val="Heading3"/>
    <w:rsid w:val="00BC1957"/>
    <w:rPr>
      <w:b/>
      <w:sz w:val="22"/>
    </w:rPr>
  </w:style>
  <w:style w:type="character" w:customStyle="1" w:styleId="Heading4Char">
    <w:name w:val="Heading 4 Char"/>
    <w:link w:val="Heading4"/>
    <w:rsid w:val="00BC1957"/>
    <w:rPr>
      <w:b/>
      <w:sz w:val="22"/>
    </w:rPr>
  </w:style>
  <w:style w:type="character" w:customStyle="1" w:styleId="Heading5Char">
    <w:name w:val="Heading 5 Char"/>
    <w:link w:val="Heading5"/>
    <w:rsid w:val="00BC1957"/>
    <w:rPr>
      <w:b/>
      <w:sz w:val="22"/>
    </w:rPr>
  </w:style>
  <w:style w:type="character" w:customStyle="1" w:styleId="Heading6Char">
    <w:name w:val="Heading 6 Char"/>
    <w:link w:val="Heading6"/>
    <w:rsid w:val="00BC1957"/>
    <w:rPr>
      <w:b/>
      <w:sz w:val="22"/>
    </w:rPr>
  </w:style>
  <w:style w:type="character" w:customStyle="1" w:styleId="Heading7Char">
    <w:name w:val="Heading 7 Char"/>
    <w:link w:val="Heading7"/>
    <w:rsid w:val="00BC1957"/>
    <w:rPr>
      <w:b/>
      <w:sz w:val="22"/>
    </w:rPr>
  </w:style>
  <w:style w:type="character" w:customStyle="1" w:styleId="Heading8Char">
    <w:name w:val="Heading 8 Char"/>
    <w:link w:val="Heading8"/>
    <w:rsid w:val="00BC1957"/>
    <w:rPr>
      <w:b/>
      <w:sz w:val="22"/>
    </w:rPr>
  </w:style>
  <w:style w:type="character" w:customStyle="1" w:styleId="Heading9Char">
    <w:name w:val="Heading 9 Char"/>
    <w:link w:val="Heading9"/>
    <w:rsid w:val="00BC1957"/>
    <w:rPr>
      <w:b/>
      <w:sz w:val="22"/>
    </w:rPr>
  </w:style>
  <w:style w:type="character" w:customStyle="1" w:styleId="HeaderChar">
    <w:name w:val="Header Char"/>
    <w:link w:val="Header"/>
    <w:rsid w:val="00BC1957"/>
    <w:rPr>
      <w:sz w:val="22"/>
    </w:rPr>
  </w:style>
  <w:style w:type="character" w:customStyle="1" w:styleId="FooterChar">
    <w:name w:val="Footer Char"/>
    <w:link w:val="Footer"/>
    <w:rsid w:val="00BC1957"/>
    <w:rPr>
      <w:sz w:val="22"/>
    </w:rPr>
  </w:style>
  <w:style w:type="character" w:customStyle="1" w:styleId="BodyTextChar">
    <w:name w:val="Body Text Char"/>
    <w:link w:val="BodyText"/>
    <w:rsid w:val="00BC1957"/>
    <w:rPr>
      <w:b/>
      <w:sz w:val="24"/>
      <w:u w:val="single"/>
    </w:rPr>
  </w:style>
  <w:style w:type="character" w:customStyle="1" w:styleId="BalloonTextChar">
    <w:name w:val="Balloon Text Char"/>
    <w:link w:val="BalloonText"/>
    <w:semiHidden/>
    <w:rsid w:val="00BC1957"/>
    <w:rPr>
      <w:rFonts w:ascii="Tahoma" w:hAnsi="Tahoma" w:cs="Tahoma"/>
      <w:sz w:val="16"/>
      <w:szCs w:val="16"/>
    </w:rPr>
  </w:style>
  <w:style w:type="character" w:customStyle="1" w:styleId="Normal10">
    <w:name w:val="Normal1"/>
    <w:rsid w:val="00BC1957"/>
    <w:rPr>
      <w:rFonts w:ascii="Times New Roman" w:hAnsi="Times New Roman"/>
      <w:noProof w:val="0"/>
      <w:sz w:val="20"/>
      <w:lang w:val="en-US"/>
    </w:rPr>
  </w:style>
  <w:style w:type="paragraph" w:styleId="Revision">
    <w:name w:val="Revision"/>
    <w:hidden/>
    <w:uiPriority w:val="99"/>
    <w:semiHidden/>
    <w:rsid w:val="00BC195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o,fr,Appel note de bas de p,Style 17,FR,Style 124,Style 13,Style 6,Footnote Reference/,Style 20,callout,Style 34,Style 7,Style 4,Style 9,Footnote Reference1"/>
    <w:qFormat/>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styleId="PageNumber">
    <w:name w:val="page number"/>
    <w:basedOn w:val="DefaultParagraphFont"/>
  </w:style>
  <w:style w:type="paragraph" w:styleId="BodyText">
    <w:name w:val="Body Text"/>
    <w:basedOn w:val="Normal"/>
    <w:link w:val="BodyTextChar"/>
    <w:pPr>
      <w:jc w:val="center"/>
    </w:pPr>
    <w:rPr>
      <w:b/>
      <w:sz w:val="24"/>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
    <w:link w:val="FootnoteText"/>
    <w:rPr>
      <w:sz w:val="22"/>
      <w:lang w:val="en-US" w:eastAsia="en-US" w:bidi="ar-SA"/>
    </w:r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E57427"/>
    <w:pPr>
      <w:ind w:left="720"/>
    </w:pPr>
  </w:style>
  <w:style w:type="character" w:customStyle="1" w:styleId="Normal1">
    <w:name w:val="Normal1"/>
    <w:rsid w:val="00FF1863"/>
    <w:rPr>
      <w:rFonts w:ascii="Times New Roman" w:hAnsi="Times New Roman"/>
      <w:noProof w:val="0"/>
      <w:sz w:val="20"/>
      <w:lang w:val="en-US"/>
    </w:rPr>
  </w:style>
  <w:style w:type="character" w:customStyle="1" w:styleId="searchterm">
    <w:name w:val="searchterm"/>
    <w:rsid w:val="00745127"/>
  </w:style>
  <w:style w:type="character" w:styleId="CommentReference">
    <w:name w:val="annotation reference"/>
    <w:rsid w:val="00863801"/>
    <w:rPr>
      <w:sz w:val="16"/>
      <w:szCs w:val="16"/>
    </w:rPr>
  </w:style>
  <w:style w:type="paragraph" w:styleId="CommentText">
    <w:name w:val="annotation text"/>
    <w:basedOn w:val="Normal"/>
    <w:link w:val="CommentTextChar"/>
    <w:rsid w:val="00863801"/>
    <w:rPr>
      <w:sz w:val="20"/>
    </w:rPr>
  </w:style>
  <w:style w:type="character" w:customStyle="1" w:styleId="CommentTextChar">
    <w:name w:val="Comment Text Char"/>
    <w:basedOn w:val="DefaultParagraphFont"/>
    <w:link w:val="CommentText"/>
    <w:rsid w:val="00863801"/>
  </w:style>
  <w:style w:type="paragraph" w:styleId="CommentSubject">
    <w:name w:val="annotation subject"/>
    <w:basedOn w:val="CommentText"/>
    <w:next w:val="CommentText"/>
    <w:link w:val="CommentSubjectChar"/>
    <w:rsid w:val="00863801"/>
    <w:rPr>
      <w:b/>
      <w:bCs/>
    </w:rPr>
  </w:style>
  <w:style w:type="character" w:customStyle="1" w:styleId="CommentSubjectChar">
    <w:name w:val="Comment Subject Char"/>
    <w:link w:val="CommentSubject"/>
    <w:rsid w:val="00863801"/>
    <w:rPr>
      <w:b/>
      <w:bCs/>
    </w:rPr>
  </w:style>
  <w:style w:type="character" w:customStyle="1" w:styleId="Heading1Char">
    <w:name w:val="Heading 1 Char"/>
    <w:link w:val="Heading1"/>
    <w:rsid w:val="00BC1957"/>
    <w:rPr>
      <w:b/>
      <w:caps/>
      <w:sz w:val="22"/>
    </w:rPr>
  </w:style>
  <w:style w:type="character" w:customStyle="1" w:styleId="Heading2Char">
    <w:name w:val="Heading 2 Char"/>
    <w:link w:val="Heading2"/>
    <w:rsid w:val="00BC1957"/>
    <w:rPr>
      <w:b/>
      <w:sz w:val="22"/>
    </w:rPr>
  </w:style>
  <w:style w:type="character" w:customStyle="1" w:styleId="Heading3Char">
    <w:name w:val="Heading 3 Char"/>
    <w:link w:val="Heading3"/>
    <w:rsid w:val="00BC1957"/>
    <w:rPr>
      <w:b/>
      <w:sz w:val="22"/>
    </w:rPr>
  </w:style>
  <w:style w:type="character" w:customStyle="1" w:styleId="Heading4Char">
    <w:name w:val="Heading 4 Char"/>
    <w:link w:val="Heading4"/>
    <w:rsid w:val="00BC1957"/>
    <w:rPr>
      <w:b/>
      <w:sz w:val="22"/>
    </w:rPr>
  </w:style>
  <w:style w:type="character" w:customStyle="1" w:styleId="Heading5Char">
    <w:name w:val="Heading 5 Char"/>
    <w:link w:val="Heading5"/>
    <w:rsid w:val="00BC1957"/>
    <w:rPr>
      <w:b/>
      <w:sz w:val="22"/>
    </w:rPr>
  </w:style>
  <w:style w:type="character" w:customStyle="1" w:styleId="Heading6Char">
    <w:name w:val="Heading 6 Char"/>
    <w:link w:val="Heading6"/>
    <w:rsid w:val="00BC1957"/>
    <w:rPr>
      <w:b/>
      <w:sz w:val="22"/>
    </w:rPr>
  </w:style>
  <w:style w:type="character" w:customStyle="1" w:styleId="Heading7Char">
    <w:name w:val="Heading 7 Char"/>
    <w:link w:val="Heading7"/>
    <w:rsid w:val="00BC1957"/>
    <w:rPr>
      <w:b/>
      <w:sz w:val="22"/>
    </w:rPr>
  </w:style>
  <w:style w:type="character" w:customStyle="1" w:styleId="Heading8Char">
    <w:name w:val="Heading 8 Char"/>
    <w:link w:val="Heading8"/>
    <w:rsid w:val="00BC1957"/>
    <w:rPr>
      <w:b/>
      <w:sz w:val="22"/>
    </w:rPr>
  </w:style>
  <w:style w:type="character" w:customStyle="1" w:styleId="Heading9Char">
    <w:name w:val="Heading 9 Char"/>
    <w:link w:val="Heading9"/>
    <w:rsid w:val="00BC1957"/>
    <w:rPr>
      <w:b/>
      <w:sz w:val="22"/>
    </w:rPr>
  </w:style>
  <w:style w:type="character" w:customStyle="1" w:styleId="HeaderChar">
    <w:name w:val="Header Char"/>
    <w:link w:val="Header"/>
    <w:rsid w:val="00BC1957"/>
    <w:rPr>
      <w:sz w:val="22"/>
    </w:rPr>
  </w:style>
  <w:style w:type="character" w:customStyle="1" w:styleId="FooterChar">
    <w:name w:val="Footer Char"/>
    <w:link w:val="Footer"/>
    <w:rsid w:val="00BC1957"/>
    <w:rPr>
      <w:sz w:val="22"/>
    </w:rPr>
  </w:style>
  <w:style w:type="character" w:customStyle="1" w:styleId="BodyTextChar">
    <w:name w:val="Body Text Char"/>
    <w:link w:val="BodyText"/>
    <w:rsid w:val="00BC1957"/>
    <w:rPr>
      <w:b/>
      <w:sz w:val="24"/>
      <w:u w:val="single"/>
    </w:rPr>
  </w:style>
  <w:style w:type="character" w:customStyle="1" w:styleId="BalloonTextChar">
    <w:name w:val="Balloon Text Char"/>
    <w:link w:val="BalloonText"/>
    <w:semiHidden/>
    <w:rsid w:val="00BC1957"/>
    <w:rPr>
      <w:rFonts w:ascii="Tahoma" w:hAnsi="Tahoma" w:cs="Tahoma"/>
      <w:sz w:val="16"/>
      <w:szCs w:val="16"/>
    </w:rPr>
  </w:style>
  <w:style w:type="character" w:customStyle="1" w:styleId="Normal10">
    <w:name w:val="Normal1"/>
    <w:rsid w:val="00BC1957"/>
    <w:rPr>
      <w:rFonts w:ascii="Times New Roman" w:hAnsi="Times New Roman"/>
      <w:noProof w:val="0"/>
      <w:sz w:val="20"/>
      <w:lang w:val="en-US"/>
    </w:rPr>
  </w:style>
  <w:style w:type="paragraph" w:styleId="Revision">
    <w:name w:val="Revision"/>
    <w:hidden/>
    <w:uiPriority w:val="99"/>
    <w:semiHidden/>
    <w:rsid w:val="00BC195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6789">
      <w:bodyDiv w:val="1"/>
      <w:marLeft w:val="0"/>
      <w:marRight w:val="0"/>
      <w:marTop w:val="0"/>
      <w:marBottom w:val="0"/>
      <w:divBdr>
        <w:top w:val="none" w:sz="0" w:space="0" w:color="auto"/>
        <w:left w:val="none" w:sz="0" w:space="0" w:color="auto"/>
        <w:bottom w:val="none" w:sz="0" w:space="0" w:color="auto"/>
        <w:right w:val="none" w:sz="0" w:space="0" w:color="auto"/>
      </w:divBdr>
    </w:div>
    <w:div w:id="713576764">
      <w:bodyDiv w:val="1"/>
      <w:marLeft w:val="0"/>
      <w:marRight w:val="0"/>
      <w:marTop w:val="0"/>
      <w:marBottom w:val="0"/>
      <w:divBdr>
        <w:top w:val="none" w:sz="0" w:space="0" w:color="auto"/>
        <w:left w:val="none" w:sz="0" w:space="0" w:color="auto"/>
        <w:bottom w:val="none" w:sz="0" w:space="0" w:color="auto"/>
        <w:right w:val="none" w:sz="0" w:space="0" w:color="auto"/>
      </w:divBdr>
    </w:div>
    <w:div w:id="880556495">
      <w:bodyDiv w:val="1"/>
      <w:marLeft w:val="0"/>
      <w:marRight w:val="0"/>
      <w:marTop w:val="0"/>
      <w:marBottom w:val="0"/>
      <w:divBdr>
        <w:top w:val="none" w:sz="0" w:space="0" w:color="auto"/>
        <w:left w:val="none" w:sz="0" w:space="0" w:color="auto"/>
        <w:bottom w:val="none" w:sz="0" w:space="0" w:color="auto"/>
        <w:right w:val="none" w:sz="0" w:space="0" w:color="auto"/>
      </w:divBdr>
    </w:div>
    <w:div w:id="893809442">
      <w:bodyDiv w:val="1"/>
      <w:marLeft w:val="0"/>
      <w:marRight w:val="0"/>
      <w:marTop w:val="0"/>
      <w:marBottom w:val="0"/>
      <w:divBdr>
        <w:top w:val="none" w:sz="0" w:space="0" w:color="auto"/>
        <w:left w:val="none" w:sz="0" w:space="0" w:color="auto"/>
        <w:bottom w:val="none" w:sz="0" w:space="0" w:color="auto"/>
        <w:right w:val="none" w:sz="0" w:space="0" w:color="auto"/>
      </w:divBdr>
    </w:div>
    <w:div w:id="941500360">
      <w:bodyDiv w:val="1"/>
      <w:marLeft w:val="0"/>
      <w:marRight w:val="0"/>
      <w:marTop w:val="0"/>
      <w:marBottom w:val="0"/>
      <w:divBdr>
        <w:top w:val="none" w:sz="0" w:space="0" w:color="auto"/>
        <w:left w:val="none" w:sz="0" w:space="0" w:color="auto"/>
        <w:bottom w:val="none" w:sz="0" w:space="0" w:color="auto"/>
        <w:right w:val="none" w:sz="0" w:space="0" w:color="auto"/>
      </w:divBdr>
    </w:div>
    <w:div w:id="18927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Elizabeth.McIntyre@fcc.gov" TargetMode="Externa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yperlink" Target="mailto:fcc504@fcc.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Ty.Bream@fcc.gov"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Vanessa.Lemme@fcc.gov" TargetMode="External"/><Relationship Id="rId20" Type="http://schemas.openxmlformats.org/officeDocument/2006/relationships/hyperlink" Target="mailto:TransactionTeam@fcc.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fjallfoss.fcc.gov/ecfs2/" TargetMode="External"/><Relationship Id="rId23" Type="http://schemas.openxmlformats.org/officeDocument/2006/relationships/hyperlink" Target="http://www.fcc.gov/transaction/charter-twc-bhn"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Adam.copeland@f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ransition.fcc.gov/transaction/comcast-twc_exparte-meeting-request" TargetMode="External"/><Relationship Id="rId22" Type="http://schemas.openxmlformats.org/officeDocument/2006/relationships/hyperlink" Target="http://www.fcc.gov/" TargetMode="External"/><Relationship Id="rId27"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transition.fcc.gov/transaction/charter-twc-bhn/charter-twc-bhn-public-interet.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1480</Words>
  <Characters>8427</Characters>
  <Application>Microsoft Office Word</Application>
  <DocSecurity>0</DocSecurity>
  <Lines>145</Lines>
  <Paragraphs>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9953</CharactersWithSpaces>
  <SharedDoc>false</SharedDoc>
  <HyperlinkBase> </HyperlinkBase>
  <HLinks>
    <vt:vector size="12" baseType="variant">
      <vt:variant>
        <vt:i4>7929897</vt:i4>
      </vt:variant>
      <vt:variant>
        <vt:i4>3</vt:i4>
      </vt:variant>
      <vt:variant>
        <vt:i4>0</vt:i4>
      </vt:variant>
      <vt:variant>
        <vt:i4>5</vt:i4>
      </vt:variant>
      <vt:variant>
        <vt:lpwstr>http://fjallfoss.fcc.gov/ecfs2/</vt:lpwstr>
      </vt:variant>
      <vt:variant>
        <vt:lpwstr/>
      </vt:variant>
      <vt:variant>
        <vt:i4>3604483</vt:i4>
      </vt:variant>
      <vt:variant>
        <vt:i4>0</vt:i4>
      </vt:variant>
      <vt:variant>
        <vt:i4>0</vt:i4>
      </vt:variant>
      <vt:variant>
        <vt:i4>5</vt:i4>
      </vt:variant>
      <vt:variant>
        <vt:lpwstr>http://transition.fcc.gov/transaction/comcast-twc_exparte-meeting-request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2010-03-18T13:44:00Z</cp:lastPrinted>
  <dcterms:created xsi:type="dcterms:W3CDTF">2015-09-11T17:30:00Z</dcterms:created>
  <dcterms:modified xsi:type="dcterms:W3CDTF">2015-09-11T17:30:00Z</dcterms:modified>
  <cp:category> </cp:category>
  <cp:contentStatus> </cp:contentStatus>
</cp:coreProperties>
</file>