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1C0B75" w:rsidRDefault="00602577" w:rsidP="00F00512">
      <w:pPr>
        <w:pStyle w:val="Header"/>
        <w:tabs>
          <w:tab w:val="clear" w:pos="4320"/>
          <w:tab w:val="clear" w:pos="8640"/>
        </w:tabs>
        <w:rPr>
          <w:szCs w:val="22"/>
        </w:rPr>
        <w:sectPr w:rsidR="00602577" w:rsidRPr="001C0B75" w:rsidSect="001C0B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docGrid w:linePitch="299"/>
        </w:sectPr>
      </w:pPr>
      <w:bookmarkStart w:id="1" w:name="_GoBack"/>
      <w:bookmarkEnd w:id="1"/>
    </w:p>
    <w:p w:rsidR="00602577" w:rsidRPr="001C0B75" w:rsidRDefault="009765E2" w:rsidP="00A40002">
      <w:pPr>
        <w:jc w:val="right"/>
        <w:rPr>
          <w:b/>
          <w:szCs w:val="22"/>
        </w:rPr>
      </w:pPr>
      <w:r w:rsidRPr="001C0B75">
        <w:rPr>
          <w:b/>
          <w:szCs w:val="22"/>
        </w:rPr>
        <w:lastRenderedPageBreak/>
        <w:t xml:space="preserve">DA </w:t>
      </w:r>
      <w:r w:rsidR="00524E9C" w:rsidRPr="00524E9C">
        <w:rPr>
          <w:b/>
          <w:szCs w:val="22"/>
        </w:rPr>
        <w:t>15-1027</w:t>
      </w:r>
    </w:p>
    <w:p w:rsidR="009765E2" w:rsidRPr="001C0B75" w:rsidRDefault="009765E2" w:rsidP="00A40002">
      <w:pPr>
        <w:jc w:val="right"/>
        <w:rPr>
          <w:b/>
          <w:szCs w:val="22"/>
        </w:rPr>
      </w:pPr>
      <w:r w:rsidRPr="001C0B75">
        <w:rPr>
          <w:b/>
          <w:szCs w:val="22"/>
        </w:rPr>
        <w:t>Released September 15, 2015</w:t>
      </w:r>
    </w:p>
    <w:p w:rsidR="00602577" w:rsidRPr="001C0B75" w:rsidRDefault="00602577" w:rsidP="00F00512">
      <w:pPr>
        <w:rPr>
          <w:szCs w:val="22"/>
        </w:rPr>
      </w:pPr>
    </w:p>
    <w:p w:rsidR="009765E2" w:rsidRPr="001C0B75" w:rsidRDefault="009765E2" w:rsidP="00F00512">
      <w:pPr>
        <w:jc w:val="center"/>
        <w:rPr>
          <w:b/>
          <w:szCs w:val="22"/>
        </w:rPr>
      </w:pPr>
      <w:r w:rsidRPr="001C0B75">
        <w:rPr>
          <w:b/>
          <w:szCs w:val="22"/>
        </w:rPr>
        <w:t>PUBLIC SAFETY AND HOMELAND SECURITY BUREAU REMINDS COVERED 911 SERVICE PROVIDERS OF RELIABILITY CERTIFICATION DEADLINE</w:t>
      </w:r>
      <w:r w:rsidRPr="001C0B75">
        <w:rPr>
          <w:b/>
          <w:szCs w:val="22"/>
        </w:rPr>
        <w:br/>
      </w:r>
    </w:p>
    <w:p w:rsidR="00602577" w:rsidRPr="001C0B75" w:rsidRDefault="009765E2" w:rsidP="00F00512">
      <w:pPr>
        <w:spacing w:after="240"/>
        <w:jc w:val="center"/>
        <w:rPr>
          <w:b/>
          <w:szCs w:val="22"/>
        </w:rPr>
      </w:pPr>
      <w:r w:rsidRPr="001C0B75">
        <w:rPr>
          <w:b/>
          <w:szCs w:val="22"/>
        </w:rPr>
        <w:t>Initial Certification Due October 15, 2015</w:t>
      </w:r>
    </w:p>
    <w:p w:rsidR="00602577" w:rsidRPr="001C0B75" w:rsidRDefault="009765E2" w:rsidP="00F00512">
      <w:pPr>
        <w:jc w:val="center"/>
        <w:rPr>
          <w:b/>
          <w:szCs w:val="22"/>
        </w:rPr>
      </w:pPr>
      <w:r w:rsidRPr="001C0B75">
        <w:rPr>
          <w:b/>
          <w:szCs w:val="22"/>
        </w:rPr>
        <w:t>PS Docket Nos. 13-75, 11-60</w:t>
      </w:r>
    </w:p>
    <w:p w:rsidR="009765E2" w:rsidRPr="001C0B75" w:rsidRDefault="009765E2" w:rsidP="00F00512">
      <w:pPr>
        <w:jc w:val="center"/>
        <w:rPr>
          <w:b/>
          <w:szCs w:val="22"/>
        </w:rPr>
      </w:pPr>
    </w:p>
    <w:p w:rsidR="009765E2" w:rsidRPr="001C0B75" w:rsidRDefault="009765E2" w:rsidP="008727E5">
      <w:pPr>
        <w:ind w:firstLine="720"/>
        <w:rPr>
          <w:szCs w:val="22"/>
        </w:rPr>
      </w:pPr>
      <w:r w:rsidRPr="001C0B75">
        <w:rPr>
          <w:szCs w:val="22"/>
        </w:rPr>
        <w:t xml:space="preserve">By this </w:t>
      </w:r>
      <w:r w:rsidRPr="001C0B75">
        <w:rPr>
          <w:i/>
          <w:szCs w:val="22"/>
        </w:rPr>
        <w:t>Public Notice</w:t>
      </w:r>
      <w:r w:rsidRPr="001C0B75">
        <w:rPr>
          <w:szCs w:val="22"/>
        </w:rPr>
        <w:t xml:space="preserve">, the Public Safety and Homeland Security Bureau (Bureau) </w:t>
      </w:r>
      <w:r w:rsidR="00F00512" w:rsidRPr="001C0B75">
        <w:rPr>
          <w:szCs w:val="22"/>
        </w:rPr>
        <w:t>reminds Covered 911 Service Providers</w:t>
      </w:r>
      <w:r w:rsidR="008727E5" w:rsidRPr="001C0B75">
        <w:rPr>
          <w:rStyle w:val="FootnoteReference"/>
          <w:szCs w:val="22"/>
        </w:rPr>
        <w:footnoteReference w:id="1"/>
      </w:r>
      <w:r w:rsidR="00F00512" w:rsidRPr="001C0B75">
        <w:rPr>
          <w:szCs w:val="22"/>
        </w:rPr>
        <w:t xml:space="preserve"> that an Initial Reliability Certification pursuant to </w:t>
      </w:r>
      <w:r w:rsidRPr="001C0B75">
        <w:rPr>
          <w:szCs w:val="22"/>
        </w:rPr>
        <w:t xml:space="preserve">the Federal Communications Commission’s (Commission’s) </w:t>
      </w:r>
      <w:r w:rsidR="00F00512" w:rsidRPr="001C0B75">
        <w:rPr>
          <w:szCs w:val="22"/>
        </w:rPr>
        <w:t>911 reliability rules</w:t>
      </w:r>
      <w:r w:rsidRPr="001C0B75">
        <w:rPr>
          <w:rStyle w:val="FootnoteReference"/>
          <w:szCs w:val="22"/>
        </w:rPr>
        <w:footnoteReference w:id="2"/>
      </w:r>
      <w:r w:rsidRPr="001C0B75">
        <w:rPr>
          <w:szCs w:val="22"/>
        </w:rPr>
        <w:t xml:space="preserve"> is </w:t>
      </w:r>
      <w:r w:rsidR="00F00512" w:rsidRPr="001C0B75">
        <w:rPr>
          <w:szCs w:val="22"/>
        </w:rPr>
        <w:t>due October 15, 2015</w:t>
      </w:r>
      <w:r w:rsidRPr="001C0B75">
        <w:rPr>
          <w:szCs w:val="22"/>
        </w:rPr>
        <w:t xml:space="preserve">.  Covered 911 Service Providers </w:t>
      </w:r>
      <w:r w:rsidR="00F00512" w:rsidRPr="001C0B75">
        <w:rPr>
          <w:szCs w:val="22"/>
        </w:rPr>
        <w:t xml:space="preserve">may submit their certifications through </w:t>
      </w:r>
      <w:r w:rsidRPr="001C0B75">
        <w:rPr>
          <w:szCs w:val="22"/>
        </w:rPr>
        <w:t xml:space="preserve">the Commission’s online portal at </w:t>
      </w:r>
      <w:hyperlink r:id="rId14" w:history="1">
        <w:r w:rsidRPr="001C0B75">
          <w:rPr>
            <w:rStyle w:val="Hyperlink"/>
            <w:szCs w:val="22"/>
          </w:rPr>
          <w:t>https://apps2.fcc.gov/rcs911/</w:t>
        </w:r>
      </w:hyperlink>
      <w:r w:rsidRPr="001C0B75">
        <w:rPr>
          <w:szCs w:val="22"/>
        </w:rPr>
        <w:t xml:space="preserve">.  </w:t>
      </w:r>
    </w:p>
    <w:p w:rsidR="009765E2" w:rsidRPr="001C0B75" w:rsidRDefault="009765E2" w:rsidP="008727E5">
      <w:pPr>
        <w:ind w:firstLine="720"/>
        <w:rPr>
          <w:szCs w:val="22"/>
        </w:rPr>
      </w:pPr>
    </w:p>
    <w:p w:rsidR="009765E2" w:rsidRPr="001C0B75" w:rsidRDefault="009765E2" w:rsidP="008727E5">
      <w:pPr>
        <w:ind w:firstLine="720"/>
        <w:rPr>
          <w:szCs w:val="22"/>
        </w:rPr>
      </w:pPr>
      <w:r w:rsidRPr="001C0B75">
        <w:rPr>
          <w:bCs/>
          <w:szCs w:val="22"/>
        </w:rPr>
        <w:t xml:space="preserve">As a consequence of </w:t>
      </w:r>
      <w:r w:rsidR="001C0B75">
        <w:rPr>
          <w:bCs/>
          <w:szCs w:val="22"/>
        </w:rPr>
        <w:t>significant</w:t>
      </w:r>
      <w:r w:rsidRPr="001C0B75">
        <w:rPr>
          <w:bCs/>
          <w:szCs w:val="22"/>
        </w:rPr>
        <w:t xml:space="preserve"> events affecting the availability of 911 services</w:t>
      </w:r>
      <w:r w:rsidR="008727E5" w:rsidRPr="001C0B75">
        <w:rPr>
          <w:bCs/>
          <w:szCs w:val="22"/>
        </w:rPr>
        <w:t>, t</w:t>
      </w:r>
      <w:r w:rsidRPr="001C0B75">
        <w:rPr>
          <w:szCs w:val="22"/>
        </w:rPr>
        <w:t>he Commission’s rules require Covered 911 Service Providers to take reasonable measures to provide reliable service with respect to 911 circuit diversity, central office backup power, and diverse network monitoring,</w:t>
      </w:r>
      <w:r w:rsidR="008727E5" w:rsidRPr="001C0B75">
        <w:rPr>
          <w:rStyle w:val="FootnoteReference"/>
          <w:szCs w:val="22"/>
        </w:rPr>
        <w:footnoteReference w:id="3"/>
      </w:r>
      <w:r w:rsidRPr="001C0B75">
        <w:rPr>
          <w:szCs w:val="22"/>
        </w:rPr>
        <w:t xml:space="preserve"> as evidenced by an annual certification of compliance with specified best practices or reasonable alternative measures.</w:t>
      </w:r>
      <w:r w:rsidR="008727E5" w:rsidRPr="001C0B75">
        <w:rPr>
          <w:rStyle w:val="FootnoteReference"/>
          <w:szCs w:val="22"/>
        </w:rPr>
        <w:footnoteReference w:id="4"/>
      </w:r>
      <w:r w:rsidRPr="001C0B75">
        <w:rPr>
          <w:szCs w:val="22"/>
        </w:rPr>
        <w:t xml:space="preserve">  The Initial Reliability Certification requires covered providers to demonstrate “substantial progress” toward meeting the requirements of the full Annual Reliability Certification.</w:t>
      </w:r>
      <w:r w:rsidRPr="001C0B75">
        <w:rPr>
          <w:rStyle w:val="FootnoteReference"/>
          <w:szCs w:val="22"/>
        </w:rPr>
        <w:footnoteReference w:id="5"/>
      </w:r>
      <w:r w:rsidRPr="001C0B75">
        <w:rPr>
          <w:szCs w:val="22"/>
        </w:rPr>
        <w:t xml:space="preserve">  Substantial progress is defined as compliance with standards of the full certification in at </w:t>
      </w:r>
      <w:r w:rsidRPr="001C0B75">
        <w:rPr>
          <w:szCs w:val="22"/>
        </w:rPr>
        <w:lastRenderedPageBreak/>
        <w:t>least 50 percent of the Covered 911 Service Provider’s critical 911 circuits, central offices that directly serve public safety answering points (PSAPs), and independently monitored 911 service areas.</w:t>
      </w:r>
      <w:r w:rsidRPr="001C0B75">
        <w:rPr>
          <w:rStyle w:val="FootnoteReference"/>
          <w:szCs w:val="22"/>
        </w:rPr>
        <w:footnoteReference w:id="6"/>
      </w:r>
      <w:r w:rsidRPr="001C0B75">
        <w:rPr>
          <w:szCs w:val="22"/>
        </w:rPr>
        <w:t xml:space="preserve"> </w:t>
      </w:r>
    </w:p>
    <w:p w:rsidR="009765E2" w:rsidRPr="001C0B75" w:rsidRDefault="009765E2" w:rsidP="008727E5">
      <w:pPr>
        <w:ind w:firstLine="720"/>
        <w:rPr>
          <w:szCs w:val="22"/>
        </w:rPr>
      </w:pPr>
    </w:p>
    <w:p w:rsidR="009765E2" w:rsidRPr="001C0B75" w:rsidRDefault="009765E2" w:rsidP="008727E5">
      <w:pPr>
        <w:ind w:firstLine="720"/>
        <w:rPr>
          <w:szCs w:val="22"/>
        </w:rPr>
      </w:pPr>
      <w:r w:rsidRPr="001C0B75">
        <w:rPr>
          <w:szCs w:val="22"/>
        </w:rPr>
        <w:t xml:space="preserve">On July 30, 2015, the Commission released an </w:t>
      </w:r>
      <w:r w:rsidRPr="001C0B75">
        <w:rPr>
          <w:i/>
          <w:szCs w:val="22"/>
        </w:rPr>
        <w:t>Order on Reconsideration</w:t>
      </w:r>
      <w:r w:rsidRPr="001C0B75">
        <w:rPr>
          <w:szCs w:val="22"/>
        </w:rPr>
        <w:t xml:space="preserve"> in this proceeding, clarifying that, under section 12.4 of the Commission’s rules, Covered 911 Service Providers may implement and certify an alternative measure for any of the specific certification elements, as long as they “provide an explanation of how such alternative measures are reasonably sufficient to mitigate the risk of failure.  We believe that this should include an explanation of how the alternative will mitigate such risk at least to a comparable extent as the measures specified in our rules.”</w:t>
      </w:r>
      <w:r w:rsidRPr="001C0B75">
        <w:rPr>
          <w:rStyle w:val="FootnoteReference"/>
          <w:szCs w:val="22"/>
        </w:rPr>
        <w:footnoteReference w:id="7"/>
      </w:r>
      <w:r w:rsidRPr="001C0B75">
        <w:rPr>
          <w:szCs w:val="22"/>
        </w:rPr>
        <w:t xml:space="preserve">  </w:t>
      </w:r>
    </w:p>
    <w:p w:rsidR="009765E2" w:rsidRPr="001C0B75" w:rsidRDefault="009765E2" w:rsidP="008727E5">
      <w:pPr>
        <w:ind w:firstLine="720"/>
        <w:rPr>
          <w:szCs w:val="22"/>
        </w:rPr>
      </w:pPr>
    </w:p>
    <w:p w:rsidR="009765E2" w:rsidRPr="001C0B75" w:rsidRDefault="009765E2" w:rsidP="008727E5">
      <w:pPr>
        <w:ind w:firstLine="720"/>
        <w:rPr>
          <w:szCs w:val="22"/>
        </w:rPr>
      </w:pPr>
      <w:r w:rsidRPr="001C0B75">
        <w:rPr>
          <w:szCs w:val="22"/>
        </w:rPr>
        <w:t xml:space="preserve">Covered 911 Service Providers may register new users on the </w:t>
      </w:r>
      <w:r w:rsidR="008727E5" w:rsidRPr="001C0B75">
        <w:rPr>
          <w:szCs w:val="22"/>
        </w:rPr>
        <w:t xml:space="preserve">certification system </w:t>
      </w:r>
      <w:r w:rsidRPr="001C0B75">
        <w:rPr>
          <w:szCs w:val="22"/>
        </w:rPr>
        <w:t xml:space="preserve">login page at </w:t>
      </w:r>
      <w:hyperlink r:id="rId15" w:history="1">
        <w:r w:rsidRPr="001C0B75">
          <w:rPr>
            <w:rStyle w:val="Hyperlink"/>
            <w:szCs w:val="22"/>
          </w:rPr>
          <w:t>https://apps2.fcc.gov/rcs911/</w:t>
        </w:r>
      </w:hyperlink>
      <w:r w:rsidRPr="001C0B75">
        <w:rPr>
          <w:szCs w:val="22"/>
        </w:rPr>
        <w:t>.</w:t>
      </w:r>
      <w:r w:rsidRPr="001C0B75">
        <w:rPr>
          <w:rStyle w:val="FootnoteReference"/>
          <w:szCs w:val="22"/>
        </w:rPr>
        <w:footnoteReference w:id="8"/>
      </w:r>
      <w:r w:rsidRPr="001C0B75">
        <w:rPr>
          <w:szCs w:val="22"/>
        </w:rPr>
        <w:t xml:space="preserve">  Companies that serve numerous PSAPs or service areas may choose to enter their responses in an Excel spreadsheet, which is available for download on the main menu page.</w:t>
      </w:r>
      <w:r w:rsidRPr="001C0B75">
        <w:rPr>
          <w:rStyle w:val="FootnoteReference"/>
          <w:szCs w:val="22"/>
        </w:rPr>
        <w:footnoteReference w:id="9"/>
      </w:r>
      <w:r w:rsidRPr="001C0B75">
        <w:rPr>
          <w:szCs w:val="22"/>
        </w:rPr>
        <w:t xml:space="preserve">  Once all certification information has been entered, the system provides a link to upload a signed attestation from a company’s Certifying Official that such information is true and correct.</w:t>
      </w:r>
      <w:r w:rsidRPr="001C0B75">
        <w:rPr>
          <w:rStyle w:val="FootnoteReference"/>
          <w:szCs w:val="22"/>
        </w:rPr>
        <w:footnoteReference w:id="10"/>
      </w:r>
      <w:r w:rsidRPr="001C0B75">
        <w:rPr>
          <w:szCs w:val="22"/>
        </w:rPr>
        <w:t xml:space="preserve">  </w:t>
      </w:r>
    </w:p>
    <w:p w:rsidR="009765E2" w:rsidRPr="001C0B75" w:rsidRDefault="009765E2" w:rsidP="008727E5">
      <w:pPr>
        <w:ind w:firstLine="720"/>
        <w:rPr>
          <w:szCs w:val="22"/>
        </w:rPr>
      </w:pPr>
    </w:p>
    <w:p w:rsidR="009765E2" w:rsidRPr="001C0B75" w:rsidRDefault="009765E2" w:rsidP="008727E5">
      <w:pPr>
        <w:ind w:firstLine="720"/>
        <w:rPr>
          <w:szCs w:val="22"/>
        </w:rPr>
      </w:pPr>
      <w:r w:rsidRPr="001C0B75">
        <w:rPr>
          <w:szCs w:val="22"/>
        </w:rPr>
        <w:t xml:space="preserve">More detailed instructions on how to complete the certification are available as Frequently Asked Questions (FAQs) at </w:t>
      </w:r>
      <w:hyperlink r:id="rId16" w:history="1">
        <w:r w:rsidRPr="001C0B75">
          <w:rPr>
            <w:rStyle w:val="Hyperlink"/>
            <w:szCs w:val="22"/>
          </w:rPr>
          <w:t>https://apps2.fcc.gov/rcs911/911RCS_FAQ.html</w:t>
        </w:r>
      </w:hyperlink>
      <w:r w:rsidRPr="001C0B75">
        <w:rPr>
          <w:szCs w:val="22"/>
        </w:rPr>
        <w:t xml:space="preserve"> and in a User Manual posted on the main menu of the certification system.</w:t>
      </w:r>
    </w:p>
    <w:p w:rsidR="009765E2" w:rsidRPr="001C0B75" w:rsidRDefault="009765E2" w:rsidP="008727E5">
      <w:pPr>
        <w:ind w:firstLine="720"/>
        <w:rPr>
          <w:szCs w:val="22"/>
        </w:rPr>
      </w:pPr>
    </w:p>
    <w:p w:rsidR="009765E2" w:rsidRPr="001C0B75" w:rsidRDefault="009765E2" w:rsidP="008727E5">
      <w:pPr>
        <w:ind w:firstLine="720"/>
        <w:rPr>
          <w:szCs w:val="22"/>
        </w:rPr>
      </w:pPr>
      <w:r w:rsidRPr="001C0B75">
        <w:rPr>
          <w:szCs w:val="22"/>
        </w:rPr>
        <w:t xml:space="preserve">For further information about the certification system and filing process, please contact John Healy in the Cybersecurity and Communications Reliability Division of the Public Safety and Homeland Security Bureau at (202) 418-2448 or </w:t>
      </w:r>
      <w:hyperlink r:id="rId17" w:history="1">
        <w:r w:rsidRPr="001C0B75">
          <w:rPr>
            <w:rStyle w:val="Hyperlink"/>
            <w:szCs w:val="22"/>
          </w:rPr>
          <w:t>john.healy@fcc.gov</w:t>
        </w:r>
      </w:hyperlink>
      <w:r w:rsidRPr="001C0B75">
        <w:rPr>
          <w:szCs w:val="22"/>
        </w:rPr>
        <w:t xml:space="preserve">.  For further information about the 911 reliability rules, please contact Eric Schmidt in the Cybersecurity and Communications Reliability Division of the Public Safety and Homeland Security Bureau at (202) 418-1214 or </w:t>
      </w:r>
      <w:hyperlink r:id="rId18" w:history="1">
        <w:r w:rsidRPr="001C0B75">
          <w:rPr>
            <w:rStyle w:val="Hyperlink"/>
            <w:szCs w:val="22"/>
          </w:rPr>
          <w:t>eric.schmidt@fcc.gov</w:t>
        </w:r>
      </w:hyperlink>
      <w:r w:rsidRPr="001C0B75">
        <w:rPr>
          <w:szCs w:val="22"/>
        </w:rPr>
        <w:t xml:space="preserve">.  </w:t>
      </w:r>
    </w:p>
    <w:p w:rsidR="009765E2" w:rsidRPr="001C0B75" w:rsidRDefault="009765E2" w:rsidP="009765E2">
      <w:pPr>
        <w:ind w:firstLine="720"/>
        <w:rPr>
          <w:szCs w:val="22"/>
        </w:rPr>
      </w:pPr>
    </w:p>
    <w:p w:rsidR="00602577" w:rsidRPr="001C0B75" w:rsidRDefault="009765E2" w:rsidP="00F00512">
      <w:pPr>
        <w:jc w:val="center"/>
        <w:rPr>
          <w:szCs w:val="22"/>
        </w:rPr>
      </w:pPr>
      <w:r w:rsidRPr="001C0B75">
        <w:rPr>
          <w:szCs w:val="22"/>
        </w:rPr>
        <w:t>– FCC –</w:t>
      </w:r>
    </w:p>
    <w:sectPr w:rsidR="00602577" w:rsidRPr="001C0B75" w:rsidSect="001C0B75">
      <w:headerReference w:type="first" r:id="rId19"/>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E2" w:rsidRDefault="009765E2">
      <w:r>
        <w:separator/>
      </w:r>
    </w:p>
  </w:endnote>
  <w:endnote w:type="continuationSeparator" w:id="0">
    <w:p w:rsidR="009765E2" w:rsidRDefault="0097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92" w:rsidRDefault="0012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92" w:rsidRDefault="00125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92" w:rsidRDefault="0012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E2" w:rsidRDefault="009765E2">
      <w:r>
        <w:separator/>
      </w:r>
    </w:p>
  </w:footnote>
  <w:footnote w:type="continuationSeparator" w:id="0">
    <w:p w:rsidR="009765E2" w:rsidRDefault="009765E2">
      <w:r>
        <w:continuationSeparator/>
      </w:r>
    </w:p>
  </w:footnote>
  <w:footnote w:id="1">
    <w:p w:rsidR="008727E5" w:rsidRPr="00AA4F31" w:rsidRDefault="008727E5" w:rsidP="00A40002">
      <w:pPr>
        <w:pStyle w:val="FootnoteText"/>
        <w:tabs>
          <w:tab w:val="clear" w:pos="720"/>
        </w:tabs>
        <w:spacing w:after="120"/>
        <w:rPr>
          <w:sz w:val="20"/>
        </w:rPr>
      </w:pPr>
      <w:r w:rsidRPr="00AA4F31">
        <w:rPr>
          <w:rStyle w:val="FootnoteReference"/>
          <w:sz w:val="20"/>
        </w:rPr>
        <w:footnoteRef/>
      </w:r>
      <w:r w:rsidRPr="00AA4F31">
        <w:rPr>
          <w:sz w:val="20"/>
        </w:rPr>
        <w:t xml:space="preserve"> </w:t>
      </w:r>
      <w:r w:rsidRPr="00AA4F31">
        <w:rPr>
          <w:i/>
          <w:sz w:val="20"/>
        </w:rPr>
        <w:t>See</w:t>
      </w:r>
      <w:r w:rsidRPr="00AA4F31">
        <w:rPr>
          <w:sz w:val="20"/>
        </w:rPr>
        <w:t xml:space="preserve"> 47 C.F.R. § 12.4(a)(4) (defining Covered 911 Service Providers as entities that “[p]rovide[] 911, E911, or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or that “[o]perate[] one or more central offices that directly serve a PSAP”).</w:t>
      </w:r>
    </w:p>
  </w:footnote>
  <w:footnote w:id="2">
    <w:p w:rsidR="009765E2" w:rsidRPr="00AA4F31" w:rsidRDefault="009765E2" w:rsidP="00A40002">
      <w:pPr>
        <w:pStyle w:val="FootnoteText"/>
        <w:tabs>
          <w:tab w:val="clear" w:pos="720"/>
        </w:tabs>
        <w:spacing w:after="120"/>
        <w:rPr>
          <w:sz w:val="20"/>
        </w:rPr>
      </w:pPr>
      <w:r w:rsidRPr="00AA4F31">
        <w:rPr>
          <w:rStyle w:val="FootnoteReference"/>
          <w:sz w:val="20"/>
        </w:rPr>
        <w:footnoteRef/>
      </w:r>
      <w:r w:rsidRPr="00AA4F31">
        <w:rPr>
          <w:sz w:val="20"/>
        </w:rPr>
        <w:t xml:space="preserve"> </w:t>
      </w:r>
      <w:r w:rsidRPr="00AA4F31">
        <w:rPr>
          <w:i/>
          <w:sz w:val="20"/>
        </w:rPr>
        <w:t xml:space="preserve">See </w:t>
      </w:r>
      <w:r w:rsidR="008727E5" w:rsidRPr="00AA4F31">
        <w:rPr>
          <w:sz w:val="20"/>
        </w:rPr>
        <w:t xml:space="preserve">47 C.F.R. § 12.4; </w:t>
      </w:r>
      <w:r w:rsidRPr="00AA4F31">
        <w:rPr>
          <w:i/>
          <w:sz w:val="20"/>
        </w:rPr>
        <w:t>Improving 911 Reliability; Reliability and Continuity of Communications Networks, Including Broadband Technologies</w:t>
      </w:r>
      <w:r w:rsidRPr="00AA4F31">
        <w:rPr>
          <w:sz w:val="20"/>
        </w:rPr>
        <w:t xml:space="preserve">, PS Docket Nos. 13-75, 11-60, Report and Order, 28 FCC Rcd 17476 (2013), </w:t>
      </w:r>
      <w:r w:rsidRPr="00AA4F31">
        <w:rPr>
          <w:i/>
          <w:sz w:val="20"/>
        </w:rPr>
        <w:t>available at</w:t>
      </w:r>
      <w:r w:rsidRPr="00AA4F31">
        <w:rPr>
          <w:sz w:val="20"/>
        </w:rPr>
        <w:t xml:space="preserve"> </w:t>
      </w:r>
      <w:hyperlink r:id="rId1" w:history="1">
        <w:r w:rsidRPr="00AA4F31">
          <w:rPr>
            <w:rStyle w:val="Hyperlink"/>
            <w:sz w:val="20"/>
          </w:rPr>
          <w:t>http://transition.fcc.gov/Daily_Releases/Daily_Business/2013/db1212/FCC-13-158A1.pdf</w:t>
        </w:r>
      </w:hyperlink>
      <w:r w:rsidRPr="00AA4F31">
        <w:rPr>
          <w:sz w:val="20"/>
        </w:rPr>
        <w:t>.  This collection of information has been approved by the Office of Management and Budget (OMB) under control number 3060-1202.</w:t>
      </w:r>
    </w:p>
  </w:footnote>
  <w:footnote w:id="3">
    <w:p w:rsidR="008727E5" w:rsidRPr="00AA4F31" w:rsidRDefault="008727E5" w:rsidP="00A40002">
      <w:pPr>
        <w:pStyle w:val="FootnoteText"/>
        <w:tabs>
          <w:tab w:val="clear" w:pos="720"/>
        </w:tabs>
        <w:spacing w:after="120"/>
        <w:rPr>
          <w:sz w:val="20"/>
        </w:rPr>
      </w:pPr>
      <w:r w:rsidRPr="00AA4F31">
        <w:rPr>
          <w:rStyle w:val="FootnoteReference"/>
          <w:sz w:val="20"/>
        </w:rPr>
        <w:footnoteRef/>
      </w:r>
      <w:r w:rsidRPr="00AA4F31">
        <w:rPr>
          <w:sz w:val="20"/>
        </w:rPr>
        <w:t xml:space="preserve"> 47 C.F.R. § 12.4(b)</w:t>
      </w:r>
      <w:r w:rsidR="001C0B75" w:rsidRPr="00AA4F31">
        <w:rPr>
          <w:sz w:val="20"/>
        </w:rPr>
        <w:t>.</w:t>
      </w:r>
    </w:p>
  </w:footnote>
  <w:footnote w:id="4">
    <w:p w:rsidR="008727E5" w:rsidRPr="00AA4F31" w:rsidRDefault="008727E5" w:rsidP="00A40002">
      <w:pPr>
        <w:pStyle w:val="FootnoteText"/>
        <w:tabs>
          <w:tab w:val="clear" w:pos="720"/>
        </w:tabs>
        <w:spacing w:after="120"/>
        <w:rPr>
          <w:sz w:val="20"/>
        </w:rPr>
      </w:pPr>
      <w:r w:rsidRPr="00AA4F31">
        <w:rPr>
          <w:rStyle w:val="FootnoteReference"/>
          <w:sz w:val="20"/>
        </w:rPr>
        <w:footnoteRef/>
      </w:r>
      <w:r w:rsidRPr="00AA4F31">
        <w:rPr>
          <w:sz w:val="20"/>
        </w:rPr>
        <w:t xml:space="preserve"> 47 C.F.R. § 12.4(c).</w:t>
      </w:r>
    </w:p>
  </w:footnote>
  <w:footnote w:id="5">
    <w:p w:rsidR="009765E2" w:rsidRPr="00AA4F31" w:rsidRDefault="009765E2" w:rsidP="00A40002">
      <w:pPr>
        <w:pStyle w:val="FootnoteText"/>
        <w:tabs>
          <w:tab w:val="clear" w:pos="720"/>
        </w:tabs>
        <w:spacing w:after="120"/>
        <w:rPr>
          <w:sz w:val="20"/>
        </w:rPr>
      </w:pPr>
      <w:r w:rsidRPr="00AA4F31">
        <w:rPr>
          <w:rStyle w:val="FootnoteReference"/>
          <w:sz w:val="20"/>
        </w:rPr>
        <w:footnoteRef/>
      </w:r>
      <w:r w:rsidRPr="00AA4F31">
        <w:rPr>
          <w:sz w:val="20"/>
        </w:rPr>
        <w:t xml:space="preserve"> </w:t>
      </w:r>
      <w:r w:rsidRPr="00AA4F31">
        <w:rPr>
          <w:i/>
          <w:sz w:val="20"/>
        </w:rPr>
        <w:t>See Public Safety and Homeland Security Bureau Announces Effective Dates of 911 Reliability Certification and PSAP Outage Notification Requirements</w:t>
      </w:r>
      <w:r w:rsidRPr="00AA4F31">
        <w:rPr>
          <w:sz w:val="20"/>
        </w:rPr>
        <w:t xml:space="preserve">, Public Notice, DA 14-1664 (2014), </w:t>
      </w:r>
      <w:r w:rsidRPr="00AA4F31">
        <w:rPr>
          <w:i/>
          <w:sz w:val="20"/>
        </w:rPr>
        <w:t>available at</w:t>
      </w:r>
      <w:r w:rsidRPr="00AA4F31">
        <w:rPr>
          <w:sz w:val="20"/>
        </w:rPr>
        <w:t xml:space="preserve"> </w:t>
      </w:r>
      <w:hyperlink r:id="rId2" w:history="1">
        <w:r w:rsidRPr="00AA4F31">
          <w:rPr>
            <w:rStyle w:val="Hyperlink"/>
            <w:sz w:val="20"/>
          </w:rPr>
          <w:t>https://apps.fcc.gov/edocs_public/attachmatch/DA-14-1664A1.pdf</w:t>
        </w:r>
      </w:hyperlink>
      <w:r w:rsidRPr="00AA4F31">
        <w:rPr>
          <w:sz w:val="20"/>
        </w:rPr>
        <w:t xml:space="preserve">. </w:t>
      </w:r>
    </w:p>
  </w:footnote>
  <w:footnote w:id="6">
    <w:p w:rsidR="009765E2" w:rsidRPr="00AA4F31" w:rsidRDefault="009765E2" w:rsidP="00A40002">
      <w:pPr>
        <w:pStyle w:val="FootnoteText"/>
        <w:tabs>
          <w:tab w:val="clear" w:pos="720"/>
        </w:tabs>
        <w:spacing w:after="120"/>
        <w:rPr>
          <w:sz w:val="20"/>
        </w:rPr>
      </w:pPr>
      <w:r w:rsidRPr="00AA4F31">
        <w:rPr>
          <w:rStyle w:val="FootnoteReference"/>
          <w:sz w:val="20"/>
        </w:rPr>
        <w:footnoteRef/>
      </w:r>
      <w:r w:rsidRPr="00AA4F31">
        <w:rPr>
          <w:sz w:val="20"/>
        </w:rPr>
        <w:t xml:space="preserve"> 47 C.F.R. § 12.4(d)(1).</w:t>
      </w:r>
    </w:p>
  </w:footnote>
  <w:footnote w:id="7">
    <w:p w:rsidR="009765E2" w:rsidRPr="00AA4F31" w:rsidRDefault="009765E2" w:rsidP="00A40002">
      <w:pPr>
        <w:pStyle w:val="FootnoteText"/>
        <w:tabs>
          <w:tab w:val="clear" w:pos="720"/>
        </w:tabs>
        <w:spacing w:after="120"/>
        <w:rPr>
          <w:sz w:val="20"/>
        </w:rPr>
      </w:pPr>
      <w:r w:rsidRPr="00AA4F31">
        <w:rPr>
          <w:rStyle w:val="FootnoteReference"/>
          <w:sz w:val="20"/>
        </w:rPr>
        <w:footnoteRef/>
      </w:r>
      <w:r w:rsidRPr="00AA4F31">
        <w:rPr>
          <w:sz w:val="20"/>
        </w:rPr>
        <w:t xml:space="preserve"> </w:t>
      </w:r>
      <w:r w:rsidRPr="00AA4F31">
        <w:rPr>
          <w:i/>
          <w:sz w:val="20"/>
        </w:rPr>
        <w:t xml:space="preserve">Improving 911 Reliability, et al., </w:t>
      </w:r>
      <w:r w:rsidRPr="00AA4F31">
        <w:rPr>
          <w:sz w:val="20"/>
        </w:rPr>
        <w:t xml:space="preserve">Order on Reconsideration, PS Docket Nos. 13-75, 11-60, FCC 15-95 (rel. July 30, 2015), </w:t>
      </w:r>
      <w:r w:rsidRPr="00AA4F31">
        <w:rPr>
          <w:i/>
          <w:sz w:val="20"/>
        </w:rPr>
        <w:t>available at</w:t>
      </w:r>
      <w:r w:rsidRPr="00AA4F31">
        <w:rPr>
          <w:sz w:val="20"/>
        </w:rPr>
        <w:t xml:space="preserve"> </w:t>
      </w:r>
      <w:hyperlink r:id="rId3" w:history="1">
        <w:r w:rsidRPr="00AA4F31">
          <w:rPr>
            <w:rStyle w:val="Hyperlink"/>
            <w:sz w:val="20"/>
          </w:rPr>
          <w:t>https://www.fcc.gov/document/911-reliability-certification-order-reconsideration</w:t>
        </w:r>
      </w:hyperlink>
      <w:r w:rsidRPr="00AA4F31">
        <w:rPr>
          <w:sz w:val="20"/>
        </w:rPr>
        <w:t xml:space="preserve">. </w:t>
      </w:r>
    </w:p>
  </w:footnote>
  <w:footnote w:id="8">
    <w:p w:rsidR="009765E2" w:rsidRPr="00AA4F31" w:rsidRDefault="009765E2" w:rsidP="00A40002">
      <w:pPr>
        <w:pStyle w:val="FootnoteText"/>
        <w:tabs>
          <w:tab w:val="clear" w:pos="720"/>
        </w:tabs>
        <w:spacing w:after="120"/>
        <w:rPr>
          <w:sz w:val="20"/>
        </w:rPr>
      </w:pPr>
      <w:r w:rsidRPr="00AA4F31">
        <w:rPr>
          <w:rStyle w:val="FootnoteReference"/>
          <w:sz w:val="20"/>
        </w:rPr>
        <w:footnoteRef/>
      </w:r>
      <w:r w:rsidRPr="00AA4F31">
        <w:rPr>
          <w:sz w:val="20"/>
        </w:rPr>
        <w:t xml:space="preserve"> As with the Commission’s Network Outage Reporting System (NORS), there are two types of users: inputters and coordinators.  Inputters only have access to information that they have submitted, while coordinators have access to all information submitted by their company. Users responsible for limited portions of a company’s certification (</w:t>
      </w:r>
      <w:r w:rsidRPr="00AA4F31">
        <w:rPr>
          <w:i/>
          <w:sz w:val="20"/>
        </w:rPr>
        <w:t>e.g.</w:t>
      </w:r>
      <w:r w:rsidRPr="00AA4F31">
        <w:rPr>
          <w:sz w:val="20"/>
        </w:rPr>
        <w:t>, particular service areas or topics such as circuit diversity, backup power, or network monitoring) should register as inputters, while users responsible for overseeing each company’s certification as a whole should send a request to David Ahn (</w:t>
      </w:r>
      <w:hyperlink r:id="rId4" w:history="1">
        <w:r w:rsidRPr="00AA4F31">
          <w:rPr>
            <w:rStyle w:val="Hyperlink"/>
            <w:sz w:val="20"/>
          </w:rPr>
          <w:t>david.ahn@fcc.gov</w:t>
        </w:r>
      </w:hyperlink>
      <w:r w:rsidRPr="00AA4F31">
        <w:rPr>
          <w:sz w:val="20"/>
        </w:rPr>
        <w:t>) or to John Healy (</w:t>
      </w:r>
      <w:hyperlink r:id="rId5" w:history="1">
        <w:r w:rsidRPr="00AA4F31">
          <w:rPr>
            <w:rStyle w:val="Hyperlink"/>
            <w:sz w:val="20"/>
          </w:rPr>
          <w:t>john.healy@fcc.gov</w:t>
        </w:r>
      </w:hyperlink>
      <w:r w:rsidRPr="00AA4F31">
        <w:rPr>
          <w:sz w:val="20"/>
        </w:rPr>
        <w:t>) to be upgraded to coordinator status.  For security purposes, these upgrades are done on a case-by-case basis.</w:t>
      </w:r>
    </w:p>
  </w:footnote>
  <w:footnote w:id="9">
    <w:p w:rsidR="009765E2" w:rsidRPr="00AA4F31" w:rsidRDefault="009765E2" w:rsidP="00A40002">
      <w:pPr>
        <w:pStyle w:val="FootnoteText"/>
        <w:tabs>
          <w:tab w:val="clear" w:pos="720"/>
        </w:tabs>
        <w:spacing w:after="120"/>
        <w:rPr>
          <w:sz w:val="20"/>
        </w:rPr>
      </w:pPr>
      <w:r w:rsidRPr="00AA4F31">
        <w:rPr>
          <w:rStyle w:val="FootnoteReference"/>
          <w:sz w:val="20"/>
        </w:rPr>
        <w:footnoteRef/>
      </w:r>
      <w:r w:rsidRPr="00AA4F31">
        <w:rPr>
          <w:sz w:val="20"/>
        </w:rPr>
        <w:t xml:space="preserve"> Please note that only users registered as coordinators will have access to the Excel upload and download capability.</w:t>
      </w:r>
    </w:p>
  </w:footnote>
  <w:footnote w:id="10">
    <w:p w:rsidR="009765E2" w:rsidRPr="00AA4F31" w:rsidRDefault="009765E2" w:rsidP="00A40002">
      <w:pPr>
        <w:pStyle w:val="FootnoteText"/>
        <w:tabs>
          <w:tab w:val="clear" w:pos="720"/>
        </w:tabs>
        <w:spacing w:after="120"/>
        <w:rPr>
          <w:sz w:val="20"/>
        </w:rPr>
      </w:pPr>
      <w:r w:rsidRPr="00AA4F31">
        <w:rPr>
          <w:rStyle w:val="FootnoteReference"/>
          <w:sz w:val="20"/>
        </w:rPr>
        <w:footnoteRef/>
      </w:r>
      <w:r w:rsidRPr="00AA4F31">
        <w:rPr>
          <w:sz w:val="20"/>
        </w:rPr>
        <w:t xml:space="preserve"> </w:t>
      </w:r>
      <w:r w:rsidRPr="00AA4F31">
        <w:rPr>
          <w:i/>
          <w:sz w:val="20"/>
        </w:rPr>
        <w:t xml:space="preserve">See </w:t>
      </w:r>
      <w:r w:rsidRPr="00AA4F31">
        <w:rPr>
          <w:sz w:val="20"/>
        </w:rPr>
        <w:t>47 C.F.R. § 12.4(a)(2)-(3) (defining Certifying Official as “[a] corporate officer . . . with supervisory and budgetary authority over network operations in all relevant service areas” and explaining attestation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92" w:rsidRDefault="0012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92" w:rsidRDefault="00125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Pr="001C0B75" w:rsidRDefault="009765E2" w:rsidP="001C0B75">
    <w:pPr>
      <w:pStyle w:val="Header"/>
      <w:tabs>
        <w:tab w:val="clear" w:pos="4320"/>
        <w:tab w:val="clear" w:pos="8640"/>
      </w:tabs>
      <w:spacing w:before="40"/>
      <w:ind w:firstLine="990"/>
      <w:rPr>
        <w:rFonts w:ascii="Arial" w:hAnsi="Arial" w:cs="Arial"/>
        <w:b/>
        <w:kern w:val="28"/>
        <w:sz w:val="96"/>
        <w:szCs w:val="96"/>
      </w:rPr>
    </w:pPr>
    <w:r>
      <w:rPr>
        <w:rFonts w:ascii="News Gothic MT" w:hAnsi="News Gothic MT"/>
        <w:b/>
        <w:noProof/>
        <w:sz w:val="24"/>
      </w:rPr>
      <w:drawing>
        <wp:anchor distT="0" distB="0" distL="114300" distR="114300" simplePos="0" relativeHeight="251654144" behindDoc="1" locked="0" layoutInCell="0" allowOverlap="1">
          <wp:simplePos x="0" y="0"/>
          <wp:positionH relativeFrom="column">
            <wp:posOffset>446405</wp:posOffset>
          </wp:positionH>
          <wp:positionV relativeFrom="paragraph">
            <wp:posOffset>112395</wp:posOffset>
          </wp:positionV>
          <wp:extent cx="530225" cy="530225"/>
          <wp:effectExtent l="0" t="0" r="3175" b="3175"/>
          <wp:wrapNone/>
          <wp:docPr id="14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75">
      <w:rPr>
        <w:rFonts w:ascii="News Gothic MT" w:hAnsi="News Gothic MT"/>
        <w:b/>
        <w:kern w:val="28"/>
        <w:sz w:val="96"/>
      </w:rPr>
      <w:t xml:space="preserve">  </w:t>
    </w:r>
    <w:r w:rsidR="00602577" w:rsidRPr="001C0B75">
      <w:rPr>
        <w:rFonts w:ascii="Arial" w:hAnsi="Arial" w:cs="Arial"/>
        <w:b/>
        <w:kern w:val="28"/>
        <w:sz w:val="96"/>
        <w:szCs w:val="96"/>
      </w:rPr>
      <w:t>PUBLIC NOTICE</w:t>
    </w:r>
  </w:p>
  <w:p w:rsidR="00602577" w:rsidRDefault="001C0B75">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9264" behindDoc="0" locked="0" layoutInCell="0" allowOverlap="1" wp14:anchorId="0BE77DFF" wp14:editId="4AD95FB3">
              <wp:simplePos x="0" y="0"/>
              <wp:positionH relativeFrom="margin">
                <wp:align>right</wp:align>
              </wp:positionH>
              <wp:positionV relativeFrom="paragraph">
                <wp:posOffset>130175</wp:posOffset>
              </wp:positionV>
              <wp:extent cx="2640965" cy="548640"/>
              <wp:effectExtent l="0" t="0" r="698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E77DFF" id="_x0000_t202" coordsize="21600,21600" o:spt="202" path="m,l,21600r21600,l21600,xe">
              <v:stroke joinstyle="miter"/>
              <v:path gradientshapeok="t" o:connecttype="rect"/>
            </v:shapetype>
            <v:shape id="Text Box 5" o:spid="_x0000_s1026" type="#_x0000_t202" style="position:absolute;left:0;text-align:left;margin-left:156.75pt;margin-top:10.25pt;width:207.95pt;height:4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r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w10:wrap anchorx="margin"/>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E4D10B0" wp14:editId="5D85FF96">
              <wp:simplePos x="0" y="0"/>
              <wp:positionH relativeFrom="column">
                <wp:posOffset>47513</wp:posOffset>
              </wp:positionH>
              <wp:positionV relativeFrom="paragraph">
                <wp:posOffset>15838</wp:posOffset>
              </wp:positionV>
              <wp:extent cx="3108960" cy="640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D10B0" id="Text Box 2" o:spid="_x0000_s1027" type="#_x0000_t202" style="position:absolute;left:0;text-align:left;margin-left:3.75pt;margin-top:1.2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pQ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9765E2">
      <w:rPr>
        <w:rFonts w:ascii="Arial" w:hAnsi="Arial"/>
        <w:b/>
        <w:noProof/>
      </w:rPr>
      <mc:AlternateContent>
        <mc:Choice Requires="wps">
          <w:drawing>
            <wp:anchor distT="0" distB="0" distL="114300" distR="114300" simplePos="0" relativeHeight="251657216" behindDoc="0" locked="0" layoutInCell="0" allowOverlap="1" wp14:anchorId="78AAFA8D" wp14:editId="525AE3FD">
              <wp:simplePos x="0" y="0"/>
              <wp:positionH relativeFrom="margin">
                <wp:align>right</wp:align>
              </wp:positionH>
              <wp:positionV relativeFrom="paragraph">
                <wp:posOffset>700405</wp:posOffset>
              </wp:positionV>
              <wp:extent cx="5886450" cy="2540"/>
              <wp:effectExtent l="0" t="0" r="19050" b="355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58668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2.3pt,55.15pt" to="875.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hJFgIAACs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" o:allowincell="f">
              <w10:wrap anchorx="margin"/>
            </v:line>
          </w:pict>
        </mc:Fallback>
      </mc:AlternateContent>
    </w:r>
  </w:p>
  <w:p w:rsidR="00602577" w:rsidRDefault="00602577" w:rsidP="001C0B75">
    <w:pPr>
      <w:pStyle w:val="Header"/>
      <w:tabs>
        <w:tab w:val="clear" w:pos="4320"/>
        <w:tab w:val="clear" w:pos="8640"/>
        <w:tab w:val="left" w:pos="1080"/>
      </w:tabs>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E2" w:rsidRPr="009B370B" w:rsidRDefault="009765E2" w:rsidP="001F1A5E">
    <w:pPr>
      <w:pStyle w:val="Header"/>
      <w:tabs>
        <w:tab w:val="clear" w:pos="4320"/>
        <w:tab w:val="clear" w:pos="8640"/>
      </w:tabs>
      <w:spacing w:before="40"/>
      <w:ind w:left="720" w:firstLine="270"/>
      <w:rPr>
        <w:rFonts w:ascii="Arial" w:hAnsi="Arial" w:cs="Arial"/>
        <w:b/>
        <w:kern w:val="28"/>
        <w:sz w:val="96"/>
      </w:rPr>
    </w:pPr>
    <w:r>
      <w:rPr>
        <w:rFonts w:ascii="News Gothic MT" w:hAnsi="News Gothic MT"/>
        <w:b/>
        <w:noProof/>
        <w:sz w:val="24"/>
      </w:rPr>
      <w:drawing>
        <wp:anchor distT="0" distB="0" distL="114300" distR="114300" simplePos="0" relativeHeight="251661312" behindDoc="1" locked="0" layoutInCell="0" allowOverlap="1" wp14:anchorId="5E053051" wp14:editId="081B7489">
          <wp:simplePos x="0" y="0"/>
          <wp:positionH relativeFrom="column">
            <wp:posOffset>443865</wp:posOffset>
          </wp:positionH>
          <wp:positionV relativeFrom="paragraph">
            <wp:posOffset>108585</wp:posOffset>
          </wp:positionV>
          <wp:extent cx="530225" cy="530225"/>
          <wp:effectExtent l="0" t="0" r="3175" b="3175"/>
          <wp:wrapNone/>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9B370B">
      <w:rPr>
        <w:rFonts w:ascii="Arial" w:hAnsi="Arial" w:cs="Arial"/>
        <w:b/>
        <w:kern w:val="28"/>
        <w:sz w:val="96"/>
      </w:rPr>
      <w:t>PUBLIC NOTICE</w:t>
    </w:r>
  </w:p>
  <w:p w:rsidR="009765E2" w:rsidRDefault="009765E2" w:rsidP="001F1A5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0" allowOverlap="1" wp14:anchorId="20526ED5" wp14:editId="1572AAA9">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82149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5168" behindDoc="1" locked="0" layoutInCell="0" allowOverlap="1" wp14:anchorId="6B09E198" wp14:editId="75207A01">
              <wp:simplePos x="0" y="0"/>
              <wp:positionH relativeFrom="column">
                <wp:posOffset>381635</wp:posOffset>
              </wp:positionH>
              <wp:positionV relativeFrom="page">
                <wp:posOffset>1183005</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E2" w:rsidRDefault="009765E2" w:rsidP="001F1A5E">
                          <w:pPr>
                            <w:rPr>
                              <w:rFonts w:ascii="Arial" w:hAnsi="Arial"/>
                              <w:b/>
                            </w:rPr>
                          </w:pPr>
                          <w:r>
                            <w:rPr>
                              <w:rFonts w:ascii="Arial" w:hAnsi="Arial"/>
                              <w:b/>
                            </w:rPr>
                            <w:t>Federal Communications Commission</w:t>
                          </w:r>
                        </w:p>
                        <w:p w:rsidR="009765E2" w:rsidRDefault="009765E2" w:rsidP="001F1A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765E2" w:rsidRDefault="009765E2" w:rsidP="001F1A5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09E198" id="_x0000_t202" coordsize="21600,21600" o:spt="202" path="m,l,21600r21600,l21600,xe">
              <v:stroke joinstyle="miter"/>
              <v:path gradientshapeok="t" o:connecttype="rect"/>
            </v:shapetype>
            <v:shape id="_x0000_s1028" type="#_x0000_t202" style="position:absolute;left:0;text-align:left;margin-left:30.05pt;margin-top:93.15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" o:allowincell="f" stroked="f">
              <v:textbox>
                <w:txbxContent>
                  <w:p w:rsidR="009765E2" w:rsidRDefault="009765E2" w:rsidP="001F1A5E">
                    <w:pPr>
                      <w:rPr>
                        <w:rFonts w:ascii="Arial" w:hAnsi="Arial"/>
                        <w:b/>
                      </w:rPr>
                    </w:pPr>
                    <w:r>
                      <w:rPr>
                        <w:rFonts w:ascii="Arial" w:hAnsi="Arial"/>
                        <w:b/>
                      </w:rPr>
                      <w:t>Federal Communications Commission</w:t>
                    </w:r>
                  </w:p>
                  <w:p w:rsidR="009765E2" w:rsidRDefault="009765E2" w:rsidP="001F1A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765E2" w:rsidRDefault="009765E2" w:rsidP="001F1A5E">
                    <w:pPr>
                      <w:rPr>
                        <w:rFonts w:ascii="Arial" w:hAnsi="Arial"/>
                        <w:sz w:val="24"/>
                      </w:rPr>
                    </w:pPr>
                    <w:r>
                      <w:rPr>
                        <w:rFonts w:ascii="Arial" w:hAnsi="Arial"/>
                        <w:b/>
                      </w:rPr>
                      <w:t>Washington, D.C. 20554</w:t>
                    </w:r>
                  </w:p>
                </w:txbxContent>
              </v:textbox>
              <w10:wrap anchory="page"/>
            </v:shape>
          </w:pict>
        </mc:Fallback>
      </mc:AlternateContent>
    </w:r>
    <w:r>
      <w:rPr>
        <w:rFonts w:ascii="News Gothic MT" w:hAnsi="News Gothic MT"/>
        <w:b/>
        <w:noProof/>
        <w:sz w:val="24"/>
      </w:rPr>
      <mc:AlternateContent>
        <mc:Choice Requires="wps">
          <w:drawing>
            <wp:anchor distT="0" distB="0" distL="114300" distR="114300" simplePos="0" relativeHeight="251660288" behindDoc="1" locked="0" layoutInCell="0" allowOverlap="1" wp14:anchorId="79F566E1" wp14:editId="5678C2F1">
              <wp:simplePos x="0" y="0"/>
              <wp:positionH relativeFrom="column">
                <wp:posOffset>3823970</wp:posOffset>
              </wp:positionH>
              <wp:positionV relativeFrom="page">
                <wp:posOffset>1311910</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E2" w:rsidRDefault="009765E2" w:rsidP="001F1A5E">
                          <w:pPr>
                            <w:spacing w:before="40"/>
                            <w:jc w:val="right"/>
                            <w:rPr>
                              <w:rFonts w:ascii="Arial" w:hAnsi="Arial"/>
                              <w:b/>
                              <w:sz w:val="16"/>
                            </w:rPr>
                          </w:pPr>
                          <w:r>
                            <w:rPr>
                              <w:rFonts w:ascii="Arial" w:hAnsi="Arial"/>
                              <w:b/>
                              <w:sz w:val="16"/>
                            </w:rPr>
                            <w:t>News Media Information 202 / 418-0500</w:t>
                          </w:r>
                        </w:p>
                        <w:p w:rsidR="009765E2" w:rsidRDefault="009765E2" w:rsidP="001F1A5E">
                          <w:pPr>
                            <w:jc w:val="right"/>
                            <w:rPr>
                              <w:rFonts w:ascii="Arial" w:hAnsi="Arial"/>
                              <w:b/>
                              <w:sz w:val="16"/>
                            </w:rPr>
                          </w:pPr>
                          <w:r>
                            <w:rPr>
                              <w:rFonts w:ascii="Arial" w:hAnsi="Arial"/>
                              <w:b/>
                              <w:sz w:val="16"/>
                            </w:rPr>
                            <w:tab/>
                            <w:t>Internet: http://www.fcc.gov</w:t>
                          </w:r>
                        </w:p>
                        <w:p w:rsidR="009765E2" w:rsidRDefault="009765E2" w:rsidP="001F1A5E">
                          <w:pPr>
                            <w:jc w:val="right"/>
                            <w:rPr>
                              <w:rFonts w:ascii="Arial" w:hAnsi="Arial"/>
                              <w:b/>
                              <w:sz w:val="16"/>
                            </w:rPr>
                          </w:pPr>
                          <w:r>
                            <w:rPr>
                              <w:rFonts w:ascii="Arial" w:hAnsi="Arial"/>
                              <w:b/>
                              <w:sz w:val="16"/>
                            </w:rPr>
                            <w:t>TTY: 1-888-835-5322</w:t>
                          </w:r>
                        </w:p>
                        <w:p w:rsidR="009765E2" w:rsidRDefault="009765E2" w:rsidP="001F1A5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F566E1" id="_x0000_s1029" type="#_x0000_t202" style="position:absolute;left:0;text-align:left;margin-left:301.1pt;margin-top:103.3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" o:allowincell="f" stroked="f">
              <v:textbox inset=",0,,0">
                <w:txbxContent>
                  <w:p w:rsidR="009765E2" w:rsidRDefault="009765E2" w:rsidP="001F1A5E">
                    <w:pPr>
                      <w:spacing w:before="40"/>
                      <w:jc w:val="right"/>
                      <w:rPr>
                        <w:rFonts w:ascii="Arial" w:hAnsi="Arial"/>
                        <w:b/>
                        <w:sz w:val="16"/>
                      </w:rPr>
                    </w:pPr>
                    <w:r>
                      <w:rPr>
                        <w:rFonts w:ascii="Arial" w:hAnsi="Arial"/>
                        <w:b/>
                        <w:sz w:val="16"/>
                      </w:rPr>
                      <w:t>News Media Information 202 / 418-0500</w:t>
                    </w:r>
                  </w:p>
                  <w:p w:rsidR="009765E2" w:rsidRDefault="009765E2" w:rsidP="001F1A5E">
                    <w:pPr>
                      <w:jc w:val="right"/>
                      <w:rPr>
                        <w:rFonts w:ascii="Arial" w:hAnsi="Arial"/>
                        <w:b/>
                        <w:sz w:val="16"/>
                      </w:rPr>
                    </w:pPr>
                    <w:r>
                      <w:rPr>
                        <w:rFonts w:ascii="Arial" w:hAnsi="Arial"/>
                        <w:b/>
                        <w:sz w:val="16"/>
                      </w:rPr>
                      <w:tab/>
                      <w:t>Internet: http://www.fcc.gov</w:t>
                    </w:r>
                  </w:p>
                  <w:p w:rsidR="009765E2" w:rsidRDefault="009765E2" w:rsidP="001F1A5E">
                    <w:pPr>
                      <w:jc w:val="right"/>
                      <w:rPr>
                        <w:rFonts w:ascii="Arial" w:hAnsi="Arial"/>
                        <w:b/>
                        <w:sz w:val="16"/>
                      </w:rPr>
                    </w:pPr>
                    <w:r>
                      <w:rPr>
                        <w:rFonts w:ascii="Arial" w:hAnsi="Arial"/>
                        <w:b/>
                        <w:sz w:val="16"/>
                      </w:rPr>
                      <w:t>TTY: 1-888-835-5322</w:t>
                    </w:r>
                  </w:p>
                  <w:p w:rsidR="009765E2" w:rsidRDefault="009765E2" w:rsidP="001F1A5E">
                    <w:pPr>
                      <w:jc w:val="right"/>
                    </w:pPr>
                  </w:p>
                </w:txbxContent>
              </v:textbox>
              <w10:wrap anchory="page"/>
            </v:shape>
          </w:pict>
        </mc:Fallback>
      </mc:AlternateContent>
    </w:r>
  </w:p>
  <w:p w:rsidR="009765E2" w:rsidRDefault="009765E2" w:rsidP="001F1A5E">
    <w:pPr>
      <w:pStyle w:val="Header"/>
      <w:tabs>
        <w:tab w:val="clear" w:pos="4320"/>
        <w:tab w:val="clear" w:pos="8640"/>
        <w:tab w:val="left" w:pos="1080"/>
      </w:tabs>
      <w:ind w:left="720"/>
      <w:rPr>
        <w:rFonts w:ascii="Arial" w:hAnsi="Arial"/>
        <w:b/>
        <w:sz w:val="24"/>
      </w:rPr>
    </w:pPr>
  </w:p>
  <w:p w:rsidR="009765E2" w:rsidRDefault="00976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E2"/>
    <w:rsid w:val="00015C50"/>
    <w:rsid w:val="000265AE"/>
    <w:rsid w:val="00125D92"/>
    <w:rsid w:val="001C0B75"/>
    <w:rsid w:val="00524E9C"/>
    <w:rsid w:val="00602577"/>
    <w:rsid w:val="007D2BB5"/>
    <w:rsid w:val="008727E5"/>
    <w:rsid w:val="009765E2"/>
    <w:rsid w:val="00A40002"/>
    <w:rsid w:val="00AA4F31"/>
    <w:rsid w:val="00BB30B2"/>
    <w:rsid w:val="00D17DC0"/>
    <w:rsid w:val="00D60EFF"/>
    <w:rsid w:val="00F0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link w:val="FootnoteText"/>
    <w:semiHidden/>
    <w:rsid w:val="009765E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link w:val="FootnoteText"/>
    <w:semiHidden/>
    <w:rsid w:val="009765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ric.schmidt@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ohn.healy@fcc.gov" TargetMode="External"/><Relationship Id="rId2" Type="http://schemas.openxmlformats.org/officeDocument/2006/relationships/styles" Target="styles.xml"/><Relationship Id="rId16" Type="http://schemas.openxmlformats.org/officeDocument/2006/relationships/hyperlink" Target="https://apps2.fcc.gov/rcs911/911RCS_FAQ.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2.fcc.gov/rcs911/"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2.fcc.gov/rcs91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cc.gov/document/911-reliability-certification-order-reconsideration" TargetMode="External"/><Relationship Id="rId2" Type="http://schemas.openxmlformats.org/officeDocument/2006/relationships/hyperlink" Target="https://apps.fcc.gov/edocs_public/attachmatch/DA-14-1664A1.pdf" TargetMode="External"/><Relationship Id="rId1" Type="http://schemas.openxmlformats.org/officeDocument/2006/relationships/hyperlink" Target="http://transition.fcc.gov/Daily_Releases/Daily_Business/2013/db1212/FCC-13-158A1.pdf" TargetMode="External"/><Relationship Id="rId5" Type="http://schemas.openxmlformats.org/officeDocument/2006/relationships/hyperlink" Target="mailto:john.healy@fcc.gov" TargetMode="External"/><Relationship Id="rId4" Type="http://schemas.openxmlformats.org/officeDocument/2006/relationships/hyperlink" Target="mailto:david.ah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468</Words>
  <Characters>2878</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3352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2015-09-15T14:42:00Z</dcterms:created>
  <dcterms:modified xsi:type="dcterms:W3CDTF">2015-09-15T14:42:00Z</dcterms:modified>
  <cp:category> </cp:category>
  <cp:contentStatus> </cp:contentStatus>
</cp:coreProperties>
</file>