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Default="00921803" w:rsidP="00921803">
      <w:pPr>
        <w:pStyle w:val="StyleBoldCentered"/>
      </w:pPr>
      <w:r>
        <w:t>F</w:t>
      </w:r>
      <w:r>
        <w:rPr>
          <w:caps w:val="0"/>
        </w:rPr>
        <w:t>ederal Communications Commission</w:t>
      </w:r>
    </w:p>
    <w:p w:rsidR="004C2EE3" w:rsidRDefault="00810B6F" w:rsidP="00096D8C">
      <w:pPr>
        <w:pStyle w:val="StyleBoldCentered"/>
      </w:pPr>
      <w:r>
        <w:rPr>
          <w:caps w:val="0"/>
        </w:rPr>
        <w:t>Washington, D.C. 20554</w:t>
      </w:r>
    </w:p>
    <w:p w:rsidR="004C2EE3" w:rsidRDefault="004C2EE3" w:rsidP="0070224F"/>
    <w:p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tc>
          <w:tcPr>
            <w:tcW w:w="4698" w:type="dxa"/>
          </w:tcPr>
          <w:p w:rsidR="004C2EE3" w:rsidRDefault="004C2EE3">
            <w:pPr>
              <w:tabs>
                <w:tab w:val="center" w:pos="4680"/>
              </w:tabs>
              <w:suppressAutoHyphens/>
              <w:rPr>
                <w:spacing w:val="-2"/>
              </w:rPr>
            </w:pPr>
            <w:r>
              <w:rPr>
                <w:spacing w:val="-2"/>
              </w:rPr>
              <w:t>In the Matter of</w:t>
            </w:r>
          </w:p>
          <w:p w:rsidR="004C2EE3" w:rsidRDefault="004C2EE3">
            <w:pPr>
              <w:tabs>
                <w:tab w:val="center" w:pos="4680"/>
              </w:tabs>
              <w:suppressAutoHyphens/>
              <w:rPr>
                <w:spacing w:val="-2"/>
              </w:rPr>
            </w:pPr>
          </w:p>
          <w:p w:rsidR="001A5836" w:rsidRDefault="001A5836" w:rsidP="001A5836">
            <w:pPr>
              <w:tabs>
                <w:tab w:val="center" w:pos="4680"/>
              </w:tabs>
              <w:suppressAutoHyphens/>
              <w:rPr>
                <w:spacing w:val="-2"/>
              </w:rPr>
            </w:pPr>
            <w:r>
              <w:rPr>
                <w:spacing w:val="-2"/>
              </w:rPr>
              <w:t>Special Access for Price Cap Local Exchange Carriers</w:t>
            </w:r>
          </w:p>
          <w:p w:rsidR="001A5836" w:rsidRDefault="001A5836" w:rsidP="001A5836">
            <w:pPr>
              <w:tabs>
                <w:tab w:val="center" w:pos="4680"/>
              </w:tabs>
              <w:suppressAutoHyphens/>
              <w:rPr>
                <w:spacing w:val="-2"/>
              </w:rPr>
            </w:pPr>
          </w:p>
          <w:p w:rsidR="001A5836" w:rsidRDefault="001A5836" w:rsidP="001A5836">
            <w:pPr>
              <w:tabs>
                <w:tab w:val="center" w:pos="4680"/>
              </w:tabs>
              <w:suppressAutoHyphens/>
              <w:rPr>
                <w:spacing w:val="-2"/>
              </w:rPr>
            </w:pPr>
            <w:r>
              <w:rPr>
                <w:spacing w:val="-2"/>
              </w:rPr>
              <w:t xml:space="preserve">AT&amp;T Corporation Petition for Rulemaking to Reform Regulation of Incumbent Local Exchange Carrier Rates for Interstate Special Access </w:t>
            </w:r>
          </w:p>
          <w:p w:rsidR="004C2EE3" w:rsidRPr="007115F7" w:rsidRDefault="001A5836" w:rsidP="007115F7">
            <w:pPr>
              <w:tabs>
                <w:tab w:val="center" w:pos="4680"/>
              </w:tabs>
              <w:suppressAutoHyphens/>
              <w:rPr>
                <w:spacing w:val="-2"/>
              </w:rPr>
            </w:pPr>
            <w:r>
              <w:rPr>
                <w:spacing w:val="-2"/>
              </w:rPr>
              <w:t>Services</w:t>
            </w:r>
          </w:p>
        </w:tc>
        <w:tc>
          <w:tcPr>
            <w:tcW w:w="630" w:type="dxa"/>
          </w:tcPr>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spacing w:val="-2"/>
              </w:rPr>
            </w:pPr>
            <w:r>
              <w:rPr>
                <w:b/>
                <w:spacing w:val="-2"/>
              </w:rPr>
              <w:t>)</w:t>
            </w:r>
          </w:p>
        </w:tc>
        <w:tc>
          <w:tcPr>
            <w:tcW w:w="4248" w:type="dxa"/>
          </w:tcPr>
          <w:p w:rsidR="004C2EE3" w:rsidRDefault="004C2EE3">
            <w:pPr>
              <w:tabs>
                <w:tab w:val="center" w:pos="4680"/>
              </w:tabs>
              <w:suppressAutoHyphens/>
              <w:rPr>
                <w:spacing w:val="-2"/>
              </w:rPr>
            </w:pPr>
          </w:p>
          <w:p w:rsidR="004C2EE3" w:rsidRDefault="004C2EE3">
            <w:pPr>
              <w:pStyle w:val="TOAHeading"/>
              <w:tabs>
                <w:tab w:val="clear" w:pos="9360"/>
                <w:tab w:val="center" w:pos="4680"/>
              </w:tabs>
              <w:rPr>
                <w:spacing w:val="-2"/>
              </w:rPr>
            </w:pPr>
          </w:p>
          <w:p w:rsidR="004C2EE3" w:rsidRDefault="003C7BE1">
            <w:pPr>
              <w:tabs>
                <w:tab w:val="center" w:pos="4680"/>
              </w:tabs>
              <w:suppressAutoHyphens/>
              <w:rPr>
                <w:spacing w:val="-2"/>
              </w:rPr>
            </w:pPr>
            <w:r>
              <w:rPr>
                <w:spacing w:val="-2"/>
              </w:rPr>
              <w:t>WC Docket No. 05-25</w:t>
            </w:r>
          </w:p>
          <w:p w:rsidR="001A5836" w:rsidRDefault="001A5836">
            <w:pPr>
              <w:tabs>
                <w:tab w:val="center" w:pos="4680"/>
              </w:tabs>
              <w:suppressAutoHyphens/>
              <w:rPr>
                <w:spacing w:val="-2"/>
              </w:rPr>
            </w:pPr>
          </w:p>
          <w:p w:rsidR="001A5836" w:rsidRDefault="001A5836">
            <w:pPr>
              <w:tabs>
                <w:tab w:val="center" w:pos="4680"/>
              </w:tabs>
              <w:suppressAutoHyphens/>
              <w:rPr>
                <w:spacing w:val="-2"/>
              </w:rPr>
            </w:pPr>
          </w:p>
          <w:p w:rsidR="001A5836" w:rsidRDefault="001A5836" w:rsidP="001A5836">
            <w:pPr>
              <w:tabs>
                <w:tab w:val="center" w:pos="4680"/>
              </w:tabs>
              <w:suppressAutoHyphens/>
              <w:rPr>
                <w:spacing w:val="-2"/>
              </w:rPr>
            </w:pPr>
            <w:r>
              <w:rPr>
                <w:spacing w:val="-2"/>
              </w:rPr>
              <w:t>RM-10593</w:t>
            </w:r>
          </w:p>
          <w:p w:rsidR="001A5836" w:rsidRDefault="001A5836">
            <w:pPr>
              <w:tabs>
                <w:tab w:val="center" w:pos="4680"/>
              </w:tabs>
              <w:suppressAutoHyphens/>
              <w:rPr>
                <w:spacing w:val="-2"/>
              </w:rPr>
            </w:pPr>
          </w:p>
        </w:tc>
      </w:tr>
    </w:tbl>
    <w:p w:rsidR="004C2EE3" w:rsidRDefault="004C2EE3" w:rsidP="0070224F"/>
    <w:p w:rsidR="00841AB1" w:rsidRDefault="003C7BE1" w:rsidP="00F021FA">
      <w:pPr>
        <w:pStyle w:val="StyleBoldCentered"/>
      </w:pPr>
      <w:r>
        <w:t>order</w:t>
      </w:r>
      <w:r w:rsidR="009833BF">
        <w:t xml:space="preserve"> AND MODIFIED DATA COLLECTION PROTECTIVE ORDER</w:t>
      </w:r>
    </w:p>
    <w:p w:rsidR="004C2EE3" w:rsidRDefault="004C2EE3">
      <w:pPr>
        <w:tabs>
          <w:tab w:val="left" w:pos="-720"/>
        </w:tabs>
        <w:suppressAutoHyphens/>
        <w:spacing w:line="227" w:lineRule="auto"/>
        <w:rPr>
          <w:spacing w:val="-2"/>
        </w:rPr>
      </w:pPr>
    </w:p>
    <w:p w:rsidR="004C2EE3" w:rsidRDefault="004C2EE3" w:rsidP="00133F79">
      <w:pPr>
        <w:tabs>
          <w:tab w:val="left" w:pos="720"/>
          <w:tab w:val="right" w:pos="9360"/>
        </w:tabs>
        <w:suppressAutoHyphens/>
        <w:spacing w:line="227" w:lineRule="auto"/>
        <w:rPr>
          <w:spacing w:val="-2"/>
        </w:rPr>
      </w:pPr>
      <w:r>
        <w:rPr>
          <w:b/>
          <w:spacing w:val="-2"/>
        </w:rPr>
        <w:t xml:space="preserve">Adopted:  </w:t>
      </w:r>
      <w:r w:rsidR="00C914E8">
        <w:rPr>
          <w:b/>
          <w:spacing w:val="-2"/>
        </w:rPr>
        <w:t xml:space="preserve">September </w:t>
      </w:r>
      <w:r w:rsidR="00DC4123">
        <w:rPr>
          <w:b/>
          <w:spacing w:val="-2"/>
        </w:rPr>
        <w:t>18</w:t>
      </w:r>
      <w:r w:rsidR="00C914E8">
        <w:rPr>
          <w:b/>
          <w:spacing w:val="-2"/>
        </w:rPr>
        <w:t>, 2015</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C914E8">
        <w:rPr>
          <w:b/>
          <w:spacing w:val="-2"/>
        </w:rPr>
        <w:t xml:space="preserve">September </w:t>
      </w:r>
      <w:r w:rsidR="00DC4123">
        <w:rPr>
          <w:b/>
          <w:spacing w:val="-2"/>
        </w:rPr>
        <w:t>18</w:t>
      </w:r>
      <w:r w:rsidR="00C914E8">
        <w:rPr>
          <w:b/>
          <w:spacing w:val="-2"/>
        </w:rPr>
        <w:t>, 2015</w:t>
      </w:r>
    </w:p>
    <w:p w:rsidR="00822CE0" w:rsidRDefault="00822CE0"/>
    <w:p w:rsidR="004C2EE3" w:rsidRDefault="004C2EE3">
      <w:pPr>
        <w:rPr>
          <w:spacing w:val="-2"/>
        </w:rPr>
      </w:pPr>
      <w:r>
        <w:t xml:space="preserve">By </w:t>
      </w:r>
      <w:r w:rsidR="004E4A22">
        <w:t>the</w:t>
      </w:r>
      <w:r w:rsidR="008532A1">
        <w:t xml:space="preserve"> Associate</w:t>
      </w:r>
      <w:r w:rsidR="002A2D2E">
        <w:t xml:space="preserve"> </w:t>
      </w:r>
      <w:r w:rsidR="001A5836">
        <w:rPr>
          <w:spacing w:val="-2"/>
        </w:rPr>
        <w:t>Chief, Wireline Competition Bureau</w:t>
      </w:r>
      <w:r>
        <w:rPr>
          <w:spacing w:val="-2"/>
        </w:rPr>
        <w:t>:</w:t>
      </w:r>
    </w:p>
    <w:p w:rsidR="00822CE0" w:rsidRDefault="00822CE0">
      <w:pPr>
        <w:rPr>
          <w:spacing w:val="-2"/>
        </w:rPr>
      </w:pPr>
    </w:p>
    <w:p w:rsidR="002C00E8" w:rsidRDefault="001A5836" w:rsidP="002C00E8">
      <w:pPr>
        <w:pStyle w:val="Heading1"/>
      </w:pPr>
      <w:r>
        <w:t>introduction</w:t>
      </w:r>
    </w:p>
    <w:p w:rsidR="001A5836" w:rsidRDefault="003532FE" w:rsidP="0035463C">
      <w:pPr>
        <w:pStyle w:val="ParaNum"/>
        <w:tabs>
          <w:tab w:val="clear" w:pos="1080"/>
          <w:tab w:val="num" w:pos="1440"/>
        </w:tabs>
      </w:pPr>
      <w:r>
        <w:t xml:space="preserve">In this Order, the Wireline Competition Bureau (Bureau) </w:t>
      </w:r>
      <w:r w:rsidR="00BC1603">
        <w:t>denies</w:t>
      </w:r>
      <w:r w:rsidR="000954C7">
        <w:t xml:space="preserve"> the</w:t>
      </w:r>
      <w:r>
        <w:t xml:space="preserve"> objections </w:t>
      </w:r>
      <w:r w:rsidR="000954C7">
        <w:t xml:space="preserve">filed against </w:t>
      </w:r>
      <w:r>
        <w:t>the release of confidential and highly confidential information submitted in response to the data collection in the special access proceeding.</w:t>
      </w:r>
      <w:r w:rsidR="00D959C0">
        <w:rPr>
          <w:rStyle w:val="FootnoteReference"/>
        </w:rPr>
        <w:footnoteReference w:id="2"/>
      </w:r>
      <w:r>
        <w:t xml:space="preserve"> </w:t>
      </w:r>
      <w:r w:rsidR="001D5654">
        <w:t xml:space="preserve"> As </w:t>
      </w:r>
      <w:r w:rsidR="00D65AA4">
        <w:t>discussed</w:t>
      </w:r>
      <w:r w:rsidR="001D5654">
        <w:t xml:space="preserve"> below, </w:t>
      </w:r>
      <w:r w:rsidR="003A5840">
        <w:t xml:space="preserve">we </w:t>
      </w:r>
      <w:r w:rsidR="00E30DB2">
        <w:t xml:space="preserve">reject the majority of the objections </w:t>
      </w:r>
      <w:r w:rsidR="003A5840">
        <w:t xml:space="preserve">for two independent reasons.  First, </w:t>
      </w:r>
      <w:r w:rsidR="001D5654">
        <w:t xml:space="preserve">the </w:t>
      </w:r>
      <w:r w:rsidR="00E30DB2">
        <w:t xml:space="preserve">majority of the </w:t>
      </w:r>
      <w:r w:rsidR="001D5654">
        <w:t xml:space="preserve">objections </w:t>
      </w:r>
      <w:r w:rsidR="00E30DB2">
        <w:t xml:space="preserve">are </w:t>
      </w:r>
      <w:r w:rsidR="00E37C35">
        <w:t>untimely challenge</w:t>
      </w:r>
      <w:r w:rsidR="00E30DB2">
        <w:t>s</w:t>
      </w:r>
      <w:r w:rsidR="00E37C35">
        <w:t xml:space="preserve"> to the </w:t>
      </w:r>
      <w:r w:rsidR="00E37C35" w:rsidRPr="00BE2AAE">
        <w:rPr>
          <w:i/>
        </w:rPr>
        <w:t>Protective Order</w:t>
      </w:r>
      <w:r w:rsidR="00CE0533">
        <w:t xml:space="preserve"> that the Bureau adopted in this proceeding on October 1, 2014</w:t>
      </w:r>
      <w:r w:rsidR="001D5654">
        <w:t>.</w:t>
      </w:r>
      <w:r w:rsidR="00D65AA4">
        <w:rPr>
          <w:rStyle w:val="FootnoteReference"/>
        </w:rPr>
        <w:footnoteReference w:id="3"/>
      </w:r>
      <w:r w:rsidR="001D5654">
        <w:t xml:space="preserve">  </w:t>
      </w:r>
      <w:r w:rsidR="003A5840">
        <w:t xml:space="preserve">Second, even </w:t>
      </w:r>
      <w:r w:rsidR="00E30DB2">
        <w:t xml:space="preserve">assuming those </w:t>
      </w:r>
      <w:r w:rsidR="003A5840">
        <w:t xml:space="preserve">objections </w:t>
      </w:r>
      <w:r w:rsidR="00E30DB2">
        <w:t xml:space="preserve">were </w:t>
      </w:r>
      <w:r w:rsidR="003A5840">
        <w:t>timely</w:t>
      </w:r>
      <w:r w:rsidR="00E30DB2">
        <w:t xml:space="preserve"> raised</w:t>
      </w:r>
      <w:r w:rsidR="003A5840">
        <w:t xml:space="preserve">, we reject </w:t>
      </w:r>
      <w:r w:rsidR="00E30DB2">
        <w:t xml:space="preserve">on the merits </w:t>
      </w:r>
      <w:r w:rsidR="003A5840">
        <w:t xml:space="preserve">the arguments that the information at issue should be </w:t>
      </w:r>
      <w:r w:rsidR="00E30DB2">
        <w:t xml:space="preserve">withheld from </w:t>
      </w:r>
      <w:r w:rsidR="003A5840">
        <w:t xml:space="preserve">review pursuant to the </w:t>
      </w:r>
      <w:r w:rsidR="003A5840" w:rsidRPr="000A4C87">
        <w:rPr>
          <w:i/>
        </w:rPr>
        <w:t>Protective Order</w:t>
      </w:r>
      <w:r w:rsidR="003A5840">
        <w:t xml:space="preserve">.  </w:t>
      </w:r>
      <w:r w:rsidR="00E30DB2">
        <w:t xml:space="preserve">The remaining objections assert </w:t>
      </w:r>
      <w:r w:rsidR="007F5068">
        <w:t>deficiencies with the information provided by those seeking access to data</w:t>
      </w:r>
      <w:r w:rsidR="009D73EA">
        <w:t>.  In response to these objections, w</w:t>
      </w:r>
      <w:r w:rsidR="000954C7">
        <w:t xml:space="preserve">e </w:t>
      </w:r>
      <w:r w:rsidR="003A5840">
        <w:t xml:space="preserve">clarify </w:t>
      </w:r>
      <w:r w:rsidR="001C0098">
        <w:t xml:space="preserve">the </w:t>
      </w:r>
      <w:r w:rsidR="000954C7">
        <w:t xml:space="preserve">information </w:t>
      </w:r>
      <w:r w:rsidR="007F5068">
        <w:t xml:space="preserve">required from </w:t>
      </w:r>
      <w:r w:rsidR="001C0098">
        <w:t>parties seeking access</w:t>
      </w:r>
      <w:r w:rsidR="009B3A0B">
        <w:t xml:space="preserve"> and provide additional time for those raising this issue to object</w:t>
      </w:r>
      <w:r w:rsidR="003A5840">
        <w:t>.</w:t>
      </w:r>
      <w:r w:rsidR="009D73EA">
        <w:t xml:space="preserve">  </w:t>
      </w:r>
      <w:r w:rsidR="009B3A0B">
        <w:t xml:space="preserve">These </w:t>
      </w:r>
      <w:r w:rsidR="00CE0533">
        <w:t xml:space="preserve">remaining </w:t>
      </w:r>
      <w:r w:rsidR="009B3A0B">
        <w:t xml:space="preserve">objections are otherwise denied.  </w:t>
      </w:r>
      <w:r w:rsidR="005464A5">
        <w:t xml:space="preserve">This Order </w:t>
      </w:r>
      <w:r w:rsidR="001B3E25">
        <w:t xml:space="preserve">also </w:t>
      </w:r>
      <w:r w:rsidR="005464A5">
        <w:t xml:space="preserve">modifies the </w:t>
      </w:r>
      <w:r w:rsidR="005464A5" w:rsidRPr="002F13F2">
        <w:rPr>
          <w:i/>
        </w:rPr>
        <w:t>Protective Order</w:t>
      </w:r>
      <w:r w:rsidR="005464A5">
        <w:t xml:space="preserve"> by </w:t>
      </w:r>
      <w:r w:rsidR="002D7389">
        <w:t>revising</w:t>
      </w:r>
      <w:r w:rsidR="00253AB4">
        <w:t xml:space="preserve"> how reviewing parties </w:t>
      </w:r>
      <w:r w:rsidR="002D7389">
        <w:t xml:space="preserve">will </w:t>
      </w:r>
      <w:r w:rsidR="00253AB4">
        <w:t xml:space="preserve">gain </w:t>
      </w:r>
      <w:r w:rsidR="001C0098">
        <w:t xml:space="preserve">remote </w:t>
      </w:r>
      <w:r w:rsidR="005464A5">
        <w:t xml:space="preserve">access </w:t>
      </w:r>
      <w:r w:rsidR="005D2876">
        <w:t xml:space="preserve">to </w:t>
      </w:r>
      <w:r w:rsidR="005464A5">
        <w:t>the Secure Data Enclave (SDE)</w:t>
      </w:r>
      <w:r w:rsidR="002D7389">
        <w:t xml:space="preserve">, i.e., using </w:t>
      </w:r>
      <w:r w:rsidR="005D2876">
        <w:t xml:space="preserve">a </w:t>
      </w:r>
      <w:r w:rsidR="001C0098">
        <w:t xml:space="preserve">software-based </w:t>
      </w:r>
      <w:r w:rsidR="005D2876">
        <w:t xml:space="preserve">Virtual Private Network (VPN) </w:t>
      </w:r>
      <w:r w:rsidR="005464A5">
        <w:t xml:space="preserve">in lieu of </w:t>
      </w:r>
      <w:r w:rsidR="001C0098">
        <w:t xml:space="preserve">hardware-based </w:t>
      </w:r>
      <w:r w:rsidR="005464A5">
        <w:t xml:space="preserve">thin client laptops. </w:t>
      </w:r>
      <w:r w:rsidR="001C0098">
        <w:t xml:space="preserve"> </w:t>
      </w:r>
      <w:r w:rsidR="005464A5">
        <w:t xml:space="preserve">Additionally, </w:t>
      </w:r>
      <w:r w:rsidR="000672D4">
        <w:t xml:space="preserve">we </w:t>
      </w:r>
      <w:r w:rsidR="009D73EA">
        <w:t xml:space="preserve">describe </w:t>
      </w:r>
      <w:r w:rsidR="008715AD">
        <w:t>how we</w:t>
      </w:r>
      <w:r w:rsidR="009B3A0B">
        <w:t xml:space="preserve"> </w:t>
      </w:r>
      <w:r w:rsidR="007746F5">
        <w:t xml:space="preserve">treat certain </w:t>
      </w:r>
      <w:r w:rsidR="008715AD">
        <w:t xml:space="preserve">highly sensitive data to </w:t>
      </w:r>
      <w:r w:rsidR="009B3A0B">
        <w:t xml:space="preserve">further </w:t>
      </w:r>
      <w:r w:rsidR="008715AD">
        <w:t xml:space="preserve">reduce risks to critical infrastructure </w:t>
      </w:r>
      <w:r w:rsidR="007746F5">
        <w:t xml:space="preserve">while still </w:t>
      </w:r>
      <w:r w:rsidR="000672D4">
        <w:t xml:space="preserve">making it available to authorized parties pursuant to the </w:t>
      </w:r>
      <w:r w:rsidR="000672D4" w:rsidRPr="001320CA">
        <w:rPr>
          <w:i/>
        </w:rPr>
        <w:t>Protective Order</w:t>
      </w:r>
      <w:r w:rsidR="000672D4">
        <w:t xml:space="preserve">.  </w:t>
      </w:r>
    </w:p>
    <w:p w:rsidR="001A5836" w:rsidRDefault="001A5836" w:rsidP="001A5836">
      <w:pPr>
        <w:pStyle w:val="Heading1"/>
      </w:pPr>
      <w:r>
        <w:lastRenderedPageBreak/>
        <w:t>background</w:t>
      </w:r>
    </w:p>
    <w:p w:rsidR="001966F6" w:rsidRDefault="00DF5C14" w:rsidP="00BE2AAE">
      <w:pPr>
        <w:pStyle w:val="ParaNum"/>
        <w:widowControl/>
        <w:tabs>
          <w:tab w:val="clear" w:pos="1080"/>
          <w:tab w:val="num" w:pos="1440"/>
        </w:tabs>
      </w:pPr>
      <w:r w:rsidRPr="00DF5C14">
        <w:t xml:space="preserve">On December 11, 2012, </w:t>
      </w:r>
      <w:r w:rsidR="00EB308E">
        <w:t xml:space="preserve">as part of the special access rulemaking proceeding, </w:t>
      </w:r>
      <w:r w:rsidRPr="00DF5C14">
        <w:t xml:space="preserve">the Commission adopted the </w:t>
      </w:r>
      <w:r w:rsidRPr="002A6C18">
        <w:rPr>
          <w:i/>
        </w:rPr>
        <w:t>Data Collection Order</w:t>
      </w:r>
      <w:r w:rsidR="00E37C35">
        <w:t>,</w:t>
      </w:r>
      <w:r w:rsidRPr="00DF5C14">
        <w:t xml:space="preserve"> initiating</w:t>
      </w:r>
      <w:r>
        <w:t xml:space="preserve"> a </w:t>
      </w:r>
      <w:r w:rsidRPr="00972562">
        <w:t>data collection for a comprehensive analysis of the special access market</w:t>
      </w:r>
      <w:r>
        <w:t xml:space="preserve"> and delegat</w:t>
      </w:r>
      <w:r w:rsidR="00096712">
        <w:t>ing</w:t>
      </w:r>
      <w:r>
        <w:t xml:space="preserve"> authority to the Bureau to implement the collection</w:t>
      </w:r>
      <w:r w:rsidRPr="00972562">
        <w:t>.</w:t>
      </w:r>
      <w:r>
        <w:rPr>
          <w:rStyle w:val="FootnoteReference"/>
          <w:szCs w:val="22"/>
        </w:rPr>
        <w:footnoteReference w:id="4"/>
      </w:r>
      <w:r>
        <w:t xml:space="preserve">  </w:t>
      </w:r>
      <w:r w:rsidR="00E37C35">
        <w:t xml:space="preserve">The </w:t>
      </w:r>
      <w:r w:rsidR="000A7D7D">
        <w:t xml:space="preserve">data </w:t>
      </w:r>
      <w:r w:rsidR="00E37C35">
        <w:t xml:space="preserve">collection </w:t>
      </w:r>
      <w:r w:rsidR="000A7D7D">
        <w:t xml:space="preserve">sought data and information as a critical piece of </w:t>
      </w:r>
      <w:r w:rsidR="00E37C35">
        <w:t xml:space="preserve">the evidentiary record </w:t>
      </w:r>
      <w:r w:rsidR="000A7D7D">
        <w:t xml:space="preserve">necessary </w:t>
      </w:r>
      <w:r w:rsidR="00E37C35">
        <w:t>for reforming the Commission’s special access rules.</w:t>
      </w:r>
      <w:r w:rsidR="00E37C35">
        <w:rPr>
          <w:rStyle w:val="FootnoteReference"/>
        </w:rPr>
        <w:footnoteReference w:id="5"/>
      </w:r>
      <w:r w:rsidR="00E37C35">
        <w:t xml:space="preserve">  P</w:t>
      </w:r>
      <w:r w:rsidR="002A6C18">
        <w:t xml:space="preserve">roviders and purchasers of special access and certain entities providing “best efforts” broadband Internet access service in areas where the incumbent local exchange carrier (ILEC) is subject to price cap regulation </w:t>
      </w:r>
      <w:r w:rsidR="00E37C35">
        <w:t xml:space="preserve">were required </w:t>
      </w:r>
      <w:r w:rsidR="005D09F0">
        <w:t xml:space="preserve">to </w:t>
      </w:r>
      <w:r w:rsidR="002A6C18">
        <w:t>submit data regarding locations with connections, prices charged to customers at the circuit-level, maps showing fiber routes and points of interconnection, revenues and expenditures.</w:t>
      </w:r>
      <w:r w:rsidR="00D93D5A">
        <w:rPr>
          <w:rStyle w:val="FootnoteReference"/>
        </w:rPr>
        <w:footnoteReference w:id="6"/>
      </w:r>
      <w:r w:rsidR="002A6C18">
        <w:t xml:space="preserve"> </w:t>
      </w:r>
      <w:r w:rsidR="00B81708">
        <w:t xml:space="preserve"> </w:t>
      </w:r>
      <w:r w:rsidRPr="00DF5C14">
        <w:t xml:space="preserve">Much of the data and information </w:t>
      </w:r>
      <w:r w:rsidR="002A6C18">
        <w:t>sought in the collection</w:t>
      </w:r>
      <w:r w:rsidRPr="00DF5C14">
        <w:t xml:space="preserve"> are competitively</w:t>
      </w:r>
      <w:r>
        <w:t xml:space="preserve"> </w:t>
      </w:r>
      <w:r w:rsidRPr="00DF5C14">
        <w:t>sensitive and not publically available</w:t>
      </w:r>
      <w:r>
        <w:t>.</w:t>
      </w:r>
      <w:r w:rsidR="002A6C18">
        <w:rPr>
          <w:rStyle w:val="FootnoteReference"/>
        </w:rPr>
        <w:footnoteReference w:id="7"/>
      </w:r>
      <w:r w:rsidR="000954C7">
        <w:t xml:space="preserve">  </w:t>
      </w:r>
      <w:r w:rsidR="001B57A8">
        <w:t xml:space="preserve">The </w:t>
      </w:r>
      <w:r w:rsidR="00277E6B">
        <w:t xml:space="preserve">last group of </w:t>
      </w:r>
      <w:r w:rsidR="001B57A8">
        <w:t xml:space="preserve">data </w:t>
      </w:r>
      <w:r w:rsidR="000954C7">
        <w:t>submi</w:t>
      </w:r>
      <w:r w:rsidR="001B57A8">
        <w:t>ssions</w:t>
      </w:r>
      <w:r w:rsidR="000954C7">
        <w:t xml:space="preserve"> </w:t>
      </w:r>
      <w:r w:rsidR="00C168AC">
        <w:t xml:space="preserve">was </w:t>
      </w:r>
      <w:r w:rsidR="00277E6B">
        <w:t>due by</w:t>
      </w:r>
      <w:r w:rsidR="000954C7">
        <w:t xml:space="preserve"> February 27, 2015.</w:t>
      </w:r>
      <w:r w:rsidR="00934A82">
        <w:rPr>
          <w:rStyle w:val="FootnoteReference"/>
        </w:rPr>
        <w:footnoteReference w:id="8"/>
      </w:r>
      <w:r w:rsidR="002A6C18">
        <w:t xml:space="preserve">  </w:t>
      </w:r>
      <w:r>
        <w:t xml:space="preserve">  </w:t>
      </w:r>
      <w:r w:rsidR="00943218">
        <w:t xml:space="preserve">  </w:t>
      </w:r>
    </w:p>
    <w:p w:rsidR="00494281" w:rsidRDefault="00494281" w:rsidP="001539BE">
      <w:pPr>
        <w:pStyle w:val="ParaNum"/>
        <w:tabs>
          <w:tab w:val="clear" w:pos="1080"/>
          <w:tab w:val="num" w:pos="1440"/>
        </w:tabs>
      </w:pPr>
      <w:r>
        <w:t>I</w:t>
      </w:r>
      <w:r w:rsidR="00EF5D2F">
        <w:t>n a June 28, 2013 public notice</w:t>
      </w:r>
      <w:r w:rsidR="000A7D7D">
        <w:t xml:space="preserve"> (</w:t>
      </w:r>
      <w:r w:rsidR="000A7D7D" w:rsidRPr="00D30EC1">
        <w:rPr>
          <w:i/>
        </w:rPr>
        <w:t>Protective Order Public Notice</w:t>
      </w:r>
      <w:r w:rsidR="000A7D7D">
        <w:t>)</w:t>
      </w:r>
      <w:r>
        <w:t>, the Bureau sought comment</w:t>
      </w:r>
      <w:r w:rsidR="00EF5D2F">
        <w:t xml:space="preserve"> on a draft protective order tailored for allowing access to confidential and highly confidential information submitted in response to the </w:t>
      </w:r>
      <w:r>
        <w:t xml:space="preserve">special access data </w:t>
      </w:r>
      <w:r w:rsidR="00EF5D2F">
        <w:t>collection.</w:t>
      </w:r>
      <w:r w:rsidR="00EF5D2F">
        <w:rPr>
          <w:rStyle w:val="FootnoteReference"/>
        </w:rPr>
        <w:footnoteReference w:id="9"/>
      </w:r>
      <w:r w:rsidR="00EF5D2F">
        <w:t xml:space="preserve">  </w:t>
      </w:r>
      <w:r w:rsidR="001B3E25">
        <w:t>The Bureau sought comment on “various methods of allowing restricted access to highly confidential data in a secure data environment</w:t>
      </w:r>
      <w:r w:rsidR="00BA7411">
        <w:t xml:space="preserve">, </w:t>
      </w:r>
      <w:r w:rsidR="00BA7411" w:rsidRPr="0039385B">
        <w:t>e.g.</w:t>
      </w:r>
      <w:r w:rsidR="00A90CFA" w:rsidRPr="0039385B">
        <w:t>,</w:t>
      </w:r>
      <w:r w:rsidR="00BA7411">
        <w:t xml:space="preserve"> either through a secure data enclave in a specific, physical location or by accessing </w:t>
      </w:r>
      <w:r w:rsidR="001B3E25">
        <w:t>a virtual private network using thin clients to provide virtual desktops.”</w:t>
      </w:r>
      <w:r w:rsidR="001B3E25">
        <w:rPr>
          <w:rStyle w:val="FootnoteReference"/>
        </w:rPr>
        <w:footnoteReference w:id="10"/>
      </w:r>
      <w:r w:rsidR="001B3E25">
        <w:t xml:space="preserve">  </w:t>
      </w:r>
      <w:r w:rsidR="00EF5D2F">
        <w:t>Five parties filed comments in response to that public notice; only one party, AT&amp;T, Inc., opposed the proposed protective order while most parties generally supported the draft protective order with proposals for clarification and modification that were addressed by the Bureau.</w:t>
      </w:r>
      <w:r w:rsidR="00EF5D2F">
        <w:rPr>
          <w:rStyle w:val="FootnoteReference"/>
        </w:rPr>
        <w:footnoteReference w:id="11"/>
      </w:r>
      <w:r>
        <w:t xml:space="preserve">  Significantly, none of the parties now objecting filed comments.  </w:t>
      </w:r>
      <w:r w:rsidR="001B3E25">
        <w:t>On October 1, 2014, t</w:t>
      </w:r>
      <w:r w:rsidR="001B3E25" w:rsidRPr="00044BC2">
        <w:t xml:space="preserve">he Bureau adopted </w:t>
      </w:r>
      <w:r w:rsidR="001B3E25">
        <w:t xml:space="preserve">the </w:t>
      </w:r>
      <w:r w:rsidR="001B3E25" w:rsidRPr="00494281">
        <w:rPr>
          <w:i/>
        </w:rPr>
        <w:t>Protective Order</w:t>
      </w:r>
      <w:r w:rsidR="001B3E25" w:rsidRPr="00044BC2">
        <w:t xml:space="preserve"> </w:t>
      </w:r>
      <w:r w:rsidR="001B3E25">
        <w:t xml:space="preserve">to govern the process for designating, submitting and accessing highly sensitive information submitted in response to the collection and </w:t>
      </w:r>
      <w:r w:rsidR="001B3E25" w:rsidRPr="00044BC2">
        <w:t>establishing a Secur</w:t>
      </w:r>
      <w:r w:rsidR="001B3E25">
        <w:t>e Data Enclave</w:t>
      </w:r>
      <w:r w:rsidR="00254630">
        <w:t xml:space="preserve"> (SDE)</w:t>
      </w:r>
      <w:r w:rsidR="001B3E25">
        <w:t xml:space="preserve"> via the NORC Data Enclave</w:t>
      </w:r>
      <w:r w:rsidR="00903177" w:rsidRPr="00B2347E">
        <w:t>®</w:t>
      </w:r>
      <w:r w:rsidR="0020218D">
        <w:t xml:space="preserve"> </w:t>
      </w:r>
      <w:r w:rsidR="001B3E25">
        <w:t>to securely</w:t>
      </w:r>
      <w:r w:rsidR="001B3E25" w:rsidRPr="00044BC2">
        <w:t xml:space="preserve"> </w:t>
      </w:r>
      <w:r w:rsidR="001B3E25">
        <w:t xml:space="preserve">access and </w:t>
      </w:r>
      <w:r w:rsidR="001B3E25" w:rsidRPr="00044BC2">
        <w:t>analyze the data.</w:t>
      </w:r>
      <w:r w:rsidR="001B3E25">
        <w:rPr>
          <w:rStyle w:val="FootnoteReference"/>
          <w:szCs w:val="22"/>
        </w:rPr>
        <w:footnoteReference w:id="12"/>
      </w:r>
      <w:r w:rsidR="001B3E25" w:rsidRPr="00044BC2">
        <w:t xml:space="preserve"> </w:t>
      </w:r>
      <w:r>
        <w:t xml:space="preserve"> </w:t>
      </w:r>
      <w:r w:rsidRPr="00494281">
        <w:t xml:space="preserve">No party filed an application for review or petition for reconsideration with respect to the </w:t>
      </w:r>
      <w:r w:rsidRPr="000A4C87">
        <w:rPr>
          <w:i/>
        </w:rPr>
        <w:t>Protective Order</w:t>
      </w:r>
      <w:r w:rsidRPr="00494281">
        <w:t>.</w:t>
      </w:r>
    </w:p>
    <w:p w:rsidR="00055278" w:rsidRPr="00055278" w:rsidRDefault="00DF5C14" w:rsidP="00024B56">
      <w:pPr>
        <w:pStyle w:val="ParaNum"/>
        <w:widowControl/>
        <w:tabs>
          <w:tab w:val="clear" w:pos="1080"/>
          <w:tab w:val="num" w:pos="1440"/>
        </w:tabs>
      </w:pPr>
      <w:r>
        <w:lastRenderedPageBreak/>
        <w:t xml:space="preserve">The </w:t>
      </w:r>
      <w:r w:rsidR="00EF5D2F" w:rsidRPr="00BD44C3">
        <w:rPr>
          <w:i/>
        </w:rPr>
        <w:t>Protective Order</w:t>
      </w:r>
      <w:r w:rsidR="00EF5D2F">
        <w:t xml:space="preserve"> </w:t>
      </w:r>
      <w:r>
        <w:t>limit</w:t>
      </w:r>
      <w:r w:rsidR="00EF5D2F">
        <w:t>s</w:t>
      </w:r>
      <w:r>
        <w:t xml:space="preserve"> access to </w:t>
      </w:r>
      <w:r w:rsidR="00BA0374">
        <w:t xml:space="preserve">the </w:t>
      </w:r>
      <w:r w:rsidR="005D09F0">
        <w:t xml:space="preserve">confidential </w:t>
      </w:r>
      <w:r>
        <w:t xml:space="preserve">information </w:t>
      </w:r>
      <w:r w:rsidR="00053004">
        <w:t xml:space="preserve">collected </w:t>
      </w:r>
      <w:r>
        <w:t xml:space="preserve">to counsel and consultants, and their employees, not involved in </w:t>
      </w:r>
      <w:r w:rsidR="00494281">
        <w:t xml:space="preserve">the </w:t>
      </w:r>
      <w:r>
        <w:t>competitive decision-making activities</w:t>
      </w:r>
      <w:r w:rsidR="00C30A25">
        <w:t xml:space="preserve"> of a client in competition with or in a business relationship with a party that submitted data in response to the collection</w:t>
      </w:r>
      <w:r>
        <w:t>.</w:t>
      </w:r>
      <w:r>
        <w:rPr>
          <w:rStyle w:val="FootnoteReference"/>
        </w:rPr>
        <w:footnoteReference w:id="13"/>
      </w:r>
      <w:r>
        <w:t xml:space="preserve">  </w:t>
      </w:r>
      <w:r w:rsidR="00CE4C37">
        <w:t xml:space="preserve">The </w:t>
      </w:r>
      <w:r w:rsidR="00494281" w:rsidRPr="000A4C87">
        <w:rPr>
          <w:i/>
        </w:rPr>
        <w:t>Protective Order</w:t>
      </w:r>
      <w:r w:rsidR="00494281">
        <w:t xml:space="preserve"> </w:t>
      </w:r>
      <w:r w:rsidR="00CE4C37">
        <w:t>further limit</w:t>
      </w:r>
      <w:r w:rsidR="00494281">
        <w:t>s</w:t>
      </w:r>
      <w:r w:rsidR="00CE4C37">
        <w:t xml:space="preserve"> access to </w:t>
      </w:r>
      <w:r w:rsidR="004A7007">
        <w:t xml:space="preserve">the most competitively sensitive information, designated as </w:t>
      </w:r>
      <w:r w:rsidR="00494281">
        <w:t>H</w:t>
      </w:r>
      <w:r w:rsidR="004A7007">
        <w:t xml:space="preserve">ighly </w:t>
      </w:r>
      <w:r w:rsidR="00494281">
        <w:t>C</w:t>
      </w:r>
      <w:r w:rsidR="00CE4C37">
        <w:t xml:space="preserve">onfidential </w:t>
      </w:r>
      <w:r w:rsidR="00494281">
        <w:t>I</w:t>
      </w:r>
      <w:r w:rsidR="00CE4C37">
        <w:t xml:space="preserve">nformation and </w:t>
      </w:r>
      <w:r w:rsidR="00494281">
        <w:t>Highly Confidential D</w:t>
      </w:r>
      <w:r w:rsidR="00CE4C37">
        <w:t>ata</w:t>
      </w:r>
      <w:r w:rsidR="004A7007">
        <w:t>,</w:t>
      </w:r>
      <w:r w:rsidR="00CE4C37">
        <w:t xml:space="preserve"> and the </w:t>
      </w:r>
      <w:r w:rsidR="001F2078">
        <w:t xml:space="preserve">NORC Data Enclave </w:t>
      </w:r>
      <w:r w:rsidR="00CE4C37">
        <w:t xml:space="preserve">to </w:t>
      </w:r>
      <w:r w:rsidR="00CE4C37" w:rsidRPr="00044BC2">
        <w:t xml:space="preserve">outside counsel and </w:t>
      </w:r>
      <w:r w:rsidR="00C30A25">
        <w:t xml:space="preserve">outside </w:t>
      </w:r>
      <w:r w:rsidR="00CE4C37" w:rsidRPr="00044BC2">
        <w:t>consultants</w:t>
      </w:r>
      <w:r w:rsidR="00494281">
        <w:t xml:space="preserve"> who are not involved in competitive decision-making</w:t>
      </w:r>
      <w:r w:rsidRPr="00044BC2">
        <w:t>.</w:t>
      </w:r>
      <w:r w:rsidRPr="000E4B97">
        <w:rPr>
          <w:rStyle w:val="FootnoteReference"/>
          <w:sz w:val="22"/>
          <w:szCs w:val="22"/>
        </w:rPr>
        <w:footnoteReference w:id="14"/>
      </w:r>
      <w:r w:rsidR="00577BED">
        <w:t xml:space="preserve">  </w:t>
      </w:r>
      <w:r w:rsidR="00577BED" w:rsidRPr="00BD44C3">
        <w:rPr>
          <w:szCs w:val="22"/>
        </w:rPr>
        <w:t>T</w:t>
      </w:r>
      <w:r w:rsidR="0027215A" w:rsidRPr="00BD44C3">
        <w:rPr>
          <w:szCs w:val="22"/>
        </w:rPr>
        <w:t xml:space="preserve">o access </w:t>
      </w:r>
      <w:r w:rsidR="007D2289">
        <w:rPr>
          <w:szCs w:val="22"/>
        </w:rPr>
        <w:t>either Confidential or Highly Confidential Information</w:t>
      </w:r>
      <w:r w:rsidR="0027215A" w:rsidRPr="004F5605">
        <w:rPr>
          <w:szCs w:val="22"/>
        </w:rPr>
        <w:t xml:space="preserve">, requesting parties must file with the Bureau executed Acknowledgements </w:t>
      </w:r>
      <w:r w:rsidR="00F3112B">
        <w:rPr>
          <w:szCs w:val="22"/>
        </w:rPr>
        <w:t xml:space="preserve">of Confidentiality (Acknowledgments) </w:t>
      </w:r>
      <w:r w:rsidR="00BD44C3" w:rsidRPr="004F5605">
        <w:rPr>
          <w:szCs w:val="22"/>
        </w:rPr>
        <w:t xml:space="preserve">attached to the </w:t>
      </w:r>
      <w:r w:rsidR="00BD44C3" w:rsidRPr="000A4C87">
        <w:rPr>
          <w:i/>
          <w:szCs w:val="22"/>
        </w:rPr>
        <w:t>Protective Order</w:t>
      </w:r>
      <w:r w:rsidR="00BD44C3" w:rsidRPr="00BD44C3">
        <w:rPr>
          <w:szCs w:val="22"/>
        </w:rPr>
        <w:t xml:space="preserve"> </w:t>
      </w:r>
      <w:r w:rsidR="0027215A" w:rsidRPr="00BD44C3">
        <w:rPr>
          <w:szCs w:val="22"/>
        </w:rPr>
        <w:t>certifying they are not involved in competitive decision-making activities and agree</w:t>
      </w:r>
      <w:r w:rsidR="00BD44C3" w:rsidRPr="00B841F0">
        <w:rPr>
          <w:szCs w:val="22"/>
        </w:rPr>
        <w:t>ing</w:t>
      </w:r>
      <w:r w:rsidR="0027215A" w:rsidRPr="00B841F0">
        <w:rPr>
          <w:szCs w:val="22"/>
        </w:rPr>
        <w:t xml:space="preserve"> to be bound by the terms of the </w:t>
      </w:r>
      <w:r w:rsidR="00122263" w:rsidRPr="00EB7AF6">
        <w:rPr>
          <w:i/>
          <w:szCs w:val="22"/>
        </w:rPr>
        <w:t>P</w:t>
      </w:r>
      <w:r w:rsidR="0027215A" w:rsidRPr="00EB7AF6">
        <w:rPr>
          <w:i/>
          <w:szCs w:val="22"/>
        </w:rPr>
        <w:t xml:space="preserve">rotective </w:t>
      </w:r>
      <w:r w:rsidR="00122263" w:rsidRPr="00EB7AF6">
        <w:rPr>
          <w:i/>
          <w:szCs w:val="22"/>
        </w:rPr>
        <w:t>O</w:t>
      </w:r>
      <w:r w:rsidR="0027215A" w:rsidRPr="00EB7AF6">
        <w:rPr>
          <w:i/>
          <w:szCs w:val="22"/>
        </w:rPr>
        <w:t>rder</w:t>
      </w:r>
      <w:r w:rsidR="0027215A" w:rsidRPr="00EB7AF6">
        <w:rPr>
          <w:szCs w:val="22"/>
        </w:rPr>
        <w:t>.</w:t>
      </w:r>
      <w:r w:rsidR="0027215A" w:rsidRPr="000E4B97">
        <w:rPr>
          <w:rStyle w:val="FootnoteReference"/>
          <w:sz w:val="22"/>
          <w:szCs w:val="22"/>
        </w:rPr>
        <w:footnoteReference w:id="15"/>
      </w:r>
      <w:r w:rsidR="0027215A" w:rsidRPr="00BD44C3">
        <w:rPr>
          <w:szCs w:val="22"/>
        </w:rPr>
        <w:t xml:space="preserve">  </w:t>
      </w:r>
      <w:r w:rsidR="00085568">
        <w:t xml:space="preserve">The </w:t>
      </w:r>
      <w:r w:rsidR="00122263" w:rsidRPr="00BD44C3">
        <w:rPr>
          <w:i/>
          <w:szCs w:val="22"/>
        </w:rPr>
        <w:t>Protective Order</w:t>
      </w:r>
      <w:r w:rsidR="00122263">
        <w:t xml:space="preserve"> </w:t>
      </w:r>
      <w:r w:rsidR="00085568">
        <w:t xml:space="preserve">provides a process for </w:t>
      </w:r>
      <w:r w:rsidR="007D2289">
        <w:t>parties who submit Confidential and Highly Confidential Information to the Commission (</w:t>
      </w:r>
      <w:r w:rsidR="00372560">
        <w:t>Submitting Parties</w:t>
      </w:r>
      <w:r w:rsidR="007D2289">
        <w:t>)</w:t>
      </w:r>
      <w:r w:rsidR="00085568" w:rsidRPr="002D0243">
        <w:t xml:space="preserve"> </w:t>
      </w:r>
      <w:r w:rsidR="00085568">
        <w:t xml:space="preserve">to </w:t>
      </w:r>
      <w:r w:rsidR="00085568" w:rsidRPr="002D0243">
        <w:t xml:space="preserve">object to disclosure of </w:t>
      </w:r>
      <w:r w:rsidR="00085568">
        <w:t>information</w:t>
      </w:r>
      <w:r w:rsidR="00085568" w:rsidRPr="002D0243">
        <w:t xml:space="preserve"> </w:t>
      </w:r>
      <w:r w:rsidR="00372560">
        <w:t xml:space="preserve">submitted </w:t>
      </w:r>
      <w:r w:rsidR="00085568" w:rsidRPr="002D0243">
        <w:t xml:space="preserve">to any </w:t>
      </w:r>
      <w:r w:rsidR="009B3A0B">
        <w:t>party requesting access</w:t>
      </w:r>
      <w:r w:rsidR="00BD44C3">
        <w:t xml:space="preserve">; in particular, a </w:t>
      </w:r>
      <w:r w:rsidR="007D2289">
        <w:t>S</w:t>
      </w:r>
      <w:r w:rsidR="00BD44C3">
        <w:t xml:space="preserve">ubmitting </w:t>
      </w:r>
      <w:r w:rsidR="007D2289">
        <w:t>P</w:t>
      </w:r>
      <w:r w:rsidR="00BD44C3">
        <w:t xml:space="preserve">arty must file any objection against a </w:t>
      </w:r>
      <w:r w:rsidR="004F5605">
        <w:t xml:space="preserve">party seeking access to their data </w:t>
      </w:r>
      <w:r w:rsidR="00520238">
        <w:t xml:space="preserve">within five business days </w:t>
      </w:r>
      <w:r w:rsidR="00CA189E">
        <w:t xml:space="preserve">of </w:t>
      </w:r>
      <w:r w:rsidR="00BD44C3">
        <w:t xml:space="preserve">release of a </w:t>
      </w:r>
      <w:r w:rsidR="00520238">
        <w:t>public notice</w:t>
      </w:r>
      <w:r w:rsidR="00BD44C3">
        <w:t xml:space="preserve"> listing </w:t>
      </w:r>
      <w:r w:rsidR="00CA189E">
        <w:t>the</w:t>
      </w:r>
      <w:r w:rsidR="00BD44C3">
        <w:t xml:space="preserve"> party</w:t>
      </w:r>
      <w:r w:rsidR="00CA189E">
        <w:t xml:space="preserve"> seeking access</w:t>
      </w:r>
      <w:r w:rsidR="00085568" w:rsidRPr="002D0243">
        <w:t>.</w:t>
      </w:r>
      <w:r w:rsidR="00044BC2">
        <w:rPr>
          <w:rStyle w:val="FootnoteReference"/>
          <w:szCs w:val="22"/>
        </w:rPr>
        <w:footnoteReference w:id="16"/>
      </w:r>
      <w:r w:rsidR="00044BC2" w:rsidRPr="00BD44C3">
        <w:rPr>
          <w:szCs w:val="22"/>
        </w:rPr>
        <w:t xml:space="preserve"> </w:t>
      </w:r>
      <w:r w:rsidR="004F77A5" w:rsidRPr="00BD44C3">
        <w:rPr>
          <w:szCs w:val="22"/>
        </w:rPr>
        <w:t xml:space="preserve"> </w:t>
      </w:r>
      <w:r w:rsidR="004721EC" w:rsidRPr="00BD44C3">
        <w:t>T</w:t>
      </w:r>
      <w:r w:rsidR="0027215A" w:rsidRPr="00BD44C3">
        <w:t>he Bureau released a public notice on June 24, 2015</w:t>
      </w:r>
      <w:r w:rsidR="00EF5D2F" w:rsidRPr="004F5605">
        <w:t>,</w:t>
      </w:r>
      <w:r w:rsidR="0027215A" w:rsidRPr="004F5605">
        <w:t xml:space="preserve"> announcing it would </w:t>
      </w:r>
      <w:r w:rsidR="004F5605">
        <w:t xml:space="preserve">start </w:t>
      </w:r>
      <w:r w:rsidR="004F5605" w:rsidRPr="004F5605">
        <w:t>receiv</w:t>
      </w:r>
      <w:r w:rsidR="004F5605">
        <w:t>ing</w:t>
      </w:r>
      <w:r w:rsidR="004F5605" w:rsidRPr="004F5605">
        <w:t xml:space="preserve"> </w:t>
      </w:r>
      <w:r w:rsidR="0027215A" w:rsidRPr="004F5605">
        <w:t>executed Acknowledgments</w:t>
      </w:r>
      <w:r w:rsidR="00520238" w:rsidRPr="004F5605">
        <w:t xml:space="preserve"> from persons requesting access to confidential and highly confidential information </w:t>
      </w:r>
      <w:r w:rsidR="007F0448" w:rsidRPr="004F5605">
        <w:t>collected</w:t>
      </w:r>
      <w:r w:rsidR="0027215A" w:rsidRPr="004F5605">
        <w:t>.</w:t>
      </w:r>
      <w:r w:rsidR="0027215A">
        <w:rPr>
          <w:rStyle w:val="FootnoteReference"/>
          <w:szCs w:val="22"/>
        </w:rPr>
        <w:footnoteReference w:id="17"/>
      </w:r>
      <w:r w:rsidR="0027215A" w:rsidRPr="00BD44C3">
        <w:t xml:space="preserve">  </w:t>
      </w:r>
      <w:r w:rsidR="00EF5D2F" w:rsidRPr="00BD44C3">
        <w:t>Fifty</w:t>
      </w:r>
      <w:r w:rsidR="0027215A" w:rsidRPr="004F5605">
        <w:t xml:space="preserve"> individuals executed Acknowledgments </w:t>
      </w:r>
      <w:r w:rsidR="00EF5D2F" w:rsidRPr="004F5605">
        <w:t>in response</w:t>
      </w:r>
      <w:r w:rsidR="00520238" w:rsidRPr="004F5605">
        <w:t xml:space="preserve"> (</w:t>
      </w:r>
      <w:r w:rsidR="004F5605">
        <w:t>each a potential Reviewing Party</w:t>
      </w:r>
      <w:r w:rsidR="00520238" w:rsidRPr="004F5605">
        <w:t>)</w:t>
      </w:r>
      <w:r w:rsidR="0027215A" w:rsidRPr="004F5605">
        <w:t>.</w:t>
      </w:r>
      <w:r w:rsidR="00C3768C">
        <w:rPr>
          <w:rStyle w:val="FootnoteReference"/>
          <w:szCs w:val="22"/>
        </w:rPr>
        <w:footnoteReference w:id="18"/>
      </w:r>
      <w:r w:rsidR="0027215A" w:rsidRPr="00BD44C3">
        <w:t xml:space="preserve"> </w:t>
      </w:r>
      <w:r w:rsidR="00204578" w:rsidRPr="00BD44C3">
        <w:t xml:space="preserve"> </w:t>
      </w:r>
      <w:r w:rsidR="00EF5D2F" w:rsidRPr="004F5605">
        <w:t>The</w:t>
      </w:r>
      <w:r w:rsidR="00577BED" w:rsidRPr="004F5605">
        <w:t xml:space="preserve"> Bureau </w:t>
      </w:r>
      <w:r w:rsidR="00EF5D2F" w:rsidRPr="004F5605">
        <w:t xml:space="preserve">then </w:t>
      </w:r>
      <w:r w:rsidR="00577BED" w:rsidRPr="004F5605">
        <w:t>released a public notice</w:t>
      </w:r>
      <w:r w:rsidR="008B40D0" w:rsidRPr="004F5605">
        <w:t xml:space="preserve"> (</w:t>
      </w:r>
      <w:r w:rsidR="008B40D0" w:rsidRPr="00071145">
        <w:rPr>
          <w:i/>
        </w:rPr>
        <w:t>Acknowledgm</w:t>
      </w:r>
      <w:r w:rsidR="00885413" w:rsidRPr="00071145">
        <w:rPr>
          <w:i/>
        </w:rPr>
        <w:t xml:space="preserve">ent </w:t>
      </w:r>
      <w:r w:rsidR="008B40D0" w:rsidRPr="00071145">
        <w:rPr>
          <w:i/>
        </w:rPr>
        <w:t>Public Notice</w:t>
      </w:r>
      <w:r w:rsidR="008B40D0" w:rsidRPr="004F5605">
        <w:t>)</w:t>
      </w:r>
      <w:r w:rsidR="00577BED" w:rsidRPr="004F5605">
        <w:t xml:space="preserve"> </w:t>
      </w:r>
      <w:r w:rsidR="00204578" w:rsidRPr="004F5605">
        <w:t>on July 10, 2015</w:t>
      </w:r>
      <w:r w:rsidR="00EF5D2F" w:rsidRPr="004F5605">
        <w:t>,</w:t>
      </w:r>
      <w:r w:rsidR="00204578" w:rsidRPr="004F5605">
        <w:t xml:space="preserve"> </w:t>
      </w:r>
      <w:r w:rsidR="00055278" w:rsidRPr="004F5605">
        <w:t>identifying</w:t>
      </w:r>
      <w:r w:rsidR="00577BED" w:rsidRPr="004F5605">
        <w:t xml:space="preserve"> th</w:t>
      </w:r>
      <w:r w:rsidR="00EF5D2F" w:rsidRPr="004F5605">
        <w:t xml:space="preserve">ose </w:t>
      </w:r>
      <w:r w:rsidR="00EF6B80" w:rsidRPr="004F5605">
        <w:t>individuals</w:t>
      </w:r>
      <w:r w:rsidR="00044BC2" w:rsidRPr="004F5605">
        <w:t>.</w:t>
      </w:r>
      <w:r w:rsidR="004721EC">
        <w:rPr>
          <w:rStyle w:val="FootnoteReference"/>
          <w:szCs w:val="22"/>
        </w:rPr>
        <w:footnoteReference w:id="19"/>
      </w:r>
      <w:r w:rsidR="00044BC2" w:rsidRPr="00BD44C3">
        <w:t xml:space="preserve">  </w:t>
      </w:r>
      <w:r w:rsidR="00643ABF" w:rsidRPr="00643ABF">
        <w:rPr>
          <w:szCs w:val="22"/>
        </w:rPr>
        <w:t xml:space="preserve">Pursuant to the terms of the </w:t>
      </w:r>
      <w:r w:rsidR="00643ABF" w:rsidRPr="000A4C87">
        <w:rPr>
          <w:i/>
          <w:szCs w:val="22"/>
        </w:rPr>
        <w:t>Protective Order</w:t>
      </w:r>
      <w:r w:rsidR="00643ABF" w:rsidRPr="00643ABF">
        <w:rPr>
          <w:szCs w:val="22"/>
        </w:rPr>
        <w:t xml:space="preserve">, </w:t>
      </w:r>
      <w:r w:rsidR="00885413" w:rsidRPr="00BD44C3">
        <w:t>Submitting Parties</w:t>
      </w:r>
      <w:r w:rsidR="00577BED" w:rsidRPr="004F5605">
        <w:t xml:space="preserve"> </w:t>
      </w:r>
      <w:r w:rsidR="00055278" w:rsidRPr="004F5605">
        <w:t xml:space="preserve">had </w:t>
      </w:r>
      <w:r w:rsidR="00577BED" w:rsidRPr="004F5605">
        <w:t xml:space="preserve">five business days </w:t>
      </w:r>
      <w:r w:rsidR="00EF5D2F" w:rsidRPr="004F5605">
        <w:t xml:space="preserve">from the </w:t>
      </w:r>
      <w:r w:rsidR="00577BED" w:rsidRPr="004F5605">
        <w:t>release</w:t>
      </w:r>
      <w:r w:rsidR="00055278" w:rsidRPr="004F5605">
        <w:t xml:space="preserve"> of th</w:t>
      </w:r>
      <w:r w:rsidR="00EF5D2F" w:rsidRPr="004F5605">
        <w:t xml:space="preserve">e </w:t>
      </w:r>
      <w:r w:rsidR="00EF5D2F" w:rsidRPr="00071145">
        <w:rPr>
          <w:i/>
        </w:rPr>
        <w:t>Acknowledgment Public Notice</w:t>
      </w:r>
      <w:r w:rsidR="00EF5D2F" w:rsidRPr="004F5605">
        <w:t xml:space="preserve"> to object, </w:t>
      </w:r>
      <w:r w:rsidR="00885413" w:rsidRPr="004F5605">
        <w:t xml:space="preserve">until </w:t>
      </w:r>
      <w:r w:rsidR="00055278" w:rsidRPr="004F5605">
        <w:t>July 17, 2015</w:t>
      </w:r>
      <w:r w:rsidR="00577BED" w:rsidRPr="004F5605">
        <w:t>.</w:t>
      </w:r>
      <w:r w:rsidR="00FB79CC" w:rsidRPr="004F5605">
        <w:t xml:space="preserve"> </w:t>
      </w:r>
      <w:r w:rsidR="00204578" w:rsidRPr="004F5605">
        <w:t xml:space="preserve"> </w:t>
      </w:r>
      <w:r w:rsidR="00FB79CC" w:rsidRPr="004F5605">
        <w:t xml:space="preserve">Absent the filing of an objection, </w:t>
      </w:r>
      <w:r w:rsidR="00643ABF">
        <w:t>potential Reviewing Parties</w:t>
      </w:r>
      <w:r w:rsidR="00FB79CC" w:rsidRPr="004F5605">
        <w:t xml:space="preserve"> </w:t>
      </w:r>
      <w:r w:rsidR="00DD57E4" w:rsidRPr="004F5605">
        <w:t>w</w:t>
      </w:r>
      <w:r w:rsidR="00520238" w:rsidRPr="004F5605">
        <w:t>ould</w:t>
      </w:r>
      <w:r w:rsidR="00DD57E4" w:rsidRPr="004F5605">
        <w:t xml:space="preserve"> have </w:t>
      </w:r>
      <w:r w:rsidR="00EF5D2F" w:rsidRPr="004F5605">
        <w:t xml:space="preserve">authorization to </w:t>
      </w:r>
      <w:r w:rsidR="00DD57E4" w:rsidRPr="00643ABF">
        <w:t xml:space="preserve">access </w:t>
      </w:r>
      <w:r w:rsidR="00FB79CC" w:rsidRPr="00643ABF">
        <w:t>confidential and highly confidential data and information collected once made available by the Bureau.</w:t>
      </w:r>
      <w:r w:rsidR="00BE1A7F">
        <w:rPr>
          <w:rStyle w:val="FootnoteReference"/>
          <w:szCs w:val="22"/>
        </w:rPr>
        <w:footnoteReference w:id="20"/>
      </w:r>
      <w:r w:rsidR="00FB79CC" w:rsidRPr="00BD44C3">
        <w:t xml:space="preserve">  </w:t>
      </w:r>
    </w:p>
    <w:p w:rsidR="001A5836" w:rsidRPr="00910793" w:rsidRDefault="00EF5D2F" w:rsidP="002D195C">
      <w:pPr>
        <w:pStyle w:val="ParaNum"/>
        <w:numPr>
          <w:ilvl w:val="0"/>
          <w:numId w:val="7"/>
        </w:numPr>
        <w:tabs>
          <w:tab w:val="clear" w:pos="1080"/>
          <w:tab w:val="num" w:pos="1440"/>
        </w:tabs>
      </w:pPr>
      <w:r>
        <w:rPr>
          <w:szCs w:val="22"/>
        </w:rPr>
        <w:t>T</w:t>
      </w:r>
      <w:r w:rsidR="00570EB6">
        <w:rPr>
          <w:szCs w:val="22"/>
        </w:rPr>
        <w:t xml:space="preserve">he Bureau received </w:t>
      </w:r>
      <w:r w:rsidR="00422995">
        <w:rPr>
          <w:szCs w:val="22"/>
        </w:rPr>
        <w:t>eight</w:t>
      </w:r>
      <w:r w:rsidR="00B26AAD">
        <w:rPr>
          <w:szCs w:val="22"/>
        </w:rPr>
        <w:t xml:space="preserve"> objec</w:t>
      </w:r>
      <w:r w:rsidR="00570EB6">
        <w:rPr>
          <w:szCs w:val="22"/>
        </w:rPr>
        <w:t>tions</w:t>
      </w:r>
      <w:r w:rsidR="00422995">
        <w:rPr>
          <w:szCs w:val="22"/>
        </w:rPr>
        <w:t xml:space="preserve"> </w:t>
      </w:r>
      <w:r>
        <w:rPr>
          <w:szCs w:val="22"/>
        </w:rPr>
        <w:t>from</w:t>
      </w:r>
      <w:r w:rsidR="00570EB6">
        <w:rPr>
          <w:szCs w:val="22"/>
        </w:rPr>
        <w:t xml:space="preserve"> </w:t>
      </w:r>
      <w:r w:rsidR="00474265">
        <w:rPr>
          <w:szCs w:val="22"/>
        </w:rPr>
        <w:t xml:space="preserve">the following parties: </w:t>
      </w:r>
      <w:r w:rsidR="006B4EF4" w:rsidRPr="006B4EF4">
        <w:rPr>
          <w:szCs w:val="22"/>
        </w:rPr>
        <w:t>TransWorld Network, Corp. (TransWorld), Santa Rosa Telephone Cooperative, Inc. (Santa Rosa), John Staurulakis, Inc</w:t>
      </w:r>
      <w:r w:rsidR="006B4EF4">
        <w:rPr>
          <w:szCs w:val="22"/>
        </w:rPr>
        <w:t xml:space="preserve">. (JSI) on behalf of </w:t>
      </w:r>
      <w:r w:rsidR="00570EB6">
        <w:rPr>
          <w:szCs w:val="22"/>
        </w:rPr>
        <w:t>126 clients, US Signal Company, L.L.C. (US Signal), Brown County C-LEC, LLC (Brown County), Service Electric Cable T.V., Inc. (Service Electric), Vantage Point Solutions (Vantage Point) on behalf of 12 clients, and Parker FiberNet</w:t>
      </w:r>
      <w:r w:rsidR="00B435D6">
        <w:rPr>
          <w:szCs w:val="22"/>
        </w:rPr>
        <w:t>, LLC</w:t>
      </w:r>
      <w:r w:rsidR="00570EB6">
        <w:rPr>
          <w:szCs w:val="22"/>
        </w:rPr>
        <w:t xml:space="preserve"> (Parker</w:t>
      </w:r>
      <w:r w:rsidR="00B435D6">
        <w:rPr>
          <w:szCs w:val="22"/>
        </w:rPr>
        <w:t xml:space="preserve"> FiberNet</w:t>
      </w:r>
      <w:r w:rsidR="00570EB6">
        <w:rPr>
          <w:szCs w:val="22"/>
        </w:rPr>
        <w:t>)</w:t>
      </w:r>
      <w:r w:rsidR="00B06C8F">
        <w:rPr>
          <w:szCs w:val="22"/>
        </w:rPr>
        <w:t xml:space="preserve"> (collectively, the “</w:t>
      </w:r>
      <w:r w:rsidR="00422995">
        <w:rPr>
          <w:szCs w:val="22"/>
        </w:rPr>
        <w:t>Objectors</w:t>
      </w:r>
      <w:r w:rsidR="00B06C8F">
        <w:rPr>
          <w:szCs w:val="22"/>
        </w:rPr>
        <w:t>”)</w:t>
      </w:r>
      <w:r w:rsidR="00570EB6">
        <w:rPr>
          <w:szCs w:val="22"/>
        </w:rPr>
        <w:t>.</w:t>
      </w:r>
      <w:r w:rsidR="0058498A">
        <w:rPr>
          <w:rStyle w:val="FootnoteReference"/>
          <w:szCs w:val="22"/>
        </w:rPr>
        <w:footnoteReference w:id="21"/>
      </w:r>
      <w:r w:rsidR="00570EB6">
        <w:rPr>
          <w:szCs w:val="22"/>
        </w:rPr>
        <w:t xml:space="preserve">  </w:t>
      </w:r>
      <w:r w:rsidR="00FC5CFA" w:rsidRPr="002D195C">
        <w:rPr>
          <w:szCs w:val="22"/>
        </w:rPr>
        <w:t>Santa Rosa, JSI, US Signal, Brown County, Service Electric, Vantage Point and Parker</w:t>
      </w:r>
      <w:r w:rsidR="00B435D6" w:rsidRPr="002D195C">
        <w:rPr>
          <w:szCs w:val="22"/>
        </w:rPr>
        <w:t xml:space="preserve"> FiberNet</w:t>
      </w:r>
      <w:r w:rsidR="004C60CC" w:rsidRPr="002D195C">
        <w:rPr>
          <w:szCs w:val="22"/>
        </w:rPr>
        <w:t xml:space="preserve"> </w:t>
      </w:r>
      <w:r>
        <w:rPr>
          <w:szCs w:val="22"/>
        </w:rPr>
        <w:t xml:space="preserve">generally </w:t>
      </w:r>
      <w:r w:rsidR="008050C8" w:rsidRPr="002D195C">
        <w:rPr>
          <w:szCs w:val="22"/>
        </w:rPr>
        <w:t xml:space="preserve">object to </w:t>
      </w:r>
      <w:r>
        <w:rPr>
          <w:szCs w:val="22"/>
        </w:rPr>
        <w:t xml:space="preserve">the </w:t>
      </w:r>
      <w:r w:rsidR="008050C8" w:rsidRPr="002D195C">
        <w:rPr>
          <w:szCs w:val="22"/>
        </w:rPr>
        <w:t>disclosure of their</w:t>
      </w:r>
      <w:r w:rsidR="00D93D5A">
        <w:rPr>
          <w:szCs w:val="22"/>
        </w:rPr>
        <w:t>, their clients’ or their members’</w:t>
      </w:r>
      <w:r w:rsidR="008050C8" w:rsidRPr="002D195C">
        <w:rPr>
          <w:szCs w:val="22"/>
        </w:rPr>
        <w:t xml:space="preserve"> confidential and highly confidential information</w:t>
      </w:r>
      <w:r w:rsidR="00E12336">
        <w:rPr>
          <w:szCs w:val="22"/>
        </w:rPr>
        <w:t xml:space="preserve"> to a</w:t>
      </w:r>
      <w:r w:rsidR="00AC104E">
        <w:rPr>
          <w:szCs w:val="22"/>
        </w:rPr>
        <w:t>ny</w:t>
      </w:r>
      <w:r w:rsidR="00E12336">
        <w:rPr>
          <w:szCs w:val="22"/>
        </w:rPr>
        <w:t xml:space="preserve"> </w:t>
      </w:r>
      <w:r w:rsidR="00A03D6E">
        <w:rPr>
          <w:szCs w:val="22"/>
        </w:rPr>
        <w:t>potential Reviewing Parties</w:t>
      </w:r>
      <w:r w:rsidR="00583FB2" w:rsidRPr="002D195C">
        <w:rPr>
          <w:szCs w:val="22"/>
        </w:rPr>
        <w:t xml:space="preserve">.  </w:t>
      </w:r>
      <w:r w:rsidR="008050C8" w:rsidRPr="002D195C">
        <w:rPr>
          <w:szCs w:val="22"/>
        </w:rPr>
        <w:t>TransWorld, Service Electric and Vantage Point</w:t>
      </w:r>
      <w:r w:rsidR="00BB3A29" w:rsidRPr="002D195C">
        <w:rPr>
          <w:szCs w:val="22"/>
        </w:rPr>
        <w:t xml:space="preserve"> </w:t>
      </w:r>
      <w:r w:rsidR="008050C8" w:rsidRPr="002D195C">
        <w:rPr>
          <w:szCs w:val="22"/>
        </w:rPr>
        <w:t xml:space="preserve">object to disclosure until </w:t>
      </w:r>
      <w:r w:rsidR="00512FA4">
        <w:rPr>
          <w:szCs w:val="22"/>
        </w:rPr>
        <w:t xml:space="preserve">certain </w:t>
      </w:r>
      <w:r w:rsidR="00E12336">
        <w:rPr>
          <w:szCs w:val="22"/>
        </w:rPr>
        <w:t xml:space="preserve">additional information is provided </w:t>
      </w:r>
      <w:r w:rsidR="008815DB">
        <w:rPr>
          <w:szCs w:val="22"/>
        </w:rPr>
        <w:t>to help determine</w:t>
      </w:r>
      <w:r w:rsidR="00A73AFD">
        <w:rPr>
          <w:szCs w:val="22"/>
        </w:rPr>
        <w:t xml:space="preserve"> </w:t>
      </w:r>
      <w:r w:rsidR="00B64387">
        <w:rPr>
          <w:szCs w:val="22"/>
        </w:rPr>
        <w:t>whether to object</w:t>
      </w:r>
      <w:r w:rsidR="00E12336">
        <w:rPr>
          <w:szCs w:val="22"/>
        </w:rPr>
        <w:t xml:space="preserve"> further</w:t>
      </w:r>
      <w:r w:rsidR="00152850">
        <w:rPr>
          <w:szCs w:val="22"/>
        </w:rPr>
        <w:t xml:space="preserve"> against specific</w:t>
      </w:r>
      <w:r w:rsidR="00132841">
        <w:rPr>
          <w:szCs w:val="22"/>
        </w:rPr>
        <w:t xml:space="preserve"> individuals seeking access</w:t>
      </w:r>
      <w:r w:rsidR="00B64387">
        <w:rPr>
          <w:szCs w:val="22"/>
        </w:rPr>
        <w:t>.</w:t>
      </w:r>
      <w:r w:rsidR="00152850">
        <w:rPr>
          <w:szCs w:val="22"/>
        </w:rPr>
        <w:t xml:space="preserve">  </w:t>
      </w:r>
      <w:r w:rsidR="00F5159F">
        <w:rPr>
          <w:szCs w:val="22"/>
        </w:rPr>
        <w:t>Additionally</w:t>
      </w:r>
      <w:r w:rsidR="00152850">
        <w:rPr>
          <w:szCs w:val="22"/>
        </w:rPr>
        <w:t xml:space="preserve">, JSI urged the Commission to “strictly adhere to the criteria set forth in the </w:t>
      </w:r>
      <w:r w:rsidR="00152850" w:rsidRPr="00BE2AAE">
        <w:rPr>
          <w:i/>
          <w:szCs w:val="22"/>
        </w:rPr>
        <w:t>Protective Order</w:t>
      </w:r>
      <w:r w:rsidR="00152850">
        <w:rPr>
          <w:szCs w:val="22"/>
        </w:rPr>
        <w:t xml:space="preserve">” and </w:t>
      </w:r>
      <w:r w:rsidR="003E09EC">
        <w:rPr>
          <w:szCs w:val="22"/>
        </w:rPr>
        <w:t xml:space="preserve">is “confident” in the limitations set forth in the </w:t>
      </w:r>
      <w:r w:rsidR="003E09EC" w:rsidRPr="00BE2AAE">
        <w:rPr>
          <w:i/>
          <w:szCs w:val="22"/>
        </w:rPr>
        <w:t>Protective Order</w:t>
      </w:r>
      <w:r w:rsidR="0029399E">
        <w:rPr>
          <w:szCs w:val="22"/>
        </w:rPr>
        <w:t>.</w:t>
      </w:r>
      <w:r w:rsidR="003E09EC">
        <w:rPr>
          <w:rStyle w:val="FootnoteReference"/>
          <w:szCs w:val="22"/>
        </w:rPr>
        <w:footnoteReference w:id="22"/>
      </w:r>
      <w:r w:rsidR="003E09EC">
        <w:rPr>
          <w:szCs w:val="22"/>
        </w:rPr>
        <w:t xml:space="preserve">  JSI </w:t>
      </w:r>
      <w:r w:rsidR="0029399E">
        <w:rPr>
          <w:szCs w:val="22"/>
        </w:rPr>
        <w:t xml:space="preserve">also </w:t>
      </w:r>
      <w:r w:rsidR="00152850">
        <w:rPr>
          <w:szCs w:val="22"/>
        </w:rPr>
        <w:t>ask</w:t>
      </w:r>
      <w:r w:rsidR="003E09EC">
        <w:rPr>
          <w:szCs w:val="22"/>
        </w:rPr>
        <w:t>ed</w:t>
      </w:r>
      <w:r w:rsidR="00152850">
        <w:rPr>
          <w:szCs w:val="22"/>
        </w:rPr>
        <w:t xml:space="preserve"> </w:t>
      </w:r>
      <w:r w:rsidR="003E09EC">
        <w:rPr>
          <w:szCs w:val="22"/>
        </w:rPr>
        <w:t xml:space="preserve">for </w:t>
      </w:r>
      <w:r w:rsidR="00132841">
        <w:rPr>
          <w:szCs w:val="22"/>
        </w:rPr>
        <w:t xml:space="preserve">an </w:t>
      </w:r>
      <w:r w:rsidR="003E09EC">
        <w:rPr>
          <w:szCs w:val="22"/>
        </w:rPr>
        <w:t xml:space="preserve">additional </w:t>
      </w:r>
      <w:r w:rsidR="0029399E">
        <w:rPr>
          <w:szCs w:val="22"/>
        </w:rPr>
        <w:t xml:space="preserve">aggregation of the data </w:t>
      </w:r>
      <w:r w:rsidR="003E09EC">
        <w:rPr>
          <w:szCs w:val="22"/>
        </w:rPr>
        <w:t xml:space="preserve">beyond what </w:t>
      </w:r>
      <w:r w:rsidR="0029399E">
        <w:rPr>
          <w:szCs w:val="22"/>
        </w:rPr>
        <w:t>was specified</w:t>
      </w:r>
      <w:r w:rsidR="003E09EC">
        <w:rPr>
          <w:szCs w:val="22"/>
        </w:rPr>
        <w:t xml:space="preserve"> in the </w:t>
      </w:r>
      <w:r w:rsidR="003E09EC" w:rsidRPr="00BE2AAE">
        <w:rPr>
          <w:i/>
          <w:szCs w:val="22"/>
        </w:rPr>
        <w:t>Protective Order</w:t>
      </w:r>
      <w:r w:rsidR="00B119DA">
        <w:rPr>
          <w:i/>
          <w:szCs w:val="22"/>
        </w:rPr>
        <w:t>.</w:t>
      </w:r>
      <w:r w:rsidR="003E09EC">
        <w:rPr>
          <w:rStyle w:val="FootnoteReference"/>
          <w:szCs w:val="22"/>
        </w:rPr>
        <w:footnoteReference w:id="23"/>
      </w:r>
      <w:r w:rsidR="00F5159F">
        <w:rPr>
          <w:szCs w:val="22"/>
        </w:rPr>
        <w:t xml:space="preserve"> </w:t>
      </w:r>
      <w:r w:rsidR="00FE7CB0">
        <w:rPr>
          <w:szCs w:val="22"/>
        </w:rPr>
        <w:t xml:space="preserve"> </w:t>
      </w:r>
      <w:r w:rsidR="00F5159F">
        <w:rPr>
          <w:szCs w:val="22"/>
        </w:rPr>
        <w:t xml:space="preserve">Finally, </w:t>
      </w:r>
      <w:r w:rsidR="00FE7CB0">
        <w:rPr>
          <w:szCs w:val="22"/>
        </w:rPr>
        <w:t>Service Electric and Vantage Point object to disclosure due to network security risks.</w:t>
      </w:r>
      <w:r w:rsidR="00FE7CB0">
        <w:rPr>
          <w:rStyle w:val="FootnoteReference"/>
          <w:szCs w:val="22"/>
        </w:rPr>
        <w:footnoteReference w:id="24"/>
      </w:r>
    </w:p>
    <w:p w:rsidR="0027215A" w:rsidRDefault="00910793" w:rsidP="005F3BB0">
      <w:pPr>
        <w:pStyle w:val="ParaNum"/>
        <w:widowControl/>
        <w:numPr>
          <w:ilvl w:val="0"/>
          <w:numId w:val="7"/>
        </w:numPr>
        <w:tabs>
          <w:tab w:val="clear" w:pos="1080"/>
          <w:tab w:val="num" w:pos="1440"/>
        </w:tabs>
      </w:pPr>
      <w:r>
        <w:rPr>
          <w:szCs w:val="22"/>
        </w:rPr>
        <w:t xml:space="preserve">Sprint Corporation </w:t>
      </w:r>
      <w:r w:rsidR="00E12336">
        <w:rPr>
          <w:szCs w:val="22"/>
        </w:rPr>
        <w:t xml:space="preserve">(Sprint) filed a </w:t>
      </w:r>
      <w:r>
        <w:rPr>
          <w:szCs w:val="22"/>
        </w:rPr>
        <w:t>response</w:t>
      </w:r>
      <w:r w:rsidR="00E12336">
        <w:rPr>
          <w:szCs w:val="22"/>
        </w:rPr>
        <w:t xml:space="preserve">, urging the Commission to dismiss </w:t>
      </w:r>
      <w:r w:rsidR="007A23B2">
        <w:rPr>
          <w:szCs w:val="22"/>
        </w:rPr>
        <w:t xml:space="preserve">the objections </w:t>
      </w:r>
      <w:r w:rsidR="00E12336">
        <w:rPr>
          <w:szCs w:val="22"/>
        </w:rPr>
        <w:t xml:space="preserve">as </w:t>
      </w:r>
      <w:r w:rsidR="007A23B2">
        <w:rPr>
          <w:szCs w:val="22"/>
        </w:rPr>
        <w:t xml:space="preserve">untimely </w:t>
      </w:r>
      <w:r w:rsidR="00F81F17">
        <w:rPr>
          <w:szCs w:val="22"/>
        </w:rPr>
        <w:t xml:space="preserve">challenges </w:t>
      </w:r>
      <w:r w:rsidR="00E12336">
        <w:rPr>
          <w:szCs w:val="22"/>
        </w:rPr>
        <w:t xml:space="preserve">to </w:t>
      </w:r>
      <w:r w:rsidR="00F9438D">
        <w:rPr>
          <w:szCs w:val="22"/>
        </w:rPr>
        <w:t xml:space="preserve">the </w:t>
      </w:r>
      <w:r w:rsidR="00422995" w:rsidRPr="00422995">
        <w:rPr>
          <w:i/>
          <w:szCs w:val="22"/>
        </w:rPr>
        <w:t>P</w:t>
      </w:r>
      <w:r w:rsidR="00F9438D" w:rsidRPr="00422995">
        <w:rPr>
          <w:i/>
          <w:szCs w:val="22"/>
        </w:rPr>
        <w:t xml:space="preserve">rotective </w:t>
      </w:r>
      <w:r w:rsidR="00422995" w:rsidRPr="00422995">
        <w:rPr>
          <w:i/>
          <w:szCs w:val="22"/>
        </w:rPr>
        <w:t>O</w:t>
      </w:r>
      <w:r w:rsidR="00F9438D" w:rsidRPr="00422995">
        <w:rPr>
          <w:i/>
          <w:szCs w:val="22"/>
        </w:rPr>
        <w:t>rder</w:t>
      </w:r>
      <w:r w:rsidR="00E12336">
        <w:rPr>
          <w:szCs w:val="22"/>
        </w:rPr>
        <w:t>.</w:t>
      </w:r>
      <w:r w:rsidR="00E12336">
        <w:rPr>
          <w:rStyle w:val="FootnoteReference"/>
          <w:szCs w:val="22"/>
        </w:rPr>
        <w:footnoteReference w:id="25"/>
      </w:r>
      <w:r>
        <w:rPr>
          <w:szCs w:val="22"/>
        </w:rPr>
        <w:t xml:space="preserve"> </w:t>
      </w:r>
      <w:r w:rsidR="007A23B2">
        <w:rPr>
          <w:szCs w:val="22"/>
        </w:rPr>
        <w:t xml:space="preserve"> </w:t>
      </w:r>
      <w:r w:rsidR="00B06EA8">
        <w:rPr>
          <w:szCs w:val="22"/>
        </w:rPr>
        <w:t>Sprint also disagreed with</w:t>
      </w:r>
      <w:r w:rsidR="00E12336">
        <w:rPr>
          <w:szCs w:val="22"/>
        </w:rPr>
        <w:t xml:space="preserve"> those Objectors seeking additional information on the </w:t>
      </w:r>
      <w:r w:rsidR="00436185">
        <w:rPr>
          <w:szCs w:val="22"/>
        </w:rPr>
        <w:t>potential Reviewing Parties</w:t>
      </w:r>
      <w:r w:rsidR="00E12336">
        <w:rPr>
          <w:szCs w:val="22"/>
        </w:rPr>
        <w:t xml:space="preserve">, </w:t>
      </w:r>
      <w:r w:rsidR="00B06EA8">
        <w:rPr>
          <w:szCs w:val="22"/>
        </w:rPr>
        <w:t xml:space="preserve">stating </w:t>
      </w:r>
      <w:r w:rsidR="00E12336">
        <w:rPr>
          <w:szCs w:val="22"/>
        </w:rPr>
        <w:t xml:space="preserve">the </w:t>
      </w:r>
      <w:r w:rsidR="00B06EA8">
        <w:rPr>
          <w:szCs w:val="22"/>
        </w:rPr>
        <w:t xml:space="preserve">information already provided </w:t>
      </w:r>
      <w:r w:rsidR="00E12336">
        <w:rPr>
          <w:szCs w:val="22"/>
        </w:rPr>
        <w:t>in the Acknowledgement Public Notice</w:t>
      </w:r>
      <w:r w:rsidR="00B06EA8">
        <w:rPr>
          <w:szCs w:val="22"/>
        </w:rPr>
        <w:t xml:space="preserve"> is sufficient</w:t>
      </w:r>
      <w:r w:rsidR="00F81F17">
        <w:rPr>
          <w:szCs w:val="22"/>
        </w:rPr>
        <w:t>.</w:t>
      </w:r>
      <w:r w:rsidR="00F81F17">
        <w:rPr>
          <w:rStyle w:val="FootnoteReference"/>
          <w:szCs w:val="22"/>
        </w:rPr>
        <w:footnoteReference w:id="26"/>
      </w:r>
      <w:r w:rsidR="00F81F17">
        <w:rPr>
          <w:szCs w:val="22"/>
        </w:rPr>
        <w:t xml:space="preserve"> </w:t>
      </w:r>
    </w:p>
    <w:p w:rsidR="004721EC" w:rsidRPr="004F1DA3" w:rsidRDefault="001A5836" w:rsidP="00BE2AAE">
      <w:pPr>
        <w:pStyle w:val="Heading1"/>
      </w:pPr>
      <w:r>
        <w:t>DISCUSSION</w:t>
      </w:r>
    </w:p>
    <w:p w:rsidR="00434932" w:rsidRDefault="00524F87" w:rsidP="001A2978">
      <w:pPr>
        <w:pStyle w:val="Heading2"/>
      </w:pPr>
      <w:r>
        <w:t xml:space="preserve">The </w:t>
      </w:r>
      <w:r w:rsidR="00434932">
        <w:t xml:space="preserve">Objections </w:t>
      </w:r>
      <w:r w:rsidR="00D963E0">
        <w:t>t</w:t>
      </w:r>
      <w:r w:rsidR="000A7D7D">
        <w:t xml:space="preserve">o </w:t>
      </w:r>
      <w:r w:rsidR="00AC104E">
        <w:t xml:space="preserve">Any and All </w:t>
      </w:r>
      <w:r w:rsidR="000A7D7D">
        <w:t xml:space="preserve">Disclosure Under the </w:t>
      </w:r>
      <w:r w:rsidR="000A7D7D" w:rsidRPr="00D30EC1">
        <w:rPr>
          <w:i/>
        </w:rPr>
        <w:t>Protective Order</w:t>
      </w:r>
      <w:r w:rsidR="000A7D7D">
        <w:t xml:space="preserve"> </w:t>
      </w:r>
      <w:r w:rsidR="00434932">
        <w:t xml:space="preserve">Are Untimely Challenges to the </w:t>
      </w:r>
      <w:r w:rsidR="00434932" w:rsidRPr="002057C8">
        <w:rPr>
          <w:i/>
        </w:rPr>
        <w:t>Protective Order</w:t>
      </w:r>
    </w:p>
    <w:p w:rsidR="00434932" w:rsidRDefault="004721EC" w:rsidP="00247A39">
      <w:pPr>
        <w:pStyle w:val="ParaNum"/>
        <w:widowControl/>
        <w:tabs>
          <w:tab w:val="clear" w:pos="1080"/>
          <w:tab w:val="num" w:pos="1440"/>
        </w:tabs>
      </w:pPr>
      <w:r w:rsidRPr="002D195C">
        <w:t xml:space="preserve">Santa Rosa, JSI, US Signal, Brown County, Service Electric, Vantage Point and Parker FiberNet </w:t>
      </w:r>
      <w:r w:rsidR="00524F87">
        <w:t xml:space="preserve">generally </w:t>
      </w:r>
      <w:r w:rsidRPr="002D195C">
        <w:t xml:space="preserve">object to </w:t>
      </w:r>
      <w:r w:rsidR="00524F87">
        <w:t xml:space="preserve">the </w:t>
      </w:r>
      <w:r w:rsidRPr="002D195C">
        <w:t>disclosure of their confidential and highly confidential information</w:t>
      </w:r>
      <w:r w:rsidR="00524F87">
        <w:t xml:space="preserve"> to anyone, regardless of the procedures set forth in the </w:t>
      </w:r>
      <w:r w:rsidR="00524F87" w:rsidRPr="00BE2AAE">
        <w:rPr>
          <w:i/>
        </w:rPr>
        <w:t>Protective Order</w:t>
      </w:r>
      <w:r w:rsidRPr="002D195C">
        <w:t>.</w:t>
      </w:r>
      <w:r w:rsidR="002A1B5D">
        <w:rPr>
          <w:rStyle w:val="FootnoteReference"/>
          <w:szCs w:val="22"/>
        </w:rPr>
        <w:footnoteReference w:id="27"/>
      </w:r>
      <w:r w:rsidRPr="002D195C">
        <w:t xml:space="preserve">  </w:t>
      </w:r>
      <w:r w:rsidRPr="00247532">
        <w:t xml:space="preserve">Service Electric </w:t>
      </w:r>
      <w:r w:rsidR="0068419B">
        <w:t xml:space="preserve">and US Signal </w:t>
      </w:r>
      <w:r w:rsidR="003736C9" w:rsidRPr="00247532">
        <w:t xml:space="preserve">argue </w:t>
      </w:r>
      <w:r w:rsidR="00EB308E">
        <w:t xml:space="preserve">against public disclosure in any form because </w:t>
      </w:r>
      <w:r w:rsidR="003736C9" w:rsidRPr="003736C9">
        <w:t xml:space="preserve">the information is “proprietary” and subject to withholding </w:t>
      </w:r>
      <w:r w:rsidRPr="00247532">
        <w:t>under Exemption 4 of the Freedom of Information Act (FOIA), which protects trade secrets or confidential commercial or financial information</w:t>
      </w:r>
      <w:r>
        <w:t>.</w:t>
      </w:r>
      <w:r>
        <w:rPr>
          <w:rStyle w:val="FootnoteReference"/>
        </w:rPr>
        <w:footnoteReference w:id="28"/>
      </w:r>
      <w:r>
        <w:t xml:space="preserve">  </w:t>
      </w:r>
      <w:r w:rsidR="00524F87">
        <w:t>Vantage Point echoed t</w:t>
      </w:r>
      <w:r w:rsidR="002A1B5D">
        <w:t>his argument.</w:t>
      </w:r>
      <w:r w:rsidR="002A1B5D">
        <w:rPr>
          <w:rStyle w:val="FootnoteReference"/>
        </w:rPr>
        <w:footnoteReference w:id="29"/>
      </w:r>
      <w:r w:rsidR="002A1B5D">
        <w:t xml:space="preserve">  </w:t>
      </w:r>
      <w:r w:rsidR="001C445D" w:rsidRPr="00020AF0">
        <w:t xml:space="preserve">Vantage Point also </w:t>
      </w:r>
      <w:r w:rsidR="003736C9" w:rsidRPr="00020AF0">
        <w:t>object</w:t>
      </w:r>
      <w:r w:rsidR="003736C9">
        <w:t>s</w:t>
      </w:r>
      <w:r w:rsidR="003736C9" w:rsidRPr="00020AF0">
        <w:t xml:space="preserve"> </w:t>
      </w:r>
      <w:r w:rsidR="001C445D" w:rsidRPr="00020AF0">
        <w:t xml:space="preserve">to disclosure because the information sought shows </w:t>
      </w:r>
      <w:r w:rsidR="000744A9">
        <w:t>data such as “</w:t>
      </w:r>
      <w:r w:rsidR="001C445D" w:rsidRPr="00020AF0">
        <w:t>network location information, which is highly protected for security and competitive reasons.”</w:t>
      </w:r>
      <w:r w:rsidR="001C445D">
        <w:rPr>
          <w:rStyle w:val="FootnoteReference"/>
          <w:szCs w:val="22"/>
        </w:rPr>
        <w:footnoteReference w:id="30"/>
      </w:r>
      <w:r w:rsidR="001C445D" w:rsidRPr="00020AF0">
        <w:t xml:space="preserve">  </w:t>
      </w:r>
      <w:r w:rsidR="003736C9">
        <w:t xml:space="preserve">Similarly, JSI, </w:t>
      </w:r>
      <w:r w:rsidR="003736C9" w:rsidRPr="00020AF0">
        <w:t>US Signal and Vantage Point object</w:t>
      </w:r>
      <w:r w:rsidR="003736C9">
        <w:t>ed</w:t>
      </w:r>
      <w:r w:rsidR="003736C9" w:rsidRPr="00020AF0">
        <w:t xml:space="preserve"> to disclosure </w:t>
      </w:r>
      <w:r w:rsidR="003736C9">
        <w:t xml:space="preserve">to anyone </w:t>
      </w:r>
      <w:r w:rsidR="003736C9" w:rsidRPr="00020AF0">
        <w:t>due to the competitively sensitive nature of the data submitted.</w:t>
      </w:r>
      <w:r w:rsidR="003736C9">
        <w:rPr>
          <w:rStyle w:val="FootnoteReference"/>
          <w:szCs w:val="22"/>
        </w:rPr>
        <w:footnoteReference w:id="31"/>
      </w:r>
      <w:r w:rsidR="003736C9" w:rsidRPr="00020AF0">
        <w:t xml:space="preserve">  </w:t>
      </w:r>
      <w:r w:rsidR="001C445D" w:rsidRPr="00020AF0">
        <w:t xml:space="preserve">Parker FiberNet, Santa Rosa and Brown County </w:t>
      </w:r>
      <w:r w:rsidR="00CD6295">
        <w:t xml:space="preserve">object generally to disclosure </w:t>
      </w:r>
      <w:r w:rsidR="009C7751">
        <w:t>without any explanatory rational for the nature of the objection</w:t>
      </w:r>
      <w:r w:rsidR="001C445D" w:rsidRPr="00020AF0">
        <w:t>.</w:t>
      </w:r>
      <w:r w:rsidR="001C445D">
        <w:rPr>
          <w:rStyle w:val="FootnoteReference"/>
          <w:szCs w:val="22"/>
        </w:rPr>
        <w:footnoteReference w:id="32"/>
      </w:r>
      <w:r w:rsidR="001C445D" w:rsidRPr="00020AF0">
        <w:t xml:space="preserve">   </w:t>
      </w:r>
    </w:p>
    <w:p w:rsidR="003E3FC2" w:rsidRPr="00C02C89" w:rsidRDefault="003736C9" w:rsidP="001320CA">
      <w:pPr>
        <w:pStyle w:val="ParaNum"/>
        <w:tabs>
          <w:tab w:val="clear" w:pos="1080"/>
          <w:tab w:val="num" w:pos="1440"/>
        </w:tabs>
        <w:rPr>
          <w:szCs w:val="22"/>
        </w:rPr>
      </w:pPr>
      <w:r>
        <w:t>As the Commission recently explained, t</w:t>
      </w:r>
      <w:r w:rsidR="00EB308E">
        <w:t xml:space="preserve">he procedures contained in </w:t>
      </w:r>
      <w:r w:rsidR="00FD553E">
        <w:t>protective orders</w:t>
      </w:r>
      <w:r w:rsidR="00EB308E">
        <w:t xml:space="preserve"> </w:t>
      </w:r>
      <w:r w:rsidR="00413972">
        <w:t>are</w:t>
      </w:r>
      <w:r w:rsidR="00EB308E">
        <w:t xml:space="preserve"> designed to protect competitively sensitive information from unauthorized disclosure to competitors and the general public at large while still </w:t>
      </w:r>
      <w:r w:rsidR="0049139A">
        <w:t>giving</w:t>
      </w:r>
      <w:r w:rsidR="00EB308E">
        <w:t xml:space="preserve"> </w:t>
      </w:r>
      <w:r w:rsidR="00E25843">
        <w:t xml:space="preserve">interested parties </w:t>
      </w:r>
      <w:r w:rsidR="0049139A">
        <w:t xml:space="preserve">the opportunity, </w:t>
      </w:r>
      <w:r w:rsidR="00E25843">
        <w:t xml:space="preserve">through their appropriate representatives, </w:t>
      </w:r>
      <w:r w:rsidR="00EB308E">
        <w:t>to participate in the rulemaking proceeding</w:t>
      </w:r>
      <w:r w:rsidR="00E96E98">
        <w:t xml:space="preserve"> as required </w:t>
      </w:r>
      <w:r w:rsidR="0049139A">
        <w:t>by the Administrative Procedure</w:t>
      </w:r>
      <w:r w:rsidR="00E96E98">
        <w:t xml:space="preserve"> Act</w:t>
      </w:r>
      <w:r w:rsidR="00C15664">
        <w:t xml:space="preserve"> (APA)</w:t>
      </w:r>
      <w:r w:rsidR="00EB308E">
        <w:t>.</w:t>
      </w:r>
      <w:r w:rsidR="00277E6B">
        <w:rPr>
          <w:rStyle w:val="FootnoteReference"/>
        </w:rPr>
        <w:footnoteReference w:id="33"/>
      </w:r>
      <w:r w:rsidR="00EB308E">
        <w:t xml:space="preserve">  </w:t>
      </w:r>
      <w:r w:rsidR="00277E6B">
        <w:t xml:space="preserve">The protective order objection process gives Submitting Parties the opportunity to challenge the ability of particular individuals to gain access </w:t>
      </w:r>
      <w:r w:rsidR="00AC104E">
        <w:t>if the objecting party</w:t>
      </w:r>
      <w:r w:rsidR="00277E6B">
        <w:t xml:space="preserve"> </w:t>
      </w:r>
      <w:r w:rsidR="00AC104E">
        <w:t>believes the individuals in question</w:t>
      </w:r>
      <w:r w:rsidR="00277E6B">
        <w:t xml:space="preserve"> are not qualified under the terms of the </w:t>
      </w:r>
      <w:r w:rsidR="00277E6B" w:rsidRPr="00BE2AAE">
        <w:rPr>
          <w:i/>
        </w:rPr>
        <w:t>Protective Order</w:t>
      </w:r>
      <w:r w:rsidR="00277E6B">
        <w:t xml:space="preserve">, </w:t>
      </w:r>
      <w:r w:rsidR="00277E6B" w:rsidRPr="000A4C87">
        <w:t>e.g.</w:t>
      </w:r>
      <w:r w:rsidR="00277E6B" w:rsidRPr="00EB7AF6">
        <w:t>,</w:t>
      </w:r>
      <w:r w:rsidR="00277E6B">
        <w:t xml:space="preserve"> because the person seeking access is involved in the competitive decision-making of a Submitting Parties’ competitor.</w:t>
      </w:r>
      <w:r w:rsidR="00277E6B">
        <w:rPr>
          <w:rStyle w:val="FootnoteReference"/>
        </w:rPr>
        <w:footnoteReference w:id="34"/>
      </w:r>
      <w:r w:rsidR="00277E6B">
        <w:t xml:space="preserve">  </w:t>
      </w:r>
      <w:r w:rsidR="002A1B5D">
        <w:t xml:space="preserve">The objection process is not intended, </w:t>
      </w:r>
      <w:r w:rsidR="00277E6B">
        <w:t xml:space="preserve">however, </w:t>
      </w:r>
      <w:r w:rsidR="002A1B5D">
        <w:t>and may not be used, to collaterally challenge the protective order itself.</w:t>
      </w:r>
      <w:r w:rsidR="002A1B5D">
        <w:rPr>
          <w:rStyle w:val="FootnoteReference"/>
        </w:rPr>
        <w:footnoteReference w:id="35"/>
      </w:r>
      <w:r w:rsidR="00C02C89">
        <w:rPr>
          <w:szCs w:val="22"/>
        </w:rPr>
        <w:t xml:space="preserve">  </w:t>
      </w:r>
      <w:r w:rsidR="009711FE" w:rsidRPr="00C02C89">
        <w:rPr>
          <w:szCs w:val="22"/>
        </w:rPr>
        <w:t xml:space="preserve">The general objections to </w:t>
      </w:r>
      <w:r w:rsidR="00173754" w:rsidRPr="00C02C89">
        <w:rPr>
          <w:szCs w:val="22"/>
        </w:rPr>
        <w:t xml:space="preserve">the </w:t>
      </w:r>
      <w:r w:rsidR="00146D35" w:rsidRPr="00C02C89">
        <w:rPr>
          <w:szCs w:val="22"/>
        </w:rPr>
        <w:t xml:space="preserve">disclosure </w:t>
      </w:r>
      <w:r w:rsidR="00173754" w:rsidRPr="00C02C89">
        <w:rPr>
          <w:szCs w:val="22"/>
        </w:rPr>
        <w:t xml:space="preserve">of information </w:t>
      </w:r>
      <w:r w:rsidR="00146D35" w:rsidRPr="00C02C89">
        <w:rPr>
          <w:szCs w:val="22"/>
        </w:rPr>
        <w:t xml:space="preserve">in any form are </w:t>
      </w:r>
      <w:r w:rsidR="00173754" w:rsidRPr="00C02C89">
        <w:rPr>
          <w:szCs w:val="22"/>
        </w:rPr>
        <w:t xml:space="preserve">indirect </w:t>
      </w:r>
      <w:r w:rsidR="009711FE" w:rsidRPr="00C02C89">
        <w:rPr>
          <w:szCs w:val="22"/>
        </w:rPr>
        <w:t>challenge</w:t>
      </w:r>
      <w:r w:rsidR="00146D35" w:rsidRPr="00C02C89">
        <w:rPr>
          <w:szCs w:val="22"/>
        </w:rPr>
        <w:t>s</w:t>
      </w:r>
      <w:r w:rsidR="009711FE" w:rsidRPr="00C02C89">
        <w:rPr>
          <w:szCs w:val="22"/>
        </w:rPr>
        <w:t xml:space="preserve"> to the Bureau’s order adopting </w:t>
      </w:r>
      <w:r w:rsidR="00146D35" w:rsidRPr="00C02C89">
        <w:rPr>
          <w:szCs w:val="22"/>
        </w:rPr>
        <w:t xml:space="preserve">the </w:t>
      </w:r>
      <w:r w:rsidR="00146D35" w:rsidRPr="00C02C89">
        <w:rPr>
          <w:i/>
          <w:szCs w:val="22"/>
        </w:rPr>
        <w:t>Protective Order</w:t>
      </w:r>
      <w:r w:rsidR="00B841F0" w:rsidRPr="00C02C89">
        <w:rPr>
          <w:szCs w:val="22"/>
        </w:rPr>
        <w:t xml:space="preserve"> and to the protective order process itself</w:t>
      </w:r>
      <w:r w:rsidR="00146D35" w:rsidRPr="00C02C89">
        <w:rPr>
          <w:szCs w:val="22"/>
        </w:rPr>
        <w:t>.</w:t>
      </w:r>
      <w:r w:rsidR="009711FE" w:rsidRPr="000A4C87">
        <w:rPr>
          <w:rStyle w:val="ParaNumCharChar1"/>
          <w:szCs w:val="22"/>
          <w:vertAlign w:val="superscript"/>
        </w:rPr>
        <w:footnoteReference w:id="36"/>
      </w:r>
      <w:r w:rsidR="005B5CDC" w:rsidRPr="00C02C89">
        <w:rPr>
          <w:szCs w:val="22"/>
        </w:rPr>
        <w:t xml:space="preserve">  </w:t>
      </w:r>
      <w:r w:rsidR="00B841F0" w:rsidRPr="00C02C89">
        <w:rPr>
          <w:szCs w:val="22"/>
        </w:rPr>
        <w:t>As such, they are untimely</w:t>
      </w:r>
      <w:r w:rsidR="000A7D7D">
        <w:rPr>
          <w:szCs w:val="22"/>
        </w:rPr>
        <w:t xml:space="preserve"> and we reject such objections for that reason</w:t>
      </w:r>
      <w:r w:rsidR="00B841F0" w:rsidRPr="00C02C89">
        <w:rPr>
          <w:szCs w:val="22"/>
        </w:rPr>
        <w:t xml:space="preserve">.  In the recent </w:t>
      </w:r>
      <w:r w:rsidR="00B841F0" w:rsidRPr="00C02C89">
        <w:rPr>
          <w:i/>
          <w:szCs w:val="22"/>
        </w:rPr>
        <w:t>Charter Order</w:t>
      </w:r>
      <w:r w:rsidR="00B841F0" w:rsidRPr="00C02C89">
        <w:rPr>
          <w:szCs w:val="22"/>
        </w:rPr>
        <w:t>, t</w:t>
      </w:r>
      <w:r w:rsidR="00B841F0" w:rsidRPr="007B34F2">
        <w:t>he</w:t>
      </w:r>
      <w:r w:rsidR="00B841F0">
        <w:t xml:space="preserve"> Commission also stated that parties who objected to the review of their confidential information pursuant to a protective order would have the opportunity to raise those objections.</w:t>
      </w:r>
      <w:r w:rsidR="00B841F0">
        <w:rPr>
          <w:rStyle w:val="FootnoteReference"/>
        </w:rPr>
        <w:footnoteReference w:id="37"/>
      </w:r>
      <w:r w:rsidR="00B841F0">
        <w:t xml:space="preserve">  Such objections, however, must be timely raised.</w:t>
      </w:r>
      <w:r w:rsidR="00B841F0">
        <w:rPr>
          <w:rStyle w:val="FootnoteReference"/>
        </w:rPr>
        <w:footnoteReference w:id="38"/>
      </w:r>
      <w:r w:rsidR="00B841F0">
        <w:t xml:space="preserve">  Here they were not.</w:t>
      </w:r>
      <w:r w:rsidR="003E3FC2" w:rsidRPr="00C02C89">
        <w:rPr>
          <w:szCs w:val="22"/>
        </w:rPr>
        <w:t xml:space="preserve">  </w:t>
      </w:r>
    </w:p>
    <w:p w:rsidR="003E3FC2" w:rsidRDefault="00B841F0" w:rsidP="000A4C87">
      <w:pPr>
        <w:pStyle w:val="ParaNum"/>
        <w:tabs>
          <w:tab w:val="clear" w:pos="1080"/>
          <w:tab w:val="left" w:pos="1440"/>
        </w:tabs>
      </w:pPr>
      <w:r>
        <w:t xml:space="preserve">In fact, the Objectors had </w:t>
      </w:r>
      <w:r w:rsidR="000A7D7D">
        <w:t>the clear opportunity</w:t>
      </w:r>
      <w:r>
        <w:t xml:space="preserve"> to raise their objections but failed to do so. </w:t>
      </w:r>
      <w:r w:rsidR="000F7134">
        <w:t xml:space="preserve"> </w:t>
      </w:r>
      <w:r w:rsidRPr="00EB7AF6">
        <w:t>The Objectors knew th</w:t>
      </w:r>
      <w:r w:rsidR="009B3A0B">
        <w:t xml:space="preserve">e scope of the information </w:t>
      </w:r>
      <w:r w:rsidRPr="00EB7AF6">
        <w:t xml:space="preserve">they would be required to file when the Commission adopted the </w:t>
      </w:r>
      <w:r w:rsidRPr="00EB7AF6">
        <w:rPr>
          <w:i/>
        </w:rPr>
        <w:t>Data Collection Order</w:t>
      </w:r>
      <w:r>
        <w:t xml:space="preserve"> on December 11, 2012</w:t>
      </w:r>
      <w:r w:rsidR="000F7134">
        <w:t>.</w:t>
      </w:r>
      <w:r w:rsidR="009A7079">
        <w:rPr>
          <w:rStyle w:val="FootnoteReference"/>
        </w:rPr>
        <w:footnoteReference w:id="39"/>
      </w:r>
      <w:r w:rsidR="000F7134">
        <w:t xml:space="preserve">  </w:t>
      </w:r>
      <w:r w:rsidR="000A7D7D">
        <w:t>O</w:t>
      </w:r>
      <w:r w:rsidR="00C171D5">
        <w:t xml:space="preserve">n </w:t>
      </w:r>
      <w:r w:rsidR="004726AE">
        <w:t>June 2</w:t>
      </w:r>
      <w:r w:rsidR="003A0B51">
        <w:t>8</w:t>
      </w:r>
      <w:r w:rsidR="004726AE">
        <w:t>, 2013</w:t>
      </w:r>
      <w:r w:rsidR="00413972">
        <w:t xml:space="preserve">, the Bureau released </w:t>
      </w:r>
      <w:r w:rsidR="000A7D7D">
        <w:t xml:space="preserve">the </w:t>
      </w:r>
      <w:r w:rsidR="000A7D7D" w:rsidRPr="00D30EC1">
        <w:rPr>
          <w:i/>
        </w:rPr>
        <w:t>Protective Order Public Notice</w:t>
      </w:r>
      <w:r w:rsidR="000A7D7D">
        <w:t xml:space="preserve"> </w:t>
      </w:r>
      <w:r w:rsidR="004726AE">
        <w:t xml:space="preserve">seeking comment on </w:t>
      </w:r>
      <w:r w:rsidR="00413972">
        <w:t xml:space="preserve">a </w:t>
      </w:r>
      <w:r w:rsidR="004726AE">
        <w:t xml:space="preserve">draft </w:t>
      </w:r>
      <w:r w:rsidR="00413972">
        <w:t xml:space="preserve">version of the </w:t>
      </w:r>
      <w:r w:rsidR="004726AE">
        <w:t>protective order</w:t>
      </w:r>
      <w:r w:rsidR="007F7A49">
        <w:t xml:space="preserve"> and specifically</w:t>
      </w:r>
      <w:r w:rsidR="0020182F" w:rsidRPr="004726AE">
        <w:t xml:space="preserve"> </w:t>
      </w:r>
      <w:r w:rsidR="004B2478">
        <w:t xml:space="preserve">seeking </w:t>
      </w:r>
      <w:r w:rsidR="0020182F">
        <w:t xml:space="preserve">comment on “whether the procedures in the draft </w:t>
      </w:r>
      <w:r w:rsidR="0020182F" w:rsidRPr="000A4C87">
        <w:rPr>
          <w:i/>
        </w:rPr>
        <w:t>Protective Order</w:t>
      </w:r>
      <w:r w:rsidR="0020182F">
        <w:t xml:space="preserve"> adequately protect the commercial sensitivity of the collected information.”</w:t>
      </w:r>
      <w:r w:rsidR="0020182F">
        <w:rPr>
          <w:rStyle w:val="FootnoteReference"/>
        </w:rPr>
        <w:footnoteReference w:id="40"/>
      </w:r>
      <w:r w:rsidR="0020182F">
        <w:t xml:space="preserve">  </w:t>
      </w:r>
      <w:r w:rsidR="008D1C0F">
        <w:t>In response, t</w:t>
      </w:r>
      <w:r w:rsidR="00D1399A">
        <w:t xml:space="preserve">he Bureau received </w:t>
      </w:r>
      <w:r w:rsidR="004E7859">
        <w:t xml:space="preserve">five </w:t>
      </w:r>
      <w:r w:rsidR="00D1399A">
        <w:t>comments</w:t>
      </w:r>
      <w:r w:rsidR="00A32633">
        <w:t xml:space="preserve">, none from </w:t>
      </w:r>
      <w:r w:rsidR="00E34D49">
        <w:t xml:space="preserve">the </w:t>
      </w:r>
      <w:r w:rsidR="00A32633">
        <w:t>Objectors.</w:t>
      </w:r>
      <w:r w:rsidR="004E7859">
        <w:rPr>
          <w:rStyle w:val="FootnoteReference"/>
        </w:rPr>
        <w:footnoteReference w:id="41"/>
      </w:r>
      <w:r w:rsidR="00A32633">
        <w:t xml:space="preserve">  </w:t>
      </w:r>
      <w:r w:rsidR="00E34D49">
        <w:t>Indeed, m</w:t>
      </w:r>
      <w:r w:rsidR="00E96E98">
        <w:t xml:space="preserve">ost </w:t>
      </w:r>
      <w:r w:rsidR="0049139A">
        <w:t xml:space="preserve">of </w:t>
      </w:r>
      <w:r w:rsidR="00E96E98">
        <w:t xml:space="preserve">these commenters </w:t>
      </w:r>
      <w:r w:rsidR="007F7A49">
        <w:t xml:space="preserve">generally supported the </w:t>
      </w:r>
      <w:r w:rsidR="00E96E98">
        <w:t>protective measures with some modification</w:t>
      </w:r>
      <w:r w:rsidR="007F7A49">
        <w:t>.</w:t>
      </w:r>
      <w:r w:rsidR="00E96E98">
        <w:rPr>
          <w:rStyle w:val="FootnoteReference"/>
        </w:rPr>
        <w:footnoteReference w:id="42"/>
      </w:r>
      <w:r w:rsidR="0049139A" w:rsidRPr="003E3FC2">
        <w:t xml:space="preserve"> </w:t>
      </w:r>
      <w:r w:rsidR="004B2478" w:rsidRPr="003E3FC2">
        <w:t xml:space="preserve"> </w:t>
      </w:r>
      <w:r w:rsidR="003E3FC2">
        <w:t>N</w:t>
      </w:r>
      <w:r w:rsidR="00E34D49">
        <w:t xml:space="preserve">or did the </w:t>
      </w:r>
      <w:r w:rsidR="00413972">
        <w:t xml:space="preserve">Objectors </w:t>
      </w:r>
      <w:r w:rsidR="005E06A2">
        <w:t xml:space="preserve">file </w:t>
      </w:r>
      <w:r w:rsidR="005E06A2" w:rsidRPr="009B4D6E">
        <w:t xml:space="preserve">a petition for reconsideration or an application for review </w:t>
      </w:r>
      <w:r w:rsidR="003E3FC2">
        <w:t xml:space="preserve">after adoption of the </w:t>
      </w:r>
      <w:r w:rsidR="003E3FC2" w:rsidRPr="00D30EC1">
        <w:rPr>
          <w:i/>
        </w:rPr>
        <w:t>Protective Order</w:t>
      </w:r>
      <w:r w:rsidR="00833F3C">
        <w:t xml:space="preserve"> on </w:t>
      </w:r>
      <w:r w:rsidR="00CE3723">
        <w:t>October 1, 2014</w:t>
      </w:r>
      <w:r w:rsidR="003E3FC2">
        <w:t>.</w:t>
      </w:r>
      <w:r w:rsidR="005E06A2">
        <w:rPr>
          <w:rStyle w:val="FootnoteReference"/>
        </w:rPr>
        <w:footnoteReference w:id="43"/>
      </w:r>
      <w:r w:rsidR="005E06A2">
        <w:t xml:space="preserve">  </w:t>
      </w:r>
      <w:r w:rsidR="003E3FC2" w:rsidRPr="003E3FC2">
        <w:t xml:space="preserve">Because the Objectors failed to </w:t>
      </w:r>
      <w:r w:rsidR="00AC104E">
        <w:t xml:space="preserve">follow well-established, basic Commission procedures for </w:t>
      </w:r>
      <w:r w:rsidR="003E3FC2" w:rsidRPr="003E3FC2">
        <w:t>objecti</w:t>
      </w:r>
      <w:r w:rsidR="00AC104E">
        <w:t>ng</w:t>
      </w:r>
      <w:r w:rsidR="003E3FC2" w:rsidRPr="003E3FC2">
        <w:t xml:space="preserve"> </w:t>
      </w:r>
      <w:r w:rsidR="00AC104E">
        <w:t>to</w:t>
      </w:r>
      <w:r w:rsidR="00AC104E" w:rsidRPr="003E3FC2">
        <w:t xml:space="preserve"> </w:t>
      </w:r>
      <w:r w:rsidR="003E3FC2" w:rsidRPr="003E3FC2">
        <w:t xml:space="preserve">the ability of </w:t>
      </w:r>
      <w:r w:rsidR="00846F3B">
        <w:t>potential Reviewing Parties</w:t>
      </w:r>
      <w:r w:rsidR="00846F3B" w:rsidRPr="003E3FC2">
        <w:t xml:space="preserve"> </w:t>
      </w:r>
      <w:r w:rsidR="003E3FC2" w:rsidRPr="003E3FC2">
        <w:t xml:space="preserve">to review their information pursuant to the </w:t>
      </w:r>
      <w:r w:rsidR="003E3FC2" w:rsidRPr="000A4C87">
        <w:rPr>
          <w:i/>
        </w:rPr>
        <w:t>Protective Order</w:t>
      </w:r>
      <w:r w:rsidR="003E3FC2" w:rsidRPr="003E3FC2">
        <w:t>, we dismiss their objections as untimely.</w:t>
      </w:r>
      <w:r w:rsidR="003E3FC2">
        <w:t xml:space="preserve">  </w:t>
      </w:r>
    </w:p>
    <w:p w:rsidR="003E3FC2" w:rsidRDefault="003E3FC2" w:rsidP="000A4C87">
      <w:pPr>
        <w:pStyle w:val="Heading2"/>
      </w:pPr>
      <w:r>
        <w:t>The Objections are Unfounded</w:t>
      </w:r>
    </w:p>
    <w:p w:rsidR="0051045B" w:rsidRPr="003A024E" w:rsidRDefault="0053022C" w:rsidP="000A4C87">
      <w:pPr>
        <w:pStyle w:val="ParaNum"/>
        <w:tabs>
          <w:tab w:val="clear" w:pos="1080"/>
          <w:tab w:val="num" w:pos="1440"/>
        </w:tabs>
        <w:rPr>
          <w:szCs w:val="22"/>
        </w:rPr>
      </w:pPr>
      <w:r>
        <w:t>T</w:t>
      </w:r>
      <w:r w:rsidR="00AE06C6">
        <w:t>he untimeliness of the objections</w:t>
      </w:r>
      <w:r>
        <w:t>, w</w:t>
      </w:r>
      <w:r w:rsidRPr="003A09CE">
        <w:t xml:space="preserve">ith the exception of the request </w:t>
      </w:r>
      <w:r>
        <w:t>for potential Reviewing Parties to disclose the client represented,</w:t>
      </w:r>
      <w:r w:rsidR="00AE06C6">
        <w:t xml:space="preserve"> provides sufficient grounds for dismissing them</w:t>
      </w:r>
      <w:r>
        <w:t>.</w:t>
      </w:r>
      <w:r>
        <w:rPr>
          <w:rStyle w:val="FootnoteReference"/>
        </w:rPr>
        <w:footnoteReference w:id="44"/>
      </w:r>
      <w:r>
        <w:t xml:space="preserve">  </w:t>
      </w:r>
      <w:r w:rsidR="0051045B">
        <w:t>Notwithstanding the issue of timing, t</w:t>
      </w:r>
      <w:r w:rsidR="0084574C">
        <w:t xml:space="preserve">he </w:t>
      </w:r>
      <w:r w:rsidR="0051045B">
        <w:t xml:space="preserve">Bureau has already </w:t>
      </w:r>
      <w:r w:rsidR="00244907">
        <w:t xml:space="preserve">considered and addressed </w:t>
      </w:r>
      <w:r w:rsidR="0051045B">
        <w:t xml:space="preserve">many of the issues raised in the objections when it adopted the </w:t>
      </w:r>
      <w:r w:rsidR="0051045B" w:rsidRPr="00247A39">
        <w:rPr>
          <w:i/>
        </w:rPr>
        <w:t>Protective Order</w:t>
      </w:r>
      <w:r w:rsidR="00384A35" w:rsidRPr="00247532">
        <w:t xml:space="preserve">.  </w:t>
      </w:r>
      <w:r w:rsidR="0051045B">
        <w:t>Accordingly, as an additional independent basis for dismissing these objections, we find the Objectors’ requests fail on the merits.</w:t>
      </w:r>
    </w:p>
    <w:p w:rsidR="00513C49" w:rsidRPr="00534D78" w:rsidRDefault="0084574C" w:rsidP="000A4C87">
      <w:pPr>
        <w:pStyle w:val="ParaNum"/>
        <w:tabs>
          <w:tab w:val="clear" w:pos="1080"/>
          <w:tab w:val="num" w:pos="1440"/>
        </w:tabs>
        <w:rPr>
          <w:szCs w:val="22"/>
        </w:rPr>
      </w:pPr>
      <w:r>
        <w:rPr>
          <w:szCs w:val="22"/>
        </w:rPr>
        <w:t xml:space="preserve">For example, </w:t>
      </w:r>
      <w:r w:rsidR="00F4146F" w:rsidRPr="00F63D48">
        <w:t>Vantage Point</w:t>
      </w:r>
      <w:r w:rsidR="00341112">
        <w:t xml:space="preserve"> and JSI</w:t>
      </w:r>
      <w:r w:rsidR="00F4146F" w:rsidRPr="00F63D48">
        <w:t xml:space="preserve"> </w:t>
      </w:r>
      <w:r>
        <w:t xml:space="preserve">argue that </w:t>
      </w:r>
      <w:r w:rsidR="00BC1603">
        <w:t xml:space="preserve">customer </w:t>
      </w:r>
      <w:r w:rsidR="00F4146F" w:rsidRPr="00F63D48">
        <w:t>information</w:t>
      </w:r>
      <w:r>
        <w:t xml:space="preserve"> should not be disclosed</w:t>
      </w:r>
      <w:r w:rsidR="008B4409">
        <w:t>.</w:t>
      </w:r>
      <w:r w:rsidR="00F4146F">
        <w:rPr>
          <w:rStyle w:val="FootnoteReference"/>
          <w:szCs w:val="22"/>
        </w:rPr>
        <w:footnoteReference w:id="45"/>
      </w:r>
      <w:r w:rsidR="00F4146F" w:rsidRPr="00F63D48">
        <w:t xml:space="preserve">  </w:t>
      </w:r>
      <w:r w:rsidR="00D4398F">
        <w:t xml:space="preserve">As stated in the </w:t>
      </w:r>
      <w:r w:rsidR="00D4398F" w:rsidRPr="00BE2AAE">
        <w:rPr>
          <w:i/>
        </w:rPr>
        <w:t>Protective Order</w:t>
      </w:r>
      <w:r w:rsidR="00D4398F">
        <w:t xml:space="preserve">, </w:t>
      </w:r>
      <w:r w:rsidR="008715AD">
        <w:t xml:space="preserve">instead of providing </w:t>
      </w:r>
      <w:r w:rsidR="003A0B51">
        <w:t xml:space="preserve">customer names </w:t>
      </w:r>
      <w:r w:rsidR="00F63D48" w:rsidRPr="00F63D48">
        <w:t xml:space="preserve">in </w:t>
      </w:r>
      <w:r w:rsidR="00D4398F">
        <w:t xml:space="preserve">the </w:t>
      </w:r>
      <w:r w:rsidR="00F63D48" w:rsidRPr="00F63D48">
        <w:t>billing data</w:t>
      </w:r>
      <w:r w:rsidR="008715AD">
        <w:t>,</w:t>
      </w:r>
      <w:r w:rsidR="00F63D48" w:rsidRPr="00F63D48">
        <w:t xml:space="preserve"> </w:t>
      </w:r>
      <w:r w:rsidR="008715AD">
        <w:t xml:space="preserve">the Bureau will provide reviewing parties </w:t>
      </w:r>
      <w:r w:rsidR="00F63D48" w:rsidRPr="00F63D48">
        <w:t>with a unique, non-descript identif</w:t>
      </w:r>
      <w:r w:rsidR="00F63D48">
        <w:t>ication code</w:t>
      </w:r>
      <w:r w:rsidR="00D4398F">
        <w:t>.  Reviewing Parties will have</w:t>
      </w:r>
      <w:r w:rsidR="00F63D48">
        <w:t xml:space="preserve"> </w:t>
      </w:r>
      <w:r w:rsidR="00D4398F">
        <w:t>access to the codes but not the customer names</w:t>
      </w:r>
      <w:r w:rsidR="00F63D48" w:rsidRPr="00F63D48">
        <w:t>.</w:t>
      </w:r>
      <w:r w:rsidR="00AF08F8">
        <w:rPr>
          <w:rStyle w:val="FootnoteReference"/>
        </w:rPr>
        <w:footnoteReference w:id="46"/>
      </w:r>
      <w:r w:rsidR="00F63D48">
        <w:t xml:space="preserve">  </w:t>
      </w:r>
      <w:r w:rsidR="00FF5CDE">
        <w:t>Other concerns about protecting the privacy of customer-relate</w:t>
      </w:r>
      <w:r w:rsidR="00861373">
        <w:t>d</w:t>
      </w:r>
      <w:r w:rsidR="00FF5CDE">
        <w:t xml:space="preserve"> information were addressed when the Bureau released its administrative subpoena in January 2015.</w:t>
      </w:r>
      <w:r w:rsidR="00FF5CDE">
        <w:rPr>
          <w:rStyle w:val="FootnoteReference"/>
        </w:rPr>
        <w:footnoteReference w:id="47"/>
      </w:r>
      <w:r w:rsidR="00FF5CDE">
        <w:t xml:space="preserve">  </w:t>
      </w:r>
      <w:r w:rsidR="00BC1603">
        <w:t xml:space="preserve">Likewise, the Bureau has </w:t>
      </w:r>
      <w:r w:rsidR="00151CB7">
        <w:t xml:space="preserve">previously considered </w:t>
      </w:r>
      <w:r w:rsidR="00BC1603">
        <w:t xml:space="preserve">Vantage Point’s concern about the protection of </w:t>
      </w:r>
      <w:r w:rsidR="0022587F">
        <w:t xml:space="preserve">network location information </w:t>
      </w:r>
      <w:r w:rsidR="00BC1603">
        <w:t xml:space="preserve">by </w:t>
      </w:r>
      <w:r w:rsidR="00C63F86">
        <w:t>treat</w:t>
      </w:r>
      <w:r w:rsidR="00BC1603">
        <w:t>ing such information</w:t>
      </w:r>
      <w:r w:rsidR="00C63F86">
        <w:t xml:space="preserve"> as highly confidential information </w:t>
      </w:r>
      <w:r w:rsidR="00BC1603">
        <w:t>and</w:t>
      </w:r>
      <w:r w:rsidR="00C63F86">
        <w:t xml:space="preserve"> </w:t>
      </w:r>
      <w:r w:rsidR="0022587F">
        <w:t>subject</w:t>
      </w:r>
      <w:r w:rsidR="00BC1603">
        <w:t>ing it</w:t>
      </w:r>
      <w:r w:rsidR="0022587F">
        <w:t xml:space="preserve"> to the highest level of protection </w:t>
      </w:r>
      <w:r w:rsidR="00C63F86">
        <w:t xml:space="preserve">at the </w:t>
      </w:r>
      <w:r w:rsidR="00861373">
        <w:t>SDE</w:t>
      </w:r>
      <w:r w:rsidR="00EE2C12">
        <w:t>.</w:t>
      </w:r>
      <w:r w:rsidR="0022587F">
        <w:rPr>
          <w:rStyle w:val="FootnoteReference"/>
        </w:rPr>
        <w:footnoteReference w:id="48"/>
      </w:r>
      <w:r w:rsidR="00CE779E">
        <w:t xml:space="preserve">  </w:t>
      </w:r>
      <w:r w:rsidR="008B0048">
        <w:rPr>
          <w:szCs w:val="22"/>
        </w:rPr>
        <w:t xml:space="preserve">  </w:t>
      </w:r>
    </w:p>
    <w:p w:rsidR="00EC6516" w:rsidRPr="00EC6516" w:rsidRDefault="00244907" w:rsidP="00EC6516">
      <w:pPr>
        <w:pStyle w:val="ParaNum"/>
        <w:widowControl/>
        <w:tabs>
          <w:tab w:val="clear" w:pos="1080"/>
          <w:tab w:val="num" w:pos="1440"/>
        </w:tabs>
      </w:pPr>
      <w:r>
        <w:t>JSI</w:t>
      </w:r>
      <w:r w:rsidR="0053022C">
        <w:t xml:space="preserve"> separately</w:t>
      </w:r>
      <w:r w:rsidR="000E4B5D">
        <w:t xml:space="preserve"> </w:t>
      </w:r>
      <w:r w:rsidR="0053022C">
        <w:t>urge</w:t>
      </w:r>
      <w:r w:rsidR="0051045B">
        <w:t>d</w:t>
      </w:r>
      <w:r w:rsidR="0053022C">
        <w:t xml:space="preserve"> the Bureau</w:t>
      </w:r>
      <w:r w:rsidR="000E4B5D">
        <w:t xml:space="preserve"> not </w:t>
      </w:r>
      <w:r w:rsidR="0053022C">
        <w:t xml:space="preserve">to </w:t>
      </w:r>
      <w:r w:rsidR="000E4B5D">
        <w:t xml:space="preserve">make available any </w:t>
      </w:r>
      <w:r w:rsidR="003C5D37">
        <w:t xml:space="preserve">information </w:t>
      </w:r>
      <w:r>
        <w:t xml:space="preserve">about JSI’s carrier clients or any individual carriers </w:t>
      </w:r>
      <w:r w:rsidR="003C5D37">
        <w:t xml:space="preserve">that would </w:t>
      </w:r>
      <w:r>
        <w:t>allow “a third party to associate the data with a specific carrier.”</w:t>
      </w:r>
      <w:r>
        <w:rPr>
          <w:rStyle w:val="FootnoteReference"/>
        </w:rPr>
        <w:footnoteReference w:id="49"/>
      </w:r>
      <w:r>
        <w:t xml:space="preserve">  </w:t>
      </w:r>
      <w:r w:rsidR="003D1CAE">
        <w:t>The collected data identifying market participants is key to the Commission’s proposed structural market analysis.</w:t>
      </w:r>
      <w:r w:rsidR="003D1CAE">
        <w:rPr>
          <w:rStyle w:val="FootnoteReference"/>
        </w:rPr>
        <w:footnoteReference w:id="50"/>
      </w:r>
      <w:r w:rsidR="003D1CAE">
        <w:t xml:space="preserve">  </w:t>
      </w:r>
      <w:r>
        <w:t xml:space="preserve">In the </w:t>
      </w:r>
      <w:r w:rsidRPr="00386E78">
        <w:rPr>
          <w:i/>
        </w:rPr>
        <w:t>Protective Order</w:t>
      </w:r>
      <w:r w:rsidR="003C5D37">
        <w:t>,</w:t>
      </w:r>
      <w:r>
        <w:t xml:space="preserve"> we </w:t>
      </w:r>
      <w:r w:rsidR="003C5D37">
        <w:t xml:space="preserve">considered the level of data access in the SDE and </w:t>
      </w:r>
      <w:r>
        <w:t>examined “whether to require that data research results conform to one or more standard rules for identifying disclosure risk before permitting those results to leave the SDE and whether aggregation rules are sufficient to protect commercially sensitive data.”</w:t>
      </w:r>
      <w:r>
        <w:rPr>
          <w:rStyle w:val="FootnoteReference"/>
        </w:rPr>
        <w:footnoteReference w:id="51"/>
      </w:r>
      <w:r>
        <w:t xml:space="preserve">  The only commenter on this issue, AT&amp;T, opposed such rules</w:t>
      </w:r>
      <w:r w:rsidR="00F71930">
        <w:t xml:space="preserve"> raising feasibility and attorney work product concerns</w:t>
      </w:r>
      <w:r>
        <w:t>, and we agreed.</w:t>
      </w:r>
      <w:r w:rsidR="000E4B5D">
        <w:rPr>
          <w:rStyle w:val="FootnoteReference"/>
        </w:rPr>
        <w:footnoteReference w:id="52"/>
      </w:r>
      <w:r>
        <w:t xml:space="preserve">  We did</w:t>
      </w:r>
      <w:r w:rsidR="003C5D37">
        <w:t>, however,</w:t>
      </w:r>
      <w:r>
        <w:t xml:space="preserve"> </w:t>
      </w:r>
      <w:r w:rsidR="003C5D37">
        <w:t xml:space="preserve">require the SDE host, with the Bureau’s assistance, to review </w:t>
      </w:r>
      <w:r w:rsidR="000744A9">
        <w:t xml:space="preserve">and consider </w:t>
      </w:r>
      <w:r w:rsidR="003C5D37">
        <w:t xml:space="preserve">all requests </w:t>
      </w:r>
      <w:r w:rsidR="003D1CAE">
        <w:t xml:space="preserve">to remove analysis results from the SDE </w:t>
      </w:r>
      <w:r>
        <w:t xml:space="preserve">to ensure </w:t>
      </w:r>
      <w:r w:rsidR="003D1CAE">
        <w:t>a</w:t>
      </w:r>
      <w:r>
        <w:t xml:space="preserve"> release will not include </w:t>
      </w:r>
      <w:r w:rsidR="00EC5E17">
        <w:t xml:space="preserve">the underlying </w:t>
      </w:r>
      <w:r>
        <w:t>data sets</w:t>
      </w:r>
      <w:r w:rsidR="00EB7AF6">
        <w:t>, including complete data sets for individual carriers</w:t>
      </w:r>
      <w:r>
        <w:t>.</w:t>
      </w:r>
      <w:r>
        <w:rPr>
          <w:rStyle w:val="FootnoteReference"/>
        </w:rPr>
        <w:footnoteReference w:id="53"/>
      </w:r>
      <w:r>
        <w:t xml:space="preserve">  </w:t>
      </w:r>
      <w:r w:rsidR="00716DB0">
        <w:t>In addition</w:t>
      </w:r>
      <w:r w:rsidR="003D1CAE">
        <w:t xml:space="preserve">, </w:t>
      </w:r>
      <w:r w:rsidR="00716DB0">
        <w:t xml:space="preserve">all </w:t>
      </w:r>
      <w:r w:rsidR="003D1CAE">
        <w:t xml:space="preserve">information removed from the SDE </w:t>
      </w:r>
      <w:r w:rsidR="00EC5E17">
        <w:t xml:space="preserve">is </w:t>
      </w:r>
      <w:r w:rsidR="003D1CAE">
        <w:t xml:space="preserve">subject to the </w:t>
      </w:r>
      <w:r w:rsidR="003D1CAE" w:rsidRPr="00F43F94">
        <w:rPr>
          <w:i/>
        </w:rPr>
        <w:t>Protective Order</w:t>
      </w:r>
      <w:r w:rsidR="003D1CAE" w:rsidRPr="00024B56">
        <w:t>’s</w:t>
      </w:r>
      <w:r w:rsidR="003D1CAE">
        <w:t xml:space="preserve"> non-disclosure requirements.</w:t>
      </w:r>
      <w:r w:rsidR="00155827" w:rsidRPr="00155827">
        <w:t xml:space="preserve"> </w:t>
      </w:r>
      <w:r w:rsidR="00692AD6">
        <w:t xml:space="preserve"> The procedures provided in the </w:t>
      </w:r>
      <w:r w:rsidR="00692AD6" w:rsidRPr="00692AD6">
        <w:rPr>
          <w:i/>
        </w:rPr>
        <w:t>Protective Order</w:t>
      </w:r>
      <w:r w:rsidR="00692AD6">
        <w:t xml:space="preserve"> </w:t>
      </w:r>
      <w:r w:rsidR="007D141F">
        <w:t xml:space="preserve">appropriately balanced the need to protect competitively sensitive information </w:t>
      </w:r>
      <w:r w:rsidR="00692AD6">
        <w:t xml:space="preserve">while still allowing </w:t>
      </w:r>
      <w:r w:rsidR="007D141F">
        <w:t xml:space="preserve">interested parties to </w:t>
      </w:r>
      <w:r w:rsidR="00692AD6">
        <w:t xml:space="preserve">review the data to </w:t>
      </w:r>
      <w:r w:rsidR="007D141F">
        <w:t>participate in the proceeding</w:t>
      </w:r>
      <w:r w:rsidR="000744A9">
        <w:t>.</w:t>
      </w:r>
      <w:r w:rsidR="007D141F">
        <w:t xml:space="preserve"> </w:t>
      </w:r>
      <w:r w:rsidR="000744A9">
        <w:t xml:space="preserve"> Accordingly</w:t>
      </w:r>
      <w:r w:rsidR="007D141F">
        <w:t xml:space="preserve">, </w:t>
      </w:r>
      <w:r w:rsidR="000744A9">
        <w:t xml:space="preserve">we </w:t>
      </w:r>
      <w:r w:rsidR="007D141F">
        <w:t xml:space="preserve">reject JSI’s objection.  </w:t>
      </w:r>
      <w:r w:rsidR="00D52992">
        <w:t xml:space="preserve"> </w:t>
      </w:r>
      <w:r w:rsidR="00155827" w:rsidRPr="00155827">
        <w:t xml:space="preserve"> </w:t>
      </w:r>
      <w:r w:rsidR="00513C49" w:rsidRPr="0060276A">
        <w:rPr>
          <w:szCs w:val="22"/>
        </w:rPr>
        <w:t xml:space="preserve"> </w:t>
      </w:r>
    </w:p>
    <w:p w:rsidR="002C43D8" w:rsidRPr="00F63D48" w:rsidRDefault="002F57AD" w:rsidP="001320CA">
      <w:pPr>
        <w:pStyle w:val="ParaNum"/>
        <w:widowControl/>
        <w:tabs>
          <w:tab w:val="clear" w:pos="1080"/>
          <w:tab w:val="num" w:pos="1440"/>
        </w:tabs>
      </w:pPr>
      <w:r>
        <w:t xml:space="preserve">Service Electric and Vantage Point </w:t>
      </w:r>
      <w:r w:rsidR="0051045B">
        <w:t xml:space="preserve">opposed the </w:t>
      </w:r>
      <w:r w:rsidR="00E12AA2">
        <w:t xml:space="preserve">release of network location information due to the </w:t>
      </w:r>
      <w:r w:rsidR="000744A9">
        <w:t xml:space="preserve">alleged </w:t>
      </w:r>
      <w:r w:rsidR="00E12AA2">
        <w:t>security risks posed.</w:t>
      </w:r>
      <w:r w:rsidR="00E12AA2">
        <w:rPr>
          <w:rStyle w:val="FootnoteReference"/>
          <w:szCs w:val="22"/>
        </w:rPr>
        <w:footnoteReference w:id="54"/>
      </w:r>
      <w:r w:rsidR="00E12AA2">
        <w:t xml:space="preserve"> </w:t>
      </w:r>
      <w:r w:rsidR="00936ACA">
        <w:t xml:space="preserve"> </w:t>
      </w:r>
      <w:r w:rsidR="00E12AA2">
        <w:t>Service Electric in particular argues that disclosure of maps of its fiber routes and information on its node locations could jeopardize its network security.</w:t>
      </w:r>
      <w:r w:rsidR="00E12AA2">
        <w:rPr>
          <w:rStyle w:val="FootnoteReference"/>
          <w:szCs w:val="22"/>
        </w:rPr>
        <w:footnoteReference w:id="55"/>
      </w:r>
      <w:r w:rsidR="00E12AA2">
        <w:t xml:space="preserve">  </w:t>
      </w:r>
      <w:r w:rsidR="00936ACA">
        <w:t xml:space="preserve">In the </w:t>
      </w:r>
      <w:r w:rsidR="00936ACA" w:rsidRPr="000A4C87">
        <w:rPr>
          <w:i/>
        </w:rPr>
        <w:t>Protective Order</w:t>
      </w:r>
      <w:r w:rsidR="00936ACA">
        <w:t xml:space="preserve">, we recognized the heightened sensitivity of </w:t>
      </w:r>
      <w:r w:rsidR="00936ACA" w:rsidRPr="00635EB0">
        <w:rPr>
          <w:szCs w:val="22"/>
        </w:rPr>
        <w:t>information on network maps and locations served that if disclosed could compromise network security.  We agreed with commenters</w:t>
      </w:r>
      <w:r w:rsidR="001F4800">
        <w:rPr>
          <w:szCs w:val="22"/>
        </w:rPr>
        <w:t xml:space="preserve"> who raised security concerns</w:t>
      </w:r>
      <w:r w:rsidR="00936ACA" w:rsidRPr="00635EB0">
        <w:rPr>
          <w:szCs w:val="22"/>
        </w:rPr>
        <w:t>, taking steps above and beyond the restrictions contained in prior protective orders to secure fiber route and network location information</w:t>
      </w:r>
      <w:r w:rsidR="00936ACA" w:rsidRPr="0039385B">
        <w:rPr>
          <w:i/>
          <w:szCs w:val="22"/>
        </w:rPr>
        <w:t xml:space="preserve">, </w:t>
      </w:r>
      <w:r w:rsidR="00936ACA" w:rsidRPr="002E437B">
        <w:rPr>
          <w:i/>
          <w:szCs w:val="22"/>
        </w:rPr>
        <w:t>e.g.</w:t>
      </w:r>
      <w:r w:rsidR="00936ACA" w:rsidRPr="0039385B">
        <w:rPr>
          <w:i/>
          <w:szCs w:val="22"/>
        </w:rPr>
        <w:t>,</w:t>
      </w:r>
      <w:r w:rsidR="00936ACA" w:rsidRPr="00635EB0">
        <w:rPr>
          <w:szCs w:val="22"/>
        </w:rPr>
        <w:t xml:space="preserve"> </w:t>
      </w:r>
      <w:r w:rsidR="001F4800">
        <w:rPr>
          <w:szCs w:val="22"/>
        </w:rPr>
        <w:t xml:space="preserve">placing </w:t>
      </w:r>
      <w:r w:rsidR="00936ACA" w:rsidRPr="00635EB0">
        <w:rPr>
          <w:szCs w:val="22"/>
        </w:rPr>
        <w:t>limitations on removing certain data from the SDE.</w:t>
      </w:r>
      <w:r w:rsidR="00936ACA">
        <w:rPr>
          <w:rStyle w:val="FootnoteReference"/>
          <w:szCs w:val="22"/>
        </w:rPr>
        <w:footnoteReference w:id="56"/>
      </w:r>
      <w:r w:rsidR="00936ACA" w:rsidRPr="00936ACA">
        <w:t xml:space="preserve"> </w:t>
      </w:r>
      <w:r w:rsidR="00936ACA">
        <w:t xml:space="preserve"> We ensured that t</w:t>
      </w:r>
      <w:r w:rsidR="00936ACA" w:rsidRPr="00635EB0">
        <w:rPr>
          <w:szCs w:val="22"/>
        </w:rPr>
        <w:t xml:space="preserve">he selected SDE vendor, NORC, has the appropriate security measures in place, including a robust tracking system to monitor and protect against the unauthorized disclosure of sensitive information, and that the SDE is compliant with </w:t>
      </w:r>
      <w:r w:rsidR="002E437B">
        <w:rPr>
          <w:szCs w:val="22"/>
        </w:rPr>
        <w:t>f</w:t>
      </w:r>
      <w:r w:rsidR="00936ACA" w:rsidRPr="00635EB0">
        <w:rPr>
          <w:szCs w:val="22"/>
        </w:rPr>
        <w:t>ederal information security protocols.</w:t>
      </w:r>
      <w:r w:rsidR="00936ACA">
        <w:rPr>
          <w:rStyle w:val="FootnoteReference"/>
          <w:szCs w:val="22"/>
        </w:rPr>
        <w:footnoteReference w:id="57"/>
      </w:r>
      <w:r w:rsidR="00936ACA" w:rsidRPr="00635EB0">
        <w:rPr>
          <w:szCs w:val="22"/>
        </w:rPr>
        <w:t xml:space="preserve"> </w:t>
      </w:r>
      <w:r w:rsidR="00F16F1F">
        <w:rPr>
          <w:szCs w:val="22"/>
        </w:rPr>
        <w:t xml:space="preserve"> </w:t>
      </w:r>
      <w:r w:rsidR="00936ACA" w:rsidRPr="00635EB0">
        <w:rPr>
          <w:szCs w:val="22"/>
        </w:rPr>
        <w:t xml:space="preserve">NORC as well as </w:t>
      </w:r>
      <w:r w:rsidR="00F16F1F" w:rsidRPr="00635EB0">
        <w:rPr>
          <w:szCs w:val="22"/>
        </w:rPr>
        <w:t>Reviewing Parties are</w:t>
      </w:r>
      <w:r w:rsidR="00936ACA" w:rsidRPr="00635EB0">
        <w:rPr>
          <w:szCs w:val="22"/>
        </w:rPr>
        <w:t xml:space="preserve"> subject</w:t>
      </w:r>
      <w:r w:rsidR="00F16F1F" w:rsidRPr="00635EB0">
        <w:rPr>
          <w:szCs w:val="22"/>
        </w:rPr>
        <w:t xml:space="preserve"> </w:t>
      </w:r>
      <w:r w:rsidR="00F16F1F">
        <w:rPr>
          <w:szCs w:val="22"/>
        </w:rPr>
        <w:t>t</w:t>
      </w:r>
      <w:r w:rsidR="00936ACA" w:rsidRPr="00635EB0">
        <w:rPr>
          <w:szCs w:val="22"/>
        </w:rPr>
        <w:t>o similar non-disclosure requirements,</w:t>
      </w:r>
      <w:r w:rsidR="00F16F1F">
        <w:rPr>
          <w:szCs w:val="22"/>
        </w:rPr>
        <w:t xml:space="preserve"> subject to sanctions for violations,</w:t>
      </w:r>
      <w:r w:rsidR="00936ACA" w:rsidRPr="00635EB0">
        <w:rPr>
          <w:szCs w:val="22"/>
        </w:rPr>
        <w:t xml:space="preserve"> </w:t>
      </w:r>
      <w:r w:rsidR="00F16F1F">
        <w:rPr>
          <w:szCs w:val="22"/>
        </w:rPr>
        <w:t xml:space="preserve">which </w:t>
      </w:r>
      <w:r w:rsidR="00936ACA" w:rsidRPr="00635EB0">
        <w:rPr>
          <w:szCs w:val="22"/>
        </w:rPr>
        <w:t>we will aggressively enforce</w:t>
      </w:r>
      <w:r w:rsidR="00F16F1F">
        <w:rPr>
          <w:szCs w:val="22"/>
        </w:rPr>
        <w:t>.</w:t>
      </w:r>
      <w:r w:rsidR="00F16F1F">
        <w:rPr>
          <w:rStyle w:val="FootnoteReference"/>
          <w:szCs w:val="22"/>
        </w:rPr>
        <w:footnoteReference w:id="58"/>
      </w:r>
      <w:r w:rsidR="00860CDA">
        <w:rPr>
          <w:szCs w:val="22"/>
        </w:rPr>
        <w:t xml:space="preserve">  Finally, as discussed further below, by this Order we take the added step of </w:t>
      </w:r>
      <w:r w:rsidR="00A97D22">
        <w:rPr>
          <w:szCs w:val="22"/>
        </w:rPr>
        <w:t xml:space="preserve">reformatting </w:t>
      </w:r>
      <w:r w:rsidR="00860CDA">
        <w:rPr>
          <w:szCs w:val="22"/>
        </w:rPr>
        <w:t>fiber route mapping data that will be viewed by authorized Reviewing Parties in the SDE</w:t>
      </w:r>
      <w:r w:rsidR="00A97D22">
        <w:rPr>
          <w:szCs w:val="22"/>
        </w:rPr>
        <w:t xml:space="preserve"> to mitigate risks to critical infrastructure</w:t>
      </w:r>
      <w:r w:rsidR="00860CDA">
        <w:rPr>
          <w:szCs w:val="22"/>
        </w:rPr>
        <w:t xml:space="preserve">. </w:t>
      </w:r>
    </w:p>
    <w:p w:rsidR="00B33C43" w:rsidRPr="00B33C43" w:rsidRDefault="00B33C43" w:rsidP="000A4C87">
      <w:pPr>
        <w:pStyle w:val="ParaNum"/>
        <w:tabs>
          <w:tab w:val="clear" w:pos="1080"/>
          <w:tab w:val="num" w:pos="1440"/>
        </w:tabs>
        <w:rPr>
          <w:szCs w:val="22"/>
        </w:rPr>
      </w:pPr>
      <w:r>
        <w:t xml:space="preserve">We next address the Objectors’ general concerns.  The Objectors do not argue that any particular provision of the </w:t>
      </w:r>
      <w:r w:rsidRPr="00B33C43">
        <w:rPr>
          <w:i/>
        </w:rPr>
        <w:t>Protective Order</w:t>
      </w:r>
      <w:r>
        <w:t xml:space="preserve"> is insufficient.  Rather, they object to the very fact that the </w:t>
      </w:r>
      <w:r w:rsidRPr="00B33C43">
        <w:rPr>
          <w:i/>
        </w:rPr>
        <w:t xml:space="preserve">Protective Order </w:t>
      </w:r>
      <w:r>
        <w:t xml:space="preserve">allows review of their confidential information.  For example, </w:t>
      </w:r>
      <w:r w:rsidRPr="00247532">
        <w:t>Service Electric</w:t>
      </w:r>
      <w:r>
        <w:t xml:space="preserve"> and US Signal both argue their information is confidential and that disclosure, even pursuant to a protective order, could have </w:t>
      </w:r>
      <w:r w:rsidR="00716DB0">
        <w:t xml:space="preserve">an </w:t>
      </w:r>
      <w:r>
        <w:t>adverse competitive</w:t>
      </w:r>
      <w:r w:rsidR="00716DB0">
        <w:t xml:space="preserve"> impact</w:t>
      </w:r>
      <w:r w:rsidR="001F4800">
        <w:t xml:space="preserve"> on them</w:t>
      </w:r>
      <w:r>
        <w:t>.  They generally argue that allowing a competitor to review their detailed information would allow the competitor to know where best to compete with them.</w:t>
      </w:r>
      <w:r>
        <w:rPr>
          <w:rStyle w:val="FootnoteReference"/>
        </w:rPr>
        <w:footnoteReference w:id="59"/>
      </w:r>
      <w:r>
        <w:t xml:space="preserve">  Vantage Point makes similar arguments and states that the need to protect the information outweighs the need of any requesting parties</w:t>
      </w:r>
      <w:r w:rsidR="000744A9">
        <w:t>’</w:t>
      </w:r>
      <w:r>
        <w:t xml:space="preserve"> </w:t>
      </w:r>
      <w:r w:rsidR="000514DC">
        <w:t xml:space="preserve">access </w:t>
      </w:r>
      <w:r>
        <w:t>to the data.  Brown County, FiberNet and Santa Rosa do not provide any reasons or arguments for their objections but simply state they object to their information being disclosed.</w:t>
      </w:r>
      <w:r w:rsidR="00A97D22">
        <w:rPr>
          <w:rStyle w:val="FootnoteReference"/>
        </w:rPr>
        <w:footnoteReference w:id="60"/>
      </w:r>
      <w:r>
        <w:t xml:space="preserve"> </w:t>
      </w:r>
    </w:p>
    <w:p w:rsidR="00B33C43" w:rsidRPr="003C4373" w:rsidRDefault="00B33C43" w:rsidP="00E35C68">
      <w:pPr>
        <w:pStyle w:val="ParaNum"/>
        <w:tabs>
          <w:tab w:val="clear" w:pos="1080"/>
          <w:tab w:val="num" w:pos="1440"/>
        </w:tabs>
        <w:rPr>
          <w:szCs w:val="22"/>
        </w:rPr>
      </w:pPr>
      <w:r>
        <w:t xml:space="preserve">In the </w:t>
      </w:r>
      <w:r>
        <w:rPr>
          <w:i/>
        </w:rPr>
        <w:t>Data Collection Order,</w:t>
      </w:r>
      <w:r>
        <w:t xml:space="preserve"> the Commission </w:t>
      </w:r>
      <w:r w:rsidRPr="00244EB1">
        <w:t>require</w:t>
      </w:r>
      <w:r>
        <w:t>d</w:t>
      </w:r>
      <w:r w:rsidRPr="00244EB1">
        <w:t xml:space="preserve"> providers and purchasers of special access service and certain other services to submit data, information and documents to allow the Commission to conduct a comprehensive evaluation of competition in the special access market.</w:t>
      </w:r>
      <w:r>
        <w:rPr>
          <w:rStyle w:val="FootnoteReference"/>
        </w:rPr>
        <w:footnoteReference w:id="61"/>
      </w:r>
      <w:r>
        <w:t xml:space="preserve">  The collected data goes to the core of the competition issues at issue in this proceeding.  As the Commission had previously found, “</w:t>
      </w:r>
      <w:r w:rsidRPr="00DF4505">
        <w:t>a comprehensive evaluation of competition in the market for special access services is necessary, and that further data to assist us in that evaluation is needed with respect to establishing a new framework for pricing flexibility</w:t>
      </w:r>
      <w:r>
        <w:t>.”</w:t>
      </w:r>
      <w:r>
        <w:rPr>
          <w:rStyle w:val="FootnoteReference"/>
        </w:rPr>
        <w:footnoteReference w:id="62"/>
      </w:r>
      <w:r>
        <w:t xml:space="preserve">  The Commission also noted in the </w:t>
      </w:r>
      <w:r>
        <w:rPr>
          <w:i/>
        </w:rPr>
        <w:t>Data Collection Order</w:t>
      </w:r>
      <w:r>
        <w:t xml:space="preserve"> that parties had extensive notice and opportunity to comment on the need for and scope of this data collection.</w:t>
      </w:r>
      <w:r>
        <w:rPr>
          <w:rStyle w:val="FootnoteReference"/>
        </w:rPr>
        <w:footnoteReference w:id="63"/>
      </w:r>
      <w:r>
        <w:t xml:space="preserve">  None of the Objectors argue that the information should not be collected or is not needed for the Commission to evaluate the state of competition for special access services.  </w:t>
      </w:r>
    </w:p>
    <w:p w:rsidR="00616661" w:rsidRDefault="00B33C43" w:rsidP="000A4C87">
      <w:pPr>
        <w:pStyle w:val="ParaNum"/>
        <w:widowControl/>
        <w:tabs>
          <w:tab w:val="clear" w:pos="1080"/>
          <w:tab w:val="num" w:pos="1440"/>
        </w:tabs>
      </w:pPr>
      <w:r>
        <w:t xml:space="preserve">Recognizing the competitive and security sensitivity of the data at issue and the fact that the </w:t>
      </w:r>
      <w:r>
        <w:rPr>
          <w:i/>
        </w:rPr>
        <w:t xml:space="preserve">Data Collection </w:t>
      </w:r>
      <w:r>
        <w:t xml:space="preserve">collects information from all of the country’s special access providers, the Bureau adopted a number of special precautions, well beyond the Commission’s standard </w:t>
      </w:r>
      <w:r w:rsidRPr="0060276A">
        <w:t xml:space="preserve">measures </w:t>
      </w:r>
      <w:r>
        <w:t xml:space="preserve">for protective orders.  For example, the </w:t>
      </w:r>
      <w:r w:rsidRPr="0060276A">
        <w:rPr>
          <w:i/>
        </w:rPr>
        <w:t>Protective Order</w:t>
      </w:r>
      <w:r>
        <w:t xml:space="preserve">, like most of the Commission’s protective orders, </w:t>
      </w:r>
      <w:r w:rsidRPr="0060276A">
        <w:t>limit</w:t>
      </w:r>
      <w:r>
        <w:t>s</w:t>
      </w:r>
      <w:r w:rsidRPr="0060276A">
        <w:t xml:space="preserve"> access to highly confidential</w:t>
      </w:r>
      <w:r>
        <w:t xml:space="preserve"> information, like facilities, </w:t>
      </w:r>
      <w:r w:rsidRPr="0060276A">
        <w:t>pricing and billing data</w:t>
      </w:r>
      <w:r>
        <w:t>,</w:t>
      </w:r>
      <w:r w:rsidRPr="0060276A">
        <w:t xml:space="preserve"> to outside counsel and outside consultants </w:t>
      </w:r>
      <w:r>
        <w:t xml:space="preserve">that are </w:t>
      </w:r>
      <w:r w:rsidRPr="0060276A">
        <w:t>not involved in competitive decision-making activities.</w:t>
      </w:r>
      <w:r>
        <w:t xml:space="preserve">  Here, however, the Highly Confidential Data is only accessible via the</w:t>
      </w:r>
      <w:r w:rsidRPr="00786A8D">
        <w:t xml:space="preserve"> NORC Data Enclave.</w:t>
      </w:r>
      <w:r>
        <w:rPr>
          <w:rStyle w:val="FootnoteReference"/>
          <w:szCs w:val="22"/>
        </w:rPr>
        <w:footnoteReference w:id="64"/>
      </w:r>
      <w:r w:rsidRPr="00786A8D">
        <w:t xml:space="preserve">  The </w:t>
      </w:r>
      <w:r w:rsidRPr="005B4278">
        <w:rPr>
          <w:szCs w:val="22"/>
        </w:rPr>
        <w:t>NORC Data Enclave</w:t>
      </w:r>
      <w:r>
        <w:t xml:space="preserve"> is</w:t>
      </w:r>
      <w:r w:rsidRPr="00534D78">
        <w:t xml:space="preserve"> fully compliant with the Federal Information Security Management Act (FISMA)</w:t>
      </w:r>
      <w:r>
        <w:t>, the Federal Information Processing Standards (FIPS) and National Institute of Standards and Technology (NIST) Security Plan 800-60 with a NIST FIPS 199 impact rating of “moderate” for the level of confidentiality required.</w:t>
      </w:r>
      <w:r>
        <w:rPr>
          <w:rStyle w:val="FootnoteReference"/>
          <w:szCs w:val="22"/>
        </w:rPr>
        <w:footnoteReference w:id="65"/>
      </w:r>
      <w:r>
        <w:t xml:space="preserve">  As such, NORC has the appropriate security measures</w:t>
      </w:r>
      <w:r w:rsidRPr="00521111">
        <w:t xml:space="preserve"> </w:t>
      </w:r>
      <w:r>
        <w:t xml:space="preserve">in place to protect the sensitive </w:t>
      </w:r>
      <w:r w:rsidR="00716DB0">
        <w:t xml:space="preserve">nature of the </w:t>
      </w:r>
      <w:r>
        <w:t xml:space="preserve">information collected.  NORC will administer a robust tracking system to record all information accessed via the SDE to ensure compliance with the </w:t>
      </w:r>
      <w:r w:rsidRPr="00162DFA">
        <w:rPr>
          <w:i/>
        </w:rPr>
        <w:t>Protective Order</w:t>
      </w:r>
      <w:r>
        <w:t xml:space="preserve"> and to assist against inadvertent disclosure.</w:t>
      </w:r>
      <w:r>
        <w:rPr>
          <w:rStyle w:val="FootnoteReference"/>
        </w:rPr>
        <w:footnoteReference w:id="66"/>
      </w:r>
      <w:r>
        <w:t xml:space="preserve">  NORC will process requests for the release of any analysis results to ensure release will not include data sets.</w:t>
      </w:r>
      <w:r>
        <w:rPr>
          <w:rStyle w:val="FootnoteReference"/>
        </w:rPr>
        <w:footnoteReference w:id="67"/>
      </w:r>
      <w:r>
        <w:t xml:space="preserve">  While individuals may access the data remotely through specialized software, remote users will not have the </w:t>
      </w:r>
      <w:r w:rsidRPr="00534D78">
        <w:t>ability to save, email,</w:t>
      </w:r>
      <w:r>
        <w:t xml:space="preserve"> </w:t>
      </w:r>
      <w:r w:rsidRPr="00534D78">
        <w:t>download or print information</w:t>
      </w:r>
      <w:r>
        <w:t xml:space="preserve"> using the devices</w:t>
      </w:r>
      <w:r w:rsidRPr="00534D78">
        <w:t>.</w:t>
      </w:r>
      <w:r>
        <w:rPr>
          <w:rStyle w:val="FootnoteReference"/>
          <w:szCs w:val="22"/>
        </w:rPr>
        <w:footnoteReference w:id="68"/>
      </w:r>
      <w:r>
        <w:t xml:space="preserve">  In addition, </w:t>
      </w:r>
      <w:r w:rsidR="00616661">
        <w:t>as discussed below, w</w:t>
      </w:r>
      <w:r w:rsidR="00616661" w:rsidRPr="00616661">
        <w:t xml:space="preserve">e will </w:t>
      </w:r>
      <w:r w:rsidR="00692AD6">
        <w:t xml:space="preserve">take additional steps to protect information on fiber routes and bandwidths sold and purchased within the SDE to further mitigate </w:t>
      </w:r>
      <w:r w:rsidR="00616661" w:rsidRPr="00616661">
        <w:t xml:space="preserve">potential risks to critical infrastructure.  </w:t>
      </w:r>
    </w:p>
    <w:p w:rsidR="00B33C43" w:rsidRDefault="00B33C43" w:rsidP="001A2978">
      <w:pPr>
        <w:pStyle w:val="ParaNum"/>
        <w:tabs>
          <w:tab w:val="clear" w:pos="1080"/>
          <w:tab w:val="num" w:pos="1440"/>
        </w:tabs>
      </w:pPr>
      <w:r>
        <w:t>W</w:t>
      </w:r>
      <w:r w:rsidRPr="000363D8">
        <w:t xml:space="preserve">hile we are mindful of the </w:t>
      </w:r>
      <w:r>
        <w:t xml:space="preserve">highly </w:t>
      </w:r>
      <w:r w:rsidRPr="000363D8">
        <w:t xml:space="preserve">sensitive nature of the information </w:t>
      </w:r>
      <w:r>
        <w:t>involved in this proceeding</w:t>
      </w:r>
      <w:r w:rsidRPr="000363D8">
        <w:t xml:space="preserve">, we are also mindful of the </w:t>
      </w:r>
      <w:r>
        <w:t xml:space="preserve">general </w:t>
      </w:r>
      <w:r w:rsidRPr="000363D8">
        <w:t xml:space="preserve">right of the public, and </w:t>
      </w:r>
      <w:r>
        <w:t xml:space="preserve">the Commission’s </w:t>
      </w:r>
      <w:r w:rsidRPr="000363D8">
        <w:t xml:space="preserve">desire </w:t>
      </w:r>
      <w:r>
        <w:t>for</w:t>
      </w:r>
      <w:r w:rsidRPr="000363D8">
        <w:t xml:space="preserve"> the public, to participate in this proceeding in a meaningful way.</w:t>
      </w:r>
      <w:r>
        <w:rPr>
          <w:rStyle w:val="FootnoteReference"/>
        </w:rPr>
        <w:footnoteReference w:id="69"/>
      </w:r>
      <w:r w:rsidRPr="000363D8">
        <w:t xml:space="preserve">  </w:t>
      </w:r>
      <w:r>
        <w:t xml:space="preserve">As the Commission recently held, </w:t>
      </w:r>
      <w:r w:rsidRPr="000363D8">
        <w:t xml:space="preserve">allowing limited access to competitively sensitive materials pursuant to the procedures set forth in </w:t>
      </w:r>
      <w:r>
        <w:t>the Commission’s p</w:t>
      </w:r>
      <w:r w:rsidRPr="000363D8">
        <w:t xml:space="preserve">rotective </w:t>
      </w:r>
      <w:r>
        <w:t xml:space="preserve">orders </w:t>
      </w:r>
      <w:r w:rsidRPr="000363D8">
        <w:t xml:space="preserve">allows the public </w:t>
      </w:r>
      <w:r>
        <w:t>(through appropriate representatives) t</w:t>
      </w:r>
      <w:r w:rsidRPr="000363D8">
        <w:t xml:space="preserve">o </w:t>
      </w:r>
      <w:r>
        <w:t xml:space="preserve">meaningfully participate </w:t>
      </w:r>
      <w:r w:rsidR="001F4800">
        <w:t xml:space="preserve">in Commission proceedings </w:t>
      </w:r>
      <w:r w:rsidRPr="000363D8">
        <w:t>while also protecting competitively sensitive information from improper disclosure and use.</w:t>
      </w:r>
      <w:r w:rsidR="00716DB0">
        <w:rPr>
          <w:rStyle w:val="FootnoteReference"/>
        </w:rPr>
        <w:footnoteReference w:id="70"/>
      </w:r>
      <w:r w:rsidRPr="000363D8">
        <w:t xml:space="preserve">  Accordingly, sensibly balancing the public and private interests involved, </w:t>
      </w:r>
      <w:r>
        <w:t xml:space="preserve">the Commission concluded </w:t>
      </w:r>
      <w:r w:rsidRPr="000363D8">
        <w:t xml:space="preserve">that </w:t>
      </w:r>
      <w:r>
        <w:t xml:space="preserve">the </w:t>
      </w:r>
      <w:r w:rsidRPr="000363D8">
        <w:t xml:space="preserve">procedures </w:t>
      </w:r>
      <w:r>
        <w:t xml:space="preserve">set forth in its protective orders </w:t>
      </w:r>
      <w:r w:rsidRPr="000363D8">
        <w:t xml:space="preserve">serve the public interest and </w:t>
      </w:r>
      <w:r>
        <w:t xml:space="preserve">that </w:t>
      </w:r>
      <w:r w:rsidRPr="000363D8">
        <w:t>adopting them “best conduce[s] to the proper dispatch of the Commission’s business and to the ends of justice.”</w:t>
      </w:r>
      <w:r w:rsidRPr="000363D8">
        <w:rPr>
          <w:rStyle w:val="FootnoteReference"/>
        </w:rPr>
        <w:footnoteReference w:id="71"/>
      </w:r>
      <w:r>
        <w:t xml:space="preserve">  The Bureau reached a similar conclusion when we adopted the </w:t>
      </w:r>
      <w:r w:rsidRPr="00616661">
        <w:rPr>
          <w:i/>
        </w:rPr>
        <w:t xml:space="preserve">Protective Order </w:t>
      </w:r>
      <w:r>
        <w:t>in this proceeding and we re-affirm it today.</w:t>
      </w:r>
      <w:r w:rsidR="0038038C">
        <w:rPr>
          <w:rStyle w:val="FootnoteReference"/>
        </w:rPr>
        <w:footnoteReference w:id="72"/>
      </w:r>
      <w:r>
        <w:t xml:space="preserve">  We therefore reject the arguments of the Objectors that their confidential information should not be made available for review pursuant to the </w:t>
      </w:r>
      <w:r w:rsidRPr="00616661">
        <w:rPr>
          <w:i/>
        </w:rPr>
        <w:t>Protective Order</w:t>
      </w:r>
      <w:r>
        <w:t>.</w:t>
      </w:r>
    </w:p>
    <w:p w:rsidR="00EB29F1" w:rsidRPr="00EB29F1" w:rsidRDefault="00175D6D" w:rsidP="001A2978">
      <w:pPr>
        <w:pStyle w:val="Heading2"/>
      </w:pPr>
      <w:r>
        <w:t xml:space="preserve">Clarifications </w:t>
      </w:r>
      <w:r w:rsidR="0038038C">
        <w:t xml:space="preserve">and Modifications </w:t>
      </w:r>
      <w:r>
        <w:t xml:space="preserve">Concerning the </w:t>
      </w:r>
      <w:r w:rsidRPr="00BE2AAE">
        <w:rPr>
          <w:i/>
        </w:rPr>
        <w:t>Protective Order</w:t>
      </w:r>
    </w:p>
    <w:p w:rsidR="00363C0E" w:rsidRDefault="00363C0E" w:rsidP="000A4C87">
      <w:pPr>
        <w:pStyle w:val="Heading3"/>
      </w:pPr>
      <w:r>
        <w:t xml:space="preserve">Requesting Party Information Needed to Inform Potential Objecting Parties </w:t>
      </w:r>
    </w:p>
    <w:p w:rsidR="00A17821" w:rsidRPr="006D3875" w:rsidRDefault="006D3875" w:rsidP="00D30EC1">
      <w:pPr>
        <w:pStyle w:val="ParaNum"/>
        <w:widowControl/>
        <w:tabs>
          <w:tab w:val="clear" w:pos="1080"/>
          <w:tab w:val="num" w:pos="1440"/>
        </w:tabs>
      </w:pPr>
      <w:r w:rsidRPr="002F5905">
        <w:t xml:space="preserve">TransWorld, Service Electric and Vantage Point object to </w:t>
      </w:r>
      <w:r w:rsidR="00474265">
        <w:t xml:space="preserve">the </w:t>
      </w:r>
      <w:r w:rsidR="00660B37">
        <w:t>release</w:t>
      </w:r>
      <w:r w:rsidRPr="002F5905">
        <w:t xml:space="preserve"> of their </w:t>
      </w:r>
      <w:r w:rsidR="00124A03">
        <w:t>information</w:t>
      </w:r>
      <w:r w:rsidR="00E42A2E">
        <w:t xml:space="preserve"> until </w:t>
      </w:r>
      <w:r w:rsidR="00D961D7">
        <w:t xml:space="preserve">the </w:t>
      </w:r>
      <w:r w:rsidR="0017407B">
        <w:t xml:space="preserve">potential Reviewing Parties </w:t>
      </w:r>
      <w:r w:rsidR="00D961D7">
        <w:t xml:space="preserve">disclose </w:t>
      </w:r>
      <w:r w:rsidRPr="002F5905">
        <w:t>the client</w:t>
      </w:r>
      <w:r w:rsidR="0017407B">
        <w:t>s</w:t>
      </w:r>
      <w:r w:rsidRPr="002F5905">
        <w:t xml:space="preserve"> represented </w:t>
      </w:r>
      <w:r w:rsidR="00D961D7">
        <w:t>and</w:t>
      </w:r>
      <w:r w:rsidR="007C5084">
        <w:t xml:space="preserve"> </w:t>
      </w:r>
      <w:r w:rsidRPr="002F5905">
        <w:t>the intended purpose for accessing the data</w:t>
      </w:r>
      <w:r w:rsidR="00D961D7">
        <w:t>.</w:t>
      </w:r>
      <w:r w:rsidR="00A36EB2">
        <w:rPr>
          <w:rStyle w:val="FootnoteReference"/>
        </w:rPr>
        <w:footnoteReference w:id="73"/>
      </w:r>
      <w:r w:rsidR="00D961D7">
        <w:t xml:space="preserve">  TransWorld and </w:t>
      </w:r>
      <w:r w:rsidR="00D961D7" w:rsidRPr="002F5905">
        <w:t>Service Electric</w:t>
      </w:r>
      <w:r w:rsidR="00E42A2E">
        <w:t xml:space="preserve"> </w:t>
      </w:r>
      <w:r w:rsidR="00D961D7">
        <w:t xml:space="preserve">also object to </w:t>
      </w:r>
      <w:r w:rsidR="001E3129">
        <w:t xml:space="preserve">the </w:t>
      </w:r>
      <w:r w:rsidR="00D961D7">
        <w:t xml:space="preserve">release of their data until the </w:t>
      </w:r>
      <w:r w:rsidR="00A03D6E">
        <w:t xml:space="preserve">potential Reviewing Parties </w:t>
      </w:r>
      <w:r w:rsidR="00D961D7">
        <w:t>disclose</w:t>
      </w:r>
      <w:r w:rsidRPr="002F5905">
        <w:t xml:space="preserve"> whether </w:t>
      </w:r>
      <w:r w:rsidR="00D961D7">
        <w:t xml:space="preserve">they are </w:t>
      </w:r>
      <w:r w:rsidRPr="002F5905">
        <w:t xml:space="preserve">seeking access to </w:t>
      </w:r>
      <w:r w:rsidR="005916C8">
        <w:t>their</w:t>
      </w:r>
      <w:r w:rsidR="00C74B0B">
        <w:t xml:space="preserve"> </w:t>
      </w:r>
      <w:r w:rsidRPr="002F5905">
        <w:t xml:space="preserve">confidential and highly confidential </w:t>
      </w:r>
      <w:r w:rsidR="005916C8">
        <w:t>information</w:t>
      </w:r>
      <w:r w:rsidR="00B95E9F">
        <w:t xml:space="preserve"> in particular</w:t>
      </w:r>
      <w:r w:rsidRPr="002F5905">
        <w:t>.</w:t>
      </w:r>
      <w:r w:rsidR="003D4A89">
        <w:rPr>
          <w:rStyle w:val="FootnoteReference"/>
        </w:rPr>
        <w:footnoteReference w:id="74"/>
      </w:r>
      <w:r w:rsidR="003D4A89">
        <w:t xml:space="preserve"> </w:t>
      </w:r>
      <w:r w:rsidR="00B95E9F">
        <w:t xml:space="preserve"> </w:t>
      </w:r>
      <w:r w:rsidR="00753DFC">
        <w:t xml:space="preserve">These Objectors </w:t>
      </w:r>
      <w:r w:rsidR="00716DB0">
        <w:t>base their objections on</w:t>
      </w:r>
      <w:r w:rsidR="00753DFC">
        <w:t xml:space="preserve"> language in </w:t>
      </w:r>
      <w:r w:rsidR="003866C6">
        <w:t xml:space="preserve">a </w:t>
      </w:r>
      <w:r w:rsidR="00753DFC">
        <w:t xml:space="preserve">footnote of the order adopting the </w:t>
      </w:r>
      <w:r w:rsidR="00753DFC" w:rsidRPr="00162DFA">
        <w:rPr>
          <w:i/>
        </w:rPr>
        <w:t>Protective Order</w:t>
      </w:r>
      <w:r w:rsidR="00A644A6">
        <w:t>.</w:t>
      </w:r>
      <w:r w:rsidR="007635C6">
        <w:rPr>
          <w:rStyle w:val="FootnoteReference"/>
        </w:rPr>
        <w:footnoteReference w:id="75"/>
      </w:r>
      <w:r w:rsidR="00867AC9" w:rsidRPr="00BA1203">
        <w:rPr>
          <w:szCs w:val="22"/>
        </w:rPr>
        <w:t xml:space="preserve">  </w:t>
      </w:r>
    </w:p>
    <w:p w:rsidR="00A17821" w:rsidRDefault="00A17821" w:rsidP="00D30EC1">
      <w:pPr>
        <w:pStyle w:val="ParaNum"/>
        <w:widowControl/>
        <w:tabs>
          <w:tab w:val="clear" w:pos="1080"/>
          <w:tab w:val="num" w:pos="1440"/>
        </w:tabs>
      </w:pPr>
      <w:r w:rsidRPr="00635EB0">
        <w:rPr>
          <w:szCs w:val="22"/>
        </w:rPr>
        <w:t xml:space="preserve">The </w:t>
      </w:r>
      <w:r w:rsidRPr="00635EB0">
        <w:rPr>
          <w:i/>
          <w:szCs w:val="22"/>
        </w:rPr>
        <w:t xml:space="preserve">Protective Order </w:t>
      </w:r>
      <w:r w:rsidRPr="00635EB0">
        <w:rPr>
          <w:szCs w:val="22"/>
        </w:rPr>
        <w:t xml:space="preserve">states the Bureau will identify the </w:t>
      </w:r>
      <w:r w:rsidR="00F6505D">
        <w:rPr>
          <w:szCs w:val="22"/>
        </w:rPr>
        <w:t>client(s) represented by</w:t>
      </w:r>
      <w:r w:rsidRPr="00635EB0">
        <w:rPr>
          <w:szCs w:val="22"/>
        </w:rPr>
        <w:t xml:space="preserve"> each potential Reviewing Party.</w:t>
      </w:r>
      <w:r w:rsidR="00716DB0">
        <w:rPr>
          <w:rStyle w:val="FootnoteReference"/>
          <w:szCs w:val="22"/>
        </w:rPr>
        <w:footnoteReference w:id="76"/>
      </w:r>
      <w:r w:rsidRPr="00635EB0">
        <w:rPr>
          <w:szCs w:val="22"/>
        </w:rPr>
        <w:t xml:space="preserve">  </w:t>
      </w:r>
      <w:r w:rsidR="00F6505D">
        <w:rPr>
          <w:szCs w:val="22"/>
        </w:rPr>
        <w:t>Twenty-seven</w:t>
      </w:r>
      <w:r w:rsidR="00716DB0">
        <w:rPr>
          <w:szCs w:val="22"/>
        </w:rPr>
        <w:t xml:space="preserve"> of the </w:t>
      </w:r>
      <w:r w:rsidR="00F6505D">
        <w:rPr>
          <w:szCs w:val="22"/>
        </w:rPr>
        <w:t>fifty</w:t>
      </w:r>
      <w:r w:rsidR="00716DB0">
        <w:rPr>
          <w:szCs w:val="22"/>
        </w:rPr>
        <w:t xml:space="preserve"> potential Reviewing Parties</w:t>
      </w:r>
      <w:r w:rsidR="00F6505D">
        <w:rPr>
          <w:szCs w:val="22"/>
        </w:rPr>
        <w:t xml:space="preserve"> clearly disclosed the party represented in the proceeding</w:t>
      </w:r>
      <w:r w:rsidR="00664B19">
        <w:rPr>
          <w:szCs w:val="22"/>
        </w:rPr>
        <w:t>.  Since the objections were filed, th</w:t>
      </w:r>
      <w:r w:rsidR="00F6505D">
        <w:rPr>
          <w:szCs w:val="22"/>
        </w:rPr>
        <w:t>ose firms not identifying the client(s) represented have supplemented the record with this information.</w:t>
      </w:r>
      <w:r w:rsidRPr="00635EB0">
        <w:rPr>
          <w:szCs w:val="22"/>
        </w:rPr>
        <w:t xml:space="preserve">  Going forward, we clarify that requesting parties seeking access to the special access data must disclose the client</w:t>
      </w:r>
      <w:r w:rsidR="00F6505D">
        <w:rPr>
          <w:szCs w:val="22"/>
        </w:rPr>
        <w:t>(s)</w:t>
      </w:r>
      <w:r w:rsidRPr="00635EB0">
        <w:rPr>
          <w:szCs w:val="22"/>
        </w:rPr>
        <w:t xml:space="preserve"> represented.</w:t>
      </w:r>
      <w:r>
        <w:rPr>
          <w:rStyle w:val="FootnoteReference"/>
          <w:szCs w:val="22"/>
        </w:rPr>
        <w:footnoteReference w:id="77"/>
      </w:r>
      <w:r w:rsidRPr="00635EB0">
        <w:rPr>
          <w:szCs w:val="22"/>
        </w:rPr>
        <w:t xml:space="preserve">  </w:t>
      </w:r>
      <w:r w:rsidRPr="002F5905">
        <w:t xml:space="preserve">TransWorld, Service Electric and Vantage Point </w:t>
      </w:r>
      <w:r>
        <w:t>were ultimately provided with this information for those potential Reviewing Parties who had not already provided the information</w:t>
      </w:r>
      <w:r w:rsidR="00675716">
        <w:t xml:space="preserve"> when that information was made public</w:t>
      </w:r>
      <w:r>
        <w:t>.</w:t>
      </w:r>
      <w:r w:rsidR="00675716">
        <w:rPr>
          <w:rStyle w:val="FootnoteReference"/>
        </w:rPr>
        <w:footnoteReference w:id="78"/>
      </w:r>
      <w:r>
        <w:t xml:space="preserve">  However, because some of this information was not known until after the deadline for filing objections, for this subset of </w:t>
      </w:r>
      <w:r w:rsidR="00664B19">
        <w:t xml:space="preserve">twenty-three </w:t>
      </w:r>
      <w:r>
        <w:t xml:space="preserve">potential Reviewing Parties, we will allow </w:t>
      </w:r>
      <w:r w:rsidRPr="002F5905">
        <w:t xml:space="preserve">TransWorld, Service Electric and Vantage Point </w:t>
      </w:r>
      <w:r>
        <w:t>an additional five business days from the release of this Order to file objections.</w:t>
      </w:r>
      <w:r w:rsidR="00D64732">
        <w:rPr>
          <w:rStyle w:val="FootnoteReference"/>
        </w:rPr>
        <w:footnoteReference w:id="79"/>
      </w:r>
      <w:r>
        <w:t xml:space="preserve"> </w:t>
      </w:r>
    </w:p>
    <w:p w:rsidR="00134B81" w:rsidRPr="00465AE6" w:rsidRDefault="00A17821" w:rsidP="00BD3FF6">
      <w:pPr>
        <w:pStyle w:val="ParaNum"/>
        <w:tabs>
          <w:tab w:val="clear" w:pos="1080"/>
          <w:tab w:val="num" w:pos="1440"/>
        </w:tabs>
      </w:pPr>
      <w:r w:rsidRPr="002F5905">
        <w:t xml:space="preserve">TransWorld, Service Electric and Vantage Point </w:t>
      </w:r>
      <w:r>
        <w:t xml:space="preserve">also </w:t>
      </w:r>
      <w:r w:rsidR="00134B81">
        <w:t>want the potential Review</w:t>
      </w:r>
      <w:r w:rsidR="003D4EB4">
        <w:t>ing</w:t>
      </w:r>
      <w:r w:rsidR="00134B81">
        <w:t xml:space="preserve"> Parties to specifically disclose the purpose for seeking access</w:t>
      </w:r>
      <w:r w:rsidR="0038038C">
        <w:t>.</w:t>
      </w:r>
      <w:r w:rsidR="00134B81">
        <w:rPr>
          <w:rStyle w:val="FootnoteReference"/>
        </w:rPr>
        <w:footnoteReference w:id="80"/>
      </w:r>
      <w:r>
        <w:t xml:space="preserve">  </w:t>
      </w:r>
      <w:r w:rsidR="00134B81">
        <w:t>However, b</w:t>
      </w:r>
      <w:r>
        <w:t>y virtue of executing the Acknowledgement, each potential Reviewing Party certifies it is seeking access to the data solely to participate in the special access proceeding.</w:t>
      </w:r>
      <w:r>
        <w:rPr>
          <w:rStyle w:val="FootnoteReference"/>
        </w:rPr>
        <w:footnoteReference w:id="81"/>
      </w:r>
      <w:r>
        <w:t xml:space="preserve"> </w:t>
      </w:r>
      <w:r w:rsidR="006952FF">
        <w:t xml:space="preserve"> </w:t>
      </w:r>
      <w:r w:rsidR="00134B81">
        <w:t>Requiring</w:t>
      </w:r>
      <w:r w:rsidR="002D7389">
        <w:t xml:space="preserve"> </w:t>
      </w:r>
      <w:r w:rsidR="006952FF">
        <w:t xml:space="preserve">potential Reviewing Parties </w:t>
      </w:r>
      <w:r w:rsidR="00134B81">
        <w:t xml:space="preserve">to </w:t>
      </w:r>
      <w:r w:rsidR="002D7389">
        <w:t>specifically state th</w:t>
      </w:r>
      <w:r w:rsidR="00134B81">
        <w:t>is</w:t>
      </w:r>
      <w:r w:rsidR="002D7389">
        <w:t xml:space="preserve"> purpose when submitting their </w:t>
      </w:r>
      <w:r w:rsidR="006952FF">
        <w:t>execut</w:t>
      </w:r>
      <w:r w:rsidR="002D7389">
        <w:t>ed</w:t>
      </w:r>
      <w:r w:rsidR="006952FF">
        <w:t xml:space="preserve"> Acknowledgments </w:t>
      </w:r>
      <w:r w:rsidR="002D7389">
        <w:t>is thus unnecessary and redundant</w:t>
      </w:r>
      <w:r w:rsidR="00134B81">
        <w:t>.</w:t>
      </w:r>
      <w:r w:rsidR="00465AE6">
        <w:t xml:space="preserve">  We will however make this intended purpose clearer in subsequent public notices announcing potential Reviewing Parties.</w:t>
      </w:r>
      <w:r w:rsidR="008900EF" w:rsidRPr="008900EF">
        <w:t xml:space="preserve"> </w:t>
      </w:r>
    </w:p>
    <w:p w:rsidR="00363C0E" w:rsidRPr="007533B5" w:rsidRDefault="000C0F3E" w:rsidP="00685EB3">
      <w:pPr>
        <w:pStyle w:val="Heading3"/>
      </w:pPr>
      <w:r>
        <w:t>SDE</w:t>
      </w:r>
      <w:r w:rsidR="00363C0E" w:rsidRPr="00363C0E">
        <w:t xml:space="preserve"> Only Accessible </w:t>
      </w:r>
      <w:r w:rsidR="00627F9F">
        <w:t>v</w:t>
      </w:r>
      <w:r w:rsidR="00363C0E" w:rsidRPr="00363C0E">
        <w:t xml:space="preserve">ia </w:t>
      </w:r>
      <w:r>
        <w:t>VPN</w:t>
      </w:r>
      <w:r w:rsidR="00363C0E" w:rsidRPr="00363C0E">
        <w:t xml:space="preserve"> in lieu of Thin Client</w:t>
      </w:r>
      <w:r>
        <w:t>s</w:t>
      </w:r>
    </w:p>
    <w:p w:rsidR="00363C0E" w:rsidRDefault="00363C0E" w:rsidP="00363C0E">
      <w:pPr>
        <w:pStyle w:val="ParaNum"/>
        <w:tabs>
          <w:tab w:val="clear" w:pos="1080"/>
          <w:tab w:val="num" w:pos="1440"/>
        </w:tabs>
      </w:pPr>
      <w:r>
        <w:t>T</w:t>
      </w:r>
      <w:r w:rsidRPr="002F13F2">
        <w:t>his Order modifies the</w:t>
      </w:r>
      <w:r w:rsidR="00664B19">
        <w:t xml:space="preserve"> procedures described in the</w:t>
      </w:r>
      <w:r w:rsidRPr="002F13F2">
        <w:t xml:space="preserve"> </w:t>
      </w:r>
      <w:r w:rsidRPr="002F13F2">
        <w:rPr>
          <w:i/>
        </w:rPr>
        <w:t>Protective Order</w:t>
      </w:r>
      <w:r w:rsidRPr="002F13F2">
        <w:t xml:space="preserve"> by making available to reviewing parties a software-based</w:t>
      </w:r>
      <w:r w:rsidR="006128DF">
        <w:t>, remote VPN</w:t>
      </w:r>
      <w:r w:rsidRPr="002F13F2">
        <w:t xml:space="preserve"> solution to access the </w:t>
      </w:r>
      <w:r>
        <w:t xml:space="preserve">SDE and special access data in lieu of </w:t>
      </w:r>
      <w:r w:rsidRPr="002F13F2">
        <w:t>thin client laptops</w:t>
      </w:r>
      <w:r>
        <w:t>.</w:t>
      </w:r>
      <w:r w:rsidR="003A024E">
        <w:rPr>
          <w:rStyle w:val="FootnoteReference"/>
        </w:rPr>
        <w:footnoteReference w:id="82"/>
      </w:r>
      <w:r>
        <w:t xml:space="preserve"> </w:t>
      </w:r>
      <w:r w:rsidR="00247A39">
        <w:t xml:space="preserve"> </w:t>
      </w:r>
      <w:r>
        <w:t xml:space="preserve">The Bureau sought comment in </w:t>
      </w:r>
      <w:r w:rsidR="006128DF">
        <w:t>the Ju</w:t>
      </w:r>
      <w:r>
        <w:t>ne 28, 2013 public notice on “allowing restricted access to highly confidential data in a secure data environment” by accessing a</w:t>
      </w:r>
      <w:r w:rsidR="00AA4552">
        <w:t>n</w:t>
      </w:r>
      <w:r>
        <w:t xml:space="preserve"> SDE through “a virtual private network using thin clients to provide virtual desktops.”</w:t>
      </w:r>
      <w:r>
        <w:rPr>
          <w:rStyle w:val="FootnoteReference"/>
        </w:rPr>
        <w:footnoteReference w:id="83"/>
      </w:r>
      <w:r>
        <w:t xml:space="preserve">  </w:t>
      </w:r>
      <w:r w:rsidRPr="002F13F2">
        <w:rPr>
          <w:szCs w:val="22"/>
        </w:rPr>
        <w:t xml:space="preserve">A thin client is a desktop or laptop computer, without a hard drive, which accesses applications and data remotely from a central server where all data processing </w:t>
      </w:r>
      <w:r>
        <w:rPr>
          <w:szCs w:val="22"/>
        </w:rPr>
        <w:t>and file storage are performed.</w:t>
      </w:r>
      <w:r w:rsidRPr="000E4B97">
        <w:rPr>
          <w:rStyle w:val="FootnoteReference"/>
          <w:sz w:val="22"/>
          <w:szCs w:val="22"/>
        </w:rPr>
        <w:footnoteReference w:id="84"/>
      </w:r>
      <w:r w:rsidRPr="000E4B97">
        <w:rPr>
          <w:szCs w:val="22"/>
        </w:rPr>
        <w:t xml:space="preserve">  </w:t>
      </w:r>
      <w:r>
        <w:rPr>
          <w:szCs w:val="22"/>
        </w:rPr>
        <w:t xml:space="preserve">In the </w:t>
      </w:r>
      <w:r w:rsidRPr="00BB1994">
        <w:rPr>
          <w:i/>
          <w:szCs w:val="22"/>
        </w:rPr>
        <w:t>Protective Order</w:t>
      </w:r>
      <w:r>
        <w:rPr>
          <w:szCs w:val="22"/>
        </w:rPr>
        <w:t>, t</w:t>
      </w:r>
      <w:r>
        <w:t>he Bureau found that the thin clients provided a secure and efficient method for reviewing parties to access confidential and highly confidential data.  Accordingly, the Bureau required the third party vendor, NORC, to provide remote access to the SDE through a VPN using thin clients.</w:t>
      </w:r>
      <w:r>
        <w:rPr>
          <w:rStyle w:val="FootnoteReference"/>
        </w:rPr>
        <w:footnoteReference w:id="85"/>
      </w:r>
      <w:r>
        <w:t xml:space="preserve">  The thin client laptops allow access to the “SDE through a VPN but lack hard drives and the ability to save email, download or print information from the SDE.”</w:t>
      </w:r>
      <w:r>
        <w:rPr>
          <w:rStyle w:val="FootnoteReference"/>
        </w:rPr>
        <w:footnoteReference w:id="86"/>
      </w:r>
      <w:r>
        <w:t xml:space="preserve">  Reviewing parties would be able to store its analysis in a virtual locker located in the SDE and accessible only to that party.  Further, reviewing parties would be able to obtain upon request physical or electronic copies of its analyses from NORC.</w:t>
      </w:r>
      <w:r>
        <w:rPr>
          <w:rStyle w:val="FootnoteReference"/>
        </w:rPr>
        <w:footnoteReference w:id="87"/>
      </w:r>
      <w:r>
        <w:t xml:space="preserve">   </w:t>
      </w:r>
    </w:p>
    <w:p w:rsidR="00363C0E" w:rsidRDefault="00363C0E" w:rsidP="001D32F2">
      <w:pPr>
        <w:pStyle w:val="ParaNum"/>
        <w:tabs>
          <w:tab w:val="clear" w:pos="1080"/>
          <w:tab w:val="num" w:pos="1440"/>
        </w:tabs>
      </w:pPr>
      <w:r>
        <w:t xml:space="preserve">At the time the </w:t>
      </w:r>
      <w:r w:rsidRPr="0038038C">
        <w:rPr>
          <w:i/>
        </w:rPr>
        <w:t>Protective Order</w:t>
      </w:r>
      <w:r>
        <w:t xml:space="preserve"> was adopted on October 1, 2014, NORC utilized thin client laptop hardware to access the NORC Data Enclave and the Bureau </w:t>
      </w:r>
      <w:r w:rsidR="00926741">
        <w:t>described the then current technology used to provide remote secure access</w:t>
      </w:r>
      <w:r>
        <w:t xml:space="preserve"> for reviewing parties to analyze confidential and highly confidential data.  NORC has since upgraded its centralized database SDE software to NORC Data Enclave 3.0</w:t>
      </w:r>
      <w:r w:rsidRPr="00B2347E">
        <w:t>®</w:t>
      </w:r>
      <w:r>
        <w:t xml:space="preserve"> Direct Web Access and no longer utilizes thin client laptops</w:t>
      </w:r>
      <w:r w:rsidR="00926741">
        <w:t xml:space="preserve"> to provide secure remote access</w:t>
      </w:r>
      <w:r>
        <w:t xml:space="preserve">.  </w:t>
      </w:r>
      <w:r w:rsidR="00926741">
        <w:t>Using NORC</w:t>
      </w:r>
      <w:r w:rsidR="008B1337">
        <w:t>’s</w:t>
      </w:r>
      <w:r w:rsidR="00926741">
        <w:t xml:space="preserve"> upgraded system for secure remote access, r</w:t>
      </w:r>
      <w:r>
        <w:t>eviewing parties will now be able to directly download software to their devices and utilize their Internet browser to access the SDE via a secure, encrypted gateway to a web Interface site using three layers of authenticatio</w:t>
      </w:r>
      <w:r w:rsidR="0038038C">
        <w:t xml:space="preserve">n that </w:t>
      </w:r>
      <w:r>
        <w:t>only allows traffic into the SDE from authorized devices.</w:t>
      </w:r>
      <w:r w:rsidR="0038038C">
        <w:t xml:space="preserve">  </w:t>
      </w:r>
      <w:r>
        <w:t xml:space="preserve">The </w:t>
      </w:r>
      <w:r w:rsidRPr="00086474">
        <w:t>NORC</w:t>
      </w:r>
      <w:r w:rsidR="009D5956">
        <w:t xml:space="preserve"> </w:t>
      </w:r>
      <w:r>
        <w:t xml:space="preserve">remote </w:t>
      </w:r>
      <w:r w:rsidR="006128DF">
        <w:t xml:space="preserve">VPN </w:t>
      </w:r>
      <w:r>
        <w:t xml:space="preserve">platform </w:t>
      </w:r>
      <w:r w:rsidR="002554D5">
        <w:t>is functionally equivalent</w:t>
      </w:r>
      <w:r>
        <w:t xml:space="preserve"> </w:t>
      </w:r>
      <w:r w:rsidR="002554D5">
        <w:t xml:space="preserve">to a </w:t>
      </w:r>
      <w:r>
        <w:t>thin client.  While accessing the SDE on their devices, reviewing parties will lack the ability to save, email, download or print information from the SDE.</w:t>
      </w:r>
      <w:r>
        <w:rPr>
          <w:rStyle w:val="FootnoteReference"/>
        </w:rPr>
        <w:footnoteReference w:id="88"/>
      </w:r>
      <w:r>
        <w:t xml:space="preserve">  </w:t>
      </w:r>
      <w:r w:rsidR="002554D5">
        <w:t>A reviewing p</w:t>
      </w:r>
      <w:r>
        <w:t>art</w:t>
      </w:r>
      <w:r w:rsidR="002554D5">
        <w:t>y</w:t>
      </w:r>
      <w:r>
        <w:t xml:space="preserve"> will </w:t>
      </w:r>
      <w:r w:rsidR="002554D5">
        <w:t xml:space="preserve">still have the ability </w:t>
      </w:r>
      <w:r>
        <w:t xml:space="preserve">to store their analyses in a virtual locker located </w:t>
      </w:r>
      <w:r w:rsidR="002554D5">
        <w:t>with</w:t>
      </w:r>
      <w:r>
        <w:t xml:space="preserve">in the SDE </w:t>
      </w:r>
      <w:r w:rsidR="002554D5">
        <w:t xml:space="preserve">environment, which is </w:t>
      </w:r>
      <w:r>
        <w:t xml:space="preserve">accessible only to that </w:t>
      </w:r>
      <w:r w:rsidR="002554D5">
        <w:t>reviewing p</w:t>
      </w:r>
      <w:r>
        <w:t>arty.</w:t>
      </w:r>
      <w:r>
        <w:rPr>
          <w:rStyle w:val="FootnoteReference"/>
        </w:rPr>
        <w:footnoteReference w:id="89"/>
      </w:r>
      <w:r>
        <w:t xml:space="preserve">  Reviewing parties will </w:t>
      </w:r>
      <w:r w:rsidR="002554D5">
        <w:t xml:space="preserve">also still </w:t>
      </w:r>
      <w:r>
        <w:t>be able to access the same suite of software programs in the SDE that they would have utilized with thin clients.</w:t>
      </w:r>
      <w:r>
        <w:rPr>
          <w:rStyle w:val="FootnoteReference"/>
        </w:rPr>
        <w:footnoteReference w:id="90"/>
      </w:r>
      <w:r>
        <w:t xml:space="preserve"> Additionally, reviewing parties will still </w:t>
      </w:r>
      <w:r w:rsidR="002554D5">
        <w:t>have</w:t>
      </w:r>
      <w:r>
        <w:t xml:space="preserve"> access </w:t>
      </w:r>
      <w:r w:rsidR="002554D5">
        <w:t xml:space="preserve">to </w:t>
      </w:r>
      <w:r>
        <w:t xml:space="preserve">the </w:t>
      </w:r>
      <w:r w:rsidR="002554D5">
        <w:t>SDE</w:t>
      </w:r>
      <w:r>
        <w:t xml:space="preserve"> at NORC</w:t>
      </w:r>
      <w:r w:rsidR="002554D5">
        <w:t>’s</w:t>
      </w:r>
      <w:r>
        <w:t xml:space="preserve"> </w:t>
      </w:r>
      <w:r w:rsidR="002554D5">
        <w:t>facilities</w:t>
      </w:r>
      <w:r>
        <w:t xml:space="preserve"> in Bethesda, Maryland.</w:t>
      </w:r>
      <w:r w:rsidR="008B5D3C">
        <w:rPr>
          <w:rStyle w:val="FootnoteReference"/>
        </w:rPr>
        <w:footnoteReference w:id="91"/>
      </w:r>
    </w:p>
    <w:p w:rsidR="00AF22A0" w:rsidRDefault="002554D5" w:rsidP="00D30EC1">
      <w:pPr>
        <w:pStyle w:val="ParaNum"/>
        <w:tabs>
          <w:tab w:val="clear" w:pos="1080"/>
          <w:tab w:val="num" w:pos="1440"/>
        </w:tabs>
      </w:pPr>
      <w:r>
        <w:t>NORC’s remote access solution</w:t>
      </w:r>
      <w:r w:rsidR="009D5956">
        <w:t xml:space="preserve"> </w:t>
      </w:r>
      <w:r w:rsidR="00363C0E">
        <w:t xml:space="preserve">provides an efficient, cost-effective and secure </w:t>
      </w:r>
      <w:r>
        <w:t>option</w:t>
      </w:r>
      <w:r w:rsidR="00363C0E">
        <w:t xml:space="preserve"> for reviewing parties to </w:t>
      </w:r>
      <w:r>
        <w:t xml:space="preserve">review data </w:t>
      </w:r>
      <w:r w:rsidR="00363C0E">
        <w:t>and is fully compliant with federal information security standards.</w:t>
      </w:r>
      <w:r w:rsidR="00363C0E">
        <w:rPr>
          <w:rStyle w:val="FootnoteReference"/>
        </w:rPr>
        <w:footnoteReference w:id="92"/>
      </w:r>
      <w:r w:rsidR="00363C0E">
        <w:t xml:space="preserve">  As an added benefit, this solution will decrease the costs of participation in the rulemaking proceeding as reviewing parties will </w:t>
      </w:r>
      <w:r>
        <w:t xml:space="preserve">not have to pay for the added cost of </w:t>
      </w:r>
      <w:r w:rsidR="00363C0E">
        <w:t>procur</w:t>
      </w:r>
      <w:r>
        <w:t>ing</w:t>
      </w:r>
      <w:r w:rsidR="00363C0E">
        <w:t xml:space="preserve"> thin clients.</w:t>
      </w:r>
      <w:r w:rsidR="00363C0E">
        <w:rPr>
          <w:rStyle w:val="FootnoteReference"/>
        </w:rPr>
        <w:footnoteReference w:id="93"/>
      </w:r>
      <w:r w:rsidR="00363C0E">
        <w:t xml:space="preserve">  Accordingly, we </w:t>
      </w:r>
      <w:r>
        <w:t>a</w:t>
      </w:r>
      <w:r w:rsidR="00363C0E">
        <w:t>mend the</w:t>
      </w:r>
      <w:r w:rsidR="00926741">
        <w:t xml:space="preserve"> process outlined in the</w:t>
      </w:r>
      <w:r w:rsidR="00363C0E">
        <w:t xml:space="preserve"> </w:t>
      </w:r>
      <w:r w:rsidR="00363C0E" w:rsidRPr="00283842">
        <w:rPr>
          <w:i/>
        </w:rPr>
        <w:t>Protective Order</w:t>
      </w:r>
      <w:r w:rsidR="00363C0E">
        <w:t xml:space="preserve"> to </w:t>
      </w:r>
      <w:r w:rsidR="00926741">
        <w:t xml:space="preserve">reflect the use of </w:t>
      </w:r>
      <w:r>
        <w:t xml:space="preserve">this </w:t>
      </w:r>
      <w:r w:rsidR="00231713">
        <w:t>remote access</w:t>
      </w:r>
      <w:r w:rsidR="00926741">
        <w:t xml:space="preserve"> technology</w:t>
      </w:r>
      <w:r w:rsidR="00363C0E">
        <w:t>.</w:t>
      </w:r>
      <w:r w:rsidR="00363C0E">
        <w:rPr>
          <w:rStyle w:val="FootnoteReference"/>
        </w:rPr>
        <w:footnoteReference w:id="94"/>
      </w:r>
      <w:r w:rsidR="00363C0E">
        <w:t xml:space="preserve">  </w:t>
      </w:r>
      <w:r w:rsidR="00E80C6A" w:rsidDel="00E80C6A">
        <w:t xml:space="preserve"> </w:t>
      </w:r>
    </w:p>
    <w:p w:rsidR="00363C0E" w:rsidRPr="009B3ABD" w:rsidRDefault="003866C6" w:rsidP="00024B56">
      <w:pPr>
        <w:pStyle w:val="ParaNum"/>
        <w:widowControl/>
        <w:numPr>
          <w:ilvl w:val="0"/>
          <w:numId w:val="0"/>
        </w:numPr>
        <w:ind w:left="1440" w:hanging="720"/>
        <w:rPr>
          <w:b/>
        </w:rPr>
      </w:pPr>
      <w:r>
        <w:rPr>
          <w:b/>
        </w:rPr>
        <w:t>D</w:t>
      </w:r>
      <w:r w:rsidR="00363C0E" w:rsidRPr="009B3ABD">
        <w:rPr>
          <w:b/>
        </w:rPr>
        <w:t xml:space="preserve">. </w:t>
      </w:r>
      <w:r w:rsidR="00363C0E">
        <w:rPr>
          <w:b/>
        </w:rPr>
        <w:tab/>
      </w:r>
      <w:r w:rsidR="00EE043E">
        <w:rPr>
          <w:b/>
        </w:rPr>
        <w:t xml:space="preserve">Fiber Network Mapping and Bandwidth Data </w:t>
      </w:r>
      <w:r w:rsidR="00231713">
        <w:rPr>
          <w:b/>
        </w:rPr>
        <w:t xml:space="preserve">Provided to </w:t>
      </w:r>
      <w:r w:rsidR="00EE043E">
        <w:rPr>
          <w:b/>
        </w:rPr>
        <w:t>Reviewing Parties</w:t>
      </w:r>
    </w:p>
    <w:p w:rsidR="00F061E0" w:rsidRDefault="001D32F2" w:rsidP="00C95F03">
      <w:pPr>
        <w:pStyle w:val="ParaNum"/>
        <w:widowControl/>
        <w:tabs>
          <w:tab w:val="clear" w:pos="1080"/>
          <w:tab w:val="num" w:pos="1440"/>
        </w:tabs>
      </w:pPr>
      <w:r>
        <w:t>W</w:t>
      </w:r>
      <w:r w:rsidR="00BD1744">
        <w:t xml:space="preserve">e indicated </w:t>
      </w:r>
      <w:r>
        <w:t xml:space="preserve">in the </w:t>
      </w:r>
      <w:r w:rsidRPr="001767D2">
        <w:rPr>
          <w:i/>
        </w:rPr>
        <w:t>Protective Order</w:t>
      </w:r>
      <w:r>
        <w:t xml:space="preserve"> </w:t>
      </w:r>
      <w:r w:rsidR="00BD1744">
        <w:t xml:space="preserve">that we would allow reviewing parties to view raw highly confidential data in the SDE </w:t>
      </w:r>
      <w:r w:rsidR="00A9715B">
        <w:t>with the exception of</w:t>
      </w:r>
      <w:r w:rsidR="00BD1744">
        <w:t xml:space="preserve"> the names of providers’ customers in their billing data</w:t>
      </w:r>
      <w:r w:rsidR="00A9715B">
        <w:t>, which we decided would be anonymized in order</w:t>
      </w:r>
      <w:r w:rsidR="00BD1744">
        <w:t xml:space="preserve"> to protect customer</w:t>
      </w:r>
      <w:r w:rsidR="00A9715B">
        <w:t>s’</w:t>
      </w:r>
      <w:r w:rsidR="00BD1744">
        <w:t xml:space="preserve"> privacy interests.</w:t>
      </w:r>
      <w:r w:rsidR="00BD1744">
        <w:rPr>
          <w:rStyle w:val="FootnoteReference"/>
        </w:rPr>
        <w:footnoteReference w:id="95"/>
      </w:r>
      <w:r w:rsidR="00BD1744">
        <w:t xml:space="preserve">  </w:t>
      </w:r>
      <w:r w:rsidR="00926741">
        <w:t xml:space="preserve">Over the course of </w:t>
      </w:r>
      <w:r w:rsidR="00232C2A">
        <w:t xml:space="preserve">the </w:t>
      </w:r>
      <w:r w:rsidR="00926741">
        <w:t xml:space="preserve">review </w:t>
      </w:r>
      <w:r w:rsidR="00232C2A">
        <w:t xml:space="preserve">by the Office of Management and Budget (OMB) </w:t>
      </w:r>
      <w:r w:rsidR="00926741">
        <w:t>of the data collection</w:t>
      </w:r>
      <w:r w:rsidR="00231713">
        <w:t xml:space="preserve"> </w:t>
      </w:r>
      <w:r w:rsidR="00232C2A">
        <w:t xml:space="preserve">pursuant to the Paperwork Reduction Act of 1995, and </w:t>
      </w:r>
      <w:r w:rsidR="00231713">
        <w:t>in consultation with other executive agencies</w:t>
      </w:r>
      <w:r w:rsidR="00F40320">
        <w:t xml:space="preserve">, </w:t>
      </w:r>
      <w:r w:rsidR="00926741">
        <w:t xml:space="preserve">concerns were raised </w:t>
      </w:r>
      <w:r w:rsidR="00231713">
        <w:t xml:space="preserve">about the potential risks of the collected data on </w:t>
      </w:r>
      <w:r w:rsidR="00363C0E">
        <w:t xml:space="preserve">critical communications infrastructure.  </w:t>
      </w:r>
      <w:r w:rsidR="00E46BF7">
        <w:t xml:space="preserve">In response, </w:t>
      </w:r>
      <w:r w:rsidR="00363C0E">
        <w:t xml:space="preserve">we </w:t>
      </w:r>
      <w:r w:rsidR="00231713">
        <w:t xml:space="preserve">take further steps to mitigate this potential risk by providing mapping information on fiber routes at the census block level, or alternatively showing distances to connected locations, and we will simply denote sales and purchases of bandwidth </w:t>
      </w:r>
      <w:r w:rsidR="004914AF">
        <w:t>in excess of 1 gigabit per second (G</w:t>
      </w:r>
      <w:r w:rsidR="005D7790">
        <w:t>bp</w:t>
      </w:r>
      <w:r w:rsidR="004914AF">
        <w:t>s)</w:t>
      </w:r>
      <w:r w:rsidR="00231713">
        <w:t xml:space="preserve"> and not provide the specific bandwidth amount in excess of this threshold.</w:t>
      </w:r>
      <w:r w:rsidR="00685EB3">
        <w:t xml:space="preserve">  </w:t>
      </w:r>
      <w:r w:rsidR="00685EB3" w:rsidRPr="00E46BF7">
        <w:t xml:space="preserve">Attached to this Order is an </w:t>
      </w:r>
      <w:r w:rsidR="00296C40">
        <w:t>appendix</w:t>
      </w:r>
      <w:r w:rsidR="00C3553D" w:rsidRPr="00E46BF7">
        <w:t xml:space="preserve"> </w:t>
      </w:r>
      <w:r w:rsidR="00685EB3" w:rsidRPr="00E46BF7">
        <w:t xml:space="preserve">listing </w:t>
      </w:r>
      <w:r w:rsidR="00685EB3">
        <w:t xml:space="preserve">how these data points in </w:t>
      </w:r>
      <w:r w:rsidR="00685EB3" w:rsidRPr="00E46BF7">
        <w:t xml:space="preserve">specific tables </w:t>
      </w:r>
      <w:r w:rsidR="00685EB3">
        <w:t>are provided through the SDE.</w:t>
      </w:r>
      <w:r w:rsidR="00C3553D">
        <w:rPr>
          <w:rStyle w:val="FootnoteReference"/>
        </w:rPr>
        <w:footnoteReference w:id="96"/>
      </w:r>
      <w:r w:rsidR="00231713">
        <w:t xml:space="preserve">  </w:t>
      </w:r>
      <w:r w:rsidR="00AF1443">
        <w:t xml:space="preserve"> </w:t>
      </w:r>
      <w:r w:rsidR="00363C0E">
        <w:t xml:space="preserve">  </w:t>
      </w:r>
    </w:p>
    <w:p w:rsidR="00F061E0" w:rsidRDefault="00803967" w:rsidP="00024B56">
      <w:pPr>
        <w:pStyle w:val="ParaNum"/>
        <w:widowControl/>
        <w:tabs>
          <w:tab w:val="clear" w:pos="1080"/>
          <w:tab w:val="num" w:pos="1440"/>
        </w:tabs>
      </w:pPr>
      <w:r>
        <w:rPr>
          <w:i/>
        </w:rPr>
        <w:t xml:space="preserve">Mapping and Node </w:t>
      </w:r>
      <w:r w:rsidR="00363C0E" w:rsidRPr="00F061E0">
        <w:rPr>
          <w:i/>
        </w:rPr>
        <w:t>Data</w:t>
      </w:r>
      <w:r w:rsidR="00363C0E">
        <w:t xml:space="preserve">.  </w:t>
      </w:r>
      <w:r w:rsidR="001D32F2">
        <w:t>C</w:t>
      </w:r>
      <w:r w:rsidR="00052EB6">
        <w:t xml:space="preserve">ompetitive </w:t>
      </w:r>
      <w:r w:rsidR="00EE1F3F">
        <w:t xml:space="preserve">providers of dedicated services were required to report </w:t>
      </w:r>
      <w:r w:rsidR="006B5F4A">
        <w:t xml:space="preserve">fiber </w:t>
      </w:r>
      <w:r w:rsidR="00052EB6">
        <w:t>network</w:t>
      </w:r>
      <w:r w:rsidR="006B5F4A">
        <w:t xml:space="preserve"> maps as well as interconnecti</w:t>
      </w:r>
      <w:r w:rsidR="00052EB6">
        <w:t>on</w:t>
      </w:r>
      <w:r w:rsidR="006B5F4A">
        <w:t xml:space="preserve"> nodes </w:t>
      </w:r>
      <w:r w:rsidR="00EE1F3F">
        <w:t xml:space="preserve">to help the Commission identify facilities that can or could be used to provide dedicated services and the </w:t>
      </w:r>
      <w:r w:rsidR="00C178C4">
        <w:t xml:space="preserve">sources of </w:t>
      </w:r>
      <w:r w:rsidR="00EE1F3F">
        <w:t>demand for dedicated service.</w:t>
      </w:r>
      <w:r w:rsidR="00EE1F3F">
        <w:rPr>
          <w:rStyle w:val="FootnoteReference"/>
        </w:rPr>
        <w:footnoteReference w:id="97"/>
      </w:r>
      <w:r w:rsidR="00EE1F3F">
        <w:t xml:space="preserve">  </w:t>
      </w:r>
      <w:r w:rsidR="001D32F2">
        <w:t>P</w:t>
      </w:r>
      <w:r w:rsidR="00F061E0" w:rsidRPr="00F061E0">
        <w:t>roviding the exact locations of fiber routes</w:t>
      </w:r>
      <w:r w:rsidR="001D32F2">
        <w:t xml:space="preserve"> and </w:t>
      </w:r>
      <w:r w:rsidR="00F061E0" w:rsidRPr="00F061E0">
        <w:t>interconnecting nodes might pose risks to critical infrastructure.</w:t>
      </w:r>
      <w:r w:rsidR="00F061E0">
        <w:t xml:space="preserve"> </w:t>
      </w:r>
      <w:r w:rsidR="00EE043E">
        <w:t>A</w:t>
      </w:r>
      <w:r w:rsidR="006B5F4A">
        <w:t>ccordingly, w</w:t>
      </w:r>
      <w:r w:rsidR="00363C0E">
        <w:t xml:space="preserve">e will </w:t>
      </w:r>
      <w:r w:rsidR="0003724F">
        <w:t xml:space="preserve">not reproduce </w:t>
      </w:r>
      <w:r w:rsidR="00363C0E" w:rsidRPr="00B75950">
        <w:t xml:space="preserve">information </w:t>
      </w:r>
      <w:r w:rsidR="00363C0E">
        <w:t xml:space="preserve">from providers </w:t>
      </w:r>
      <w:r w:rsidR="00363C0E" w:rsidRPr="00B75950">
        <w:t>on the starting points for connections to end user locations or on the transmission paths of the co</w:t>
      </w:r>
      <w:r w:rsidR="00363C0E">
        <w:t xml:space="preserve">nnections to end user locations.  </w:t>
      </w:r>
      <w:r w:rsidR="0003724F">
        <w:t>I</w:t>
      </w:r>
      <w:r w:rsidR="00363C0E" w:rsidRPr="00086474">
        <w:t xml:space="preserve">nstead, we will provide maps depicting the presence of fiber by </w:t>
      </w:r>
      <w:r w:rsidR="005650C6">
        <w:t xml:space="preserve">listing all the providers with fiber facilities in a census block or by </w:t>
      </w:r>
      <w:r w:rsidR="00363C0E" w:rsidRPr="00086474">
        <w:t>indicating a connected end</w:t>
      </w:r>
      <w:r w:rsidR="005650C6">
        <w:t>-</w:t>
      </w:r>
      <w:r w:rsidR="00363C0E" w:rsidRPr="00086474">
        <w:t>user</w:t>
      </w:r>
      <w:r w:rsidR="005650C6">
        <w:t>’s</w:t>
      </w:r>
      <w:r w:rsidR="00363C0E" w:rsidRPr="00086474">
        <w:t xml:space="preserve"> location’s distance to fiber without including information on the </w:t>
      </w:r>
      <w:r w:rsidR="00E46BF7">
        <w:t xml:space="preserve">specific </w:t>
      </w:r>
      <w:r w:rsidR="00363C0E" w:rsidRPr="00086474">
        <w:t>route of the fiber.</w:t>
      </w:r>
      <w:r w:rsidR="00363C0E">
        <w:rPr>
          <w:rStyle w:val="FootnoteReference"/>
        </w:rPr>
        <w:footnoteReference w:id="98"/>
      </w:r>
      <w:r w:rsidR="00363C0E" w:rsidRPr="00086474">
        <w:t xml:space="preserve"> </w:t>
      </w:r>
      <w:r w:rsidR="00363C0E">
        <w:t xml:space="preserve"> Finally, we will </w:t>
      </w:r>
      <w:r w:rsidR="00EE043E">
        <w:t xml:space="preserve">not provide </w:t>
      </w:r>
      <w:r w:rsidR="00363C0E">
        <w:t>g</w:t>
      </w:r>
      <w:r w:rsidR="00363C0E" w:rsidRPr="00534F31">
        <w:t>eographic coordinates, Common Language</w:t>
      </w:r>
      <w:r w:rsidR="006D554C">
        <w:t>®</w:t>
      </w:r>
      <w:r w:rsidR="00363C0E" w:rsidRPr="00534F31">
        <w:t xml:space="preserve"> Location Codes (CLLI</w:t>
      </w:r>
      <w:r w:rsidR="006D554C">
        <w:t>™</w:t>
      </w:r>
      <w:r w:rsidR="00363C0E" w:rsidRPr="00534F31">
        <w:t xml:space="preserve"> Codes) and/or street a</w:t>
      </w:r>
      <w:r w:rsidR="00363C0E">
        <w:t>ddresses for I</w:t>
      </w:r>
      <w:r w:rsidR="002970BB">
        <w:t>ncumbent Local Exchange Carrier (I</w:t>
      </w:r>
      <w:r w:rsidR="00363C0E">
        <w:t>LEC</w:t>
      </w:r>
      <w:r w:rsidR="002970BB">
        <w:t>)</w:t>
      </w:r>
      <w:r w:rsidR="00363C0E">
        <w:t xml:space="preserve"> wire centers</w:t>
      </w:r>
      <w:r w:rsidR="00363C0E" w:rsidRPr="00534F31">
        <w:t>.</w:t>
      </w:r>
      <w:r w:rsidR="00363C0E">
        <w:rPr>
          <w:rStyle w:val="FootnoteReference"/>
        </w:rPr>
        <w:footnoteReference w:id="99"/>
      </w:r>
      <w:r w:rsidR="00363C0E" w:rsidRPr="00534F31">
        <w:t xml:space="preserve"> </w:t>
      </w:r>
      <w:r w:rsidR="005650C6">
        <w:t xml:space="preserve"> </w:t>
      </w:r>
      <w:r w:rsidR="00F061E0" w:rsidRPr="00F061E0">
        <w:t xml:space="preserve">  </w:t>
      </w:r>
    </w:p>
    <w:p w:rsidR="00F061E0" w:rsidRPr="001320CA" w:rsidRDefault="001D32F2">
      <w:pPr>
        <w:pStyle w:val="ParaNum"/>
        <w:tabs>
          <w:tab w:val="clear" w:pos="1080"/>
          <w:tab w:val="num" w:pos="1440"/>
        </w:tabs>
      </w:pPr>
      <w:r>
        <w:t>P</w:t>
      </w:r>
      <w:r w:rsidR="00F061E0" w:rsidRPr="00F061E0">
        <w:t xml:space="preserve">roviding information at this level of detail will not materially impair the ability of reviewing parties to analyze the data and participate in the special access proceeding.  </w:t>
      </w:r>
      <w:r w:rsidR="00F061E0">
        <w:t xml:space="preserve">While this information may be valuable to test various measures of the presence of competition, </w:t>
      </w:r>
      <w:r>
        <w:t xml:space="preserve">the information in the format provided through the SDE is </w:t>
      </w:r>
      <w:r w:rsidR="00F061E0">
        <w:t xml:space="preserve">sufficient to conduct such </w:t>
      </w:r>
      <w:r>
        <w:t xml:space="preserve">an </w:t>
      </w:r>
      <w:r w:rsidR="00F061E0">
        <w:t xml:space="preserve">analysis.  In particular, we find it is implausible that a measure of competition that could be reasonably applied across all price cap territories could depend on more granular data than </w:t>
      </w:r>
      <w:r w:rsidR="00333B71">
        <w:t xml:space="preserve">what </w:t>
      </w:r>
      <w:r w:rsidR="00F061E0">
        <w:t>we plan to release</w:t>
      </w:r>
      <w:r w:rsidR="00333B71">
        <w:t xml:space="preserve"> to reviewing parties</w:t>
      </w:r>
      <w:r w:rsidR="00F061E0">
        <w:t xml:space="preserve">.  </w:t>
      </w:r>
      <w:r>
        <w:t>O</w:t>
      </w:r>
      <w:r w:rsidR="00606DA1">
        <w:t xml:space="preserve">n balance, </w:t>
      </w:r>
      <w:r>
        <w:t xml:space="preserve">this approach </w:t>
      </w:r>
      <w:r w:rsidR="00606DA1">
        <w:t>best serves the public interest.</w:t>
      </w:r>
      <w:r w:rsidR="00A85807">
        <w:rPr>
          <w:rStyle w:val="FootnoteReference"/>
        </w:rPr>
        <w:footnoteReference w:id="100"/>
      </w:r>
    </w:p>
    <w:p w:rsidR="00363C0E" w:rsidRPr="00DC244D" w:rsidRDefault="00363C0E" w:rsidP="00363C0E">
      <w:pPr>
        <w:pStyle w:val="ParaNum"/>
        <w:tabs>
          <w:tab w:val="clear" w:pos="1080"/>
          <w:tab w:val="num" w:pos="1440"/>
        </w:tabs>
      </w:pPr>
      <w:r w:rsidRPr="00086474">
        <w:rPr>
          <w:i/>
        </w:rPr>
        <w:t>Bandwidth</w:t>
      </w:r>
      <w:r w:rsidR="00C65AD1">
        <w:rPr>
          <w:i/>
        </w:rPr>
        <w:t xml:space="preserve"> Amounts</w:t>
      </w:r>
      <w:r w:rsidRPr="00086474">
        <w:rPr>
          <w:i/>
        </w:rPr>
        <w:t xml:space="preserve"> Above 1 G</w:t>
      </w:r>
      <w:r w:rsidR="005D7790">
        <w:rPr>
          <w:i/>
        </w:rPr>
        <w:t>bps</w:t>
      </w:r>
      <w:r>
        <w:t xml:space="preserve">.  </w:t>
      </w:r>
      <w:r w:rsidR="00DA6369">
        <w:t>C</w:t>
      </w:r>
      <w:r w:rsidR="00780486">
        <w:t xml:space="preserve">oncerns </w:t>
      </w:r>
      <w:r w:rsidR="001D32F2">
        <w:t xml:space="preserve">about the risk to critical infrastructure were </w:t>
      </w:r>
      <w:r w:rsidR="00DA6369">
        <w:t>also raised</w:t>
      </w:r>
      <w:r w:rsidR="00905F22">
        <w:t xml:space="preserve"> during the OMB review process</w:t>
      </w:r>
      <w:r w:rsidR="00DA6369">
        <w:t xml:space="preserve"> </w:t>
      </w:r>
      <w:r w:rsidR="001D32F2">
        <w:t>about</w:t>
      </w:r>
      <w:r w:rsidR="00780486">
        <w:t xml:space="preserve"> </w:t>
      </w:r>
      <w:r w:rsidR="001D32F2">
        <w:t xml:space="preserve">the </w:t>
      </w:r>
      <w:r w:rsidR="00780486">
        <w:t>releas</w:t>
      </w:r>
      <w:r w:rsidR="001D32F2">
        <w:t>e</w:t>
      </w:r>
      <w:r w:rsidR="00780486">
        <w:t xml:space="preserve"> </w:t>
      </w:r>
      <w:r w:rsidR="001D32F2">
        <w:t xml:space="preserve">of </w:t>
      </w:r>
      <w:r w:rsidR="00780486">
        <w:t xml:space="preserve">data </w:t>
      </w:r>
      <w:r w:rsidR="001D32F2">
        <w:t>on specific</w:t>
      </w:r>
      <w:r w:rsidR="00780486">
        <w:t xml:space="preserve"> </w:t>
      </w:r>
      <w:r w:rsidR="00F63749">
        <w:t xml:space="preserve">locations with high volume bandwidth amounts </w:t>
      </w:r>
      <w:r w:rsidR="001D32F2">
        <w:t>sold or purchased</w:t>
      </w:r>
      <w:r w:rsidR="00E758AF">
        <w:t>.</w:t>
      </w:r>
      <w:r>
        <w:rPr>
          <w:rStyle w:val="FootnoteReference"/>
        </w:rPr>
        <w:footnoteReference w:id="101"/>
      </w:r>
      <w:r w:rsidRPr="00086474">
        <w:t xml:space="preserve"> </w:t>
      </w:r>
      <w:r>
        <w:t xml:space="preserve"> </w:t>
      </w:r>
      <w:r w:rsidR="00F63749">
        <w:t>To mitigate th</w:t>
      </w:r>
      <w:r w:rsidR="00C178C4">
        <w:t>ese</w:t>
      </w:r>
      <w:r w:rsidR="00F63749">
        <w:t xml:space="preserve"> risk</w:t>
      </w:r>
      <w:r w:rsidR="00C178C4">
        <w:t>s</w:t>
      </w:r>
      <w:r w:rsidR="00F63749">
        <w:t xml:space="preserve">, we will </w:t>
      </w:r>
      <w:r w:rsidR="00ED0529">
        <w:t xml:space="preserve">not </w:t>
      </w:r>
      <w:r w:rsidR="00905F22">
        <w:t>specifically identify</w:t>
      </w:r>
      <w:r w:rsidR="00ED0529">
        <w:t xml:space="preserve"> </w:t>
      </w:r>
      <w:r w:rsidR="00F63749">
        <w:t xml:space="preserve">bandwidth amounts </w:t>
      </w:r>
      <w:r w:rsidR="00905F22">
        <w:t xml:space="preserve">sold or purchased </w:t>
      </w:r>
      <w:r w:rsidR="00F63749">
        <w:t>above 1 G</w:t>
      </w:r>
      <w:r w:rsidR="005D7790">
        <w:t>bp</w:t>
      </w:r>
      <w:r w:rsidR="00D3355D">
        <w:t>s</w:t>
      </w:r>
      <w:r w:rsidR="00F63749">
        <w:t xml:space="preserve">.  We will </w:t>
      </w:r>
      <w:r w:rsidR="00905F22">
        <w:t>instead simply indicate when the amount is above this threshold</w:t>
      </w:r>
      <w:r w:rsidRPr="00086474">
        <w:t xml:space="preserve">. </w:t>
      </w:r>
      <w:r>
        <w:t xml:space="preserve"> </w:t>
      </w:r>
      <w:r w:rsidR="00905F22">
        <w:t>Not identifying</w:t>
      </w:r>
      <w:r w:rsidR="00ED0529">
        <w:t xml:space="preserve"> </w:t>
      </w:r>
      <w:r w:rsidR="00905F22">
        <w:t xml:space="preserve">specific </w:t>
      </w:r>
      <w:r w:rsidRPr="00086474">
        <w:t>purchases above 1 G</w:t>
      </w:r>
      <w:r w:rsidR="005D7790">
        <w:t>bp</w:t>
      </w:r>
      <w:r w:rsidR="00D3355D">
        <w:t xml:space="preserve">s </w:t>
      </w:r>
      <w:r w:rsidR="005D7790">
        <w:t xml:space="preserve">is </w:t>
      </w:r>
      <w:r w:rsidR="00905F22">
        <w:t>unlikely</w:t>
      </w:r>
      <w:r w:rsidR="005D7790">
        <w:t xml:space="preserve"> to</w:t>
      </w:r>
      <w:r w:rsidR="00905F22">
        <w:t xml:space="preserve"> </w:t>
      </w:r>
      <w:r>
        <w:t xml:space="preserve">have a material effect on interested </w:t>
      </w:r>
      <w:r w:rsidRPr="00086474">
        <w:t>parties</w:t>
      </w:r>
      <w:r w:rsidR="00C178C4">
        <w:t>’</w:t>
      </w:r>
      <w:r w:rsidRPr="00086474">
        <w:t xml:space="preserve"> capacity to </w:t>
      </w:r>
      <w:r>
        <w:t xml:space="preserve">analyze the data, </w:t>
      </w:r>
      <w:r w:rsidRPr="00024B56">
        <w:t>e.g.</w:t>
      </w:r>
      <w:r w:rsidR="004F269E">
        <w:rPr>
          <w:i/>
        </w:rPr>
        <w:t>,</w:t>
      </w:r>
      <w:r>
        <w:t xml:space="preserve"> conduct a </w:t>
      </w:r>
      <w:r w:rsidRPr="00086474">
        <w:t xml:space="preserve">market power </w:t>
      </w:r>
      <w:r>
        <w:t>analysis</w:t>
      </w:r>
      <w:r w:rsidR="00685EB3">
        <w:t xml:space="preserve">.  Once bandwidth amounts </w:t>
      </w:r>
      <w:r w:rsidR="002C0A6E">
        <w:t>exceed</w:t>
      </w:r>
      <w:r w:rsidR="00685EB3">
        <w:t xml:space="preserve"> 1 Gbps, the marginal cost of providing a higher bandwidth is small relative to the initial cost of deploying the necessary fiber for these higher bandwidth offerings.  Accordingly, knowing the exact bandwidth amount in excess of this threshold is of diminishing importance.  Simply denoting the sales and purchases in excess of this threshold </w:t>
      </w:r>
      <w:r w:rsidR="006273DB">
        <w:t xml:space="preserve">allows us to </w:t>
      </w:r>
      <w:r w:rsidR="00685EB3">
        <w:t>strike</w:t>
      </w:r>
      <w:r w:rsidR="006273DB">
        <w:t xml:space="preserve"> an</w:t>
      </w:r>
      <w:r w:rsidR="00685EB3">
        <w:t xml:space="preserve"> appropriate balance between providing potential Reviewing Parties with sufficient information for analysis and mitigating potential risks to critical infrastructure.</w:t>
      </w:r>
      <w:r w:rsidR="00A85807">
        <w:rPr>
          <w:rStyle w:val="FootnoteReference"/>
        </w:rPr>
        <w:footnoteReference w:id="102"/>
      </w:r>
      <w:r w:rsidR="00DA6369">
        <w:t xml:space="preserve">  </w:t>
      </w:r>
    </w:p>
    <w:p w:rsidR="002476D6" w:rsidRDefault="00363C0E" w:rsidP="000A4C87">
      <w:pPr>
        <w:pStyle w:val="ParaNum"/>
        <w:widowControl/>
        <w:tabs>
          <w:tab w:val="clear" w:pos="1080"/>
          <w:tab w:val="num" w:pos="1440"/>
        </w:tabs>
      </w:pPr>
      <w:r w:rsidRPr="009B3ABD">
        <w:rPr>
          <w:i/>
        </w:rPr>
        <w:t>Customer Names</w:t>
      </w:r>
      <w:r>
        <w:t xml:space="preserve">.  </w:t>
      </w:r>
      <w:r w:rsidR="00905F22">
        <w:t xml:space="preserve">We have already committed in the </w:t>
      </w:r>
      <w:r w:rsidR="00905F22" w:rsidRPr="001767D2">
        <w:rPr>
          <w:i/>
        </w:rPr>
        <w:t>Protective Order</w:t>
      </w:r>
      <w:r w:rsidR="00905F22">
        <w:t xml:space="preserve"> to </w:t>
      </w:r>
      <w:r w:rsidR="00067BFD">
        <w:t>mask</w:t>
      </w:r>
      <w:r w:rsidR="00905F22">
        <w:t>ing</w:t>
      </w:r>
      <w:r w:rsidR="00067BFD">
        <w:t xml:space="preserve"> the names of customers in the billing data </w:t>
      </w:r>
      <w:r w:rsidR="00905F22">
        <w:t xml:space="preserve">submitted by providers </w:t>
      </w:r>
      <w:r w:rsidR="00067BFD">
        <w:t>to protect customer privacy interests.</w:t>
      </w:r>
      <w:r w:rsidR="00067BFD">
        <w:rPr>
          <w:rStyle w:val="FootnoteReference"/>
        </w:rPr>
        <w:footnoteReference w:id="103"/>
      </w:r>
      <w:r w:rsidR="00067BFD">
        <w:t xml:space="preserve">  </w:t>
      </w:r>
      <w:r w:rsidR="00DA6369">
        <w:t>We implement</w:t>
      </w:r>
      <w:r w:rsidR="00905F22">
        <w:t xml:space="preserve"> the earlier</w:t>
      </w:r>
      <w:r w:rsidR="00DA6369">
        <w:t xml:space="preserve"> decision by providing</w:t>
      </w:r>
      <w:r w:rsidR="00DA6369" w:rsidRPr="006A549E">
        <w:t xml:space="preserve"> a </w:t>
      </w:r>
      <w:r w:rsidR="00DA6369">
        <w:t>unique, non-descript identifier</w:t>
      </w:r>
      <w:r w:rsidR="00DA6369" w:rsidRPr="006A549E">
        <w:t xml:space="preserve"> for customers </w:t>
      </w:r>
      <w:r w:rsidR="00905F22">
        <w:t>in</w:t>
      </w:r>
      <w:r w:rsidR="00DA6369" w:rsidRPr="006A549E">
        <w:t xml:space="preserve"> the billing information</w:t>
      </w:r>
      <w:r w:rsidR="00DA6369">
        <w:t xml:space="preserve"> </w:t>
      </w:r>
      <w:r w:rsidR="00905F22">
        <w:t>accessible through the SDE</w:t>
      </w:r>
      <w:r w:rsidRPr="006A549E">
        <w:t>.</w:t>
      </w:r>
      <w:r>
        <w:t xml:space="preserve"> </w:t>
      </w:r>
      <w:r w:rsidR="00067BFD">
        <w:t xml:space="preserve"> </w:t>
      </w:r>
      <w:r w:rsidR="00DA6369">
        <w:t xml:space="preserve">As noted in the </w:t>
      </w:r>
      <w:r w:rsidR="00DA6369">
        <w:rPr>
          <w:i/>
        </w:rPr>
        <w:t xml:space="preserve">Protective </w:t>
      </w:r>
      <w:r w:rsidR="00DA6369" w:rsidRPr="00D30EC1">
        <w:t>Order</w:t>
      </w:r>
      <w:r w:rsidR="00DA6369">
        <w:t>, i</w:t>
      </w:r>
      <w:r w:rsidR="00181F91" w:rsidRPr="00DA6369">
        <w:t>t</w:t>
      </w:r>
      <w:r w:rsidR="00181F91">
        <w:t xml:space="preserve"> is unlikely that m</w:t>
      </w:r>
      <w:r>
        <w:t xml:space="preserve">asking </w:t>
      </w:r>
      <w:r w:rsidR="00181F91">
        <w:t xml:space="preserve">customer </w:t>
      </w:r>
      <w:r>
        <w:t xml:space="preserve">names </w:t>
      </w:r>
      <w:r w:rsidR="00C178C4">
        <w:t>will</w:t>
      </w:r>
      <w:r>
        <w:t xml:space="preserve"> </w:t>
      </w:r>
      <w:r w:rsidR="00BE0F1E">
        <w:t>have a</w:t>
      </w:r>
      <w:r w:rsidR="00863278">
        <w:t>n</w:t>
      </w:r>
      <w:r w:rsidR="00BE0F1E">
        <w:t xml:space="preserve"> impact on reviewing </w:t>
      </w:r>
      <w:r>
        <w:t>parties</w:t>
      </w:r>
      <w:r w:rsidR="009D3336">
        <w:t>’</w:t>
      </w:r>
      <w:r>
        <w:t xml:space="preserve"> capability to </w:t>
      </w:r>
      <w:r w:rsidR="00067BFD">
        <w:t xml:space="preserve">statistically analyze </w:t>
      </w:r>
      <w:r w:rsidR="00FB6CB3">
        <w:t>the special access market</w:t>
      </w:r>
      <w:r w:rsidR="00067BFD">
        <w:t>.</w:t>
      </w:r>
      <w:r w:rsidR="00E758AF">
        <w:rPr>
          <w:rStyle w:val="FootnoteReference"/>
        </w:rPr>
        <w:footnoteReference w:id="104"/>
      </w:r>
    </w:p>
    <w:p w:rsidR="00BE0F1E" w:rsidRDefault="00BE0F1E" w:rsidP="000A4C87">
      <w:pPr>
        <w:pStyle w:val="Heading1"/>
        <w:widowControl/>
      </w:pPr>
      <w:r>
        <w:t>conclusions</w:t>
      </w:r>
    </w:p>
    <w:p w:rsidR="00BE0F1E" w:rsidRPr="007533B5" w:rsidRDefault="007533B5" w:rsidP="000A4C87">
      <w:pPr>
        <w:pStyle w:val="ParaNum"/>
        <w:widowControl/>
        <w:tabs>
          <w:tab w:val="clear" w:pos="1080"/>
          <w:tab w:val="num" w:pos="1440"/>
        </w:tabs>
      </w:pPr>
      <w:r>
        <w:t xml:space="preserve">In sum, denying </w:t>
      </w:r>
      <w:r w:rsidR="00905F22">
        <w:t xml:space="preserve">these </w:t>
      </w:r>
      <w:r>
        <w:t xml:space="preserve">objections and clarifying and modifying the </w:t>
      </w:r>
      <w:r w:rsidRPr="00836E3E">
        <w:rPr>
          <w:i/>
        </w:rPr>
        <w:t>Protective Order</w:t>
      </w:r>
      <w:r>
        <w:t xml:space="preserve"> appropriate</w:t>
      </w:r>
      <w:r w:rsidR="00C178C4">
        <w:t>ly</w:t>
      </w:r>
      <w:r>
        <w:t xml:space="preserve"> balances the need to protect competitively sensitive and critical infrastructure information with the need of interested parties to participate in the underlying rulemaking proceeding.</w:t>
      </w:r>
      <w:r w:rsidR="00AB4D2D">
        <w:rPr>
          <w:rStyle w:val="FootnoteReference"/>
        </w:rPr>
        <w:footnoteReference w:id="105"/>
      </w:r>
      <w:r>
        <w:t xml:space="preserve">  </w:t>
      </w:r>
      <w:r w:rsidR="00905F22">
        <w:t>R</w:t>
      </w:r>
      <w:r w:rsidR="00BE0F1E">
        <w:t xml:space="preserve">equesting parties </w:t>
      </w:r>
      <w:r w:rsidR="00905F22">
        <w:t xml:space="preserve">who have </w:t>
      </w:r>
      <w:r w:rsidR="00BE0F1E">
        <w:t xml:space="preserve">previously submitted requests for access to confidential and highly confidential information need </w:t>
      </w:r>
      <w:r w:rsidR="00905F22">
        <w:t>not</w:t>
      </w:r>
      <w:r w:rsidR="00BE0F1E">
        <w:t xml:space="preserve"> re-execute Acknowledgments of Confidentiality.</w:t>
      </w:r>
      <w:r w:rsidR="00BE0F1E">
        <w:rPr>
          <w:rStyle w:val="FootnoteReference"/>
        </w:rPr>
        <w:footnoteReference w:id="106"/>
      </w:r>
      <w:r w:rsidR="00BE0F1E">
        <w:t xml:space="preserve">  This Order </w:t>
      </w:r>
      <w:r w:rsidR="00905F22">
        <w:t>make</w:t>
      </w:r>
      <w:r w:rsidR="00F763FD">
        <w:t>s</w:t>
      </w:r>
      <w:r w:rsidR="00905F22">
        <w:t xml:space="preserve"> minor modifications to</w:t>
      </w:r>
      <w:r w:rsidR="00BE0F1E">
        <w:t xml:space="preserve"> how those reviewing parties will receive access to the data but does not change their obligations with respect to that data under the </w:t>
      </w:r>
      <w:r w:rsidR="00BE0F1E" w:rsidRPr="00BE0F1E">
        <w:rPr>
          <w:i/>
        </w:rPr>
        <w:t>Protective Order</w:t>
      </w:r>
      <w:r w:rsidR="00BE0F1E">
        <w:t xml:space="preserve">.   </w:t>
      </w:r>
    </w:p>
    <w:p w:rsidR="001A5836" w:rsidRDefault="001A5836" w:rsidP="001A5836">
      <w:pPr>
        <w:pStyle w:val="Heading1"/>
      </w:pPr>
      <w:r>
        <w:t>ORDERING CLAUSE</w:t>
      </w:r>
      <w:r w:rsidR="00BD3B14">
        <w:t>S</w:t>
      </w:r>
    </w:p>
    <w:p w:rsidR="00F07740" w:rsidRDefault="003E6B0B" w:rsidP="008D5F7E">
      <w:pPr>
        <w:pStyle w:val="ParaNum"/>
        <w:widowControl/>
        <w:tabs>
          <w:tab w:val="clear" w:pos="1080"/>
          <w:tab w:val="num" w:pos="1440"/>
        </w:tabs>
      </w:pPr>
      <w:r>
        <w:t xml:space="preserve">Accordingly, IT IS ORDERED, </w:t>
      </w:r>
      <w:r w:rsidRPr="00DF0461">
        <w:t xml:space="preserve">pursuant to </w:t>
      </w:r>
      <w:r>
        <w:t xml:space="preserve">paragraph 5 of the </w:t>
      </w:r>
      <w:r w:rsidRPr="00B6798D">
        <w:rPr>
          <w:i/>
        </w:rPr>
        <w:t>Protective Order</w:t>
      </w:r>
      <w:r>
        <w:t xml:space="preserve">, </w:t>
      </w:r>
      <w:r w:rsidR="00B6798D">
        <w:t xml:space="preserve">29 FCC Rcd </w:t>
      </w:r>
      <w:r w:rsidR="00A80465">
        <w:t>at</w:t>
      </w:r>
      <w:r w:rsidR="009B1A4C">
        <w:t xml:space="preserve"> 11673, Appx. A at para. 5,</w:t>
      </w:r>
      <w:r w:rsidR="00B6798D">
        <w:t xml:space="preserve"> and </w:t>
      </w:r>
      <w:r w:rsidRPr="00DF0461">
        <w:t xml:space="preserve">sections 1, 4(i), </w:t>
      </w:r>
      <w:r>
        <w:t xml:space="preserve">and </w:t>
      </w:r>
      <w:r w:rsidRPr="00DF0461">
        <w:t>5</w:t>
      </w:r>
      <w:r>
        <w:t xml:space="preserve">(c) </w:t>
      </w:r>
      <w:r w:rsidRPr="00DF0461">
        <w:t>of the Communications Act of 1934, as amended, 47 U.S.C. §§ 151, 154(i), 155(c)</w:t>
      </w:r>
      <w:r>
        <w:t>,</w:t>
      </w:r>
      <w:r w:rsidRPr="00DF0461">
        <w:t xml:space="preserve"> </w:t>
      </w:r>
      <w:r w:rsidR="00DF03E3">
        <w:t xml:space="preserve">and 405 </w:t>
      </w:r>
      <w:r w:rsidRPr="00DF0461">
        <w:t>and sections 0.91, 0</w:t>
      </w:r>
      <w:r>
        <w:t>.291, 1.3, and 1.46 of the Commission’</w:t>
      </w:r>
      <w:r w:rsidRPr="00DF0461">
        <w:t xml:space="preserve">s rules, </w:t>
      </w:r>
      <w:smartTag w:uri="urn:schemas-microsoft-com:office:smarttags" w:element="metricconverter">
        <w:smartTagPr>
          <w:attr w:name="ProductID" w:val="47 C"/>
        </w:smartTagPr>
        <w:r w:rsidRPr="00DF0461">
          <w:t>47 C</w:t>
        </w:r>
      </w:smartTag>
      <w:r w:rsidRPr="00DF0461">
        <w:t xml:space="preserve">.F.R. §§ 0.91 0.291, 1.3, </w:t>
      </w:r>
      <w:r>
        <w:t xml:space="preserve">1.46, </w:t>
      </w:r>
      <w:r w:rsidR="00DF03E3">
        <w:t xml:space="preserve">and 1.106 </w:t>
      </w:r>
      <w:r>
        <w:t xml:space="preserve">and </w:t>
      </w:r>
      <w:r w:rsidRPr="003E6B0B">
        <w:t xml:space="preserve">the authority delegated to the Bureau in the </w:t>
      </w:r>
      <w:r w:rsidRPr="003E6B0B">
        <w:rPr>
          <w:i/>
          <w:iCs/>
        </w:rPr>
        <w:t>Data Collection Order</w:t>
      </w:r>
      <w:r>
        <w:t xml:space="preserve">, 27 FCC Rcd at </w:t>
      </w:r>
      <w:r w:rsidRPr="003E6B0B">
        <w:t>16340, para. 52, that</w:t>
      </w:r>
      <w:r>
        <w:t xml:space="preserve"> </w:t>
      </w:r>
      <w:r w:rsidRPr="00DF0461">
        <w:t xml:space="preserve">the </w:t>
      </w:r>
      <w:r>
        <w:t>objection</w:t>
      </w:r>
      <w:r w:rsidR="00B6798D">
        <w:t>s</w:t>
      </w:r>
      <w:r w:rsidRPr="00DF0461">
        <w:t xml:space="preserve"> filed by </w:t>
      </w:r>
      <w:r w:rsidR="00B6798D">
        <w:rPr>
          <w:szCs w:val="22"/>
        </w:rPr>
        <w:t>TransWorld</w:t>
      </w:r>
      <w:r w:rsidR="00A8685C">
        <w:rPr>
          <w:szCs w:val="22"/>
        </w:rPr>
        <w:t xml:space="preserve"> and</w:t>
      </w:r>
      <w:r w:rsidR="00B6798D">
        <w:rPr>
          <w:szCs w:val="22"/>
        </w:rPr>
        <w:t xml:space="preserve"> </w:t>
      </w:r>
      <w:r w:rsidR="00A8685C">
        <w:rPr>
          <w:szCs w:val="22"/>
        </w:rPr>
        <w:t xml:space="preserve">US Signal </w:t>
      </w:r>
      <w:r w:rsidR="008F0932">
        <w:rPr>
          <w:szCs w:val="22"/>
        </w:rPr>
        <w:t xml:space="preserve">on </w:t>
      </w:r>
      <w:smartTag w:uri="urn:schemas-microsoft-com:office:smarttags" w:element="date">
        <w:smartTagPr>
          <w:attr w:name="ls" w:val="trans"/>
          <w:attr w:name="Month" w:val="7"/>
          <w:attr w:name="Day" w:val="16"/>
          <w:attr w:name="Year" w:val="2015"/>
        </w:smartTagPr>
        <w:r w:rsidR="008F0932">
          <w:rPr>
            <w:szCs w:val="22"/>
          </w:rPr>
          <w:t>July 16, 2015</w:t>
        </w:r>
      </w:smartTag>
      <w:r w:rsidR="008F0932">
        <w:rPr>
          <w:szCs w:val="22"/>
        </w:rPr>
        <w:t xml:space="preserve"> and</w:t>
      </w:r>
      <w:r w:rsidR="00B6798D">
        <w:rPr>
          <w:szCs w:val="22"/>
        </w:rPr>
        <w:t xml:space="preserve"> </w:t>
      </w:r>
      <w:r w:rsidR="008F0932">
        <w:rPr>
          <w:szCs w:val="22"/>
        </w:rPr>
        <w:t>Service Electric</w:t>
      </w:r>
      <w:r w:rsidR="00A8685C">
        <w:rPr>
          <w:szCs w:val="22"/>
        </w:rPr>
        <w:t xml:space="preserve">, </w:t>
      </w:r>
      <w:r w:rsidR="00B6798D">
        <w:rPr>
          <w:szCs w:val="22"/>
        </w:rPr>
        <w:t>Vantage Point</w:t>
      </w:r>
      <w:r w:rsidR="00A8685C">
        <w:rPr>
          <w:szCs w:val="22"/>
        </w:rPr>
        <w:t>,</w:t>
      </w:r>
      <w:r w:rsidR="00B6798D" w:rsidRPr="00DF0461">
        <w:t xml:space="preserve"> </w:t>
      </w:r>
      <w:r w:rsidR="00A8685C" w:rsidRPr="006B4EF4">
        <w:rPr>
          <w:szCs w:val="22"/>
        </w:rPr>
        <w:t>Santa Rosa</w:t>
      </w:r>
      <w:r w:rsidR="00A8685C">
        <w:rPr>
          <w:szCs w:val="22"/>
        </w:rPr>
        <w:t>, JSI, Brown County and Parker FiberNet</w:t>
      </w:r>
      <w:r w:rsidR="00A8685C" w:rsidRPr="00DF0461">
        <w:t xml:space="preserve"> </w:t>
      </w:r>
      <w:r w:rsidRPr="00DF0461">
        <w:t xml:space="preserve">on </w:t>
      </w:r>
      <w:smartTag w:uri="urn:schemas-microsoft-com:office:smarttags" w:element="date">
        <w:smartTagPr>
          <w:attr w:name="ls" w:val="trans"/>
          <w:attr w:name="Month" w:val="7"/>
          <w:attr w:name="Day" w:val="17"/>
          <w:attr w:name="Year" w:val="2015"/>
        </w:smartTagPr>
        <w:r w:rsidR="00B6798D">
          <w:t>July 17, 2015</w:t>
        </w:r>
      </w:smartTag>
      <w:r w:rsidRPr="00DF0461">
        <w:t xml:space="preserve">, </w:t>
      </w:r>
      <w:r w:rsidR="00A8685C">
        <w:t xml:space="preserve">ARE </w:t>
      </w:r>
      <w:r>
        <w:t>DENIED</w:t>
      </w:r>
      <w:r w:rsidR="00A8685C">
        <w:t xml:space="preserve"> unless otherwise specified</w:t>
      </w:r>
      <w:r>
        <w:t xml:space="preserve">. </w:t>
      </w:r>
    </w:p>
    <w:p w:rsidR="00A32ECB" w:rsidRDefault="00A32ECB" w:rsidP="00071145">
      <w:pPr>
        <w:pStyle w:val="ParaNum"/>
        <w:widowControl/>
        <w:tabs>
          <w:tab w:val="clear" w:pos="1080"/>
          <w:tab w:val="num" w:pos="1440"/>
        </w:tabs>
      </w:pPr>
      <w:r w:rsidRPr="00A32ECB">
        <w:t>Th</w:t>
      </w:r>
      <w:r>
        <w:t>e</w:t>
      </w:r>
      <w:r w:rsidRPr="00A32ECB">
        <w:t xml:space="preserve"> </w:t>
      </w:r>
      <w:r w:rsidRPr="0039385B">
        <w:rPr>
          <w:i/>
        </w:rPr>
        <w:t>Protective Order</w:t>
      </w:r>
      <w:r>
        <w:t>, 29 FCC Rcd 11657,</w:t>
      </w:r>
      <w:r w:rsidRPr="00A32ECB">
        <w:t xml:space="preserve"> is </w:t>
      </w:r>
      <w:r w:rsidR="00CA150F">
        <w:t xml:space="preserve">clarified and </w:t>
      </w:r>
      <w:r>
        <w:t>modified</w:t>
      </w:r>
      <w:r w:rsidRPr="00A32ECB">
        <w:t xml:space="preserve"> pursuant to sections 4(i), </w:t>
      </w:r>
      <w:r w:rsidR="0064718F">
        <w:t xml:space="preserve">4(j), </w:t>
      </w:r>
      <w:r w:rsidR="003F33AD">
        <w:t xml:space="preserve">and </w:t>
      </w:r>
      <w:r w:rsidRPr="00A32ECB">
        <w:t>5</w:t>
      </w:r>
      <w:r w:rsidR="008C62F3">
        <w:t>(c)</w:t>
      </w:r>
      <w:r w:rsidRPr="00A32ECB">
        <w:t>, 201-205, 211, 215, 218, 219, 303(r), 332</w:t>
      </w:r>
      <w:r w:rsidR="003928A4">
        <w:t xml:space="preserve"> and 403</w:t>
      </w:r>
      <w:r w:rsidRPr="00A32ECB">
        <w:t xml:space="preserve"> of the Communications Act of 1934, as amended, 47 U.S.C. §§ 154(i), </w:t>
      </w:r>
      <w:r w:rsidR="0064718F">
        <w:t xml:space="preserve">154(j), </w:t>
      </w:r>
      <w:r w:rsidRPr="00A32ECB">
        <w:t>155</w:t>
      </w:r>
      <w:r w:rsidR="003F33AD">
        <w:t>(c)</w:t>
      </w:r>
      <w:r w:rsidR="003F7205">
        <w:t xml:space="preserve">, </w:t>
      </w:r>
      <w:r w:rsidRPr="00A32ECB">
        <w:t>201-205, 211, 215, 218, 219, 303(r), 332</w:t>
      </w:r>
      <w:r w:rsidR="003928A4">
        <w:t xml:space="preserve"> and 403</w:t>
      </w:r>
      <w:r w:rsidRPr="00A32ECB">
        <w:t xml:space="preserve">, Section 4 of the Freedom of Information Act, 5 U.S.C. § 552(b)(4), and authority delegated under section 0.291 of the Commission’s rules, 47 C.F.R. § 0.291, and the authority delegated by the Commission in the </w:t>
      </w:r>
      <w:r w:rsidRPr="0039385B">
        <w:rPr>
          <w:i/>
        </w:rPr>
        <w:t>Data Collection Order</w:t>
      </w:r>
      <w:r w:rsidRPr="00A32ECB">
        <w:t>, 27 FCC Rcd 16318, 16340, para. 52 (2012)</w:t>
      </w:r>
      <w:r w:rsidR="00953F38">
        <w:t>.</w:t>
      </w:r>
    </w:p>
    <w:p w:rsidR="003E6B0B" w:rsidRDefault="00F07740" w:rsidP="00296C40">
      <w:pPr>
        <w:pStyle w:val="ParaNum"/>
        <w:widowControl/>
        <w:tabs>
          <w:tab w:val="clear" w:pos="1080"/>
          <w:tab w:val="num" w:pos="1440"/>
        </w:tabs>
        <w:spacing w:after="240"/>
      </w:pPr>
      <w:r>
        <w:t xml:space="preserve">IT IS FURTHER ORDERED that, pursuant to section 1.102(b)(1) of the Commission’s rules, </w:t>
      </w:r>
      <w:smartTag w:uri="urn:schemas-microsoft-com:office:smarttags" w:element="metricconverter">
        <w:smartTagPr>
          <w:attr w:name="ProductID" w:val="47 C"/>
        </w:smartTagPr>
        <w:r>
          <w:t>47 C</w:t>
        </w:r>
      </w:smartTag>
      <w:r>
        <w:t>.F.R. § 1.102(b)(1), this Order SHALL BE EFFECTIVE upon release.</w:t>
      </w:r>
      <w:r w:rsidR="003E6B0B">
        <w:t xml:space="preserve"> </w:t>
      </w:r>
    </w:p>
    <w:p w:rsidR="003E6B0B" w:rsidRDefault="003E6B0B" w:rsidP="00C237D6">
      <w:pPr>
        <w:pStyle w:val="ParaNum"/>
        <w:widowControl/>
        <w:numPr>
          <w:ilvl w:val="0"/>
          <w:numId w:val="0"/>
        </w:numPr>
        <w:spacing w:after="0"/>
        <w:ind w:left="4320"/>
        <w:rPr>
          <w:szCs w:val="22"/>
        </w:rPr>
      </w:pPr>
      <w:r>
        <w:rPr>
          <w:szCs w:val="22"/>
        </w:rPr>
        <w:t>FEDERAL COMMUNICATIONS COMMISSION</w:t>
      </w:r>
    </w:p>
    <w:p w:rsidR="003E6B0B" w:rsidRDefault="003E6B0B" w:rsidP="003E6B0B">
      <w:pPr>
        <w:pStyle w:val="ParaNum"/>
        <w:numPr>
          <w:ilvl w:val="0"/>
          <w:numId w:val="0"/>
        </w:numPr>
        <w:spacing w:after="0"/>
        <w:rPr>
          <w:szCs w:val="22"/>
        </w:rPr>
      </w:pPr>
    </w:p>
    <w:p w:rsidR="003E6B0B" w:rsidRDefault="003E6B0B" w:rsidP="003E6B0B">
      <w:pPr>
        <w:pStyle w:val="ParaNum"/>
        <w:numPr>
          <w:ilvl w:val="0"/>
          <w:numId w:val="0"/>
        </w:numPr>
        <w:spacing w:after="0"/>
        <w:rPr>
          <w:szCs w:val="22"/>
        </w:rPr>
      </w:pPr>
    </w:p>
    <w:p w:rsidR="003E6B0B" w:rsidRDefault="003E6B0B" w:rsidP="003E6B0B">
      <w:pPr>
        <w:pStyle w:val="ParaNum"/>
        <w:numPr>
          <w:ilvl w:val="0"/>
          <w:numId w:val="0"/>
        </w:numPr>
        <w:spacing w:after="0"/>
        <w:rPr>
          <w:szCs w:val="22"/>
        </w:rPr>
      </w:pPr>
    </w:p>
    <w:p w:rsidR="003E6B0B" w:rsidRDefault="003E6B0B" w:rsidP="003E6B0B">
      <w:pPr>
        <w:pStyle w:val="ParaNum"/>
        <w:numPr>
          <w:ilvl w:val="0"/>
          <w:numId w:val="0"/>
        </w:numPr>
        <w:spacing w:after="0"/>
        <w:rPr>
          <w:szCs w:val="22"/>
        </w:rPr>
      </w:pPr>
    </w:p>
    <w:p w:rsidR="003E6B0B" w:rsidRDefault="003E6B0B" w:rsidP="000A4C87">
      <w:pPr>
        <w:pStyle w:val="ParaNum"/>
        <w:numPr>
          <w:ilvl w:val="0"/>
          <w:numId w:val="0"/>
        </w:numPr>
        <w:spacing w:after="0"/>
        <w:ind w:left="3600" w:firstLine="720"/>
        <w:rPr>
          <w:szCs w:val="22"/>
        </w:rPr>
      </w:pPr>
      <w:r>
        <w:rPr>
          <w:szCs w:val="22"/>
        </w:rPr>
        <w:t>Deena M. Shetler</w:t>
      </w:r>
    </w:p>
    <w:p w:rsidR="003E6B0B" w:rsidRDefault="003E6B0B" w:rsidP="003E6B0B">
      <w:pPr>
        <w:pStyle w:val="ParaNum"/>
        <w:numPr>
          <w:ilvl w:val="0"/>
          <w:numId w:val="0"/>
        </w:numPr>
        <w:spacing w:after="0"/>
        <w:ind w:left="4320"/>
        <w:rPr>
          <w:szCs w:val="22"/>
        </w:rPr>
      </w:pPr>
      <w:r>
        <w:rPr>
          <w:szCs w:val="22"/>
        </w:rPr>
        <w:t>Associate Chief</w:t>
      </w:r>
    </w:p>
    <w:p w:rsidR="00D21A9A" w:rsidRPr="00D97EF2" w:rsidRDefault="003E6B0B" w:rsidP="00465AE6">
      <w:pPr>
        <w:ind w:left="4320"/>
        <w:sectPr w:rsidR="00D21A9A" w:rsidRPr="00D97EF2" w:rsidSect="00AB4EB3">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2240" w:h="15840" w:code="1"/>
          <w:pgMar w:top="1440" w:right="1440" w:bottom="720" w:left="1440" w:header="720" w:footer="720" w:gutter="0"/>
          <w:pgNumType w:start="1"/>
          <w:cols w:space="720"/>
          <w:noEndnote/>
          <w:titlePg/>
        </w:sectPr>
      </w:pPr>
      <w:r>
        <w:rPr>
          <w:szCs w:val="22"/>
        </w:rPr>
        <w:t>Wireline Competition Bureau</w:t>
      </w:r>
    </w:p>
    <w:p w:rsidR="002D7402" w:rsidRPr="002D7402" w:rsidRDefault="002D7402" w:rsidP="002D7402">
      <w:pPr>
        <w:spacing w:before="120" w:after="240"/>
        <w:jc w:val="center"/>
        <w:rPr>
          <w:b/>
          <w:szCs w:val="22"/>
        </w:rPr>
      </w:pPr>
      <w:r w:rsidRPr="002D7402">
        <w:rPr>
          <w:b/>
          <w:szCs w:val="22"/>
        </w:rPr>
        <w:t>A</w:t>
      </w:r>
      <w:r w:rsidR="00296C40">
        <w:rPr>
          <w:b/>
          <w:szCs w:val="22"/>
        </w:rPr>
        <w:t>PPENDIX</w:t>
      </w:r>
      <w:r w:rsidR="00D64732">
        <w:rPr>
          <w:b/>
          <w:szCs w:val="22"/>
        </w:rPr>
        <w:t xml:space="preserve"> 1</w:t>
      </w:r>
    </w:p>
    <w:p w:rsidR="00E03A4D" w:rsidRDefault="00E03A4D" w:rsidP="005A0984">
      <w:pPr>
        <w:pStyle w:val="NoSpacing"/>
        <w:jc w:val="center"/>
        <w:rPr>
          <w:rFonts w:ascii="Times New Roman" w:hAnsi="Times New Roman" w:cs="Times New Roman"/>
          <w:b/>
          <w:snapToGrid w:val="0"/>
        </w:rPr>
      </w:pPr>
      <w:r>
        <w:rPr>
          <w:rFonts w:ascii="Times New Roman" w:hAnsi="Times New Roman" w:cs="Times New Roman"/>
          <w:b/>
          <w:snapToGrid w:val="0"/>
        </w:rPr>
        <w:t xml:space="preserve">Potential Reviewing Parties in which </w:t>
      </w:r>
      <w:r w:rsidRPr="00E03A4D">
        <w:rPr>
          <w:rFonts w:ascii="Times New Roman" w:hAnsi="Times New Roman" w:cs="Times New Roman"/>
          <w:b/>
          <w:snapToGrid w:val="0"/>
        </w:rPr>
        <w:t>TransWorld, Service Electric and Vantage Point</w:t>
      </w:r>
      <w:r>
        <w:rPr>
          <w:rFonts w:ascii="Times New Roman" w:hAnsi="Times New Roman" w:cs="Times New Roman"/>
          <w:b/>
          <w:snapToGrid w:val="0"/>
        </w:rPr>
        <w:t xml:space="preserve"> </w:t>
      </w:r>
    </w:p>
    <w:p w:rsidR="002D7402" w:rsidRPr="00D30EC1" w:rsidRDefault="00E03A4D" w:rsidP="005A0984">
      <w:pPr>
        <w:pStyle w:val="NoSpacing"/>
        <w:jc w:val="center"/>
        <w:rPr>
          <w:rFonts w:ascii="Times New Roman" w:hAnsi="Times New Roman" w:cs="Times New Roman"/>
          <w:b/>
          <w:i/>
          <w:snapToGrid w:val="0"/>
        </w:rPr>
      </w:pPr>
      <w:r>
        <w:rPr>
          <w:rFonts w:ascii="Times New Roman" w:hAnsi="Times New Roman" w:cs="Times New Roman"/>
          <w:b/>
          <w:snapToGrid w:val="0"/>
        </w:rPr>
        <w:t xml:space="preserve">Have </w:t>
      </w:r>
      <w:r w:rsidR="00F763FD">
        <w:rPr>
          <w:rFonts w:ascii="Times New Roman" w:hAnsi="Times New Roman" w:cs="Times New Roman"/>
          <w:b/>
          <w:snapToGrid w:val="0"/>
        </w:rPr>
        <w:t xml:space="preserve">an </w:t>
      </w:r>
      <w:r>
        <w:rPr>
          <w:rFonts w:ascii="Times New Roman" w:hAnsi="Times New Roman" w:cs="Times New Roman"/>
          <w:b/>
          <w:snapToGrid w:val="0"/>
        </w:rPr>
        <w:t xml:space="preserve">Additional Five Business Days to file Objections </w:t>
      </w:r>
    </w:p>
    <w:p w:rsidR="002D7402" w:rsidRDefault="002D7402" w:rsidP="002D7402">
      <w:pPr>
        <w:pStyle w:val="ListParagraph"/>
        <w:ind w:left="0"/>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5012"/>
        <w:gridCol w:w="520"/>
        <w:gridCol w:w="487"/>
      </w:tblGrid>
      <w:tr w:rsidR="002D7402" w:rsidTr="00D30EC1">
        <w:trPr>
          <w:trHeight w:val="1970"/>
          <w:tblHeader/>
        </w:trPr>
        <w:tc>
          <w:tcPr>
            <w:tcW w:w="3223" w:type="dxa"/>
            <w:tcBorders>
              <w:top w:val="double" w:sz="6" w:space="0" w:color="auto"/>
              <w:bottom w:val="double" w:sz="6" w:space="0" w:color="auto"/>
            </w:tcBorders>
            <w:shd w:val="pct12" w:color="auto" w:fill="auto"/>
            <w:vAlign w:val="center"/>
          </w:tcPr>
          <w:p w:rsidR="00E15578" w:rsidRDefault="00E15578" w:rsidP="00E15578">
            <w:pPr>
              <w:pStyle w:val="ListParagraph"/>
              <w:ind w:left="0"/>
              <w:rPr>
                <w:b/>
              </w:rPr>
            </w:pPr>
            <w:r w:rsidRPr="00196760">
              <w:rPr>
                <w:b/>
              </w:rPr>
              <w:t xml:space="preserve">Party Filing </w:t>
            </w:r>
          </w:p>
          <w:p w:rsidR="00E15578" w:rsidRDefault="00E15578" w:rsidP="00E15578">
            <w:pPr>
              <w:pStyle w:val="ListParagraph"/>
              <w:ind w:left="0"/>
              <w:rPr>
                <w:b/>
              </w:rPr>
            </w:pPr>
            <w:r w:rsidRPr="00196760">
              <w:rPr>
                <w:b/>
              </w:rPr>
              <w:t>Acknowledgement</w:t>
            </w:r>
          </w:p>
          <w:p w:rsidR="00E15578" w:rsidRPr="00196760" w:rsidRDefault="00E15578" w:rsidP="00E15578">
            <w:pPr>
              <w:pStyle w:val="ListParagraph"/>
              <w:ind w:left="0"/>
              <w:rPr>
                <w:b/>
              </w:rPr>
            </w:pPr>
            <w:r>
              <w:rPr>
                <w:b/>
              </w:rPr>
              <w:t>(Client(s) Represented)</w:t>
            </w:r>
          </w:p>
          <w:p w:rsidR="002D7402" w:rsidRPr="00196760" w:rsidRDefault="00E15578" w:rsidP="00E15578">
            <w:pPr>
              <w:pStyle w:val="ListParagraph"/>
              <w:ind w:left="0"/>
              <w:rPr>
                <w:b/>
              </w:rPr>
            </w:pPr>
            <w:r w:rsidRPr="00196760">
              <w:rPr>
                <w:b/>
              </w:rPr>
              <w:t>Date</w:t>
            </w:r>
            <w:r>
              <w:rPr>
                <w:b/>
              </w:rPr>
              <w:t>(s)</w:t>
            </w:r>
            <w:r w:rsidRPr="00196760">
              <w:rPr>
                <w:b/>
              </w:rPr>
              <w:t xml:space="preserve"> Filed</w:t>
            </w:r>
          </w:p>
        </w:tc>
        <w:tc>
          <w:tcPr>
            <w:tcW w:w="5012" w:type="dxa"/>
            <w:tcBorders>
              <w:top w:val="double" w:sz="6" w:space="0" w:color="auto"/>
              <w:bottom w:val="double" w:sz="6" w:space="0" w:color="auto"/>
            </w:tcBorders>
            <w:shd w:val="pct12" w:color="auto" w:fill="auto"/>
            <w:vAlign w:val="center"/>
          </w:tcPr>
          <w:p w:rsidR="002D7402" w:rsidRPr="00196760" w:rsidRDefault="002D7402" w:rsidP="001D32F2">
            <w:pPr>
              <w:pStyle w:val="ListParagraph"/>
              <w:ind w:left="0"/>
              <w:rPr>
                <w:b/>
              </w:rPr>
            </w:pPr>
            <w:r w:rsidRPr="00196760">
              <w:rPr>
                <w:b/>
              </w:rPr>
              <w:t>Name</w:t>
            </w:r>
            <w:r w:rsidR="00DC4123">
              <w:rPr>
                <w:b/>
              </w:rPr>
              <w:t>,</w:t>
            </w:r>
            <w:r w:rsidRPr="00196760">
              <w:rPr>
                <w:b/>
              </w:rPr>
              <w:t xml:space="preserve"> </w:t>
            </w:r>
          </w:p>
          <w:p w:rsidR="002D7402" w:rsidRPr="00196760" w:rsidRDefault="002D7402" w:rsidP="001D32F2">
            <w:pPr>
              <w:pStyle w:val="ListParagraph"/>
              <w:ind w:left="0"/>
              <w:rPr>
                <w:b/>
              </w:rPr>
            </w:pPr>
            <w:r w:rsidRPr="00196760">
              <w:rPr>
                <w:b/>
              </w:rPr>
              <w:t>Position, Firm</w:t>
            </w:r>
          </w:p>
        </w:tc>
        <w:tc>
          <w:tcPr>
            <w:tcW w:w="520" w:type="dxa"/>
            <w:tcBorders>
              <w:top w:val="double" w:sz="6" w:space="0" w:color="auto"/>
              <w:bottom w:val="double" w:sz="6" w:space="0" w:color="auto"/>
            </w:tcBorders>
            <w:shd w:val="pct12" w:color="auto" w:fill="auto"/>
            <w:textDirection w:val="btLr"/>
            <w:vAlign w:val="center"/>
          </w:tcPr>
          <w:p w:rsidR="002D7402" w:rsidRPr="00196760" w:rsidRDefault="002D7402" w:rsidP="001D32F2">
            <w:pPr>
              <w:pStyle w:val="ListParagraph"/>
              <w:ind w:left="0"/>
              <w:rPr>
                <w:b/>
              </w:rPr>
            </w:pPr>
            <w:r w:rsidRPr="00196760">
              <w:rPr>
                <w:b/>
                <w:bCs/>
                <w:color w:val="000000"/>
                <w:szCs w:val="22"/>
              </w:rPr>
              <w:t>Highly Confidential</w:t>
            </w:r>
          </w:p>
        </w:tc>
        <w:tc>
          <w:tcPr>
            <w:tcW w:w="487" w:type="dxa"/>
            <w:tcBorders>
              <w:top w:val="double" w:sz="6" w:space="0" w:color="auto"/>
              <w:bottom w:val="double" w:sz="6" w:space="0" w:color="auto"/>
            </w:tcBorders>
            <w:shd w:val="pct12" w:color="auto" w:fill="auto"/>
            <w:textDirection w:val="btLr"/>
            <w:vAlign w:val="center"/>
          </w:tcPr>
          <w:p w:rsidR="002D7402" w:rsidRPr="00196760" w:rsidRDefault="002D7402" w:rsidP="001D32F2">
            <w:pPr>
              <w:pStyle w:val="ListParagraph"/>
              <w:ind w:left="0"/>
              <w:rPr>
                <w:b/>
              </w:rPr>
            </w:pPr>
            <w:r w:rsidRPr="00196760">
              <w:rPr>
                <w:b/>
                <w:bCs/>
                <w:color w:val="000000"/>
                <w:szCs w:val="22"/>
              </w:rPr>
              <w:t>Confidential</w:t>
            </w:r>
          </w:p>
        </w:tc>
      </w:tr>
      <w:tr w:rsidR="002D7402" w:rsidTr="00D30EC1">
        <w:tc>
          <w:tcPr>
            <w:tcW w:w="3223" w:type="dxa"/>
            <w:vMerge w:val="restart"/>
            <w:tcBorders>
              <w:top w:val="double" w:sz="6" w:space="0" w:color="auto"/>
            </w:tcBorders>
            <w:shd w:val="clear" w:color="auto" w:fill="auto"/>
            <w:vAlign w:val="center"/>
          </w:tcPr>
          <w:p w:rsidR="002D7402" w:rsidRPr="00C85D70" w:rsidRDefault="002D7402" w:rsidP="001D32F2">
            <w:pPr>
              <w:pStyle w:val="ListParagraph"/>
              <w:ind w:left="0" w:right="-470"/>
            </w:pPr>
            <w:r w:rsidRPr="00C85D70">
              <w:t xml:space="preserve">Harris Wiltshire </w:t>
            </w:r>
          </w:p>
          <w:p w:rsidR="00A35A40" w:rsidRDefault="002D7402" w:rsidP="001D32F2">
            <w:pPr>
              <w:pStyle w:val="ListParagraph"/>
              <w:ind w:left="0"/>
            </w:pPr>
            <w:r w:rsidRPr="00AB0529">
              <w:t xml:space="preserve">&amp; Grannis LLP </w:t>
            </w:r>
          </w:p>
          <w:p w:rsidR="002D7402" w:rsidRPr="00AB0529" w:rsidRDefault="002D7402" w:rsidP="001D32F2">
            <w:pPr>
              <w:pStyle w:val="ListParagraph"/>
              <w:ind w:left="0"/>
            </w:pPr>
            <w:r w:rsidRPr="00AB0529">
              <w:t>(Sprint Corporation)</w:t>
            </w:r>
          </w:p>
          <w:p w:rsidR="002D7402" w:rsidRPr="00EF286E" w:rsidRDefault="002D7402" w:rsidP="005A0984">
            <w:pPr>
              <w:pStyle w:val="ListParagraph"/>
              <w:ind w:left="0"/>
            </w:pPr>
            <w:r w:rsidRPr="00AB0529">
              <w:t xml:space="preserve">6/25/2015, </w:t>
            </w:r>
            <w:r w:rsidR="00E15578">
              <w:t>7/</w:t>
            </w:r>
            <w:r w:rsidRPr="00AB0529">
              <w:t>22</w:t>
            </w:r>
            <w:r w:rsidR="00E15578">
              <w:t>/</w:t>
            </w:r>
            <w:r w:rsidRPr="00AB0529">
              <w:t>2015</w:t>
            </w:r>
          </w:p>
        </w:tc>
        <w:tc>
          <w:tcPr>
            <w:tcW w:w="5012" w:type="dxa"/>
            <w:tcBorders>
              <w:top w:val="double" w:sz="6" w:space="0" w:color="auto"/>
            </w:tcBorders>
            <w:shd w:val="clear" w:color="auto" w:fill="auto"/>
          </w:tcPr>
          <w:p w:rsidR="002D7402" w:rsidRPr="00EF286E" w:rsidRDefault="002D7402" w:rsidP="001D32F2">
            <w:pPr>
              <w:pStyle w:val="ListParagraph"/>
              <w:ind w:left="0"/>
            </w:pPr>
            <w:r w:rsidRPr="00EF286E">
              <w:t xml:space="preserve">Besen, Stanley M. </w:t>
            </w:r>
          </w:p>
          <w:p w:rsidR="002D7402" w:rsidRPr="00CB0773" w:rsidRDefault="002D7402" w:rsidP="001D32F2">
            <w:pPr>
              <w:pStyle w:val="ListParagraph"/>
              <w:ind w:left="0"/>
            </w:pPr>
            <w:r w:rsidRPr="00CB0773">
              <w:t>Senior Consultant, Charles River Associates</w:t>
            </w:r>
          </w:p>
        </w:tc>
        <w:tc>
          <w:tcPr>
            <w:tcW w:w="520" w:type="dxa"/>
            <w:tcBorders>
              <w:top w:val="double" w:sz="6" w:space="0" w:color="auto"/>
            </w:tcBorders>
            <w:shd w:val="clear" w:color="auto" w:fill="auto"/>
            <w:vAlign w:val="center"/>
          </w:tcPr>
          <w:p w:rsidR="002D7402" w:rsidRPr="005F4F43" w:rsidRDefault="002D7402" w:rsidP="001D32F2">
            <w:pPr>
              <w:pStyle w:val="ListParagraph"/>
              <w:ind w:left="0"/>
              <w:jc w:val="center"/>
            </w:pPr>
            <w:r w:rsidRPr="005F4F43">
              <w:t>X</w:t>
            </w:r>
          </w:p>
        </w:tc>
        <w:tc>
          <w:tcPr>
            <w:tcW w:w="487" w:type="dxa"/>
            <w:tcBorders>
              <w:top w:val="double" w:sz="6" w:space="0" w:color="auto"/>
            </w:tcBorders>
            <w:shd w:val="clear" w:color="auto" w:fill="auto"/>
            <w:vAlign w:val="center"/>
          </w:tcPr>
          <w:p w:rsidR="002D7402" w:rsidRPr="00AB0529" w:rsidRDefault="002D7402" w:rsidP="001D32F2">
            <w:pPr>
              <w:pStyle w:val="ListParagraph"/>
              <w:ind w:left="0"/>
              <w:jc w:val="center"/>
            </w:pPr>
            <w:r w:rsidRPr="00AB0529">
              <w:t>X</w:t>
            </w:r>
          </w:p>
        </w:tc>
      </w:tr>
      <w:tr w:rsidR="002D7402" w:rsidTr="00D30EC1">
        <w:tc>
          <w:tcPr>
            <w:tcW w:w="3223" w:type="dxa"/>
            <w:vMerge/>
            <w:shd w:val="clear" w:color="auto" w:fill="auto"/>
            <w:vAlign w:val="center"/>
          </w:tcPr>
          <w:p w:rsidR="002D7402" w:rsidRPr="00AB0529" w:rsidRDefault="002D7402" w:rsidP="001D32F2">
            <w:pPr>
              <w:pStyle w:val="ListParagraph"/>
              <w:ind w:left="0"/>
            </w:pPr>
          </w:p>
        </w:tc>
        <w:tc>
          <w:tcPr>
            <w:tcW w:w="5012" w:type="dxa"/>
            <w:shd w:val="clear" w:color="auto" w:fill="auto"/>
          </w:tcPr>
          <w:p w:rsidR="002D7402" w:rsidRPr="00AB0529" w:rsidRDefault="002D7402" w:rsidP="001D32F2">
            <w:pPr>
              <w:pStyle w:val="ListParagraph"/>
              <w:ind w:left="0"/>
            </w:pPr>
            <w:r w:rsidRPr="00AB0529">
              <w:t xml:space="preserve">Bosley, Sarah M. </w:t>
            </w:r>
          </w:p>
          <w:p w:rsidR="002D7402" w:rsidRPr="00AB0529" w:rsidRDefault="002D7402" w:rsidP="001D32F2">
            <w:pPr>
              <w:pStyle w:val="ListParagraph"/>
              <w:ind w:left="0"/>
            </w:pPr>
            <w:r w:rsidRPr="00AB0529">
              <w:t>Consultant, Self-employed</w:t>
            </w:r>
          </w:p>
        </w:tc>
        <w:tc>
          <w:tcPr>
            <w:tcW w:w="520" w:type="dxa"/>
            <w:shd w:val="clear" w:color="auto" w:fill="auto"/>
            <w:vAlign w:val="center"/>
          </w:tcPr>
          <w:p w:rsidR="002D7402" w:rsidRPr="00AB0529" w:rsidRDefault="002D7402" w:rsidP="001D32F2">
            <w:pPr>
              <w:pStyle w:val="ListParagraph"/>
              <w:ind w:left="0"/>
              <w:jc w:val="center"/>
            </w:pPr>
            <w:r w:rsidRPr="00AB0529">
              <w:t>X</w:t>
            </w:r>
          </w:p>
        </w:tc>
        <w:tc>
          <w:tcPr>
            <w:tcW w:w="487" w:type="dxa"/>
            <w:shd w:val="clear" w:color="auto" w:fill="auto"/>
            <w:vAlign w:val="center"/>
          </w:tcPr>
          <w:p w:rsidR="002D7402" w:rsidRPr="00AB0529" w:rsidRDefault="002D7402" w:rsidP="001D32F2">
            <w:pPr>
              <w:pStyle w:val="ListParagraph"/>
              <w:ind w:left="0"/>
              <w:jc w:val="center"/>
            </w:pPr>
            <w:r w:rsidRPr="00AB0529">
              <w:t>X</w:t>
            </w:r>
          </w:p>
        </w:tc>
      </w:tr>
      <w:tr w:rsidR="002D7402" w:rsidTr="00D30EC1">
        <w:tc>
          <w:tcPr>
            <w:tcW w:w="3223" w:type="dxa"/>
            <w:vMerge/>
            <w:shd w:val="clear" w:color="auto" w:fill="auto"/>
            <w:vAlign w:val="center"/>
          </w:tcPr>
          <w:p w:rsidR="002D7402" w:rsidRPr="00AB0529" w:rsidRDefault="002D7402" w:rsidP="001D32F2">
            <w:pPr>
              <w:pStyle w:val="ListParagraph"/>
              <w:ind w:left="0"/>
            </w:pPr>
          </w:p>
        </w:tc>
        <w:tc>
          <w:tcPr>
            <w:tcW w:w="5012" w:type="dxa"/>
            <w:shd w:val="clear" w:color="auto" w:fill="auto"/>
          </w:tcPr>
          <w:p w:rsidR="002D7402" w:rsidRPr="00AB0529" w:rsidRDefault="002D7402" w:rsidP="001D32F2">
            <w:pPr>
              <w:pStyle w:val="ListParagraph"/>
              <w:ind w:left="0"/>
            </w:pPr>
            <w:r w:rsidRPr="00AB0529">
              <w:t xml:space="preserve">Gately, Susan M. </w:t>
            </w:r>
          </w:p>
          <w:p w:rsidR="002D7402" w:rsidRPr="00AB0529" w:rsidRDefault="002D7402" w:rsidP="001D32F2">
            <w:pPr>
              <w:pStyle w:val="ListParagraph"/>
              <w:ind w:left="0"/>
            </w:pPr>
            <w:r w:rsidRPr="00AB0529">
              <w:t>Owner, SM Gately Consulting LLC</w:t>
            </w:r>
          </w:p>
        </w:tc>
        <w:tc>
          <w:tcPr>
            <w:tcW w:w="520" w:type="dxa"/>
            <w:shd w:val="clear" w:color="auto" w:fill="auto"/>
            <w:vAlign w:val="center"/>
          </w:tcPr>
          <w:p w:rsidR="002D7402" w:rsidRPr="00AB0529" w:rsidRDefault="002D7402" w:rsidP="001D32F2">
            <w:pPr>
              <w:pStyle w:val="ListParagraph"/>
              <w:ind w:left="0"/>
              <w:jc w:val="center"/>
            </w:pPr>
            <w:r w:rsidRPr="00AB0529">
              <w:t>X</w:t>
            </w:r>
          </w:p>
        </w:tc>
        <w:tc>
          <w:tcPr>
            <w:tcW w:w="487" w:type="dxa"/>
            <w:shd w:val="clear" w:color="auto" w:fill="auto"/>
            <w:vAlign w:val="center"/>
          </w:tcPr>
          <w:p w:rsidR="002D7402" w:rsidRPr="00AB0529" w:rsidRDefault="002D7402" w:rsidP="001D32F2">
            <w:pPr>
              <w:pStyle w:val="ListParagraph"/>
              <w:ind w:left="0"/>
              <w:jc w:val="center"/>
            </w:pPr>
            <w:r w:rsidRPr="00AB0529">
              <w:t>X</w:t>
            </w:r>
          </w:p>
        </w:tc>
      </w:tr>
      <w:tr w:rsidR="002D7402" w:rsidTr="00D30EC1">
        <w:tc>
          <w:tcPr>
            <w:tcW w:w="3223" w:type="dxa"/>
            <w:vMerge/>
            <w:shd w:val="clear" w:color="auto" w:fill="auto"/>
            <w:vAlign w:val="center"/>
          </w:tcPr>
          <w:p w:rsidR="002D7402" w:rsidRPr="00AB0529" w:rsidRDefault="002D7402" w:rsidP="001D32F2">
            <w:pPr>
              <w:pStyle w:val="ListParagraph"/>
              <w:ind w:left="0"/>
            </w:pPr>
          </w:p>
        </w:tc>
        <w:tc>
          <w:tcPr>
            <w:tcW w:w="5012" w:type="dxa"/>
            <w:shd w:val="clear" w:color="auto" w:fill="auto"/>
          </w:tcPr>
          <w:p w:rsidR="002D7402" w:rsidRPr="00AB0529" w:rsidRDefault="002D7402" w:rsidP="001D32F2">
            <w:pPr>
              <w:pStyle w:val="ListParagraph"/>
              <w:ind w:left="0"/>
            </w:pPr>
            <w:r w:rsidRPr="00AB0529">
              <w:t xml:space="preserve">Golding, Helen E. </w:t>
            </w:r>
          </w:p>
          <w:p w:rsidR="002D7402" w:rsidRPr="00D5568D" w:rsidRDefault="002D7402" w:rsidP="001D32F2">
            <w:pPr>
              <w:pStyle w:val="ListParagraph"/>
              <w:ind w:left="0"/>
            </w:pPr>
            <w:r w:rsidRPr="00D5568D">
              <w:t>Consultant, Self-employed</w:t>
            </w:r>
          </w:p>
        </w:tc>
        <w:tc>
          <w:tcPr>
            <w:tcW w:w="520" w:type="dxa"/>
            <w:shd w:val="clear" w:color="auto" w:fill="auto"/>
            <w:vAlign w:val="center"/>
          </w:tcPr>
          <w:p w:rsidR="002D7402" w:rsidRPr="00BF1D04" w:rsidRDefault="002D7402" w:rsidP="001D32F2">
            <w:pPr>
              <w:pStyle w:val="ListParagraph"/>
              <w:ind w:left="0"/>
              <w:jc w:val="center"/>
            </w:pPr>
            <w:r w:rsidRPr="00BF1D04">
              <w:t>X</w:t>
            </w:r>
          </w:p>
        </w:tc>
        <w:tc>
          <w:tcPr>
            <w:tcW w:w="487" w:type="dxa"/>
            <w:shd w:val="clear" w:color="auto" w:fill="auto"/>
            <w:vAlign w:val="center"/>
          </w:tcPr>
          <w:p w:rsidR="002D7402" w:rsidRPr="00E54E88" w:rsidRDefault="002D7402" w:rsidP="001D32F2">
            <w:pPr>
              <w:pStyle w:val="ListParagraph"/>
              <w:ind w:left="0"/>
              <w:jc w:val="center"/>
            </w:pPr>
            <w:r w:rsidRPr="00E54E88">
              <w:t>X</w:t>
            </w:r>
          </w:p>
        </w:tc>
      </w:tr>
      <w:tr w:rsidR="002D7402" w:rsidTr="00D30EC1">
        <w:tc>
          <w:tcPr>
            <w:tcW w:w="3223" w:type="dxa"/>
            <w:vMerge/>
            <w:shd w:val="clear" w:color="auto" w:fill="auto"/>
            <w:vAlign w:val="center"/>
          </w:tcPr>
          <w:p w:rsidR="002D7402" w:rsidRPr="00AB0529" w:rsidRDefault="002D7402" w:rsidP="001D32F2">
            <w:pPr>
              <w:pStyle w:val="ListParagraph"/>
              <w:ind w:left="0"/>
            </w:pPr>
          </w:p>
        </w:tc>
        <w:tc>
          <w:tcPr>
            <w:tcW w:w="5012" w:type="dxa"/>
            <w:tcBorders>
              <w:bottom w:val="double" w:sz="6" w:space="0" w:color="auto"/>
            </w:tcBorders>
            <w:shd w:val="clear" w:color="auto" w:fill="auto"/>
          </w:tcPr>
          <w:p w:rsidR="002D7402" w:rsidRPr="008474D5" w:rsidRDefault="002D7402" w:rsidP="001D32F2">
            <w:pPr>
              <w:pStyle w:val="ListParagraph"/>
              <w:ind w:left="0"/>
            </w:pPr>
            <w:r w:rsidRPr="008474D5">
              <w:t xml:space="preserve">Mitchell, Bridger </w:t>
            </w:r>
          </w:p>
          <w:p w:rsidR="002D7402" w:rsidRPr="00AF6FA6" w:rsidRDefault="002D7402" w:rsidP="001D32F2">
            <w:pPr>
              <w:pStyle w:val="ListParagraph"/>
              <w:ind w:left="0"/>
            </w:pPr>
            <w:r w:rsidRPr="00AF6FA6">
              <w:t>Economist, Charles River Associates</w:t>
            </w:r>
          </w:p>
        </w:tc>
        <w:tc>
          <w:tcPr>
            <w:tcW w:w="520" w:type="dxa"/>
            <w:tcBorders>
              <w:bottom w:val="double" w:sz="6" w:space="0" w:color="auto"/>
            </w:tcBorders>
            <w:shd w:val="clear" w:color="auto" w:fill="auto"/>
            <w:vAlign w:val="center"/>
          </w:tcPr>
          <w:p w:rsidR="002D7402" w:rsidRPr="00C52110" w:rsidRDefault="002D7402" w:rsidP="001D32F2">
            <w:pPr>
              <w:pStyle w:val="ListParagraph"/>
              <w:ind w:left="0"/>
              <w:jc w:val="center"/>
            </w:pPr>
            <w:r w:rsidRPr="00C52110">
              <w:t>X</w:t>
            </w:r>
          </w:p>
        </w:tc>
        <w:tc>
          <w:tcPr>
            <w:tcW w:w="487" w:type="dxa"/>
            <w:tcBorders>
              <w:bottom w:val="double" w:sz="6" w:space="0" w:color="auto"/>
            </w:tcBorders>
            <w:shd w:val="clear" w:color="auto" w:fill="auto"/>
            <w:vAlign w:val="center"/>
          </w:tcPr>
          <w:p w:rsidR="002D7402" w:rsidRPr="005E724E" w:rsidRDefault="002D7402" w:rsidP="001D32F2">
            <w:pPr>
              <w:pStyle w:val="ListParagraph"/>
              <w:ind w:left="0"/>
              <w:jc w:val="center"/>
            </w:pPr>
            <w:r w:rsidRPr="005E724E">
              <w:t>X</w:t>
            </w:r>
          </w:p>
        </w:tc>
      </w:tr>
      <w:tr w:rsidR="002D7402" w:rsidTr="00D30EC1">
        <w:tc>
          <w:tcPr>
            <w:tcW w:w="3223" w:type="dxa"/>
            <w:vMerge w:val="restart"/>
            <w:tcBorders>
              <w:top w:val="double" w:sz="6" w:space="0" w:color="auto"/>
            </w:tcBorders>
            <w:shd w:val="clear" w:color="auto" w:fill="auto"/>
            <w:vAlign w:val="center"/>
          </w:tcPr>
          <w:p w:rsidR="002D7402" w:rsidRPr="00A072A0" w:rsidRDefault="002D7402" w:rsidP="001D32F2">
            <w:pPr>
              <w:pStyle w:val="ListParagraph"/>
              <w:ind w:left="0" w:right="-470"/>
            </w:pPr>
            <w:r w:rsidRPr="00A072A0">
              <w:t xml:space="preserve">Harris Wiltshire </w:t>
            </w:r>
          </w:p>
          <w:p w:rsidR="00A35A40" w:rsidRDefault="002D7402" w:rsidP="001D32F2">
            <w:pPr>
              <w:pStyle w:val="ListParagraph"/>
              <w:ind w:left="0"/>
            </w:pPr>
            <w:r w:rsidRPr="00A072A0">
              <w:t xml:space="preserve">&amp; Grannis LLP </w:t>
            </w:r>
          </w:p>
          <w:p w:rsidR="002D7402" w:rsidRPr="00A072A0" w:rsidRDefault="002D7402" w:rsidP="001D32F2">
            <w:pPr>
              <w:pStyle w:val="ListParagraph"/>
              <w:ind w:left="0"/>
            </w:pPr>
            <w:r w:rsidRPr="00A072A0">
              <w:t>(Sprint Corporation</w:t>
            </w:r>
            <w:r>
              <w:t xml:space="preserve"> and Windstream Services, LLC</w:t>
            </w:r>
            <w:r w:rsidRPr="00A072A0">
              <w:t>)</w:t>
            </w:r>
          </w:p>
          <w:p w:rsidR="002D7402" w:rsidRPr="00196760" w:rsidRDefault="002D7402" w:rsidP="001D32F2">
            <w:pPr>
              <w:pStyle w:val="ListParagraph"/>
              <w:ind w:left="0"/>
              <w:rPr>
                <w:color w:val="000000"/>
                <w:szCs w:val="22"/>
              </w:rPr>
            </w:pPr>
            <w:r w:rsidRPr="00A072A0">
              <w:t xml:space="preserve">6/25/2015, </w:t>
            </w:r>
            <w:r w:rsidR="00E03A4D">
              <w:t>7/</w:t>
            </w:r>
            <w:r w:rsidR="00E03A4D" w:rsidRPr="00AB0529">
              <w:t>22</w:t>
            </w:r>
            <w:r w:rsidR="00E03A4D">
              <w:t>/</w:t>
            </w:r>
            <w:r w:rsidR="00E03A4D" w:rsidRPr="00AB0529">
              <w:t>2015</w:t>
            </w:r>
          </w:p>
        </w:tc>
        <w:tc>
          <w:tcPr>
            <w:tcW w:w="5012" w:type="dxa"/>
            <w:tcBorders>
              <w:top w:val="double" w:sz="6" w:space="0" w:color="auto"/>
              <w:bottom w:val="single" w:sz="4" w:space="0" w:color="auto"/>
            </w:tcBorders>
            <w:shd w:val="clear" w:color="auto" w:fill="auto"/>
          </w:tcPr>
          <w:p w:rsidR="002D7402" w:rsidRDefault="002D7402" w:rsidP="001D32F2">
            <w:pPr>
              <w:pStyle w:val="ListParagraph"/>
              <w:ind w:left="0"/>
            </w:pPr>
            <w:r>
              <w:t>Goel, V. Shiva</w:t>
            </w:r>
            <w:r w:rsidRPr="001C7590">
              <w:t xml:space="preserve"> </w:t>
            </w:r>
          </w:p>
          <w:p w:rsidR="002D7402" w:rsidRPr="00196760" w:rsidRDefault="002D7402" w:rsidP="001D32F2">
            <w:pPr>
              <w:pStyle w:val="ListParagraph"/>
              <w:ind w:left="0"/>
              <w:rPr>
                <w:color w:val="000000"/>
                <w:szCs w:val="22"/>
              </w:rPr>
            </w:pPr>
            <w:r w:rsidRPr="001C7590">
              <w:t>Associate, Harris Wiltshire &amp; Grannis LLP</w:t>
            </w:r>
          </w:p>
        </w:tc>
        <w:tc>
          <w:tcPr>
            <w:tcW w:w="520" w:type="dxa"/>
            <w:tcBorders>
              <w:top w:val="double" w:sz="6" w:space="0" w:color="auto"/>
              <w:bottom w:val="single" w:sz="4" w:space="0" w:color="auto"/>
            </w:tcBorders>
            <w:shd w:val="clear" w:color="auto" w:fill="auto"/>
            <w:vAlign w:val="center"/>
          </w:tcPr>
          <w:p w:rsidR="002D7402" w:rsidRDefault="002D7402" w:rsidP="001D32F2">
            <w:pPr>
              <w:pStyle w:val="ListParagraph"/>
              <w:ind w:left="0"/>
              <w:jc w:val="center"/>
            </w:pPr>
            <w:r>
              <w:t>X</w:t>
            </w:r>
          </w:p>
        </w:tc>
        <w:tc>
          <w:tcPr>
            <w:tcW w:w="487" w:type="dxa"/>
            <w:tcBorders>
              <w:top w:val="double" w:sz="6" w:space="0" w:color="auto"/>
              <w:bottom w:val="single" w:sz="4" w:space="0" w:color="auto"/>
            </w:tcBorders>
            <w:shd w:val="clear" w:color="auto" w:fill="auto"/>
            <w:vAlign w:val="center"/>
          </w:tcPr>
          <w:p w:rsidR="002D7402" w:rsidRDefault="002D7402" w:rsidP="001D32F2">
            <w:pPr>
              <w:pStyle w:val="ListParagraph"/>
              <w:ind w:left="0"/>
              <w:jc w:val="center"/>
            </w:pPr>
            <w:r>
              <w:t>X</w:t>
            </w:r>
          </w:p>
        </w:tc>
      </w:tr>
      <w:tr w:rsidR="002D7402" w:rsidTr="00D30EC1">
        <w:tc>
          <w:tcPr>
            <w:tcW w:w="3223" w:type="dxa"/>
            <w:vMerge/>
            <w:shd w:val="clear" w:color="auto" w:fill="auto"/>
            <w:vAlign w:val="center"/>
          </w:tcPr>
          <w:p w:rsidR="002D7402" w:rsidRPr="00196760" w:rsidRDefault="002D7402" w:rsidP="001D32F2">
            <w:pPr>
              <w:pStyle w:val="ListParagraph"/>
              <w:ind w:left="0"/>
              <w:rPr>
                <w:color w:val="000000"/>
                <w:szCs w:val="22"/>
              </w:rPr>
            </w:pPr>
          </w:p>
        </w:tc>
        <w:tc>
          <w:tcPr>
            <w:tcW w:w="5012" w:type="dxa"/>
            <w:tcBorders>
              <w:top w:val="single" w:sz="4" w:space="0" w:color="auto"/>
              <w:bottom w:val="single" w:sz="4" w:space="0" w:color="auto"/>
            </w:tcBorders>
            <w:shd w:val="clear" w:color="auto" w:fill="auto"/>
          </w:tcPr>
          <w:p w:rsidR="002D7402" w:rsidRDefault="002D7402" w:rsidP="001D32F2">
            <w:pPr>
              <w:pStyle w:val="ListParagraph"/>
              <w:ind w:left="0"/>
            </w:pPr>
            <w:r>
              <w:t>Nakahata, John</w:t>
            </w:r>
            <w:r w:rsidRPr="001C7590">
              <w:t xml:space="preserve">  </w:t>
            </w:r>
          </w:p>
          <w:p w:rsidR="002D7402" w:rsidRPr="00196760" w:rsidRDefault="002D7402" w:rsidP="001D32F2">
            <w:pPr>
              <w:pStyle w:val="ListParagraph"/>
              <w:ind w:left="0"/>
              <w:rPr>
                <w:color w:val="000000"/>
                <w:szCs w:val="22"/>
              </w:rPr>
            </w:pPr>
            <w:r w:rsidRPr="001C7590">
              <w:t>Partner, Harris Wiltshire &amp; Grannis LLP</w:t>
            </w:r>
          </w:p>
        </w:tc>
        <w:tc>
          <w:tcPr>
            <w:tcW w:w="520" w:type="dxa"/>
            <w:tcBorders>
              <w:top w:val="single" w:sz="4" w:space="0" w:color="auto"/>
              <w:bottom w:val="single" w:sz="4" w:space="0" w:color="auto"/>
            </w:tcBorders>
            <w:shd w:val="clear" w:color="auto" w:fill="auto"/>
            <w:vAlign w:val="center"/>
          </w:tcPr>
          <w:p w:rsidR="002D7402" w:rsidRDefault="002D7402" w:rsidP="001D32F2">
            <w:pPr>
              <w:pStyle w:val="ListParagraph"/>
              <w:ind w:left="0"/>
              <w:jc w:val="center"/>
            </w:pPr>
            <w:r>
              <w:t>X</w:t>
            </w:r>
          </w:p>
        </w:tc>
        <w:tc>
          <w:tcPr>
            <w:tcW w:w="487" w:type="dxa"/>
            <w:tcBorders>
              <w:top w:val="single" w:sz="4" w:space="0" w:color="auto"/>
              <w:bottom w:val="single" w:sz="4" w:space="0" w:color="auto"/>
            </w:tcBorders>
            <w:shd w:val="clear" w:color="auto" w:fill="auto"/>
            <w:vAlign w:val="center"/>
          </w:tcPr>
          <w:p w:rsidR="002D7402" w:rsidRDefault="002D7402" w:rsidP="001D32F2">
            <w:pPr>
              <w:pStyle w:val="ListParagraph"/>
              <w:ind w:left="0"/>
              <w:jc w:val="center"/>
            </w:pPr>
            <w:r>
              <w:t>X</w:t>
            </w:r>
          </w:p>
        </w:tc>
      </w:tr>
      <w:tr w:rsidR="002D7402" w:rsidTr="00D30EC1">
        <w:tc>
          <w:tcPr>
            <w:tcW w:w="3223" w:type="dxa"/>
            <w:vMerge/>
            <w:shd w:val="clear" w:color="auto" w:fill="auto"/>
            <w:vAlign w:val="center"/>
          </w:tcPr>
          <w:p w:rsidR="002D7402" w:rsidRPr="00196760" w:rsidRDefault="002D7402" w:rsidP="001D32F2">
            <w:pPr>
              <w:pStyle w:val="ListParagraph"/>
              <w:ind w:left="0"/>
              <w:rPr>
                <w:color w:val="000000"/>
                <w:szCs w:val="22"/>
              </w:rPr>
            </w:pPr>
          </w:p>
        </w:tc>
        <w:tc>
          <w:tcPr>
            <w:tcW w:w="5012" w:type="dxa"/>
            <w:tcBorders>
              <w:top w:val="single" w:sz="4" w:space="0" w:color="auto"/>
              <w:bottom w:val="single" w:sz="4" w:space="0" w:color="auto"/>
            </w:tcBorders>
            <w:shd w:val="clear" w:color="auto" w:fill="auto"/>
          </w:tcPr>
          <w:p w:rsidR="002D7402" w:rsidRDefault="002D7402" w:rsidP="001D32F2">
            <w:pPr>
              <w:pStyle w:val="ListParagraph"/>
              <w:ind w:left="0"/>
            </w:pPr>
            <w:r>
              <w:t>Smith, April</w:t>
            </w:r>
            <w:r w:rsidRPr="001C7590">
              <w:t xml:space="preserve"> </w:t>
            </w:r>
          </w:p>
          <w:p w:rsidR="002D7402" w:rsidRPr="00196760" w:rsidRDefault="002D7402" w:rsidP="001D32F2">
            <w:pPr>
              <w:pStyle w:val="ListParagraph"/>
              <w:ind w:left="0"/>
              <w:rPr>
                <w:color w:val="000000"/>
                <w:szCs w:val="22"/>
              </w:rPr>
            </w:pPr>
            <w:r w:rsidRPr="001C7590">
              <w:t>Legal Assistant, Harris Wiltshire &amp; Grannis LLP</w:t>
            </w:r>
          </w:p>
        </w:tc>
        <w:tc>
          <w:tcPr>
            <w:tcW w:w="520" w:type="dxa"/>
            <w:tcBorders>
              <w:top w:val="single" w:sz="4" w:space="0" w:color="auto"/>
              <w:bottom w:val="single" w:sz="4" w:space="0" w:color="auto"/>
            </w:tcBorders>
            <w:shd w:val="clear" w:color="auto" w:fill="auto"/>
            <w:vAlign w:val="center"/>
          </w:tcPr>
          <w:p w:rsidR="002D7402" w:rsidRDefault="002D7402" w:rsidP="001D32F2">
            <w:pPr>
              <w:pStyle w:val="ListParagraph"/>
              <w:ind w:left="0"/>
              <w:jc w:val="center"/>
            </w:pPr>
            <w:r>
              <w:t>X</w:t>
            </w:r>
          </w:p>
        </w:tc>
        <w:tc>
          <w:tcPr>
            <w:tcW w:w="487" w:type="dxa"/>
            <w:tcBorders>
              <w:top w:val="single" w:sz="4" w:space="0" w:color="auto"/>
              <w:bottom w:val="single" w:sz="4" w:space="0" w:color="auto"/>
            </w:tcBorders>
            <w:shd w:val="clear" w:color="auto" w:fill="auto"/>
            <w:vAlign w:val="center"/>
          </w:tcPr>
          <w:p w:rsidR="002D7402" w:rsidRDefault="002D7402" w:rsidP="001D32F2">
            <w:pPr>
              <w:pStyle w:val="ListParagraph"/>
              <w:ind w:left="0"/>
              <w:jc w:val="center"/>
            </w:pPr>
            <w:r>
              <w:t>X</w:t>
            </w:r>
          </w:p>
        </w:tc>
      </w:tr>
      <w:tr w:rsidR="002D7402" w:rsidTr="00D30EC1">
        <w:tc>
          <w:tcPr>
            <w:tcW w:w="3223" w:type="dxa"/>
            <w:vMerge/>
            <w:shd w:val="clear" w:color="auto" w:fill="auto"/>
            <w:vAlign w:val="center"/>
          </w:tcPr>
          <w:p w:rsidR="002D7402" w:rsidRPr="00196760" w:rsidRDefault="002D7402" w:rsidP="001D32F2">
            <w:pPr>
              <w:pStyle w:val="ListParagraph"/>
              <w:ind w:left="0"/>
              <w:rPr>
                <w:color w:val="000000"/>
                <w:szCs w:val="22"/>
              </w:rPr>
            </w:pPr>
          </w:p>
        </w:tc>
        <w:tc>
          <w:tcPr>
            <w:tcW w:w="5012" w:type="dxa"/>
            <w:tcBorders>
              <w:top w:val="single" w:sz="4" w:space="0" w:color="auto"/>
              <w:bottom w:val="single" w:sz="4" w:space="0" w:color="auto"/>
            </w:tcBorders>
            <w:shd w:val="clear" w:color="auto" w:fill="auto"/>
          </w:tcPr>
          <w:p w:rsidR="002D7402" w:rsidRDefault="002D7402" w:rsidP="001D32F2">
            <w:pPr>
              <w:pStyle w:val="ListParagraph"/>
              <w:ind w:left="0"/>
            </w:pPr>
            <w:r>
              <w:t>Tate, Alexandra</w:t>
            </w:r>
            <w:r w:rsidRPr="001C7590">
              <w:t xml:space="preserve"> </w:t>
            </w:r>
          </w:p>
          <w:p w:rsidR="002D7402" w:rsidRPr="00196760" w:rsidRDefault="002D7402" w:rsidP="001D32F2">
            <w:pPr>
              <w:pStyle w:val="ListParagraph"/>
              <w:ind w:left="0"/>
              <w:rPr>
                <w:color w:val="000000"/>
                <w:szCs w:val="22"/>
              </w:rPr>
            </w:pPr>
            <w:r w:rsidRPr="001C7590">
              <w:t>Legal Assistant, Harris Wiltshire &amp; Grannis LLP</w:t>
            </w:r>
          </w:p>
        </w:tc>
        <w:tc>
          <w:tcPr>
            <w:tcW w:w="520" w:type="dxa"/>
            <w:tcBorders>
              <w:top w:val="single" w:sz="4" w:space="0" w:color="auto"/>
              <w:bottom w:val="single" w:sz="4" w:space="0" w:color="auto"/>
            </w:tcBorders>
            <w:shd w:val="clear" w:color="auto" w:fill="auto"/>
            <w:vAlign w:val="center"/>
          </w:tcPr>
          <w:p w:rsidR="002D7402" w:rsidRDefault="002D7402" w:rsidP="001D32F2">
            <w:pPr>
              <w:pStyle w:val="ListParagraph"/>
              <w:ind w:left="0"/>
              <w:jc w:val="center"/>
            </w:pPr>
            <w:r>
              <w:t>X</w:t>
            </w:r>
          </w:p>
        </w:tc>
        <w:tc>
          <w:tcPr>
            <w:tcW w:w="487" w:type="dxa"/>
            <w:tcBorders>
              <w:top w:val="single" w:sz="4" w:space="0" w:color="auto"/>
              <w:bottom w:val="single" w:sz="4" w:space="0" w:color="auto"/>
            </w:tcBorders>
            <w:shd w:val="clear" w:color="auto" w:fill="auto"/>
            <w:vAlign w:val="center"/>
          </w:tcPr>
          <w:p w:rsidR="002D7402" w:rsidRDefault="002D7402" w:rsidP="001D32F2">
            <w:pPr>
              <w:pStyle w:val="ListParagraph"/>
              <w:ind w:left="0"/>
              <w:jc w:val="center"/>
            </w:pPr>
            <w:r>
              <w:t>X</w:t>
            </w:r>
          </w:p>
        </w:tc>
      </w:tr>
      <w:tr w:rsidR="002D7402" w:rsidTr="00D30EC1">
        <w:tc>
          <w:tcPr>
            <w:tcW w:w="3223" w:type="dxa"/>
            <w:vMerge/>
            <w:shd w:val="clear" w:color="auto" w:fill="auto"/>
            <w:vAlign w:val="center"/>
          </w:tcPr>
          <w:p w:rsidR="002D7402" w:rsidRPr="00196760" w:rsidRDefault="002D7402" w:rsidP="001D32F2">
            <w:pPr>
              <w:pStyle w:val="ListParagraph"/>
              <w:ind w:left="0"/>
              <w:rPr>
                <w:color w:val="000000"/>
                <w:szCs w:val="22"/>
              </w:rPr>
            </w:pPr>
          </w:p>
        </w:tc>
        <w:tc>
          <w:tcPr>
            <w:tcW w:w="5012" w:type="dxa"/>
            <w:tcBorders>
              <w:top w:val="single" w:sz="4" w:space="0" w:color="auto"/>
            </w:tcBorders>
            <w:shd w:val="clear" w:color="auto" w:fill="auto"/>
          </w:tcPr>
          <w:p w:rsidR="002D7402" w:rsidRDefault="002D7402" w:rsidP="001D32F2">
            <w:pPr>
              <w:pStyle w:val="ListParagraph"/>
              <w:ind w:left="0"/>
            </w:pPr>
            <w:r>
              <w:t>Trivolis, Kara</w:t>
            </w:r>
          </w:p>
          <w:p w:rsidR="002D7402" w:rsidRPr="00196760" w:rsidRDefault="002D7402" w:rsidP="001D32F2">
            <w:pPr>
              <w:pStyle w:val="ListParagraph"/>
              <w:ind w:left="0"/>
              <w:rPr>
                <w:color w:val="000000"/>
                <w:szCs w:val="22"/>
              </w:rPr>
            </w:pPr>
            <w:r w:rsidRPr="001C7590">
              <w:t>Legal Assistant, Harris Wiltshire &amp; Grannis LLP</w:t>
            </w:r>
          </w:p>
        </w:tc>
        <w:tc>
          <w:tcPr>
            <w:tcW w:w="520" w:type="dxa"/>
            <w:tcBorders>
              <w:top w:val="single" w:sz="4" w:space="0" w:color="auto"/>
            </w:tcBorders>
            <w:shd w:val="clear" w:color="auto" w:fill="auto"/>
            <w:vAlign w:val="center"/>
          </w:tcPr>
          <w:p w:rsidR="002D7402" w:rsidRDefault="002D7402" w:rsidP="001D32F2">
            <w:pPr>
              <w:pStyle w:val="ListParagraph"/>
              <w:ind w:left="0"/>
              <w:jc w:val="center"/>
            </w:pPr>
            <w:r>
              <w:t>X</w:t>
            </w:r>
          </w:p>
        </w:tc>
        <w:tc>
          <w:tcPr>
            <w:tcW w:w="487" w:type="dxa"/>
            <w:tcBorders>
              <w:top w:val="single" w:sz="4" w:space="0" w:color="auto"/>
            </w:tcBorders>
            <w:shd w:val="clear" w:color="auto" w:fill="auto"/>
            <w:vAlign w:val="center"/>
          </w:tcPr>
          <w:p w:rsidR="002D7402" w:rsidRDefault="002D7402" w:rsidP="001D32F2">
            <w:pPr>
              <w:pStyle w:val="ListParagraph"/>
              <w:ind w:left="0"/>
              <w:jc w:val="center"/>
            </w:pPr>
            <w:r>
              <w:t>X</w:t>
            </w:r>
          </w:p>
        </w:tc>
      </w:tr>
      <w:tr w:rsidR="002D7402" w:rsidTr="00D30EC1">
        <w:tc>
          <w:tcPr>
            <w:tcW w:w="3223" w:type="dxa"/>
            <w:vMerge w:val="restart"/>
            <w:tcBorders>
              <w:top w:val="double" w:sz="6" w:space="0" w:color="auto"/>
            </w:tcBorders>
            <w:shd w:val="clear" w:color="auto" w:fill="auto"/>
            <w:vAlign w:val="center"/>
          </w:tcPr>
          <w:p w:rsidR="002D7402" w:rsidRPr="00196760" w:rsidRDefault="002D7402" w:rsidP="001D32F2">
            <w:pPr>
              <w:pStyle w:val="ListParagraph"/>
              <w:ind w:left="0"/>
              <w:rPr>
                <w:color w:val="000000"/>
                <w:szCs w:val="22"/>
              </w:rPr>
            </w:pPr>
            <w:r w:rsidRPr="00196760">
              <w:rPr>
                <w:color w:val="000000"/>
                <w:szCs w:val="22"/>
              </w:rPr>
              <w:t xml:space="preserve">Harris Wiltshire </w:t>
            </w:r>
          </w:p>
          <w:p w:rsidR="00A35A40" w:rsidRDefault="002D7402" w:rsidP="001D32F2">
            <w:pPr>
              <w:pStyle w:val="ListParagraph"/>
              <w:ind w:left="0"/>
              <w:rPr>
                <w:color w:val="000000"/>
                <w:szCs w:val="22"/>
              </w:rPr>
            </w:pPr>
            <w:r w:rsidRPr="00196760">
              <w:rPr>
                <w:color w:val="000000"/>
                <w:szCs w:val="22"/>
              </w:rPr>
              <w:t>&amp; Grannis LLP</w:t>
            </w:r>
            <w:r>
              <w:rPr>
                <w:color w:val="000000"/>
                <w:szCs w:val="22"/>
              </w:rPr>
              <w:t xml:space="preserve"> </w:t>
            </w:r>
          </w:p>
          <w:p w:rsidR="002D7402" w:rsidRPr="00196760" w:rsidRDefault="002D7402" w:rsidP="001D32F2">
            <w:pPr>
              <w:pStyle w:val="ListParagraph"/>
              <w:ind w:left="0"/>
              <w:rPr>
                <w:color w:val="000000"/>
                <w:szCs w:val="22"/>
              </w:rPr>
            </w:pPr>
            <w:r>
              <w:rPr>
                <w:color w:val="000000"/>
                <w:szCs w:val="22"/>
              </w:rPr>
              <w:t>(Sprint Corporation)</w:t>
            </w:r>
            <w:r w:rsidRPr="00196760">
              <w:rPr>
                <w:color w:val="000000"/>
                <w:szCs w:val="22"/>
              </w:rPr>
              <w:t xml:space="preserve"> </w:t>
            </w:r>
          </w:p>
          <w:p w:rsidR="002D7402" w:rsidRDefault="002D7402" w:rsidP="001D32F2">
            <w:pPr>
              <w:pStyle w:val="ListParagraph"/>
              <w:ind w:left="0"/>
            </w:pPr>
            <w:r w:rsidRPr="00196760">
              <w:rPr>
                <w:color w:val="000000"/>
                <w:szCs w:val="22"/>
              </w:rPr>
              <w:t>7/2/2015</w:t>
            </w:r>
            <w:r>
              <w:rPr>
                <w:color w:val="000000"/>
                <w:szCs w:val="22"/>
              </w:rPr>
              <w:t>, 7/22/15</w:t>
            </w:r>
          </w:p>
        </w:tc>
        <w:tc>
          <w:tcPr>
            <w:tcW w:w="5012" w:type="dxa"/>
            <w:tcBorders>
              <w:top w:val="double" w:sz="6" w:space="0" w:color="auto"/>
            </w:tcBorders>
            <w:shd w:val="clear" w:color="auto" w:fill="auto"/>
            <w:vAlign w:val="center"/>
          </w:tcPr>
          <w:p w:rsidR="002D7402" w:rsidRPr="00196760" w:rsidRDefault="002D7402" w:rsidP="001D32F2">
            <w:pPr>
              <w:pStyle w:val="ListParagraph"/>
              <w:ind w:left="0"/>
              <w:rPr>
                <w:color w:val="000000"/>
                <w:szCs w:val="22"/>
              </w:rPr>
            </w:pPr>
            <w:r w:rsidRPr="00196760">
              <w:rPr>
                <w:color w:val="000000"/>
                <w:szCs w:val="22"/>
              </w:rPr>
              <w:t xml:space="preserve">Fulton, Thomas </w:t>
            </w:r>
          </w:p>
          <w:p w:rsidR="002D7402" w:rsidRDefault="002D7402" w:rsidP="001D32F2">
            <w:pPr>
              <w:pStyle w:val="ListParagraph"/>
              <w:ind w:left="0"/>
            </w:pPr>
            <w:r w:rsidRPr="00196760">
              <w:rPr>
                <w:color w:val="000000"/>
                <w:szCs w:val="22"/>
              </w:rPr>
              <w:t>Consultant, Self-employed</w:t>
            </w:r>
          </w:p>
        </w:tc>
        <w:tc>
          <w:tcPr>
            <w:tcW w:w="520" w:type="dxa"/>
            <w:tcBorders>
              <w:top w:val="double" w:sz="6" w:space="0" w:color="auto"/>
            </w:tcBorders>
            <w:shd w:val="clear" w:color="auto" w:fill="auto"/>
            <w:vAlign w:val="center"/>
          </w:tcPr>
          <w:p w:rsidR="002D7402" w:rsidRDefault="002D7402" w:rsidP="001D32F2">
            <w:pPr>
              <w:pStyle w:val="ListParagraph"/>
              <w:ind w:left="0"/>
              <w:jc w:val="center"/>
            </w:pPr>
            <w:r>
              <w:t>X</w:t>
            </w:r>
          </w:p>
        </w:tc>
        <w:tc>
          <w:tcPr>
            <w:tcW w:w="487" w:type="dxa"/>
            <w:tcBorders>
              <w:top w:val="double" w:sz="6" w:space="0" w:color="auto"/>
            </w:tcBorders>
            <w:shd w:val="clear" w:color="auto" w:fill="auto"/>
            <w:vAlign w:val="center"/>
          </w:tcPr>
          <w:p w:rsidR="002D7402" w:rsidRDefault="002D7402" w:rsidP="001D32F2">
            <w:pPr>
              <w:pStyle w:val="ListParagraph"/>
              <w:ind w:left="0"/>
              <w:jc w:val="center"/>
            </w:pPr>
            <w:r>
              <w:t>X</w:t>
            </w:r>
          </w:p>
        </w:tc>
      </w:tr>
      <w:tr w:rsidR="002D7402" w:rsidTr="00D30EC1">
        <w:tc>
          <w:tcPr>
            <w:tcW w:w="3223" w:type="dxa"/>
            <w:vMerge/>
            <w:shd w:val="clear" w:color="auto" w:fill="auto"/>
            <w:vAlign w:val="center"/>
          </w:tcPr>
          <w:p w:rsidR="002D7402" w:rsidRDefault="002D7402" w:rsidP="001D32F2">
            <w:pPr>
              <w:pStyle w:val="ListParagraph"/>
              <w:ind w:left="0"/>
            </w:pPr>
          </w:p>
        </w:tc>
        <w:tc>
          <w:tcPr>
            <w:tcW w:w="5012" w:type="dxa"/>
            <w:shd w:val="clear" w:color="auto" w:fill="auto"/>
            <w:vAlign w:val="center"/>
          </w:tcPr>
          <w:p w:rsidR="002D7402" w:rsidRPr="00196760" w:rsidRDefault="002D7402" w:rsidP="001D32F2">
            <w:pPr>
              <w:pStyle w:val="ListParagraph"/>
              <w:ind w:left="0"/>
              <w:rPr>
                <w:color w:val="000000"/>
                <w:szCs w:val="22"/>
              </w:rPr>
            </w:pPr>
            <w:r w:rsidRPr="00196760">
              <w:rPr>
                <w:color w:val="000000"/>
                <w:szCs w:val="22"/>
              </w:rPr>
              <w:t xml:space="preserve">Hearle, Kevin </w:t>
            </w:r>
          </w:p>
          <w:p w:rsidR="002D7402" w:rsidRDefault="002D7402" w:rsidP="001D32F2">
            <w:pPr>
              <w:pStyle w:val="ListParagraph"/>
              <w:ind w:left="0"/>
            </w:pPr>
            <w:r w:rsidRPr="00196760">
              <w:rPr>
                <w:color w:val="000000"/>
                <w:szCs w:val="22"/>
              </w:rPr>
              <w:t>Principal, The Brattle Group</w:t>
            </w:r>
          </w:p>
        </w:tc>
        <w:tc>
          <w:tcPr>
            <w:tcW w:w="520" w:type="dxa"/>
            <w:shd w:val="clear" w:color="auto" w:fill="auto"/>
            <w:vAlign w:val="center"/>
          </w:tcPr>
          <w:p w:rsidR="002D7402" w:rsidRDefault="002D7402" w:rsidP="001D32F2">
            <w:pPr>
              <w:pStyle w:val="ListParagraph"/>
              <w:ind w:left="0"/>
              <w:jc w:val="center"/>
            </w:pPr>
            <w:r>
              <w:t>X</w:t>
            </w:r>
          </w:p>
        </w:tc>
        <w:tc>
          <w:tcPr>
            <w:tcW w:w="487" w:type="dxa"/>
            <w:shd w:val="clear" w:color="auto" w:fill="auto"/>
            <w:vAlign w:val="center"/>
          </w:tcPr>
          <w:p w:rsidR="002D7402" w:rsidRDefault="002D7402" w:rsidP="001D32F2">
            <w:pPr>
              <w:pStyle w:val="ListParagraph"/>
              <w:ind w:left="0"/>
              <w:jc w:val="center"/>
            </w:pPr>
            <w:r>
              <w:t>X</w:t>
            </w:r>
          </w:p>
        </w:tc>
      </w:tr>
      <w:tr w:rsidR="002D7402" w:rsidTr="00D30EC1">
        <w:tc>
          <w:tcPr>
            <w:tcW w:w="3223" w:type="dxa"/>
            <w:vMerge/>
            <w:shd w:val="clear" w:color="auto" w:fill="auto"/>
            <w:vAlign w:val="center"/>
          </w:tcPr>
          <w:p w:rsidR="002D7402" w:rsidRDefault="002D7402" w:rsidP="001D32F2">
            <w:pPr>
              <w:pStyle w:val="ListParagraph"/>
              <w:ind w:left="0"/>
            </w:pPr>
          </w:p>
        </w:tc>
        <w:tc>
          <w:tcPr>
            <w:tcW w:w="5012" w:type="dxa"/>
            <w:shd w:val="clear" w:color="auto" w:fill="auto"/>
            <w:vAlign w:val="center"/>
          </w:tcPr>
          <w:p w:rsidR="002D7402" w:rsidRPr="00196760" w:rsidRDefault="002D7402" w:rsidP="001D32F2">
            <w:pPr>
              <w:pStyle w:val="ListParagraph"/>
              <w:ind w:left="0"/>
              <w:rPr>
                <w:color w:val="000000"/>
                <w:szCs w:val="22"/>
              </w:rPr>
            </w:pPr>
            <w:r w:rsidRPr="00196760">
              <w:rPr>
                <w:color w:val="000000"/>
                <w:szCs w:val="22"/>
              </w:rPr>
              <w:t xml:space="preserve">McCarthy, Sera </w:t>
            </w:r>
          </w:p>
          <w:p w:rsidR="002D7402" w:rsidRDefault="002D7402" w:rsidP="001D32F2">
            <w:pPr>
              <w:pStyle w:val="ListParagraph"/>
              <w:ind w:left="0"/>
            </w:pPr>
            <w:r w:rsidRPr="00196760">
              <w:rPr>
                <w:color w:val="000000"/>
                <w:szCs w:val="22"/>
              </w:rPr>
              <w:t>Administrative Assistant, The Brattle Group</w:t>
            </w:r>
          </w:p>
        </w:tc>
        <w:tc>
          <w:tcPr>
            <w:tcW w:w="520" w:type="dxa"/>
            <w:shd w:val="clear" w:color="auto" w:fill="auto"/>
            <w:vAlign w:val="center"/>
          </w:tcPr>
          <w:p w:rsidR="002D7402" w:rsidRDefault="002D7402" w:rsidP="001D32F2">
            <w:pPr>
              <w:pStyle w:val="ListParagraph"/>
              <w:ind w:left="0"/>
              <w:jc w:val="center"/>
            </w:pPr>
            <w:r>
              <w:t>X</w:t>
            </w:r>
          </w:p>
        </w:tc>
        <w:tc>
          <w:tcPr>
            <w:tcW w:w="487" w:type="dxa"/>
            <w:shd w:val="clear" w:color="auto" w:fill="auto"/>
            <w:vAlign w:val="center"/>
          </w:tcPr>
          <w:p w:rsidR="002D7402" w:rsidRDefault="002D7402" w:rsidP="001D32F2">
            <w:pPr>
              <w:pStyle w:val="ListParagraph"/>
              <w:ind w:left="0"/>
              <w:jc w:val="center"/>
            </w:pPr>
            <w:r>
              <w:t>X</w:t>
            </w:r>
          </w:p>
        </w:tc>
      </w:tr>
      <w:tr w:rsidR="002D7402" w:rsidTr="00D30EC1">
        <w:tc>
          <w:tcPr>
            <w:tcW w:w="3223" w:type="dxa"/>
            <w:vMerge/>
            <w:shd w:val="clear" w:color="auto" w:fill="auto"/>
            <w:vAlign w:val="center"/>
          </w:tcPr>
          <w:p w:rsidR="002D7402" w:rsidRDefault="002D7402" w:rsidP="001D32F2">
            <w:pPr>
              <w:pStyle w:val="ListParagraph"/>
              <w:ind w:left="0"/>
            </w:pPr>
          </w:p>
        </w:tc>
        <w:tc>
          <w:tcPr>
            <w:tcW w:w="5012" w:type="dxa"/>
            <w:shd w:val="clear" w:color="auto" w:fill="auto"/>
            <w:vAlign w:val="center"/>
          </w:tcPr>
          <w:p w:rsidR="002D7402" w:rsidRPr="00196760" w:rsidRDefault="002D7402" w:rsidP="001D32F2">
            <w:pPr>
              <w:pStyle w:val="ListParagraph"/>
              <w:ind w:left="0"/>
              <w:rPr>
                <w:color w:val="000000"/>
                <w:szCs w:val="22"/>
              </w:rPr>
            </w:pPr>
            <w:r w:rsidRPr="00196760">
              <w:rPr>
                <w:color w:val="000000"/>
                <w:szCs w:val="22"/>
              </w:rPr>
              <w:t>Reyonolds, Robert J.</w:t>
            </w:r>
          </w:p>
          <w:p w:rsidR="002D7402" w:rsidRDefault="002D7402" w:rsidP="001D32F2">
            <w:pPr>
              <w:pStyle w:val="ListParagraph"/>
              <w:ind w:left="0"/>
            </w:pPr>
            <w:r w:rsidRPr="00196760">
              <w:rPr>
                <w:color w:val="000000"/>
                <w:szCs w:val="22"/>
              </w:rPr>
              <w:t>Principal, The Brattle Group</w:t>
            </w:r>
          </w:p>
        </w:tc>
        <w:tc>
          <w:tcPr>
            <w:tcW w:w="520" w:type="dxa"/>
            <w:shd w:val="clear" w:color="auto" w:fill="auto"/>
            <w:vAlign w:val="center"/>
          </w:tcPr>
          <w:p w:rsidR="002D7402" w:rsidRDefault="002D7402" w:rsidP="001D32F2">
            <w:pPr>
              <w:pStyle w:val="ListParagraph"/>
              <w:ind w:left="0"/>
              <w:jc w:val="center"/>
            </w:pPr>
            <w:r>
              <w:t>X</w:t>
            </w:r>
          </w:p>
        </w:tc>
        <w:tc>
          <w:tcPr>
            <w:tcW w:w="487" w:type="dxa"/>
            <w:shd w:val="clear" w:color="auto" w:fill="auto"/>
            <w:vAlign w:val="center"/>
          </w:tcPr>
          <w:p w:rsidR="002D7402" w:rsidRDefault="002D7402" w:rsidP="001D32F2">
            <w:pPr>
              <w:pStyle w:val="ListParagraph"/>
              <w:ind w:left="0"/>
              <w:jc w:val="center"/>
            </w:pPr>
            <w:r>
              <w:t>X</w:t>
            </w:r>
          </w:p>
        </w:tc>
      </w:tr>
      <w:tr w:rsidR="002D7402" w:rsidTr="00D30EC1">
        <w:tc>
          <w:tcPr>
            <w:tcW w:w="3223" w:type="dxa"/>
            <w:vMerge/>
            <w:shd w:val="clear" w:color="auto" w:fill="auto"/>
            <w:vAlign w:val="center"/>
          </w:tcPr>
          <w:p w:rsidR="002D7402" w:rsidRDefault="002D7402" w:rsidP="001D32F2">
            <w:pPr>
              <w:pStyle w:val="ListParagraph"/>
              <w:ind w:left="0"/>
            </w:pPr>
          </w:p>
        </w:tc>
        <w:tc>
          <w:tcPr>
            <w:tcW w:w="5012" w:type="dxa"/>
            <w:shd w:val="clear" w:color="auto" w:fill="auto"/>
            <w:vAlign w:val="center"/>
          </w:tcPr>
          <w:p w:rsidR="002D7402" w:rsidRPr="00196760" w:rsidRDefault="002D7402" w:rsidP="001D32F2">
            <w:pPr>
              <w:pStyle w:val="ListParagraph"/>
              <w:ind w:left="0"/>
              <w:rPr>
                <w:color w:val="000000"/>
                <w:szCs w:val="22"/>
              </w:rPr>
            </w:pPr>
            <w:r w:rsidRPr="00196760">
              <w:rPr>
                <w:color w:val="000000"/>
                <w:szCs w:val="22"/>
              </w:rPr>
              <w:t>Sappington, David</w:t>
            </w:r>
          </w:p>
          <w:p w:rsidR="002D7402" w:rsidRDefault="002D7402" w:rsidP="001D32F2">
            <w:pPr>
              <w:pStyle w:val="ListParagraph"/>
              <w:ind w:left="0"/>
            </w:pPr>
            <w:r w:rsidRPr="00196760">
              <w:rPr>
                <w:color w:val="000000"/>
                <w:szCs w:val="22"/>
              </w:rPr>
              <w:t>Professor, University of Florida</w:t>
            </w:r>
          </w:p>
        </w:tc>
        <w:tc>
          <w:tcPr>
            <w:tcW w:w="520" w:type="dxa"/>
            <w:shd w:val="clear" w:color="auto" w:fill="auto"/>
            <w:vAlign w:val="center"/>
          </w:tcPr>
          <w:p w:rsidR="002D7402" w:rsidRDefault="002D7402" w:rsidP="001D32F2">
            <w:pPr>
              <w:pStyle w:val="ListParagraph"/>
              <w:ind w:left="0"/>
              <w:jc w:val="center"/>
            </w:pPr>
            <w:r>
              <w:t>X</w:t>
            </w:r>
          </w:p>
        </w:tc>
        <w:tc>
          <w:tcPr>
            <w:tcW w:w="487" w:type="dxa"/>
            <w:shd w:val="clear" w:color="auto" w:fill="auto"/>
            <w:vAlign w:val="center"/>
          </w:tcPr>
          <w:p w:rsidR="002D7402" w:rsidRDefault="002D7402" w:rsidP="001D32F2">
            <w:pPr>
              <w:pStyle w:val="ListParagraph"/>
              <w:ind w:left="0"/>
              <w:jc w:val="center"/>
            </w:pPr>
            <w:r>
              <w:t>X</w:t>
            </w:r>
          </w:p>
        </w:tc>
      </w:tr>
      <w:tr w:rsidR="002D7402" w:rsidTr="00D30EC1">
        <w:tc>
          <w:tcPr>
            <w:tcW w:w="3223" w:type="dxa"/>
            <w:vMerge/>
            <w:shd w:val="clear" w:color="auto" w:fill="auto"/>
            <w:vAlign w:val="center"/>
          </w:tcPr>
          <w:p w:rsidR="002D7402" w:rsidRDefault="002D7402" w:rsidP="001D32F2">
            <w:pPr>
              <w:pStyle w:val="ListParagraph"/>
              <w:ind w:left="0"/>
            </w:pPr>
          </w:p>
        </w:tc>
        <w:tc>
          <w:tcPr>
            <w:tcW w:w="5012" w:type="dxa"/>
            <w:shd w:val="clear" w:color="auto" w:fill="auto"/>
            <w:vAlign w:val="center"/>
          </w:tcPr>
          <w:p w:rsidR="002D7402" w:rsidRPr="00196760" w:rsidRDefault="002D7402" w:rsidP="001D32F2">
            <w:pPr>
              <w:pStyle w:val="ListParagraph"/>
              <w:ind w:left="0"/>
              <w:rPr>
                <w:color w:val="000000"/>
                <w:szCs w:val="22"/>
              </w:rPr>
            </w:pPr>
            <w:r w:rsidRPr="00196760">
              <w:rPr>
                <w:color w:val="000000"/>
                <w:szCs w:val="22"/>
              </w:rPr>
              <w:t>Verlinda, Jeremy</w:t>
            </w:r>
          </w:p>
          <w:p w:rsidR="002D7402" w:rsidRDefault="002D7402" w:rsidP="001D32F2">
            <w:pPr>
              <w:pStyle w:val="ListParagraph"/>
              <w:ind w:left="0"/>
            </w:pPr>
            <w:r w:rsidRPr="00196760">
              <w:rPr>
                <w:color w:val="000000"/>
                <w:szCs w:val="22"/>
              </w:rPr>
              <w:t>Senior Associate, The Brattle Group</w:t>
            </w:r>
          </w:p>
        </w:tc>
        <w:tc>
          <w:tcPr>
            <w:tcW w:w="520" w:type="dxa"/>
            <w:shd w:val="clear" w:color="auto" w:fill="auto"/>
            <w:vAlign w:val="center"/>
          </w:tcPr>
          <w:p w:rsidR="002D7402" w:rsidRDefault="002D7402" w:rsidP="001D32F2">
            <w:pPr>
              <w:pStyle w:val="ListParagraph"/>
              <w:ind w:left="0"/>
              <w:jc w:val="center"/>
            </w:pPr>
            <w:r>
              <w:t>X</w:t>
            </w:r>
          </w:p>
        </w:tc>
        <w:tc>
          <w:tcPr>
            <w:tcW w:w="487" w:type="dxa"/>
            <w:shd w:val="clear" w:color="auto" w:fill="auto"/>
            <w:vAlign w:val="center"/>
          </w:tcPr>
          <w:p w:rsidR="002D7402" w:rsidRDefault="002D7402" w:rsidP="001D32F2">
            <w:pPr>
              <w:pStyle w:val="ListParagraph"/>
              <w:ind w:left="0"/>
              <w:jc w:val="center"/>
            </w:pPr>
            <w:r>
              <w:t>X</w:t>
            </w:r>
          </w:p>
        </w:tc>
      </w:tr>
      <w:tr w:rsidR="002D7402" w:rsidTr="00D30EC1">
        <w:tc>
          <w:tcPr>
            <w:tcW w:w="3223" w:type="dxa"/>
            <w:vMerge/>
            <w:shd w:val="clear" w:color="auto" w:fill="auto"/>
            <w:vAlign w:val="center"/>
          </w:tcPr>
          <w:p w:rsidR="002D7402" w:rsidRDefault="002D7402" w:rsidP="001D32F2">
            <w:pPr>
              <w:pStyle w:val="ListParagraph"/>
              <w:ind w:left="0"/>
            </w:pPr>
          </w:p>
        </w:tc>
        <w:tc>
          <w:tcPr>
            <w:tcW w:w="5012" w:type="dxa"/>
            <w:shd w:val="clear" w:color="auto" w:fill="auto"/>
            <w:vAlign w:val="center"/>
          </w:tcPr>
          <w:p w:rsidR="002D7402" w:rsidRPr="00196760" w:rsidRDefault="002D7402" w:rsidP="001D32F2">
            <w:pPr>
              <w:pStyle w:val="ListParagraph"/>
              <w:ind w:left="0"/>
              <w:rPr>
                <w:color w:val="000000"/>
                <w:szCs w:val="22"/>
              </w:rPr>
            </w:pPr>
            <w:r w:rsidRPr="00196760">
              <w:rPr>
                <w:color w:val="000000"/>
                <w:szCs w:val="22"/>
              </w:rPr>
              <w:t>Wilson, Robert</w:t>
            </w:r>
          </w:p>
          <w:p w:rsidR="002D7402" w:rsidRDefault="002D7402" w:rsidP="001D32F2">
            <w:pPr>
              <w:pStyle w:val="ListParagraph"/>
              <w:ind w:left="0"/>
            </w:pPr>
            <w:r w:rsidRPr="00196760">
              <w:rPr>
                <w:color w:val="000000"/>
                <w:szCs w:val="22"/>
              </w:rPr>
              <w:t>Principal, The Brattle Group</w:t>
            </w:r>
          </w:p>
        </w:tc>
        <w:tc>
          <w:tcPr>
            <w:tcW w:w="520" w:type="dxa"/>
            <w:shd w:val="clear" w:color="auto" w:fill="auto"/>
            <w:vAlign w:val="center"/>
          </w:tcPr>
          <w:p w:rsidR="002D7402" w:rsidRDefault="002D7402" w:rsidP="001D32F2">
            <w:pPr>
              <w:pStyle w:val="ListParagraph"/>
              <w:ind w:left="0"/>
              <w:jc w:val="center"/>
            </w:pPr>
            <w:r>
              <w:t>X</w:t>
            </w:r>
          </w:p>
        </w:tc>
        <w:tc>
          <w:tcPr>
            <w:tcW w:w="487" w:type="dxa"/>
            <w:shd w:val="clear" w:color="auto" w:fill="auto"/>
            <w:vAlign w:val="center"/>
          </w:tcPr>
          <w:p w:rsidR="002D7402" w:rsidRDefault="002D7402" w:rsidP="001D32F2">
            <w:pPr>
              <w:pStyle w:val="ListParagraph"/>
              <w:ind w:left="0"/>
              <w:jc w:val="center"/>
            </w:pPr>
            <w:r>
              <w:t>X</w:t>
            </w:r>
          </w:p>
        </w:tc>
      </w:tr>
      <w:tr w:rsidR="002D7402" w:rsidTr="00D30EC1">
        <w:tc>
          <w:tcPr>
            <w:tcW w:w="3223" w:type="dxa"/>
            <w:vMerge/>
            <w:shd w:val="clear" w:color="auto" w:fill="auto"/>
            <w:vAlign w:val="center"/>
          </w:tcPr>
          <w:p w:rsidR="002D7402" w:rsidRDefault="002D7402" w:rsidP="001D32F2">
            <w:pPr>
              <w:pStyle w:val="ListParagraph"/>
              <w:ind w:left="0"/>
            </w:pPr>
          </w:p>
        </w:tc>
        <w:tc>
          <w:tcPr>
            <w:tcW w:w="5012" w:type="dxa"/>
            <w:shd w:val="clear" w:color="auto" w:fill="auto"/>
            <w:vAlign w:val="center"/>
          </w:tcPr>
          <w:p w:rsidR="002D7402" w:rsidRPr="00196760" w:rsidRDefault="002D7402" w:rsidP="001D32F2">
            <w:pPr>
              <w:pStyle w:val="ListParagraph"/>
              <w:ind w:left="0"/>
              <w:rPr>
                <w:color w:val="000000"/>
                <w:szCs w:val="22"/>
              </w:rPr>
            </w:pPr>
            <w:r w:rsidRPr="00196760">
              <w:rPr>
                <w:color w:val="000000"/>
                <w:szCs w:val="22"/>
              </w:rPr>
              <w:t>Zarakas, William</w:t>
            </w:r>
          </w:p>
          <w:p w:rsidR="002D7402" w:rsidRDefault="002D7402" w:rsidP="001D32F2">
            <w:pPr>
              <w:pStyle w:val="ListParagraph"/>
              <w:ind w:left="0"/>
            </w:pPr>
            <w:r w:rsidRPr="00196760">
              <w:rPr>
                <w:color w:val="000000"/>
                <w:szCs w:val="22"/>
              </w:rPr>
              <w:t>Principal, The Brattle Group</w:t>
            </w:r>
          </w:p>
        </w:tc>
        <w:tc>
          <w:tcPr>
            <w:tcW w:w="520" w:type="dxa"/>
            <w:shd w:val="clear" w:color="auto" w:fill="auto"/>
            <w:vAlign w:val="center"/>
          </w:tcPr>
          <w:p w:rsidR="002D7402" w:rsidRDefault="002D7402" w:rsidP="001D32F2">
            <w:pPr>
              <w:pStyle w:val="ListParagraph"/>
              <w:ind w:left="0"/>
              <w:jc w:val="center"/>
            </w:pPr>
            <w:r>
              <w:t>X</w:t>
            </w:r>
          </w:p>
        </w:tc>
        <w:tc>
          <w:tcPr>
            <w:tcW w:w="487" w:type="dxa"/>
            <w:shd w:val="clear" w:color="auto" w:fill="auto"/>
            <w:vAlign w:val="center"/>
          </w:tcPr>
          <w:p w:rsidR="002D7402" w:rsidRDefault="002D7402" w:rsidP="001D32F2">
            <w:pPr>
              <w:pStyle w:val="ListParagraph"/>
              <w:ind w:left="0"/>
              <w:jc w:val="center"/>
            </w:pPr>
            <w:r>
              <w:t>X</w:t>
            </w:r>
          </w:p>
        </w:tc>
      </w:tr>
      <w:tr w:rsidR="002D7402" w:rsidTr="00D30EC1">
        <w:tc>
          <w:tcPr>
            <w:tcW w:w="3223" w:type="dxa"/>
            <w:vMerge/>
            <w:tcBorders>
              <w:bottom w:val="double" w:sz="6" w:space="0" w:color="auto"/>
            </w:tcBorders>
            <w:shd w:val="clear" w:color="auto" w:fill="auto"/>
            <w:vAlign w:val="center"/>
          </w:tcPr>
          <w:p w:rsidR="002D7402" w:rsidRDefault="002D7402" w:rsidP="001D32F2">
            <w:pPr>
              <w:pStyle w:val="ListParagraph"/>
              <w:ind w:left="0"/>
            </w:pPr>
          </w:p>
        </w:tc>
        <w:tc>
          <w:tcPr>
            <w:tcW w:w="5012" w:type="dxa"/>
            <w:tcBorders>
              <w:bottom w:val="double" w:sz="6" w:space="0" w:color="auto"/>
            </w:tcBorders>
            <w:shd w:val="clear" w:color="auto" w:fill="auto"/>
            <w:vAlign w:val="center"/>
          </w:tcPr>
          <w:p w:rsidR="002D7402" w:rsidRPr="00196760" w:rsidRDefault="002D7402" w:rsidP="001D32F2">
            <w:pPr>
              <w:pStyle w:val="ListParagraph"/>
              <w:ind w:left="0"/>
              <w:rPr>
                <w:color w:val="000000"/>
                <w:szCs w:val="22"/>
              </w:rPr>
            </w:pPr>
            <w:r w:rsidRPr="00196760">
              <w:rPr>
                <w:color w:val="000000"/>
                <w:szCs w:val="22"/>
              </w:rPr>
              <w:t>Zhu, Linyan</w:t>
            </w:r>
          </w:p>
          <w:p w:rsidR="002D7402" w:rsidRPr="00196760" w:rsidRDefault="002D7402" w:rsidP="001D32F2">
            <w:pPr>
              <w:pStyle w:val="ListParagraph"/>
              <w:ind w:left="0"/>
              <w:rPr>
                <w:color w:val="000000"/>
                <w:szCs w:val="22"/>
              </w:rPr>
            </w:pPr>
            <w:r w:rsidRPr="00196760">
              <w:rPr>
                <w:color w:val="000000"/>
                <w:szCs w:val="22"/>
              </w:rPr>
              <w:t>Research Analyst, The Brattle Group</w:t>
            </w:r>
          </w:p>
        </w:tc>
        <w:tc>
          <w:tcPr>
            <w:tcW w:w="520" w:type="dxa"/>
            <w:tcBorders>
              <w:bottom w:val="double" w:sz="6" w:space="0" w:color="auto"/>
            </w:tcBorders>
            <w:shd w:val="clear" w:color="auto" w:fill="auto"/>
            <w:vAlign w:val="center"/>
          </w:tcPr>
          <w:p w:rsidR="002D7402" w:rsidRDefault="002D7402" w:rsidP="001D32F2">
            <w:pPr>
              <w:pStyle w:val="ListParagraph"/>
              <w:ind w:left="0"/>
              <w:jc w:val="center"/>
            </w:pPr>
            <w:r>
              <w:t>X</w:t>
            </w:r>
          </w:p>
        </w:tc>
        <w:tc>
          <w:tcPr>
            <w:tcW w:w="487" w:type="dxa"/>
            <w:tcBorders>
              <w:bottom w:val="double" w:sz="6" w:space="0" w:color="auto"/>
            </w:tcBorders>
            <w:shd w:val="clear" w:color="auto" w:fill="auto"/>
            <w:vAlign w:val="center"/>
          </w:tcPr>
          <w:p w:rsidR="002D7402" w:rsidRDefault="002D7402" w:rsidP="001D32F2">
            <w:pPr>
              <w:pStyle w:val="ListParagraph"/>
              <w:ind w:left="0"/>
              <w:jc w:val="center"/>
            </w:pPr>
            <w:r>
              <w:t>X</w:t>
            </w:r>
          </w:p>
        </w:tc>
      </w:tr>
      <w:tr w:rsidR="002D7402" w:rsidTr="00D30EC1">
        <w:tc>
          <w:tcPr>
            <w:tcW w:w="3223" w:type="dxa"/>
            <w:vMerge w:val="restart"/>
            <w:tcBorders>
              <w:top w:val="double" w:sz="6" w:space="0" w:color="auto"/>
            </w:tcBorders>
            <w:shd w:val="clear" w:color="auto" w:fill="auto"/>
            <w:vAlign w:val="center"/>
          </w:tcPr>
          <w:p w:rsidR="002D7402" w:rsidRPr="00196760" w:rsidRDefault="002D7402" w:rsidP="001D32F2">
            <w:r w:rsidRPr="00196760">
              <w:t xml:space="preserve">Morgan Lewis </w:t>
            </w:r>
          </w:p>
          <w:p w:rsidR="00A35A40" w:rsidRDefault="002D7402" w:rsidP="001D32F2">
            <w:r w:rsidRPr="00196760">
              <w:t xml:space="preserve">&amp; Bockius LLP </w:t>
            </w:r>
          </w:p>
          <w:p w:rsidR="002D7402" w:rsidRPr="00196760" w:rsidRDefault="002D7402" w:rsidP="001D32F2">
            <w:r>
              <w:t>(</w:t>
            </w:r>
            <w:r w:rsidRPr="00BF1D04">
              <w:t>Granite Telecommunications, LLC and Vonage Holdings, Corp.</w:t>
            </w:r>
            <w:r>
              <w:t>)</w:t>
            </w:r>
          </w:p>
          <w:p w:rsidR="002D7402" w:rsidRPr="00196760" w:rsidRDefault="002D7402" w:rsidP="001D32F2">
            <w:r w:rsidRPr="00196760">
              <w:t>6/30/2015</w:t>
            </w:r>
            <w:r>
              <w:t>, 7/27/15</w:t>
            </w:r>
          </w:p>
          <w:p w:rsidR="002D7402" w:rsidRDefault="002D7402" w:rsidP="001D32F2">
            <w:pPr>
              <w:pStyle w:val="ListParagraph"/>
              <w:ind w:left="0"/>
              <w:rPr>
                <w:color w:val="000000"/>
                <w:szCs w:val="22"/>
              </w:rPr>
            </w:pPr>
          </w:p>
        </w:tc>
        <w:tc>
          <w:tcPr>
            <w:tcW w:w="5012" w:type="dxa"/>
            <w:tcBorders>
              <w:top w:val="double" w:sz="6" w:space="0" w:color="auto"/>
            </w:tcBorders>
            <w:shd w:val="clear" w:color="auto" w:fill="auto"/>
            <w:vAlign w:val="center"/>
          </w:tcPr>
          <w:p w:rsidR="002D7402" w:rsidRPr="00196760" w:rsidRDefault="002D7402" w:rsidP="001D32F2">
            <w:pPr>
              <w:pStyle w:val="ListParagraph"/>
              <w:ind w:left="0"/>
              <w:rPr>
                <w:color w:val="000000"/>
                <w:szCs w:val="22"/>
              </w:rPr>
            </w:pPr>
            <w:r w:rsidRPr="00196760">
              <w:rPr>
                <w:color w:val="000000"/>
                <w:szCs w:val="22"/>
              </w:rPr>
              <w:t xml:space="preserve">Bobeck, Joshua M. </w:t>
            </w:r>
          </w:p>
          <w:p w:rsidR="002D7402" w:rsidRPr="00FA46D6" w:rsidRDefault="002D7402" w:rsidP="001D32F2">
            <w:pPr>
              <w:pStyle w:val="ListParagraph"/>
              <w:ind w:left="0"/>
              <w:rPr>
                <w:szCs w:val="22"/>
              </w:rPr>
            </w:pPr>
            <w:r w:rsidRPr="00196760">
              <w:rPr>
                <w:color w:val="000000"/>
                <w:szCs w:val="22"/>
              </w:rPr>
              <w:t>Of Counsel, Morgan Lewis &amp; Bockius LLP</w:t>
            </w:r>
          </w:p>
        </w:tc>
        <w:tc>
          <w:tcPr>
            <w:tcW w:w="520" w:type="dxa"/>
            <w:tcBorders>
              <w:top w:val="double" w:sz="6" w:space="0" w:color="auto"/>
            </w:tcBorders>
            <w:shd w:val="clear" w:color="auto" w:fill="auto"/>
            <w:vAlign w:val="center"/>
          </w:tcPr>
          <w:p w:rsidR="002D7402" w:rsidRDefault="002D7402" w:rsidP="001D32F2">
            <w:pPr>
              <w:pStyle w:val="ListParagraph"/>
              <w:ind w:left="0"/>
              <w:jc w:val="center"/>
            </w:pPr>
            <w:r w:rsidRPr="00196760">
              <w:t>X</w:t>
            </w:r>
          </w:p>
        </w:tc>
        <w:tc>
          <w:tcPr>
            <w:tcW w:w="487" w:type="dxa"/>
            <w:tcBorders>
              <w:top w:val="double" w:sz="6" w:space="0" w:color="auto"/>
            </w:tcBorders>
            <w:shd w:val="clear" w:color="auto" w:fill="auto"/>
            <w:vAlign w:val="center"/>
          </w:tcPr>
          <w:p w:rsidR="002D7402" w:rsidRDefault="002D7402" w:rsidP="001D32F2">
            <w:pPr>
              <w:pStyle w:val="ListParagraph"/>
              <w:ind w:left="0"/>
              <w:jc w:val="center"/>
            </w:pPr>
            <w:r w:rsidRPr="00196760">
              <w:t>X</w:t>
            </w:r>
          </w:p>
        </w:tc>
      </w:tr>
      <w:tr w:rsidR="002D7402" w:rsidTr="00D30EC1">
        <w:tc>
          <w:tcPr>
            <w:tcW w:w="3223" w:type="dxa"/>
            <w:vMerge/>
            <w:shd w:val="clear" w:color="auto" w:fill="auto"/>
            <w:vAlign w:val="center"/>
          </w:tcPr>
          <w:p w:rsidR="002D7402" w:rsidRDefault="002D7402" w:rsidP="001D32F2">
            <w:pPr>
              <w:pStyle w:val="ListParagraph"/>
              <w:ind w:left="0"/>
              <w:rPr>
                <w:color w:val="000000"/>
                <w:szCs w:val="22"/>
              </w:rPr>
            </w:pPr>
          </w:p>
        </w:tc>
        <w:tc>
          <w:tcPr>
            <w:tcW w:w="5012" w:type="dxa"/>
            <w:tcBorders>
              <w:top w:val="single" w:sz="4" w:space="0" w:color="auto"/>
            </w:tcBorders>
            <w:shd w:val="clear" w:color="auto" w:fill="auto"/>
            <w:vAlign w:val="center"/>
          </w:tcPr>
          <w:p w:rsidR="002D7402" w:rsidRPr="00196760" w:rsidRDefault="002D7402" w:rsidP="001D32F2">
            <w:pPr>
              <w:pStyle w:val="ListParagraph"/>
              <w:ind w:left="0"/>
            </w:pPr>
            <w:r w:rsidRPr="00196760">
              <w:t xml:space="preserve">Branfman, Eric J. </w:t>
            </w:r>
          </w:p>
          <w:p w:rsidR="002D7402" w:rsidRPr="00FA46D6" w:rsidRDefault="002D7402" w:rsidP="001D32F2">
            <w:pPr>
              <w:pStyle w:val="ListParagraph"/>
              <w:ind w:left="0"/>
              <w:rPr>
                <w:szCs w:val="22"/>
              </w:rPr>
            </w:pPr>
            <w:r w:rsidRPr="00196760">
              <w:t>Partner, Morgan Lewis &amp; Bockius LLP</w:t>
            </w:r>
          </w:p>
        </w:tc>
        <w:tc>
          <w:tcPr>
            <w:tcW w:w="520" w:type="dxa"/>
            <w:tcBorders>
              <w:top w:val="single" w:sz="4" w:space="0" w:color="auto"/>
            </w:tcBorders>
            <w:shd w:val="clear" w:color="auto" w:fill="auto"/>
            <w:vAlign w:val="center"/>
          </w:tcPr>
          <w:p w:rsidR="002D7402" w:rsidRDefault="002D7402" w:rsidP="001D32F2">
            <w:pPr>
              <w:pStyle w:val="ListParagraph"/>
              <w:ind w:left="0"/>
              <w:jc w:val="center"/>
            </w:pPr>
            <w:r w:rsidRPr="00196760">
              <w:t>X</w:t>
            </w:r>
          </w:p>
        </w:tc>
        <w:tc>
          <w:tcPr>
            <w:tcW w:w="487" w:type="dxa"/>
            <w:tcBorders>
              <w:top w:val="single" w:sz="4" w:space="0" w:color="auto"/>
            </w:tcBorders>
            <w:shd w:val="clear" w:color="auto" w:fill="auto"/>
            <w:vAlign w:val="center"/>
          </w:tcPr>
          <w:p w:rsidR="002D7402" w:rsidRDefault="002D7402" w:rsidP="001D32F2">
            <w:pPr>
              <w:pStyle w:val="ListParagraph"/>
              <w:ind w:left="0"/>
              <w:jc w:val="center"/>
            </w:pPr>
            <w:r w:rsidRPr="00196760">
              <w:t>X</w:t>
            </w:r>
          </w:p>
        </w:tc>
      </w:tr>
      <w:tr w:rsidR="002D7402" w:rsidTr="00D30EC1">
        <w:tc>
          <w:tcPr>
            <w:tcW w:w="3223" w:type="dxa"/>
            <w:vMerge/>
            <w:shd w:val="clear" w:color="auto" w:fill="auto"/>
            <w:vAlign w:val="center"/>
          </w:tcPr>
          <w:p w:rsidR="002D7402" w:rsidRDefault="002D7402" w:rsidP="001D32F2">
            <w:pPr>
              <w:pStyle w:val="ListParagraph"/>
              <w:ind w:left="0"/>
              <w:rPr>
                <w:color w:val="000000"/>
                <w:szCs w:val="22"/>
              </w:rPr>
            </w:pPr>
          </w:p>
        </w:tc>
        <w:tc>
          <w:tcPr>
            <w:tcW w:w="5012" w:type="dxa"/>
            <w:tcBorders>
              <w:top w:val="single" w:sz="4" w:space="0" w:color="auto"/>
            </w:tcBorders>
            <w:shd w:val="clear" w:color="auto" w:fill="auto"/>
            <w:vAlign w:val="center"/>
          </w:tcPr>
          <w:p w:rsidR="002D7402" w:rsidRPr="00196760" w:rsidRDefault="002D7402" w:rsidP="001D32F2">
            <w:pPr>
              <w:pStyle w:val="ListParagraph"/>
              <w:ind w:left="0"/>
            </w:pPr>
            <w:r w:rsidRPr="00196760">
              <w:t xml:space="preserve">Britt, M. Renee </w:t>
            </w:r>
          </w:p>
          <w:p w:rsidR="002D7402" w:rsidRPr="00FA46D6" w:rsidRDefault="002D7402" w:rsidP="001D32F2">
            <w:pPr>
              <w:pStyle w:val="ListParagraph"/>
              <w:ind w:left="0"/>
              <w:rPr>
                <w:szCs w:val="22"/>
              </w:rPr>
            </w:pPr>
            <w:r w:rsidRPr="00196760">
              <w:t>Senior Paralegal, Morgan Lewis &amp; Bockius LLP</w:t>
            </w:r>
          </w:p>
        </w:tc>
        <w:tc>
          <w:tcPr>
            <w:tcW w:w="520" w:type="dxa"/>
            <w:tcBorders>
              <w:top w:val="single" w:sz="4" w:space="0" w:color="auto"/>
            </w:tcBorders>
            <w:shd w:val="clear" w:color="auto" w:fill="auto"/>
            <w:vAlign w:val="center"/>
          </w:tcPr>
          <w:p w:rsidR="002D7402" w:rsidRDefault="002D7402" w:rsidP="001D32F2">
            <w:pPr>
              <w:pStyle w:val="ListParagraph"/>
              <w:ind w:left="0"/>
              <w:jc w:val="center"/>
            </w:pPr>
            <w:r w:rsidRPr="00196760">
              <w:t>X</w:t>
            </w:r>
          </w:p>
        </w:tc>
        <w:tc>
          <w:tcPr>
            <w:tcW w:w="487" w:type="dxa"/>
            <w:tcBorders>
              <w:top w:val="single" w:sz="4" w:space="0" w:color="auto"/>
            </w:tcBorders>
            <w:shd w:val="clear" w:color="auto" w:fill="auto"/>
            <w:vAlign w:val="center"/>
          </w:tcPr>
          <w:p w:rsidR="002D7402" w:rsidRDefault="002D7402" w:rsidP="001D32F2">
            <w:pPr>
              <w:pStyle w:val="ListParagraph"/>
              <w:ind w:left="0"/>
              <w:jc w:val="center"/>
            </w:pPr>
            <w:r w:rsidRPr="00196760">
              <w:t>X</w:t>
            </w:r>
          </w:p>
        </w:tc>
      </w:tr>
      <w:tr w:rsidR="002D7402" w:rsidTr="00AB4B3A">
        <w:tc>
          <w:tcPr>
            <w:tcW w:w="3223" w:type="dxa"/>
            <w:vMerge/>
            <w:tcBorders>
              <w:bottom w:val="double" w:sz="4" w:space="0" w:color="auto"/>
            </w:tcBorders>
            <w:shd w:val="clear" w:color="auto" w:fill="auto"/>
            <w:vAlign w:val="center"/>
          </w:tcPr>
          <w:p w:rsidR="002D7402" w:rsidRDefault="002D7402" w:rsidP="001D32F2">
            <w:pPr>
              <w:pStyle w:val="ListParagraph"/>
              <w:ind w:left="0"/>
              <w:rPr>
                <w:color w:val="000000"/>
                <w:szCs w:val="22"/>
              </w:rPr>
            </w:pPr>
          </w:p>
        </w:tc>
        <w:tc>
          <w:tcPr>
            <w:tcW w:w="5012" w:type="dxa"/>
            <w:tcBorders>
              <w:top w:val="single" w:sz="4" w:space="0" w:color="auto"/>
              <w:bottom w:val="double" w:sz="4" w:space="0" w:color="auto"/>
            </w:tcBorders>
            <w:shd w:val="clear" w:color="auto" w:fill="auto"/>
            <w:vAlign w:val="center"/>
          </w:tcPr>
          <w:p w:rsidR="002D7402" w:rsidRPr="00196760" w:rsidRDefault="002D7402" w:rsidP="001D32F2">
            <w:pPr>
              <w:pStyle w:val="ListParagraph"/>
              <w:ind w:left="0"/>
            </w:pPr>
            <w:r w:rsidRPr="00196760">
              <w:t xml:space="preserve">Finn, Tamar E. </w:t>
            </w:r>
          </w:p>
          <w:p w:rsidR="002D7402" w:rsidRPr="00FA46D6" w:rsidRDefault="002D7402" w:rsidP="001D32F2">
            <w:pPr>
              <w:pStyle w:val="ListParagraph"/>
              <w:ind w:left="0"/>
              <w:rPr>
                <w:szCs w:val="22"/>
              </w:rPr>
            </w:pPr>
            <w:r w:rsidRPr="00196760">
              <w:t>Partner, Morgan Lewis &amp; Bockius LLP</w:t>
            </w:r>
          </w:p>
        </w:tc>
        <w:tc>
          <w:tcPr>
            <w:tcW w:w="520" w:type="dxa"/>
            <w:tcBorders>
              <w:top w:val="single" w:sz="4" w:space="0" w:color="auto"/>
              <w:bottom w:val="double" w:sz="4" w:space="0" w:color="auto"/>
            </w:tcBorders>
            <w:shd w:val="clear" w:color="auto" w:fill="auto"/>
            <w:vAlign w:val="center"/>
          </w:tcPr>
          <w:p w:rsidR="002D7402" w:rsidRDefault="002D7402" w:rsidP="001D32F2">
            <w:pPr>
              <w:pStyle w:val="ListParagraph"/>
              <w:ind w:left="0"/>
              <w:jc w:val="center"/>
            </w:pPr>
            <w:r w:rsidRPr="00196760">
              <w:t>X</w:t>
            </w:r>
          </w:p>
        </w:tc>
        <w:tc>
          <w:tcPr>
            <w:tcW w:w="487" w:type="dxa"/>
            <w:tcBorders>
              <w:top w:val="single" w:sz="4" w:space="0" w:color="auto"/>
              <w:bottom w:val="double" w:sz="4" w:space="0" w:color="auto"/>
            </w:tcBorders>
            <w:shd w:val="clear" w:color="auto" w:fill="auto"/>
            <w:vAlign w:val="center"/>
          </w:tcPr>
          <w:p w:rsidR="002D7402" w:rsidRDefault="002D7402" w:rsidP="001D32F2">
            <w:pPr>
              <w:pStyle w:val="ListParagraph"/>
              <w:ind w:left="0"/>
              <w:jc w:val="center"/>
            </w:pPr>
            <w:r w:rsidRPr="00196760">
              <w:t>X</w:t>
            </w:r>
          </w:p>
        </w:tc>
      </w:tr>
    </w:tbl>
    <w:p w:rsidR="002D7402" w:rsidRDefault="002D7402" w:rsidP="002D7402">
      <w:pPr>
        <w:pStyle w:val="NoSpacing"/>
      </w:pPr>
    </w:p>
    <w:p w:rsidR="002D7402" w:rsidRDefault="002D7402" w:rsidP="002D7402">
      <w:pPr>
        <w:pStyle w:val="NoSpacing"/>
      </w:pPr>
      <w:r w:rsidRPr="00A072A0">
        <w:t xml:space="preserve">  </w:t>
      </w:r>
    </w:p>
    <w:p w:rsidR="002D7402" w:rsidRDefault="002D7402" w:rsidP="002D7402">
      <w:pPr>
        <w:pStyle w:val="NoSpacing"/>
      </w:pPr>
    </w:p>
    <w:p w:rsidR="002D7402" w:rsidRDefault="002D7402" w:rsidP="002D7402">
      <w:pPr>
        <w:pStyle w:val="NoSpacing"/>
      </w:pPr>
      <w:r>
        <w:t xml:space="preserve">  </w:t>
      </w:r>
    </w:p>
    <w:p w:rsidR="002D7402" w:rsidRPr="00D530BD" w:rsidRDefault="002D7402" w:rsidP="002D7402">
      <w:pPr>
        <w:pStyle w:val="NoSpacing"/>
      </w:pPr>
    </w:p>
    <w:p w:rsidR="00435770" w:rsidRDefault="00435770">
      <w:pPr>
        <w:widowControl/>
        <w:rPr>
          <w:b/>
        </w:rPr>
      </w:pPr>
      <w:r>
        <w:rPr>
          <w:b/>
        </w:rPr>
        <w:br w:type="page"/>
      </w:r>
    </w:p>
    <w:p w:rsidR="00D21A9A" w:rsidRPr="000A4C87" w:rsidRDefault="00D64732" w:rsidP="00D21A9A">
      <w:pPr>
        <w:pStyle w:val="NoSpacing"/>
        <w:jc w:val="center"/>
        <w:rPr>
          <w:rFonts w:ascii="Times New Roman" w:hAnsi="Times New Roman" w:cs="Times New Roman"/>
          <w:b/>
        </w:rPr>
      </w:pPr>
      <w:r>
        <w:rPr>
          <w:rFonts w:ascii="Times New Roman" w:hAnsi="Times New Roman" w:cs="Times New Roman"/>
          <w:b/>
        </w:rPr>
        <w:t>A</w:t>
      </w:r>
      <w:r w:rsidR="00296C40">
        <w:rPr>
          <w:rFonts w:ascii="Times New Roman" w:hAnsi="Times New Roman" w:cs="Times New Roman"/>
          <w:b/>
        </w:rPr>
        <w:t>PPENDIX</w:t>
      </w:r>
      <w:r>
        <w:rPr>
          <w:rFonts w:ascii="Times New Roman" w:hAnsi="Times New Roman" w:cs="Times New Roman"/>
          <w:b/>
        </w:rPr>
        <w:t xml:space="preserve"> 2</w:t>
      </w:r>
    </w:p>
    <w:p w:rsidR="00D21A9A" w:rsidRPr="000A4C87" w:rsidRDefault="00D21A9A" w:rsidP="00D21A9A">
      <w:pPr>
        <w:pStyle w:val="NoSpacing"/>
        <w:jc w:val="center"/>
        <w:rPr>
          <w:rFonts w:ascii="Times New Roman" w:hAnsi="Times New Roman" w:cs="Times New Roman"/>
        </w:rPr>
      </w:pPr>
    </w:p>
    <w:p w:rsidR="00D21A9A" w:rsidRPr="000A4C87" w:rsidRDefault="00ED0529" w:rsidP="00D21A9A">
      <w:pPr>
        <w:pStyle w:val="NoSpacing"/>
        <w:jc w:val="center"/>
        <w:rPr>
          <w:rFonts w:ascii="Times New Roman" w:hAnsi="Times New Roman" w:cs="Times New Roman"/>
          <w:b/>
        </w:rPr>
      </w:pPr>
      <w:r>
        <w:rPr>
          <w:rFonts w:ascii="Times New Roman" w:hAnsi="Times New Roman" w:cs="Times New Roman"/>
          <w:b/>
        </w:rPr>
        <w:t>Modified</w:t>
      </w:r>
      <w:r w:rsidRPr="000A4C87">
        <w:rPr>
          <w:rFonts w:ascii="Times New Roman" w:hAnsi="Times New Roman" w:cs="Times New Roman"/>
          <w:b/>
        </w:rPr>
        <w:t xml:space="preserve"> </w:t>
      </w:r>
      <w:r w:rsidR="00D21A9A" w:rsidRPr="000A4C87">
        <w:rPr>
          <w:rFonts w:ascii="Times New Roman" w:hAnsi="Times New Roman" w:cs="Times New Roman"/>
          <w:b/>
        </w:rPr>
        <w:t>Data Tables and Fields</w:t>
      </w:r>
    </w:p>
    <w:p w:rsidR="00D21A9A" w:rsidRPr="000A4C87" w:rsidRDefault="00D21A9A" w:rsidP="00D21A9A">
      <w:pPr>
        <w:pStyle w:val="NoSpacing"/>
        <w:jc w:val="center"/>
        <w:rPr>
          <w:rFonts w:ascii="Times New Roman" w:hAnsi="Times New Roman" w:cs="Times New Roman"/>
          <w:b/>
        </w:rPr>
      </w:pPr>
    </w:p>
    <w:tbl>
      <w:tblPr>
        <w:tblStyle w:val="TableGrid"/>
        <w:tblW w:w="0" w:type="auto"/>
        <w:tblLook w:val="04A0" w:firstRow="1" w:lastRow="0" w:firstColumn="1" w:lastColumn="0" w:noHBand="0" w:noVBand="1"/>
      </w:tblPr>
      <w:tblGrid>
        <w:gridCol w:w="3174"/>
        <w:gridCol w:w="6373"/>
      </w:tblGrid>
      <w:tr w:rsidR="00D21A9A" w:rsidRPr="0017332C" w:rsidTr="009A7079">
        <w:trPr>
          <w:tblHeader/>
        </w:trPr>
        <w:tc>
          <w:tcPr>
            <w:tcW w:w="2977" w:type="dxa"/>
          </w:tcPr>
          <w:p w:rsidR="00D21A9A" w:rsidRPr="0017332C" w:rsidRDefault="00D21A9A" w:rsidP="009A7079">
            <w:pPr>
              <w:widowControl/>
              <w:rPr>
                <w:b/>
                <w:snapToGrid/>
                <w:kern w:val="0"/>
                <w:szCs w:val="22"/>
              </w:rPr>
            </w:pPr>
            <w:r w:rsidRPr="0017332C">
              <w:rPr>
                <w:b/>
                <w:snapToGrid/>
                <w:kern w:val="0"/>
                <w:szCs w:val="22"/>
              </w:rPr>
              <w:t>Table Name</w:t>
            </w:r>
            <w:r>
              <w:rPr>
                <w:b/>
                <w:snapToGrid/>
                <w:kern w:val="0"/>
                <w:szCs w:val="22"/>
              </w:rPr>
              <w:t>*</w:t>
            </w:r>
          </w:p>
        </w:tc>
        <w:tc>
          <w:tcPr>
            <w:tcW w:w="6373" w:type="dxa"/>
          </w:tcPr>
          <w:p w:rsidR="00D21A9A" w:rsidRPr="0017332C" w:rsidRDefault="00D21A9A" w:rsidP="009A7079">
            <w:pPr>
              <w:widowControl/>
              <w:rPr>
                <w:b/>
                <w:snapToGrid/>
                <w:kern w:val="0"/>
                <w:szCs w:val="22"/>
              </w:rPr>
            </w:pPr>
            <w:r w:rsidRPr="0017332C">
              <w:rPr>
                <w:b/>
                <w:snapToGrid/>
                <w:kern w:val="0"/>
                <w:szCs w:val="22"/>
              </w:rPr>
              <w:t>Description of Change</w:t>
            </w:r>
          </w:p>
        </w:tc>
      </w:tr>
      <w:tr w:rsidR="00D21A9A" w:rsidRPr="0017332C" w:rsidTr="009A7079">
        <w:tc>
          <w:tcPr>
            <w:tcW w:w="2977" w:type="dxa"/>
          </w:tcPr>
          <w:p w:rsidR="00D21A9A" w:rsidRPr="0017332C" w:rsidRDefault="00D21A9A" w:rsidP="009A7079">
            <w:pPr>
              <w:widowControl/>
              <w:rPr>
                <w:snapToGrid/>
                <w:kern w:val="0"/>
                <w:szCs w:val="22"/>
              </w:rPr>
            </w:pPr>
            <w:r w:rsidRPr="0017332C">
              <w:rPr>
                <w:snapToGrid/>
                <w:kern w:val="0"/>
                <w:szCs w:val="22"/>
              </w:rPr>
              <w:t>IIA4_CP_LOCATION_DATA</w:t>
            </w:r>
          </w:p>
        </w:tc>
        <w:tc>
          <w:tcPr>
            <w:tcW w:w="6373" w:type="dxa"/>
          </w:tcPr>
          <w:p w:rsidR="00D21A9A" w:rsidRPr="0017332C" w:rsidRDefault="00D21A9A" w:rsidP="009A7079">
            <w:pPr>
              <w:widowControl/>
              <w:rPr>
                <w:snapToGrid/>
                <w:kern w:val="0"/>
                <w:szCs w:val="22"/>
              </w:rPr>
            </w:pPr>
            <w:r w:rsidRPr="0017332C">
              <w:rPr>
                <w:snapToGrid/>
                <w:kern w:val="0"/>
                <w:szCs w:val="22"/>
              </w:rPr>
              <w:t xml:space="preserve">For following fields, </w:t>
            </w:r>
            <w:r>
              <w:rPr>
                <w:snapToGrid/>
                <w:kern w:val="0"/>
                <w:szCs w:val="22"/>
              </w:rPr>
              <w:t xml:space="preserve">bandwidth amounts less than </w:t>
            </w:r>
            <w:r w:rsidRPr="0017332C">
              <w:rPr>
                <w:snapToGrid/>
                <w:kern w:val="0"/>
                <w:szCs w:val="22"/>
              </w:rPr>
              <w:t>1</w:t>
            </w:r>
            <w:r>
              <w:rPr>
                <w:snapToGrid/>
                <w:kern w:val="0"/>
                <w:szCs w:val="22"/>
              </w:rPr>
              <w:t xml:space="preserve"> </w:t>
            </w:r>
            <w:r w:rsidRPr="0017332C">
              <w:rPr>
                <w:snapToGrid/>
                <w:kern w:val="0"/>
                <w:szCs w:val="22"/>
              </w:rPr>
              <w:t>G</w:t>
            </w:r>
            <w:r>
              <w:rPr>
                <w:snapToGrid/>
                <w:kern w:val="0"/>
                <w:szCs w:val="22"/>
              </w:rPr>
              <w:t>igabit (GB)</w:t>
            </w:r>
            <w:r w:rsidRPr="0017332C">
              <w:rPr>
                <w:snapToGrid/>
                <w:kern w:val="0"/>
                <w:szCs w:val="22"/>
              </w:rPr>
              <w:t xml:space="preserve"> denoted as such:  Sold_bandwidth_total, Sold_bandwidth_enduser, Sold_bandwidth_tfw, Sold_bandwidth_Mobile, and Bandwidth_Internal</w:t>
            </w:r>
          </w:p>
        </w:tc>
      </w:tr>
      <w:tr w:rsidR="00D21A9A" w:rsidRPr="0017332C" w:rsidTr="009A7079">
        <w:tc>
          <w:tcPr>
            <w:tcW w:w="2977" w:type="dxa"/>
          </w:tcPr>
          <w:p w:rsidR="00D21A9A" w:rsidRPr="0017332C" w:rsidRDefault="00D21A9A" w:rsidP="009A7079">
            <w:pPr>
              <w:widowControl/>
              <w:rPr>
                <w:snapToGrid/>
                <w:kern w:val="0"/>
                <w:szCs w:val="22"/>
              </w:rPr>
            </w:pPr>
            <w:r w:rsidRPr="0017332C">
              <w:rPr>
                <w:snapToGrid/>
                <w:kern w:val="0"/>
                <w:szCs w:val="22"/>
              </w:rPr>
              <w:t>IIA7_CP_COLOC_WIRE</w:t>
            </w:r>
          </w:p>
        </w:tc>
        <w:tc>
          <w:tcPr>
            <w:tcW w:w="6373" w:type="dxa"/>
          </w:tcPr>
          <w:p w:rsidR="00D21A9A" w:rsidRPr="0017332C" w:rsidRDefault="00D21A9A" w:rsidP="009A7079">
            <w:pPr>
              <w:widowControl/>
              <w:rPr>
                <w:snapToGrid/>
                <w:kern w:val="0"/>
                <w:szCs w:val="22"/>
              </w:rPr>
            </w:pPr>
            <w:r>
              <w:rPr>
                <w:snapToGrid/>
                <w:kern w:val="0"/>
                <w:szCs w:val="22"/>
              </w:rPr>
              <w:t>The following fields were removed from the data set</w:t>
            </w:r>
            <w:r w:rsidRPr="0017332C">
              <w:rPr>
                <w:snapToGrid/>
                <w:kern w:val="0"/>
                <w:szCs w:val="22"/>
              </w:rPr>
              <w:t>:  Stre</w:t>
            </w:r>
            <w:r>
              <w:rPr>
                <w:snapToGrid/>
                <w:kern w:val="0"/>
                <w:szCs w:val="22"/>
              </w:rPr>
              <w:t>et_address, ZIP4, Lat, and Long</w:t>
            </w:r>
          </w:p>
          <w:p w:rsidR="00D21A9A" w:rsidRPr="0017332C" w:rsidRDefault="00D21A9A" w:rsidP="009A7079">
            <w:pPr>
              <w:widowControl/>
              <w:rPr>
                <w:snapToGrid/>
                <w:kern w:val="0"/>
                <w:szCs w:val="22"/>
              </w:rPr>
            </w:pPr>
          </w:p>
          <w:p w:rsidR="00D21A9A" w:rsidRPr="0017332C" w:rsidRDefault="00D21A9A" w:rsidP="009A7079">
            <w:pPr>
              <w:widowControl/>
              <w:rPr>
                <w:snapToGrid/>
                <w:kern w:val="0"/>
                <w:szCs w:val="22"/>
              </w:rPr>
            </w:pPr>
            <w:r w:rsidRPr="0017332C">
              <w:rPr>
                <w:snapToGrid/>
                <w:kern w:val="0"/>
                <w:szCs w:val="22"/>
              </w:rPr>
              <w:t>Masked following field:  CLLI</w:t>
            </w:r>
          </w:p>
        </w:tc>
      </w:tr>
      <w:tr w:rsidR="00D21A9A" w:rsidRPr="0017332C" w:rsidTr="009A7079">
        <w:tc>
          <w:tcPr>
            <w:tcW w:w="2977" w:type="dxa"/>
          </w:tcPr>
          <w:p w:rsidR="00D21A9A" w:rsidRPr="0017332C" w:rsidRDefault="00D21A9A" w:rsidP="009A7079">
            <w:pPr>
              <w:widowControl/>
              <w:rPr>
                <w:snapToGrid/>
                <w:kern w:val="0"/>
                <w:szCs w:val="22"/>
              </w:rPr>
            </w:pPr>
            <w:r w:rsidRPr="0017332C">
              <w:rPr>
                <w:snapToGrid/>
                <w:kern w:val="0"/>
                <w:szCs w:val="22"/>
              </w:rPr>
              <w:t>IA12_CP_PRICE_CE_PART1</w:t>
            </w:r>
          </w:p>
        </w:tc>
        <w:tc>
          <w:tcPr>
            <w:tcW w:w="6373" w:type="dxa"/>
          </w:tcPr>
          <w:p w:rsidR="00D21A9A" w:rsidRPr="0017332C" w:rsidRDefault="00D21A9A" w:rsidP="009A7079">
            <w:pPr>
              <w:widowControl/>
              <w:rPr>
                <w:snapToGrid/>
                <w:kern w:val="0"/>
                <w:szCs w:val="22"/>
              </w:rPr>
            </w:pPr>
            <w:r w:rsidRPr="0017332C">
              <w:rPr>
                <w:snapToGrid/>
                <w:kern w:val="0"/>
                <w:szCs w:val="22"/>
              </w:rPr>
              <w:t>Masked following fields:  Customer_ID, Circuit_ID, Billing_Code</w:t>
            </w:r>
          </w:p>
          <w:p w:rsidR="00D21A9A" w:rsidRPr="0017332C" w:rsidRDefault="00D21A9A" w:rsidP="009A7079">
            <w:pPr>
              <w:widowControl/>
              <w:rPr>
                <w:snapToGrid/>
                <w:kern w:val="0"/>
                <w:szCs w:val="22"/>
              </w:rPr>
            </w:pPr>
          </w:p>
          <w:p w:rsidR="00D21A9A" w:rsidRPr="0017332C" w:rsidRDefault="00D21A9A" w:rsidP="009A7079">
            <w:pPr>
              <w:widowControl/>
              <w:rPr>
                <w:snapToGrid/>
                <w:kern w:val="0"/>
                <w:szCs w:val="22"/>
              </w:rPr>
            </w:pPr>
            <w:r w:rsidRPr="0017332C">
              <w:rPr>
                <w:snapToGrid/>
                <w:kern w:val="0"/>
                <w:szCs w:val="22"/>
              </w:rPr>
              <w:t>For following fields</w:t>
            </w:r>
            <w:r w:rsidRPr="00201CD5">
              <w:rPr>
                <w:snapToGrid/>
                <w:kern w:val="0"/>
                <w:szCs w:val="22"/>
              </w:rPr>
              <w:t xml:space="preserve"> bandwidth amounts less than 1 Gigab</w:t>
            </w:r>
            <w:r>
              <w:rPr>
                <w:snapToGrid/>
                <w:kern w:val="0"/>
                <w:szCs w:val="22"/>
              </w:rPr>
              <w:t>it</w:t>
            </w:r>
            <w:r w:rsidRPr="00201CD5">
              <w:rPr>
                <w:snapToGrid/>
                <w:kern w:val="0"/>
                <w:szCs w:val="22"/>
              </w:rPr>
              <w:t xml:space="preserve"> (GB) denoted as such: </w:t>
            </w:r>
            <w:r w:rsidRPr="0017332C">
              <w:rPr>
                <w:snapToGrid/>
                <w:kern w:val="0"/>
                <w:szCs w:val="22"/>
              </w:rPr>
              <w:t>DSn_Bandwidth, OtherCBDS_Bandwidth, and PBDS_Bandwidth</w:t>
            </w:r>
          </w:p>
        </w:tc>
      </w:tr>
      <w:tr w:rsidR="00D21A9A" w:rsidRPr="0017332C" w:rsidTr="009A7079">
        <w:tc>
          <w:tcPr>
            <w:tcW w:w="2977" w:type="dxa"/>
          </w:tcPr>
          <w:p w:rsidR="00D21A9A" w:rsidRPr="0017332C" w:rsidRDefault="00D21A9A" w:rsidP="009A7079">
            <w:pPr>
              <w:widowControl/>
              <w:rPr>
                <w:snapToGrid/>
                <w:kern w:val="0"/>
                <w:szCs w:val="22"/>
              </w:rPr>
            </w:pPr>
            <w:r w:rsidRPr="0017332C">
              <w:rPr>
                <w:snapToGrid/>
                <w:kern w:val="0"/>
                <w:szCs w:val="22"/>
              </w:rPr>
              <w:t>IIA12_CP_ID_PURC_PART2</w:t>
            </w:r>
          </w:p>
        </w:tc>
        <w:tc>
          <w:tcPr>
            <w:tcW w:w="6373" w:type="dxa"/>
          </w:tcPr>
          <w:p w:rsidR="00D21A9A" w:rsidRPr="0017332C" w:rsidRDefault="00D21A9A">
            <w:pPr>
              <w:widowControl/>
              <w:rPr>
                <w:snapToGrid/>
                <w:kern w:val="0"/>
                <w:szCs w:val="22"/>
              </w:rPr>
            </w:pPr>
            <w:r w:rsidRPr="0017332C">
              <w:rPr>
                <w:snapToGrid/>
                <w:kern w:val="0"/>
                <w:szCs w:val="22"/>
              </w:rPr>
              <w:t xml:space="preserve">Dropped table from the </w:t>
            </w:r>
            <w:r w:rsidR="00E06D2E">
              <w:rPr>
                <w:snapToGrid/>
                <w:kern w:val="0"/>
                <w:szCs w:val="22"/>
              </w:rPr>
              <w:t xml:space="preserve">data </w:t>
            </w:r>
            <w:r w:rsidRPr="0017332C">
              <w:rPr>
                <w:snapToGrid/>
                <w:kern w:val="0"/>
                <w:szCs w:val="22"/>
              </w:rPr>
              <w:t>set</w:t>
            </w:r>
          </w:p>
        </w:tc>
      </w:tr>
      <w:tr w:rsidR="00D21A9A" w:rsidRPr="0017332C" w:rsidTr="009A7079">
        <w:tc>
          <w:tcPr>
            <w:tcW w:w="2977" w:type="dxa"/>
          </w:tcPr>
          <w:p w:rsidR="00D21A9A" w:rsidRPr="0017332C" w:rsidRDefault="00D21A9A" w:rsidP="009A7079">
            <w:pPr>
              <w:widowControl/>
              <w:rPr>
                <w:snapToGrid/>
                <w:kern w:val="0"/>
                <w:szCs w:val="22"/>
              </w:rPr>
            </w:pPr>
            <w:r w:rsidRPr="0017332C">
              <w:rPr>
                <w:snapToGrid/>
                <w:kern w:val="0"/>
                <w:szCs w:val="22"/>
              </w:rPr>
              <w:t>IIB3_ILEC_LOCATION_DATA</w:t>
            </w:r>
          </w:p>
        </w:tc>
        <w:tc>
          <w:tcPr>
            <w:tcW w:w="6373" w:type="dxa"/>
          </w:tcPr>
          <w:p w:rsidR="00D21A9A" w:rsidRPr="0017332C" w:rsidRDefault="00D21A9A" w:rsidP="009A7079">
            <w:pPr>
              <w:widowControl/>
              <w:rPr>
                <w:snapToGrid/>
                <w:kern w:val="0"/>
                <w:szCs w:val="22"/>
              </w:rPr>
            </w:pPr>
            <w:r w:rsidRPr="0017332C">
              <w:rPr>
                <w:snapToGrid/>
                <w:kern w:val="0"/>
                <w:szCs w:val="22"/>
              </w:rPr>
              <w:t>For following fields, bandwidth amounts less than 1 Gigab</w:t>
            </w:r>
            <w:r>
              <w:rPr>
                <w:snapToGrid/>
                <w:kern w:val="0"/>
                <w:szCs w:val="22"/>
              </w:rPr>
              <w:t xml:space="preserve">it </w:t>
            </w:r>
            <w:r w:rsidRPr="0017332C">
              <w:rPr>
                <w:snapToGrid/>
                <w:kern w:val="0"/>
                <w:szCs w:val="22"/>
              </w:rPr>
              <w:t>(GB) denoted as such: Sold_bandwidth_total, Sold_bandwidth_enduser, Sold_bandwidth_tfw, and Sold_bandwidth_Mobile</w:t>
            </w:r>
          </w:p>
        </w:tc>
      </w:tr>
      <w:tr w:rsidR="00D21A9A" w:rsidRPr="0017332C" w:rsidTr="009A7079">
        <w:tc>
          <w:tcPr>
            <w:tcW w:w="2977" w:type="dxa"/>
          </w:tcPr>
          <w:p w:rsidR="00D21A9A" w:rsidRPr="0017332C" w:rsidRDefault="00D21A9A" w:rsidP="009A7079">
            <w:pPr>
              <w:widowControl/>
              <w:rPr>
                <w:snapToGrid/>
                <w:kern w:val="0"/>
                <w:szCs w:val="22"/>
              </w:rPr>
            </w:pPr>
            <w:r w:rsidRPr="0017332C">
              <w:rPr>
                <w:snapToGrid/>
                <w:kern w:val="0"/>
                <w:szCs w:val="22"/>
              </w:rPr>
              <w:t>IIB4_ILEC_PRICE_CE_PART1</w:t>
            </w:r>
          </w:p>
        </w:tc>
        <w:tc>
          <w:tcPr>
            <w:tcW w:w="6373" w:type="dxa"/>
          </w:tcPr>
          <w:p w:rsidR="00D21A9A" w:rsidRPr="0017332C" w:rsidRDefault="00D21A9A" w:rsidP="009A7079">
            <w:pPr>
              <w:widowControl/>
              <w:rPr>
                <w:snapToGrid/>
                <w:kern w:val="0"/>
                <w:szCs w:val="22"/>
              </w:rPr>
            </w:pPr>
            <w:r w:rsidRPr="0017332C">
              <w:rPr>
                <w:snapToGrid/>
                <w:kern w:val="0"/>
                <w:szCs w:val="22"/>
              </w:rPr>
              <w:t>Masked following fields:  Customer_ID, Circuit_ID, Billing_Code</w:t>
            </w:r>
          </w:p>
          <w:p w:rsidR="00D21A9A" w:rsidRPr="0017332C" w:rsidRDefault="00D21A9A" w:rsidP="009A7079">
            <w:pPr>
              <w:widowControl/>
              <w:rPr>
                <w:snapToGrid/>
                <w:kern w:val="0"/>
                <w:szCs w:val="22"/>
              </w:rPr>
            </w:pPr>
          </w:p>
          <w:p w:rsidR="00D21A9A" w:rsidRPr="0017332C" w:rsidRDefault="00D21A9A" w:rsidP="009A7079">
            <w:pPr>
              <w:widowControl/>
              <w:rPr>
                <w:snapToGrid/>
                <w:kern w:val="0"/>
                <w:szCs w:val="22"/>
              </w:rPr>
            </w:pPr>
            <w:r w:rsidRPr="0017332C">
              <w:rPr>
                <w:snapToGrid/>
                <w:kern w:val="0"/>
                <w:szCs w:val="22"/>
              </w:rPr>
              <w:t>For following fields, bandwidth amounts less than 1 Gigab</w:t>
            </w:r>
            <w:r>
              <w:rPr>
                <w:snapToGrid/>
                <w:kern w:val="0"/>
                <w:szCs w:val="22"/>
              </w:rPr>
              <w:t>it</w:t>
            </w:r>
            <w:r w:rsidRPr="0017332C">
              <w:rPr>
                <w:snapToGrid/>
                <w:kern w:val="0"/>
                <w:szCs w:val="22"/>
              </w:rPr>
              <w:t xml:space="preserve"> (GB) denoted as such: DSn_Bandwidth, OtherCBDS_Bandwidth, and PBDS_Bandwidth</w:t>
            </w:r>
          </w:p>
          <w:p w:rsidR="00D21A9A" w:rsidRPr="0017332C" w:rsidRDefault="00D21A9A" w:rsidP="009A7079">
            <w:pPr>
              <w:widowControl/>
              <w:rPr>
                <w:snapToGrid/>
                <w:kern w:val="0"/>
                <w:szCs w:val="22"/>
              </w:rPr>
            </w:pPr>
          </w:p>
          <w:p w:rsidR="00D21A9A" w:rsidRPr="0017332C" w:rsidRDefault="00D21A9A" w:rsidP="009A7079">
            <w:pPr>
              <w:widowControl/>
              <w:rPr>
                <w:snapToGrid/>
                <w:kern w:val="0"/>
                <w:szCs w:val="22"/>
              </w:rPr>
            </w:pPr>
            <w:r w:rsidRPr="0017332C">
              <w:rPr>
                <w:snapToGrid/>
                <w:kern w:val="0"/>
                <w:szCs w:val="22"/>
              </w:rPr>
              <w:t>Masked CLLI codes referenced in following fields:  MRP1 and MRP2</w:t>
            </w:r>
          </w:p>
          <w:p w:rsidR="00D21A9A" w:rsidRPr="0017332C" w:rsidRDefault="00D21A9A" w:rsidP="009A7079">
            <w:pPr>
              <w:widowControl/>
              <w:rPr>
                <w:snapToGrid/>
                <w:kern w:val="0"/>
                <w:szCs w:val="22"/>
              </w:rPr>
            </w:pPr>
          </w:p>
          <w:p w:rsidR="00D21A9A" w:rsidRPr="0017332C" w:rsidRDefault="00D21A9A" w:rsidP="009A7079">
            <w:pPr>
              <w:widowControl/>
              <w:rPr>
                <w:snapToGrid/>
                <w:kern w:val="0"/>
                <w:szCs w:val="22"/>
              </w:rPr>
            </w:pPr>
            <w:r w:rsidRPr="0017332C">
              <w:rPr>
                <w:snapToGrid/>
                <w:kern w:val="0"/>
                <w:szCs w:val="22"/>
              </w:rPr>
              <w:t>Dropped following fields:  MRP1_Lat,</w:t>
            </w:r>
            <w:r w:rsidR="00C178C4">
              <w:rPr>
                <w:snapToGrid/>
                <w:kern w:val="0"/>
                <w:szCs w:val="22"/>
              </w:rPr>
              <w:t xml:space="preserve"> MRP1_Long, MRP2_Lat, MRP2_Long</w:t>
            </w:r>
            <w:r w:rsidRPr="0017332C">
              <w:rPr>
                <w:snapToGrid/>
                <w:kern w:val="0"/>
                <w:szCs w:val="22"/>
              </w:rPr>
              <w:t xml:space="preserve"> </w:t>
            </w:r>
          </w:p>
        </w:tc>
      </w:tr>
      <w:tr w:rsidR="00D21A9A" w:rsidRPr="0017332C" w:rsidTr="009A7079">
        <w:tc>
          <w:tcPr>
            <w:tcW w:w="2977" w:type="dxa"/>
          </w:tcPr>
          <w:p w:rsidR="00D21A9A" w:rsidRPr="0017332C" w:rsidRDefault="00D21A9A" w:rsidP="009A7079">
            <w:pPr>
              <w:widowControl/>
              <w:rPr>
                <w:snapToGrid/>
                <w:kern w:val="0"/>
                <w:szCs w:val="22"/>
              </w:rPr>
            </w:pPr>
            <w:r w:rsidRPr="0017332C">
              <w:rPr>
                <w:snapToGrid/>
                <w:kern w:val="0"/>
                <w:szCs w:val="22"/>
              </w:rPr>
              <w:t>IIB4_ILEC_PURC_ID_PART2</w:t>
            </w:r>
          </w:p>
        </w:tc>
        <w:tc>
          <w:tcPr>
            <w:tcW w:w="6373" w:type="dxa"/>
          </w:tcPr>
          <w:p w:rsidR="00D21A9A" w:rsidRPr="0017332C" w:rsidRDefault="00D21A9A">
            <w:pPr>
              <w:widowControl/>
              <w:rPr>
                <w:snapToGrid/>
                <w:kern w:val="0"/>
                <w:szCs w:val="22"/>
              </w:rPr>
            </w:pPr>
            <w:r w:rsidRPr="0017332C">
              <w:rPr>
                <w:snapToGrid/>
                <w:kern w:val="0"/>
                <w:szCs w:val="22"/>
              </w:rPr>
              <w:t xml:space="preserve">Dropped table from </w:t>
            </w:r>
            <w:r w:rsidR="00E06D2E">
              <w:rPr>
                <w:snapToGrid/>
                <w:kern w:val="0"/>
                <w:szCs w:val="22"/>
              </w:rPr>
              <w:t xml:space="preserve">the data </w:t>
            </w:r>
            <w:r w:rsidRPr="0017332C">
              <w:rPr>
                <w:snapToGrid/>
                <w:kern w:val="0"/>
                <w:szCs w:val="22"/>
              </w:rPr>
              <w:t>set</w:t>
            </w:r>
          </w:p>
        </w:tc>
      </w:tr>
      <w:tr w:rsidR="00D21A9A" w:rsidRPr="0017332C" w:rsidTr="009A7079">
        <w:tc>
          <w:tcPr>
            <w:tcW w:w="2977" w:type="dxa"/>
          </w:tcPr>
          <w:p w:rsidR="00D21A9A" w:rsidRPr="0017332C" w:rsidRDefault="00D21A9A" w:rsidP="009A7079">
            <w:pPr>
              <w:widowControl/>
              <w:rPr>
                <w:snapToGrid/>
                <w:kern w:val="0"/>
                <w:szCs w:val="22"/>
              </w:rPr>
            </w:pPr>
            <w:r w:rsidRPr="0017332C">
              <w:rPr>
                <w:snapToGrid/>
                <w:kern w:val="0"/>
                <w:szCs w:val="22"/>
              </w:rPr>
              <w:t>IIB7_ILEC_COLOC_WIRE</w:t>
            </w:r>
          </w:p>
        </w:tc>
        <w:tc>
          <w:tcPr>
            <w:tcW w:w="6373" w:type="dxa"/>
          </w:tcPr>
          <w:p w:rsidR="00D21A9A" w:rsidRPr="0017332C" w:rsidRDefault="00D21A9A" w:rsidP="009A7079">
            <w:pPr>
              <w:widowControl/>
              <w:rPr>
                <w:snapToGrid/>
                <w:kern w:val="0"/>
                <w:szCs w:val="22"/>
              </w:rPr>
            </w:pPr>
            <w:r w:rsidRPr="0017332C">
              <w:rPr>
                <w:snapToGrid/>
                <w:kern w:val="0"/>
                <w:szCs w:val="22"/>
              </w:rPr>
              <w:t>Dropped following fields:  Stre</w:t>
            </w:r>
            <w:r w:rsidR="00C178C4">
              <w:rPr>
                <w:snapToGrid/>
                <w:kern w:val="0"/>
                <w:szCs w:val="22"/>
              </w:rPr>
              <w:t>et_address, ZIP4, Lat, and Long</w:t>
            </w:r>
          </w:p>
          <w:p w:rsidR="00D21A9A" w:rsidRPr="0017332C" w:rsidRDefault="00D21A9A" w:rsidP="009A7079">
            <w:pPr>
              <w:widowControl/>
              <w:rPr>
                <w:snapToGrid/>
                <w:kern w:val="0"/>
                <w:szCs w:val="22"/>
              </w:rPr>
            </w:pPr>
          </w:p>
          <w:p w:rsidR="00D21A9A" w:rsidRPr="0017332C" w:rsidRDefault="00D21A9A" w:rsidP="009A7079">
            <w:pPr>
              <w:widowControl/>
              <w:rPr>
                <w:snapToGrid/>
                <w:kern w:val="0"/>
                <w:szCs w:val="22"/>
              </w:rPr>
            </w:pPr>
            <w:r w:rsidRPr="0017332C">
              <w:rPr>
                <w:snapToGrid/>
                <w:kern w:val="0"/>
                <w:szCs w:val="22"/>
              </w:rPr>
              <w:t>Masked following field:  CLLI</w:t>
            </w:r>
          </w:p>
        </w:tc>
      </w:tr>
    </w:tbl>
    <w:p w:rsidR="00D21A9A" w:rsidRPr="0017332C" w:rsidRDefault="00D21A9A" w:rsidP="00D21A9A">
      <w:pPr>
        <w:pStyle w:val="NoSpacing"/>
        <w:jc w:val="center"/>
        <w:rPr>
          <w:b/>
        </w:rPr>
      </w:pPr>
    </w:p>
    <w:p w:rsidR="003E6B0B" w:rsidRPr="003E6B0B" w:rsidRDefault="007E53F4" w:rsidP="000A4C87">
      <w:pPr>
        <w:pStyle w:val="ParaNum"/>
        <w:numPr>
          <w:ilvl w:val="0"/>
          <w:numId w:val="0"/>
        </w:numPr>
        <w:spacing w:after="0"/>
      </w:pPr>
      <w:r w:rsidRPr="007533B5">
        <w:t>*</w:t>
      </w:r>
      <w:r w:rsidR="00D21A9A" w:rsidRPr="007533B5">
        <w:t xml:space="preserve">The table names correspond to table naming conventions for Graphical User Interface (GUI) file names </w:t>
      </w:r>
      <w:r w:rsidR="00D21A9A" w:rsidRPr="00E35979">
        <w:t>set forth in the Special Access Database Container Technical Manual, Version 1.5, Section 5.1, FCC, at 48 (dated Jan. 23, 2015)</w:t>
      </w:r>
      <w:r w:rsidR="00D163AC">
        <w:t>,</w:t>
      </w:r>
      <w:r w:rsidR="00D21A9A" w:rsidRPr="00E35979">
        <w:t xml:space="preserve">  </w:t>
      </w:r>
      <w:hyperlink r:id="rId14" w:history="1">
        <w:r w:rsidR="00D21A9A" w:rsidRPr="000A4C87">
          <w:rPr>
            <w:rStyle w:val="Hyperlink"/>
            <w:color w:val="auto"/>
            <w:u w:val="none"/>
          </w:rPr>
          <w:t>https://apps.fcc.gov/edocs_public/attachmatch/DOC-330966A1.pdf</w:t>
        </w:r>
      </w:hyperlink>
      <w:r w:rsidR="00D21A9A" w:rsidRPr="007533B5">
        <w:t xml:space="preserve">.  </w:t>
      </w:r>
      <w:r w:rsidR="00D21A9A">
        <w:t xml:space="preserve">The field names correspond to field names described in the Instructions for Data Collection for Special Access Proceeding, </w:t>
      </w:r>
      <w:r w:rsidR="003D2979">
        <w:t xml:space="preserve">WC Docket No. 05-25, RM-10593, OMB Control No. 3060-1197 (dated Dec. 5, 2014), </w:t>
      </w:r>
      <w:r w:rsidRPr="007E53F4">
        <w:t>https://www.fcc.gov/encyclopedia/instructions</w:t>
      </w:r>
      <w:r>
        <w:t>.</w:t>
      </w:r>
    </w:p>
    <w:sectPr w:rsidR="003E6B0B" w:rsidRPr="003E6B0B" w:rsidSect="009A7079">
      <w:footerReference w:type="first" r:id="rId15"/>
      <w:endnotePr>
        <w:numFmt w:val="decimal"/>
      </w:endnotePr>
      <w:pgSz w:w="12240" w:h="15840"/>
      <w:pgMar w:top="1440" w:right="1440" w:bottom="720" w:left="1440"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CBC" w:rsidRDefault="00604CBC">
      <w:pPr>
        <w:spacing w:line="20" w:lineRule="exact"/>
      </w:pPr>
    </w:p>
  </w:endnote>
  <w:endnote w:type="continuationSeparator" w:id="0">
    <w:p w:rsidR="00604CBC" w:rsidRDefault="00604CBC">
      <w:r>
        <w:t xml:space="preserve"> </w:t>
      </w:r>
    </w:p>
  </w:endnote>
  <w:endnote w:type="continuationNotice" w:id="1">
    <w:p w:rsidR="00604CBC" w:rsidRDefault="00604CB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EB3" w:rsidRDefault="00685EB3" w:rsidP="0055614C">
    <w:pPr>
      <w:pStyle w:val="Footer"/>
      <w:framePr w:wrap="around" w:vAnchor="text" w:hAnchor="margin" w:xAlign="center" w:y="1"/>
    </w:pPr>
    <w:r>
      <w:fldChar w:fldCharType="begin"/>
    </w:r>
    <w:r>
      <w:instrText xml:space="preserve">PAGE  </w:instrText>
    </w:r>
    <w:r>
      <w:fldChar w:fldCharType="end"/>
    </w:r>
  </w:p>
  <w:p w:rsidR="00685EB3" w:rsidRDefault="00685E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EB3" w:rsidRDefault="00685EB3" w:rsidP="0055614C">
    <w:pPr>
      <w:pStyle w:val="Footer"/>
      <w:framePr w:wrap="around" w:vAnchor="text" w:hAnchor="margin" w:xAlign="center" w:y="1"/>
    </w:pPr>
    <w:r>
      <w:fldChar w:fldCharType="begin"/>
    </w:r>
    <w:r>
      <w:instrText xml:space="preserve">PAGE  </w:instrText>
    </w:r>
    <w:r>
      <w:fldChar w:fldCharType="separate"/>
    </w:r>
    <w:r w:rsidR="00B94401">
      <w:rPr>
        <w:noProof/>
      </w:rPr>
      <w:t>2</w:t>
    </w:r>
    <w:r>
      <w:fldChar w:fldCharType="end"/>
    </w:r>
  </w:p>
  <w:p w:rsidR="00685EB3" w:rsidRDefault="00685EB3">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EB3" w:rsidRDefault="00AB4EB3">
    <w:pPr>
      <w:pStyle w:val="Footer"/>
      <w:jc w:val="center"/>
    </w:pPr>
  </w:p>
  <w:p w:rsidR="00685EB3" w:rsidRDefault="00685EB3">
    <w:pPr>
      <w:pStyle w:val="Footer"/>
      <w:tabs>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6792625"/>
      <w:docPartObj>
        <w:docPartGallery w:val="Page Numbers (Bottom of Page)"/>
        <w:docPartUnique/>
      </w:docPartObj>
    </w:sdtPr>
    <w:sdtEndPr>
      <w:rPr>
        <w:noProof/>
      </w:rPr>
    </w:sdtEndPr>
    <w:sdtContent>
      <w:p w:rsidR="00AB4EB3" w:rsidRDefault="00AB4EB3">
        <w:pPr>
          <w:pStyle w:val="Footer"/>
          <w:jc w:val="center"/>
        </w:pPr>
        <w:r>
          <w:fldChar w:fldCharType="begin"/>
        </w:r>
        <w:r>
          <w:instrText xml:space="preserve"> PAGE   \* MERGEFORMAT </w:instrText>
        </w:r>
        <w:r>
          <w:fldChar w:fldCharType="separate"/>
        </w:r>
        <w:r>
          <w:rPr>
            <w:noProof/>
          </w:rPr>
          <w:t>15</w:t>
        </w:r>
        <w:r>
          <w:rPr>
            <w:noProof/>
          </w:rPr>
          <w:fldChar w:fldCharType="end"/>
        </w:r>
      </w:p>
    </w:sdtContent>
  </w:sdt>
  <w:p w:rsidR="00AB4EB3" w:rsidRDefault="00AB4EB3">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CBC" w:rsidRDefault="00604CBC">
      <w:r>
        <w:separator/>
      </w:r>
    </w:p>
  </w:footnote>
  <w:footnote w:type="continuationSeparator" w:id="0">
    <w:p w:rsidR="00604CBC" w:rsidRDefault="00604CBC" w:rsidP="00C721AC">
      <w:pPr>
        <w:spacing w:before="120"/>
        <w:rPr>
          <w:sz w:val="20"/>
        </w:rPr>
      </w:pPr>
      <w:r>
        <w:rPr>
          <w:sz w:val="20"/>
        </w:rPr>
        <w:t xml:space="preserve">(Continued from previous page)  </w:t>
      </w:r>
      <w:r>
        <w:rPr>
          <w:sz w:val="20"/>
        </w:rPr>
        <w:separator/>
      </w:r>
    </w:p>
  </w:footnote>
  <w:footnote w:type="continuationNotice" w:id="1">
    <w:p w:rsidR="00604CBC" w:rsidRDefault="00604CBC" w:rsidP="00C721AC">
      <w:pPr>
        <w:jc w:val="right"/>
        <w:rPr>
          <w:sz w:val="20"/>
        </w:rPr>
      </w:pPr>
      <w:r>
        <w:rPr>
          <w:sz w:val="20"/>
        </w:rPr>
        <w:t>(continued….)</w:t>
      </w:r>
    </w:p>
  </w:footnote>
  <w:footnote w:id="2">
    <w:p w:rsidR="00685EB3" w:rsidRDefault="00685EB3" w:rsidP="0089627A">
      <w:pPr>
        <w:pStyle w:val="FootnoteText"/>
      </w:pPr>
      <w:r>
        <w:rPr>
          <w:rStyle w:val="FootnoteReference"/>
        </w:rPr>
        <w:footnoteRef/>
      </w:r>
      <w:r>
        <w:t xml:space="preserve"> </w:t>
      </w:r>
      <w:r w:rsidRPr="00FF437B">
        <w:rPr>
          <w:i/>
        </w:rPr>
        <w:t>See Special Access for Price Cap Local Exchange Carriers; AT&amp;T Corporation Petition for Rulemaking to Reform Regulation of Incumbent Local Exchange Carrier Rates for Interstate Special Access Services</w:t>
      </w:r>
      <w:r>
        <w:t>, WC Docket No. 05- 25, RM-10593, Order and Further Notice of Proposed Rulemaking, 27 FCC Rcd 16318 (2012) (</w:t>
      </w:r>
      <w:r w:rsidRPr="00096361">
        <w:rPr>
          <w:i/>
        </w:rPr>
        <w:t>Data Collection Order</w:t>
      </w:r>
      <w:r>
        <w:t>); Report and Order, 28 FCC Rcd 13189 (Wireline Comp. Bur. 2013) (</w:t>
      </w:r>
      <w:r w:rsidRPr="001320CA">
        <w:rPr>
          <w:i/>
        </w:rPr>
        <w:t>Implementation Order</w:t>
      </w:r>
      <w:r>
        <w:t>); Order on Reconsideration, 29 FCC Rcd 10899 (Wireline Comp. Bur. 2014) (</w:t>
      </w:r>
      <w:r w:rsidRPr="001320CA">
        <w:rPr>
          <w:i/>
        </w:rPr>
        <w:t>Reconsideration Order</w:t>
      </w:r>
      <w:r>
        <w:t>); Order, 29 FCC Rcd 14346 (Wireline Comp. Bur. 2014) (</w:t>
      </w:r>
      <w:r w:rsidRPr="00162DFA">
        <w:rPr>
          <w:i/>
        </w:rPr>
        <w:t>Extension Order</w:t>
      </w:r>
      <w:r>
        <w:t>).</w:t>
      </w:r>
      <w:r w:rsidRPr="0089627A">
        <w:t xml:space="preserve"> </w:t>
      </w:r>
    </w:p>
  </w:footnote>
  <w:footnote w:id="3">
    <w:p w:rsidR="00685EB3" w:rsidRDefault="00685EB3">
      <w:pPr>
        <w:pStyle w:val="FootnoteText"/>
      </w:pPr>
      <w:r>
        <w:rPr>
          <w:rStyle w:val="FootnoteReference"/>
        </w:rPr>
        <w:footnoteRef/>
      </w:r>
      <w:r>
        <w:t xml:space="preserve"> </w:t>
      </w:r>
      <w:r w:rsidRPr="0089627A">
        <w:rPr>
          <w:i/>
          <w:iCs/>
        </w:rPr>
        <w:t>Special Access for Price Cap Local Exchange Carriers; AT&amp;T Corporation Petition for Rulemaking to Reform Regulation of Incumbent Local Exchange Carrier Rates for Interstate Special Access Services</w:t>
      </w:r>
      <w:r w:rsidRPr="0089627A">
        <w:t>, WC Docket No. 05-25, RM-10593, Order and Data Collection Protective Order, 29 FCC Rcd 11657</w:t>
      </w:r>
      <w:r>
        <w:t xml:space="preserve"> </w:t>
      </w:r>
      <w:r w:rsidRPr="0089627A">
        <w:t>(Wireline Comp. Bur. 2014) (</w:t>
      </w:r>
      <w:r w:rsidRPr="0089627A">
        <w:rPr>
          <w:i/>
          <w:iCs/>
        </w:rPr>
        <w:t>Protective Order</w:t>
      </w:r>
      <w:r w:rsidRPr="0089627A">
        <w:t>)</w:t>
      </w:r>
      <w:r>
        <w:t>.</w:t>
      </w:r>
      <w:r w:rsidRPr="0089627A">
        <w:t xml:space="preserve">  </w:t>
      </w:r>
    </w:p>
  </w:footnote>
  <w:footnote w:id="4">
    <w:p w:rsidR="00685EB3" w:rsidRDefault="00685EB3" w:rsidP="00FB50BE">
      <w:pPr>
        <w:pStyle w:val="FootnoteText"/>
      </w:pPr>
      <w:r>
        <w:rPr>
          <w:rStyle w:val="FootnoteReference"/>
        </w:rPr>
        <w:footnoteRef/>
      </w:r>
      <w:r>
        <w:t xml:space="preserve"> </w:t>
      </w:r>
      <w:r w:rsidRPr="00FF437B">
        <w:rPr>
          <w:i/>
        </w:rPr>
        <w:t xml:space="preserve">See </w:t>
      </w:r>
      <w:r w:rsidRPr="00096361">
        <w:rPr>
          <w:i/>
        </w:rPr>
        <w:t>Data Collection Order</w:t>
      </w:r>
      <w:r>
        <w:t xml:space="preserve">, 27 FCC Rcd at 16340, para. 52 (“The Commission’s delegation gives the Bureau authority to: “(a) draft instructions to the data collection and modify the data collection based on public feedback; (b) amend the data collection based on feedback received through the [Paperwork Reduction Act (PRA)] process; (c) make corrections to the data collection to ensure it reflects the Commission’s needs as expressed in [the </w:t>
      </w:r>
      <w:r w:rsidRPr="00024B56">
        <w:rPr>
          <w:i/>
        </w:rPr>
        <w:t>Data Collection Order</w:t>
      </w:r>
      <w:r>
        <w:t xml:space="preserve">]; . . . (d) issue Bureau-level orders and Public Notices specifying the production of specific types of data, specifying a collection mechanism (including necessary forms or formats), and set[] deadlines for response to ensure that data collections are complied with in a timely manner; and (e) take other such actions as are necessary to implement [the </w:t>
      </w:r>
      <w:r w:rsidRPr="00024B56">
        <w:rPr>
          <w:i/>
        </w:rPr>
        <w:t>Data Collection Order</w:t>
      </w:r>
      <w:r>
        <w:t xml:space="preserve">]. . . consistent with [its] terms . . . .”).  </w:t>
      </w:r>
    </w:p>
  </w:footnote>
  <w:footnote w:id="5">
    <w:p w:rsidR="00685EB3" w:rsidRDefault="00685EB3">
      <w:pPr>
        <w:pStyle w:val="FootnoteText"/>
      </w:pPr>
      <w:r>
        <w:rPr>
          <w:rStyle w:val="FootnoteReference"/>
        </w:rPr>
        <w:footnoteRef/>
      </w:r>
      <w:r>
        <w:t xml:space="preserve"> </w:t>
      </w:r>
      <w:r w:rsidRPr="00162DFA">
        <w:rPr>
          <w:i/>
        </w:rPr>
        <w:t>Id</w:t>
      </w:r>
      <w:r>
        <w:t xml:space="preserve">. at </w:t>
      </w:r>
      <w:r w:rsidRPr="009B1327">
        <w:t>16345</w:t>
      </w:r>
      <w:r>
        <w:t>-49, paras. 66-71.</w:t>
      </w:r>
    </w:p>
  </w:footnote>
  <w:footnote w:id="6">
    <w:p w:rsidR="00685EB3" w:rsidRDefault="00685EB3">
      <w:pPr>
        <w:pStyle w:val="FootnoteText"/>
      </w:pPr>
      <w:r>
        <w:rPr>
          <w:rStyle w:val="FootnoteReference"/>
        </w:rPr>
        <w:footnoteRef/>
      </w:r>
      <w:r>
        <w:t xml:space="preserve"> </w:t>
      </w:r>
      <w:r w:rsidRPr="001320CA">
        <w:rPr>
          <w:i/>
        </w:rPr>
        <w:t>Id.</w:t>
      </w:r>
      <w:r>
        <w:t xml:space="preserve"> at 16326-31, paras. 16-29. </w:t>
      </w:r>
    </w:p>
  </w:footnote>
  <w:footnote w:id="7">
    <w:p w:rsidR="00685EB3" w:rsidRDefault="00685EB3" w:rsidP="002A6C18">
      <w:pPr>
        <w:pStyle w:val="FootnoteText"/>
      </w:pPr>
      <w:r>
        <w:rPr>
          <w:rStyle w:val="FootnoteReference"/>
        </w:rPr>
        <w:footnoteRef/>
      </w:r>
      <w:r>
        <w:t xml:space="preserve"> </w:t>
      </w:r>
      <w:r w:rsidRPr="000753E2">
        <w:rPr>
          <w:i/>
        </w:rPr>
        <w:t>S</w:t>
      </w:r>
      <w:r w:rsidRPr="002A6C18">
        <w:rPr>
          <w:i/>
        </w:rPr>
        <w:t>ee Protective Order</w:t>
      </w:r>
      <w:r>
        <w:t>, 29 FCC Rcd at 11658, para. 3.</w:t>
      </w:r>
    </w:p>
  </w:footnote>
  <w:footnote w:id="8">
    <w:p w:rsidR="00685EB3" w:rsidRDefault="00685EB3">
      <w:pPr>
        <w:pStyle w:val="FootnoteText"/>
      </w:pPr>
      <w:r>
        <w:rPr>
          <w:rStyle w:val="FootnoteReference"/>
        </w:rPr>
        <w:footnoteRef/>
      </w:r>
      <w:r>
        <w:t xml:space="preserve"> </w:t>
      </w:r>
      <w:r w:rsidRPr="00EF6B80">
        <w:rPr>
          <w:i/>
        </w:rPr>
        <w:t>See Extension Order</w:t>
      </w:r>
      <w:r w:rsidRPr="00934A82">
        <w:t xml:space="preserve">, 29 FCC Rcd </w:t>
      </w:r>
      <w:r>
        <w:t xml:space="preserve">at </w:t>
      </w:r>
      <w:r w:rsidRPr="00934A82">
        <w:t>14346</w:t>
      </w:r>
      <w:r>
        <w:t>, para. 1.</w:t>
      </w:r>
    </w:p>
  </w:footnote>
  <w:footnote w:id="9">
    <w:p w:rsidR="00685EB3" w:rsidRDefault="00685EB3" w:rsidP="00EF5D2F">
      <w:pPr>
        <w:pStyle w:val="FootnoteText"/>
        <w:spacing w:after="0"/>
      </w:pPr>
      <w:r>
        <w:rPr>
          <w:rStyle w:val="FootnoteReference"/>
        </w:rPr>
        <w:footnoteRef/>
      </w:r>
      <w:r>
        <w:t xml:space="preserve"> </w:t>
      </w:r>
      <w:r w:rsidRPr="00943218">
        <w:rPr>
          <w:i/>
        </w:rPr>
        <w:t>Wireline Competition Bureau Seeks Comment on Protective Order for Special Access Data Collection</w:t>
      </w:r>
      <w:r>
        <w:t>, WC</w:t>
      </w:r>
    </w:p>
    <w:p w:rsidR="00685EB3" w:rsidRDefault="00685EB3" w:rsidP="00EF5D2F">
      <w:pPr>
        <w:pStyle w:val="FootnoteText"/>
      </w:pPr>
      <w:r>
        <w:t>Docket No. 05-25, RM-10593, Public Notice, 28 FCC Rcd 9170, 9170 (Wireline Comp. Bur. 2013) (</w:t>
      </w:r>
      <w:r w:rsidRPr="00B81708">
        <w:rPr>
          <w:i/>
        </w:rPr>
        <w:t>P</w:t>
      </w:r>
      <w:r>
        <w:rPr>
          <w:i/>
        </w:rPr>
        <w:t>rotective Order P</w:t>
      </w:r>
      <w:r w:rsidRPr="00B81708">
        <w:rPr>
          <w:i/>
        </w:rPr>
        <w:t>ublic Notice</w:t>
      </w:r>
      <w:r>
        <w:t>).</w:t>
      </w:r>
    </w:p>
  </w:footnote>
  <w:footnote w:id="10">
    <w:p w:rsidR="00685EB3" w:rsidRPr="00534F31" w:rsidRDefault="00685EB3" w:rsidP="001B3E25">
      <w:pPr>
        <w:pStyle w:val="FootnoteText"/>
      </w:pPr>
      <w:r w:rsidRPr="00534F31">
        <w:rPr>
          <w:rStyle w:val="FootnoteReference"/>
        </w:rPr>
        <w:footnoteRef/>
      </w:r>
      <w:r w:rsidRPr="00534F31">
        <w:t xml:space="preserve"> </w:t>
      </w:r>
      <w:r w:rsidRPr="000A4C87">
        <w:rPr>
          <w:i/>
        </w:rPr>
        <w:t>Id</w:t>
      </w:r>
      <w:r>
        <w:t xml:space="preserve">. at </w:t>
      </w:r>
      <w:r w:rsidRPr="00534F31">
        <w:t>9171</w:t>
      </w:r>
      <w:r>
        <w:t xml:space="preserve">. </w:t>
      </w:r>
      <w:r w:rsidRPr="00942A27">
        <w:t>A thin client is a desktop or laptop computer, without a hard drive, which accesses applications and data remotely from a central server where all data processing and file storage are performed</w:t>
      </w:r>
      <w:r>
        <w:t>.</w:t>
      </w:r>
      <w:r w:rsidRPr="00942A27">
        <w:t xml:space="preserve"> </w:t>
      </w:r>
      <w:r w:rsidRPr="000A4C87">
        <w:rPr>
          <w:i/>
        </w:rPr>
        <w:t>See id</w:t>
      </w:r>
      <w:r w:rsidRPr="00942A27">
        <w:t xml:space="preserve">. at 11661-62, para. 12 n.34; </w:t>
      </w:r>
      <w:r w:rsidRPr="0039385B">
        <w:rPr>
          <w:i/>
        </w:rPr>
        <w:t>see also</w:t>
      </w:r>
      <w:r w:rsidRPr="00942A27">
        <w:t xml:space="preserve"> NORC at the University of Chicago, http://www.norc.org/Research/Capabilities/Pages/data-enclave.aspx.  </w:t>
      </w:r>
    </w:p>
  </w:footnote>
  <w:footnote w:id="11">
    <w:p w:rsidR="00685EB3" w:rsidRDefault="00685EB3" w:rsidP="00EF5D2F">
      <w:pPr>
        <w:pStyle w:val="FootnoteText"/>
      </w:pPr>
      <w:r>
        <w:rPr>
          <w:rStyle w:val="FootnoteReference"/>
        </w:rPr>
        <w:footnoteRef/>
      </w:r>
      <w:r>
        <w:t xml:space="preserve"> </w:t>
      </w:r>
      <w:r w:rsidRPr="001A225F">
        <w:rPr>
          <w:i/>
        </w:rPr>
        <w:t>Protective Order</w:t>
      </w:r>
      <w:r>
        <w:t xml:space="preserve">, </w:t>
      </w:r>
      <w:r w:rsidRPr="001A225F">
        <w:t>29 FCC Rcd</w:t>
      </w:r>
      <w:r>
        <w:t xml:space="preserve"> at </w:t>
      </w:r>
      <w:r w:rsidRPr="001A225F">
        <w:t>11660</w:t>
      </w:r>
      <w:r>
        <w:t>, para. 7.</w:t>
      </w:r>
    </w:p>
  </w:footnote>
  <w:footnote w:id="12">
    <w:p w:rsidR="00685EB3" w:rsidRPr="00EF6B80" w:rsidRDefault="00685EB3" w:rsidP="001B3E25">
      <w:pPr>
        <w:pStyle w:val="FootnoteText"/>
      </w:pPr>
      <w:r>
        <w:rPr>
          <w:rStyle w:val="FootnoteReference"/>
        </w:rPr>
        <w:footnoteRef/>
      </w:r>
      <w:r>
        <w:t xml:space="preserve"> </w:t>
      </w:r>
      <w:r>
        <w:rPr>
          <w:i/>
        </w:rPr>
        <w:t>Id</w:t>
      </w:r>
      <w:r>
        <w:t>.</w:t>
      </w:r>
      <w:r w:rsidRPr="00EF6B80">
        <w:t xml:space="preserve"> at 11658, para. 3.</w:t>
      </w:r>
    </w:p>
  </w:footnote>
  <w:footnote w:id="13">
    <w:p w:rsidR="00685EB3" w:rsidRDefault="00685EB3" w:rsidP="00DF5C14">
      <w:pPr>
        <w:pStyle w:val="FootnoteText"/>
      </w:pPr>
      <w:r>
        <w:rPr>
          <w:rStyle w:val="FootnoteReference"/>
        </w:rPr>
        <w:footnoteRef/>
      </w:r>
      <w:r>
        <w:t xml:space="preserve"> </w:t>
      </w:r>
      <w:r w:rsidRPr="001A225F">
        <w:rPr>
          <w:i/>
        </w:rPr>
        <w:t>Id</w:t>
      </w:r>
      <w:r>
        <w:t xml:space="preserve">. at 11657, para. 1, 11670-71, Appx. A.  </w:t>
      </w:r>
    </w:p>
  </w:footnote>
  <w:footnote w:id="14">
    <w:p w:rsidR="00685EB3" w:rsidRDefault="00685EB3" w:rsidP="00DF5C14">
      <w:pPr>
        <w:pStyle w:val="FootnoteText"/>
      </w:pPr>
      <w:r>
        <w:rPr>
          <w:rStyle w:val="FootnoteReference"/>
        </w:rPr>
        <w:footnoteRef/>
      </w:r>
      <w:r>
        <w:t xml:space="preserve"> </w:t>
      </w:r>
      <w:r w:rsidRPr="008B0E74">
        <w:rPr>
          <w:i/>
        </w:rPr>
        <w:t>Id</w:t>
      </w:r>
      <w:r>
        <w:t xml:space="preserve">. at 11657, para. 1. </w:t>
      </w:r>
    </w:p>
  </w:footnote>
  <w:footnote w:id="15">
    <w:p w:rsidR="00685EB3" w:rsidRDefault="00685EB3" w:rsidP="0027215A">
      <w:pPr>
        <w:pStyle w:val="FootnoteText"/>
      </w:pPr>
      <w:r>
        <w:rPr>
          <w:rStyle w:val="FootnoteReference"/>
        </w:rPr>
        <w:footnoteRef/>
      </w:r>
      <w:r>
        <w:t xml:space="preserve"> </w:t>
      </w:r>
      <w:r w:rsidRPr="001A225F">
        <w:rPr>
          <w:i/>
        </w:rPr>
        <w:t>Id</w:t>
      </w:r>
      <w:r>
        <w:t xml:space="preserve">. at 11657, para. 1, 11670-71, Appx. A at para. 1. </w:t>
      </w:r>
    </w:p>
  </w:footnote>
  <w:footnote w:id="16">
    <w:p w:rsidR="00685EB3" w:rsidRDefault="00685EB3">
      <w:pPr>
        <w:pStyle w:val="FootnoteText"/>
      </w:pPr>
      <w:r>
        <w:rPr>
          <w:rStyle w:val="FootnoteReference"/>
        </w:rPr>
        <w:footnoteRef/>
      </w:r>
      <w:r>
        <w:t xml:space="preserve"> </w:t>
      </w:r>
      <w:r w:rsidRPr="00085568">
        <w:rPr>
          <w:i/>
        </w:rPr>
        <w:t>See id</w:t>
      </w:r>
      <w:r w:rsidRPr="00085568">
        <w:t>. at 11665, para. 23, 11673, Appx.</w:t>
      </w:r>
      <w:r>
        <w:t xml:space="preserve"> A at para. 5, 11680, Appx. C. </w:t>
      </w:r>
    </w:p>
  </w:footnote>
  <w:footnote w:id="17">
    <w:p w:rsidR="00685EB3" w:rsidRDefault="00685EB3">
      <w:pPr>
        <w:pStyle w:val="FootnoteText"/>
      </w:pPr>
      <w:r>
        <w:rPr>
          <w:rStyle w:val="FootnoteReference"/>
        </w:rPr>
        <w:footnoteRef/>
      </w:r>
      <w:r>
        <w:t xml:space="preserve"> </w:t>
      </w:r>
      <w:r w:rsidRPr="001A225F">
        <w:rPr>
          <w:i/>
        </w:rPr>
        <w:t>Wireline Competition Bureau Now Receiving Acknowledgements of Confidentiality Pursuant to Special Access Data Collection Protective Order</w:t>
      </w:r>
      <w:r>
        <w:t xml:space="preserve">, WC Docket No. 05-25, RM-10593, Public Notice, </w:t>
      </w:r>
      <w:r w:rsidR="0085492D">
        <w:t>30 FCC Rcd 6421</w:t>
      </w:r>
      <w:r>
        <w:t xml:space="preserve"> (Wireline Comp. Bur. 2015)</w:t>
      </w:r>
      <w:r w:rsidR="00BA36EA">
        <w:t xml:space="preserve"> (</w:t>
      </w:r>
      <w:r w:rsidR="00BA36EA" w:rsidRPr="00071145">
        <w:rPr>
          <w:i/>
        </w:rPr>
        <w:t>June 24, 2015 Public Notice</w:t>
      </w:r>
      <w:r w:rsidR="00BA36EA">
        <w:t>)</w:t>
      </w:r>
      <w:r>
        <w:t xml:space="preserve">.  </w:t>
      </w:r>
    </w:p>
  </w:footnote>
  <w:footnote w:id="18">
    <w:p w:rsidR="00685EB3" w:rsidRDefault="00685EB3">
      <w:pPr>
        <w:pStyle w:val="FootnoteText"/>
      </w:pPr>
      <w:r>
        <w:rPr>
          <w:rStyle w:val="FootnoteReference"/>
        </w:rPr>
        <w:footnoteRef/>
      </w:r>
      <w:r>
        <w:t xml:space="preserve"> </w:t>
      </w:r>
      <w:r w:rsidRPr="0063135A">
        <w:rPr>
          <w:i/>
        </w:rPr>
        <w:t>See Parties Seeking Access to Data and Information Filed in Response to the Special Access Data Collection</w:t>
      </w:r>
      <w:r>
        <w:t xml:space="preserve">, WC Docket No. 05-25, RM-10593, Public Notice, </w:t>
      </w:r>
      <w:r w:rsidR="000C2C4E">
        <w:t>30 FCC 7260, 7262-64</w:t>
      </w:r>
      <w:r>
        <w:t>, Attach. (Wireline Comp. Bur. rel. Jul. 10, 2015) (</w:t>
      </w:r>
      <w:r w:rsidRPr="00071145">
        <w:rPr>
          <w:i/>
        </w:rPr>
        <w:t>Acknowledgment Public Notice</w:t>
      </w:r>
      <w:r>
        <w:t xml:space="preserve">).  </w:t>
      </w:r>
    </w:p>
  </w:footnote>
  <w:footnote w:id="19">
    <w:p w:rsidR="00685EB3" w:rsidRDefault="00685EB3">
      <w:pPr>
        <w:pStyle w:val="FootnoteText"/>
      </w:pPr>
      <w:r>
        <w:rPr>
          <w:rStyle w:val="FootnoteReference"/>
        </w:rPr>
        <w:footnoteRef/>
      </w:r>
      <w:r>
        <w:t xml:space="preserve"> </w:t>
      </w:r>
      <w:r w:rsidRPr="00204578">
        <w:rPr>
          <w:i/>
        </w:rPr>
        <w:t>Id</w:t>
      </w:r>
      <w:r>
        <w:t>.</w:t>
      </w:r>
    </w:p>
  </w:footnote>
  <w:footnote w:id="20">
    <w:p w:rsidR="00685EB3" w:rsidRDefault="00685EB3">
      <w:pPr>
        <w:pStyle w:val="FootnoteText"/>
      </w:pPr>
      <w:r>
        <w:rPr>
          <w:rStyle w:val="FootnoteReference"/>
        </w:rPr>
        <w:footnoteRef/>
      </w:r>
      <w:r>
        <w:t xml:space="preserve"> </w:t>
      </w:r>
      <w:r w:rsidR="00583A17">
        <w:rPr>
          <w:i/>
        </w:rPr>
        <w:t>Protective Order</w:t>
      </w:r>
      <w:r w:rsidR="00583A17" w:rsidRPr="00071145">
        <w:t xml:space="preserve">, 29 FCC Rcd at </w:t>
      </w:r>
      <w:r w:rsidR="00E1303A">
        <w:t xml:space="preserve">11673, </w:t>
      </w:r>
      <w:r w:rsidR="00583A17" w:rsidRPr="00071145">
        <w:t>Appx. A at para. 5.</w:t>
      </w:r>
    </w:p>
  </w:footnote>
  <w:footnote w:id="21">
    <w:p w:rsidR="00685EB3" w:rsidRDefault="00685EB3">
      <w:pPr>
        <w:pStyle w:val="FootnoteText"/>
      </w:pPr>
      <w:r>
        <w:rPr>
          <w:rStyle w:val="FootnoteReference"/>
        </w:rPr>
        <w:footnoteRef/>
      </w:r>
      <w:r>
        <w:t xml:space="preserve"> </w:t>
      </w:r>
      <w:r w:rsidRPr="00ED4C9D">
        <w:rPr>
          <w:i/>
        </w:rPr>
        <w:t>See</w:t>
      </w:r>
      <w:r>
        <w:t xml:space="preserve"> TransWorld Objection, WC Docket No. 05-25, RM-10593 (filed Jul. 16, 2015) (TransWorld Objection); Santa Rosa Telephone Cooperative, Inc. Objection, WC Docket No. 05-25, RM-10593 (filed Jul. 17, 2015) (filed under the name Jason Tole); Objection to the Release of Data of US Signal Company, L.L.C., WC Docket No. 05-25, RM-10593 (filed Jul. 16, 2015) (US Signal Objection); Vantage Point Solutions Objection to Release of Confidential Information, WC Docket No. 05-25, RM-10593 (filed Jul. 17, 2015) (Vantage Point Objection); Letter from John Kuykendall, JSI Vice President, JSI, to Marlene H. Dortch, Secretary, FCC, WC Docket No. 05-25, RM-10593 (filed Jul. 17, 2015) (JSI Objection); Letter from David Nace &amp; Robert S. Koppel, Counsel to Brown County C-LEC, LLC, Lukas Nace Gutierrez &amp; Sachs, LLP, to Marlene H. Dortch, Secretary, FCC, WC Docket No. 05-25, RM-10593 (filed Jul. 17, 2015) (Brown County Objection); Service Electric Cable T.V., Inc. Objection to the Release of Confidential and Highly Confidential Information and Data, WC Docket No. 05-25, RM-10593 (filed Jul. 17, 2015) (Service Electric Objection); Letter from Kristy Parker, Manager, Administrative Services, Parker FiberNet LLC, to FCC, WC Docket No. 05-25, RM-10593 (filed Jul. 17, 2015) (Parker FiberNet Objection).</w:t>
      </w:r>
    </w:p>
  </w:footnote>
  <w:footnote w:id="22">
    <w:p w:rsidR="00685EB3" w:rsidRDefault="00685EB3">
      <w:pPr>
        <w:pStyle w:val="FootnoteText"/>
      </w:pPr>
      <w:r>
        <w:rPr>
          <w:rStyle w:val="FootnoteReference"/>
        </w:rPr>
        <w:footnoteRef/>
      </w:r>
      <w:r>
        <w:t xml:space="preserve"> JSI Objection at 1-2.</w:t>
      </w:r>
    </w:p>
  </w:footnote>
  <w:footnote w:id="23">
    <w:p w:rsidR="00685EB3" w:rsidRDefault="00685EB3">
      <w:pPr>
        <w:pStyle w:val="FootnoteText"/>
      </w:pPr>
      <w:r>
        <w:rPr>
          <w:rStyle w:val="FootnoteReference"/>
        </w:rPr>
        <w:footnoteRef/>
      </w:r>
      <w:r>
        <w:t xml:space="preserve"> </w:t>
      </w:r>
      <w:r w:rsidRPr="00BE2AAE">
        <w:rPr>
          <w:i/>
        </w:rPr>
        <w:t>Id</w:t>
      </w:r>
      <w:r>
        <w:t>. at 2 (asking for a standard for the aggregation of data analysis so that those authorized to access the data cannot associate it with a specific carrier).</w:t>
      </w:r>
    </w:p>
  </w:footnote>
  <w:footnote w:id="24">
    <w:p w:rsidR="00685EB3" w:rsidRDefault="00685EB3">
      <w:pPr>
        <w:pStyle w:val="FootnoteText"/>
      </w:pPr>
      <w:r>
        <w:rPr>
          <w:rStyle w:val="FootnoteReference"/>
        </w:rPr>
        <w:footnoteRef/>
      </w:r>
      <w:r>
        <w:t xml:space="preserve"> Service Electric Objection at 4; Vantage Point Objection at 2.</w:t>
      </w:r>
    </w:p>
  </w:footnote>
  <w:footnote w:id="25">
    <w:p w:rsidR="00685EB3" w:rsidRDefault="00685EB3" w:rsidP="00E12336">
      <w:pPr>
        <w:pStyle w:val="FootnoteText"/>
      </w:pPr>
      <w:r>
        <w:rPr>
          <w:rStyle w:val="FootnoteReference"/>
        </w:rPr>
        <w:footnoteRef/>
      </w:r>
      <w:r>
        <w:t xml:space="preserve"> Letter from Paul Margie, Counsel to Sprint Corporation, Harris Wiltshire &amp; Grannis LLP, to Marlene H. Dortch, Secretary, FCC, WC Docket No. 05-25, RM-10593 (filed Jul. 21, 2015) (Sprint Letter). </w:t>
      </w:r>
    </w:p>
  </w:footnote>
  <w:footnote w:id="26">
    <w:p w:rsidR="00685EB3" w:rsidRDefault="00685EB3">
      <w:pPr>
        <w:pStyle w:val="FootnoteText"/>
      </w:pPr>
      <w:r>
        <w:rPr>
          <w:rStyle w:val="FootnoteReference"/>
        </w:rPr>
        <w:footnoteRef/>
      </w:r>
      <w:r>
        <w:t xml:space="preserve"> </w:t>
      </w:r>
      <w:r w:rsidRPr="009B39AD">
        <w:rPr>
          <w:i/>
        </w:rPr>
        <w:t>Id</w:t>
      </w:r>
      <w:r>
        <w:t xml:space="preserve">. at 2. </w:t>
      </w:r>
    </w:p>
  </w:footnote>
  <w:footnote w:id="27">
    <w:p w:rsidR="00685EB3" w:rsidRDefault="00685EB3">
      <w:pPr>
        <w:pStyle w:val="FootnoteText"/>
      </w:pPr>
      <w:r>
        <w:rPr>
          <w:rStyle w:val="FootnoteReference"/>
        </w:rPr>
        <w:footnoteRef/>
      </w:r>
      <w:r>
        <w:t xml:space="preserve"> Santa Rosa Objection at 1; JSI Objection at 1-2; US Signal Objection at 4; Brown County Objection at 1; Service Electric Objection at 5; Vantage Point Objection at 3; Parker FiberNet Objection at 1.</w:t>
      </w:r>
      <w:r w:rsidR="00E31BD6">
        <w:t xml:space="preserve">  To the extent any of these objectors seek the non-disclosure of data submitted by </w:t>
      </w:r>
      <w:r w:rsidR="00901DD1">
        <w:t xml:space="preserve">other </w:t>
      </w:r>
      <w:r w:rsidR="00E31BD6">
        <w:t xml:space="preserve">filers </w:t>
      </w:r>
      <w:r w:rsidR="00901DD1">
        <w:t>not</w:t>
      </w:r>
      <w:r w:rsidR="00E31BD6">
        <w:t xml:space="preserve"> identified in the objection letters, we summarily deny those requests for lack of standing.</w:t>
      </w:r>
      <w:r w:rsidR="009C5C8E">
        <w:t xml:space="preserve">  </w:t>
      </w:r>
      <w:r w:rsidR="00901DD1" w:rsidRPr="00247A39">
        <w:rPr>
          <w:i/>
        </w:rPr>
        <w:t>See</w:t>
      </w:r>
      <w:r w:rsidR="00901DD1">
        <w:rPr>
          <w:i/>
        </w:rPr>
        <w:t>, e.g.</w:t>
      </w:r>
      <w:r w:rsidR="00901DD1" w:rsidRPr="00247A39">
        <w:t>,</w:t>
      </w:r>
      <w:r w:rsidR="00901DD1" w:rsidRPr="00247A39">
        <w:rPr>
          <w:i/>
        </w:rPr>
        <w:t xml:space="preserve"> Applications of AT&amp;T Inc. and DIRECTV</w:t>
      </w:r>
      <w:r w:rsidR="002A1F18">
        <w:rPr>
          <w:i/>
        </w:rPr>
        <w:t xml:space="preserve"> for Consent to Assign or Transfer Control of Licenses and Authorizations</w:t>
      </w:r>
      <w:r w:rsidR="00901DD1">
        <w:t xml:space="preserve">, </w:t>
      </w:r>
      <w:r w:rsidR="002A1F18">
        <w:t xml:space="preserve">MB Docket No. 14-90, Memorandum Opinion and Order, </w:t>
      </w:r>
      <w:r w:rsidR="00901DD1">
        <w:t>FCC 15-94</w:t>
      </w:r>
      <w:r w:rsidR="002A1F18">
        <w:t>, para. 31</w:t>
      </w:r>
      <w:r w:rsidR="00901DD1">
        <w:t xml:space="preserve"> </w:t>
      </w:r>
      <w:r w:rsidR="009C5C8E">
        <w:t>(</w:t>
      </w:r>
      <w:r w:rsidR="00901DD1">
        <w:t xml:space="preserve">stating challenger must allege facts sufficient to demonstrate that agency action would cause it to suffer a </w:t>
      </w:r>
      <w:r w:rsidR="00901DD1">
        <w:rPr>
          <w:rStyle w:val="cosearchterm"/>
        </w:rPr>
        <w:t>direct</w:t>
      </w:r>
      <w:r w:rsidR="00901DD1">
        <w:t xml:space="preserve"> </w:t>
      </w:r>
      <w:r w:rsidR="00901DD1">
        <w:rPr>
          <w:rStyle w:val="cosearchterm"/>
        </w:rPr>
        <w:t>injury)</w:t>
      </w:r>
      <w:r w:rsidR="00901DD1">
        <w:t>.</w:t>
      </w:r>
    </w:p>
  </w:footnote>
  <w:footnote w:id="28">
    <w:p w:rsidR="00685EB3" w:rsidRDefault="00685EB3" w:rsidP="004721EC">
      <w:pPr>
        <w:pStyle w:val="FootnoteText"/>
      </w:pPr>
      <w:r>
        <w:rPr>
          <w:rStyle w:val="FootnoteReference"/>
        </w:rPr>
        <w:footnoteRef/>
      </w:r>
      <w:r>
        <w:t xml:space="preserve"> Service Electric Objection at 2-3</w:t>
      </w:r>
      <w:r w:rsidR="0068419B">
        <w:t>; US Signal Objection at 2-3</w:t>
      </w:r>
      <w:r>
        <w:t xml:space="preserve">. </w:t>
      </w:r>
    </w:p>
  </w:footnote>
  <w:footnote w:id="29">
    <w:p w:rsidR="00685EB3" w:rsidRDefault="00685EB3">
      <w:pPr>
        <w:pStyle w:val="FootnoteText"/>
      </w:pPr>
      <w:r>
        <w:rPr>
          <w:rStyle w:val="FootnoteReference"/>
        </w:rPr>
        <w:footnoteRef/>
      </w:r>
      <w:r>
        <w:t xml:space="preserve"> Vantage Point Objection at 2-3. </w:t>
      </w:r>
    </w:p>
  </w:footnote>
  <w:footnote w:id="30">
    <w:p w:rsidR="00685EB3" w:rsidRDefault="00685EB3" w:rsidP="001C445D">
      <w:pPr>
        <w:pStyle w:val="FootnoteText"/>
      </w:pPr>
      <w:r>
        <w:rPr>
          <w:rStyle w:val="FootnoteReference"/>
        </w:rPr>
        <w:footnoteRef/>
      </w:r>
      <w:r>
        <w:t xml:space="preserve"> Vantage Point Objection at 2.  Similarly, JSI raised concerns over the disclosure of customer-related information.  JSI Objection at 1-2.</w:t>
      </w:r>
    </w:p>
  </w:footnote>
  <w:footnote w:id="31">
    <w:p w:rsidR="00685EB3" w:rsidRDefault="00685EB3" w:rsidP="003736C9">
      <w:pPr>
        <w:pStyle w:val="FootnoteText"/>
      </w:pPr>
      <w:r>
        <w:rPr>
          <w:rStyle w:val="FootnoteReference"/>
        </w:rPr>
        <w:footnoteRef/>
      </w:r>
      <w:r>
        <w:t xml:space="preserve"> JSI Objection at 1-2; US Signal Objection at 3; Vantage Point Objection at 1-2. </w:t>
      </w:r>
    </w:p>
  </w:footnote>
  <w:footnote w:id="32">
    <w:p w:rsidR="00685EB3" w:rsidRPr="0089627A" w:rsidRDefault="00685EB3" w:rsidP="001C445D">
      <w:pPr>
        <w:pStyle w:val="FootnoteText"/>
      </w:pPr>
      <w:r w:rsidRPr="0089627A">
        <w:rPr>
          <w:rStyle w:val="FootnoteReference"/>
        </w:rPr>
        <w:footnoteRef/>
      </w:r>
      <w:r w:rsidRPr="0089627A">
        <w:t xml:space="preserve"> </w:t>
      </w:r>
      <w:r>
        <w:t>Parker FiberNet Objection at 1; Santa Rosa Objection at 1; Brown County Objection at 1.</w:t>
      </w:r>
    </w:p>
  </w:footnote>
  <w:footnote w:id="33">
    <w:p w:rsidR="00685EB3" w:rsidRDefault="00685EB3">
      <w:pPr>
        <w:pStyle w:val="FootnoteText"/>
      </w:pPr>
      <w:r w:rsidRPr="000230FC">
        <w:rPr>
          <w:rStyle w:val="FootnoteReference"/>
        </w:rPr>
        <w:footnoteRef/>
      </w:r>
      <w:r w:rsidRPr="000230FC">
        <w:t xml:space="preserve"> </w:t>
      </w:r>
      <w:r w:rsidRPr="001320CA">
        <w:rPr>
          <w:i/>
        </w:rPr>
        <w:t>Applications of Charter Communications, Inc., Time Warner Cable Inc., and Advance/Newhouse Partnership For Consent to Assign or Transfer Control of Licenses and Authorizations</w:t>
      </w:r>
      <w:r w:rsidRPr="001320CA">
        <w:t>, MB Docket No. 15-149, Order, FCC 15</w:t>
      </w:r>
      <w:r>
        <w:t>-110</w:t>
      </w:r>
      <w:r w:rsidRPr="001320CA">
        <w:t xml:space="preserve">, para. 35 (rel. Sept. </w:t>
      </w:r>
      <w:r>
        <w:t>11</w:t>
      </w:r>
      <w:r w:rsidRPr="001320CA">
        <w:t>, 2015) (</w:t>
      </w:r>
      <w:r w:rsidRPr="001320CA">
        <w:rPr>
          <w:i/>
        </w:rPr>
        <w:t>Charter Order</w:t>
      </w:r>
      <w:r w:rsidRPr="001320CA">
        <w:t>);</w:t>
      </w:r>
      <w:r w:rsidRPr="000230FC">
        <w:t xml:space="preserve"> </w:t>
      </w:r>
      <w:r w:rsidRPr="000230FC">
        <w:rPr>
          <w:i/>
        </w:rPr>
        <w:t>see also</w:t>
      </w:r>
      <w:r w:rsidRPr="000230FC">
        <w:t xml:space="preserve"> </w:t>
      </w:r>
      <w:r w:rsidRPr="000230FC">
        <w:rPr>
          <w:i/>
        </w:rPr>
        <w:t>Protective Order</w:t>
      </w:r>
      <w:r w:rsidRPr="000230FC">
        <w:t>, 29 FCC Rcd at 11668, para. 29; 5 U.S.C. § 553(b), (c).</w:t>
      </w:r>
    </w:p>
  </w:footnote>
  <w:footnote w:id="34">
    <w:p w:rsidR="00685EB3" w:rsidRDefault="00685EB3" w:rsidP="00277E6B">
      <w:pPr>
        <w:pStyle w:val="FootnoteText"/>
      </w:pPr>
      <w:r w:rsidRPr="00E5047B">
        <w:rPr>
          <w:rStyle w:val="FootnoteReference"/>
        </w:rPr>
        <w:footnoteRef/>
      </w:r>
      <w:r w:rsidRPr="00E5047B">
        <w:t xml:space="preserve"> </w:t>
      </w:r>
      <w:r w:rsidRPr="00945A26">
        <w:rPr>
          <w:i/>
        </w:rPr>
        <w:t xml:space="preserve">See </w:t>
      </w:r>
      <w:r>
        <w:rPr>
          <w:i/>
        </w:rPr>
        <w:t>id.</w:t>
      </w:r>
      <w:r w:rsidRPr="00E5047B">
        <w:t xml:space="preserve"> at 11665, para. 23, Attach. at 11673</w:t>
      </w:r>
      <w:r>
        <w:t xml:space="preserve">, </w:t>
      </w:r>
      <w:r w:rsidRPr="00E5047B">
        <w:t>para. 5.</w:t>
      </w:r>
    </w:p>
  </w:footnote>
  <w:footnote w:id="35">
    <w:p w:rsidR="00685EB3" w:rsidRPr="00FF5CDE" w:rsidRDefault="00685EB3" w:rsidP="002A1B5D">
      <w:pPr>
        <w:pStyle w:val="FootnoteText"/>
      </w:pPr>
      <w:r w:rsidRPr="000230FC">
        <w:rPr>
          <w:rStyle w:val="FootnoteReference"/>
        </w:rPr>
        <w:footnoteRef/>
      </w:r>
      <w:r w:rsidRPr="000230FC">
        <w:t xml:space="preserve"> </w:t>
      </w:r>
      <w:r w:rsidRPr="001320CA">
        <w:rPr>
          <w:i/>
        </w:rPr>
        <w:t>Charter Order</w:t>
      </w:r>
      <w:r w:rsidR="00B712A8">
        <w:t xml:space="preserve"> at</w:t>
      </w:r>
      <w:r w:rsidRPr="001320CA">
        <w:t xml:space="preserve"> para. </w:t>
      </w:r>
      <w:r w:rsidR="003A024E">
        <w:t>27</w:t>
      </w:r>
      <w:r w:rsidRPr="000230FC">
        <w:t>;</w:t>
      </w:r>
      <w:r>
        <w:t xml:space="preserve"> </w:t>
      </w:r>
      <w:r w:rsidRPr="00BE2AAE">
        <w:rPr>
          <w:i/>
        </w:rPr>
        <w:t xml:space="preserve">see </w:t>
      </w:r>
      <w:r w:rsidRPr="00E5047B">
        <w:rPr>
          <w:i/>
        </w:rPr>
        <w:t>Motions for Declaratory Rulings Regarding Commission Rules and Policies for Frequency Coordination in the Private Land Mobile Radio Services</w:t>
      </w:r>
      <w:r w:rsidRPr="0039385B">
        <w:t xml:space="preserve">, </w:t>
      </w:r>
      <w:r>
        <w:t xml:space="preserve">Memorandum Opinion and Order, </w:t>
      </w:r>
      <w:r w:rsidRPr="00BE2AAE">
        <w:t>14 FCC Rcd 12752, 12757</w:t>
      </w:r>
      <w:r>
        <w:t>, para.</w:t>
      </w:r>
      <w:r w:rsidRPr="00BE2AAE">
        <w:t xml:space="preserve"> 11</w:t>
      </w:r>
      <w:r w:rsidR="00B712A8">
        <w:t xml:space="preserve"> </w:t>
      </w:r>
      <w:r w:rsidRPr="00BE2AAE">
        <w:t xml:space="preserve">(1999); </w:t>
      </w:r>
      <w:r w:rsidRPr="00E5047B">
        <w:rPr>
          <w:i/>
        </w:rPr>
        <w:t>MCI Telecommunications Corp. v. Pacific Northwest Bell Telephone Co.</w:t>
      </w:r>
      <w:r w:rsidRPr="00BE2AAE">
        <w:t>, Memorandum Opinion and Order, 5 FCC Rcd 216, 228 n. 38 (1990)</w:t>
      </w:r>
      <w:r>
        <w:t>,</w:t>
      </w:r>
      <w:r w:rsidRPr="00BE2AAE">
        <w:t xml:space="preserve"> </w:t>
      </w:r>
      <w:r w:rsidRPr="00BE2AAE">
        <w:rPr>
          <w:i/>
          <w:iCs/>
        </w:rPr>
        <w:t>recon</w:t>
      </w:r>
      <w:r>
        <w:rPr>
          <w:i/>
          <w:iCs/>
        </w:rPr>
        <w:t>.</w:t>
      </w:r>
      <w:r w:rsidRPr="00BE2AAE">
        <w:rPr>
          <w:i/>
          <w:iCs/>
        </w:rPr>
        <w:t xml:space="preserve"> denied</w:t>
      </w:r>
      <w:r w:rsidRPr="00BE2AAE">
        <w:t xml:space="preserve">, 5 FCC Rcd 3463 (1990) </w:t>
      </w:r>
      <w:r w:rsidRPr="00BE2AAE">
        <w:rPr>
          <w:i/>
          <w:iCs/>
        </w:rPr>
        <w:t xml:space="preserve">appeal dismissed sub nom. </w:t>
      </w:r>
      <w:r w:rsidRPr="00E5047B">
        <w:rPr>
          <w:i/>
        </w:rPr>
        <w:t>Mountain States Tel. and Tel. Co. v. FCC</w:t>
      </w:r>
      <w:r w:rsidRPr="00BE2AAE">
        <w:t>, 951 F. 2d 1259 (10th Cir. 1991)</w:t>
      </w:r>
      <w:r>
        <w:t xml:space="preserve"> </w:t>
      </w:r>
      <w:r w:rsidRPr="00BE2AAE">
        <w:t>(</w:t>
      </w:r>
      <w:r w:rsidRPr="00BE2AAE">
        <w:rPr>
          <w:i/>
          <w:iCs/>
        </w:rPr>
        <w:t>per curium</w:t>
      </w:r>
      <w:r w:rsidRPr="00BE2AAE">
        <w:t>).</w:t>
      </w:r>
      <w:r w:rsidRPr="00FF5CDE">
        <w:t xml:space="preserve">  </w:t>
      </w:r>
    </w:p>
  </w:footnote>
  <w:footnote w:id="36">
    <w:p w:rsidR="00685EB3" w:rsidRDefault="00685EB3">
      <w:pPr>
        <w:pStyle w:val="FootnoteText"/>
      </w:pPr>
      <w:r>
        <w:rPr>
          <w:rStyle w:val="FootnoteReference"/>
        </w:rPr>
        <w:footnoteRef/>
      </w:r>
      <w:r>
        <w:t xml:space="preserve"> </w:t>
      </w:r>
      <w:r>
        <w:rPr>
          <w:rStyle w:val="Emphasis"/>
        </w:rPr>
        <w:t>See</w:t>
      </w:r>
      <w:r w:rsidRPr="005B5CDC">
        <w:rPr>
          <w:rStyle w:val="Emphasis"/>
        </w:rPr>
        <w:t>, e.g.</w:t>
      </w:r>
      <w:r>
        <w:rPr>
          <w:rStyle w:val="Emphasis"/>
          <w:i w:val="0"/>
        </w:rPr>
        <w:t>,</w:t>
      </w:r>
      <w:r>
        <w:rPr>
          <w:rStyle w:val="Emphasis"/>
        </w:rPr>
        <w:t xml:space="preserve"> </w:t>
      </w:r>
      <w:r w:rsidRPr="00FF5CDE">
        <w:rPr>
          <w:rStyle w:val="Emphasis"/>
        </w:rPr>
        <w:t>Applications of Lazer Licenses, LLC</w:t>
      </w:r>
      <w:r>
        <w:rPr>
          <w:rStyle w:val="Emphasis"/>
          <w:i w:val="0"/>
        </w:rPr>
        <w:t>, 30 FCC Rcd 6357, para. 4 (Media Bur. 2015) (“</w:t>
      </w:r>
      <w:r>
        <w:t>We find, as the Commission has, that indirect challenges to decisions that were adopted in proceedings in which the right to review has expired are considered impermissible collateral attacks and are properly denied.”) (citation omitted);</w:t>
      </w:r>
      <w:r>
        <w:rPr>
          <w:rStyle w:val="Emphasis"/>
          <w:i w:val="0"/>
        </w:rPr>
        <w:t xml:space="preserve"> </w:t>
      </w:r>
      <w:r w:rsidRPr="00BE2AAE">
        <w:rPr>
          <w:rStyle w:val="Emphasis"/>
        </w:rPr>
        <w:t>M&amp;M Broadcasters, Ltd</w:t>
      </w:r>
      <w:r w:rsidRPr="00BE2AAE">
        <w:t>., Letter, 25 FCC Rcd 4942, 4946 (M</w:t>
      </w:r>
      <w:r>
        <w:t xml:space="preserve">edia </w:t>
      </w:r>
      <w:r w:rsidRPr="00BE2AAE">
        <w:t>B</w:t>
      </w:r>
      <w:r>
        <w:t>ur.</w:t>
      </w:r>
      <w:r w:rsidRPr="00BE2AAE">
        <w:t xml:space="preserve"> 2010)</w:t>
      </w:r>
      <w:r>
        <w:t xml:space="preserve"> (finding informal objection amounted to </w:t>
      </w:r>
      <w:r>
        <w:rPr>
          <w:rStyle w:val="cosearchterm"/>
        </w:rPr>
        <w:t>untimely</w:t>
      </w:r>
      <w:r>
        <w:t xml:space="preserve"> </w:t>
      </w:r>
      <w:r>
        <w:rPr>
          <w:rStyle w:val="cosearchterm"/>
        </w:rPr>
        <w:t>petition</w:t>
      </w:r>
      <w:r>
        <w:t xml:space="preserve"> for reconsideration).</w:t>
      </w:r>
    </w:p>
  </w:footnote>
  <w:footnote w:id="37">
    <w:p w:rsidR="00685EB3" w:rsidRPr="00F27401" w:rsidRDefault="00685EB3" w:rsidP="00B841F0">
      <w:pPr>
        <w:pStyle w:val="FootnoteText"/>
      </w:pPr>
      <w:r>
        <w:rPr>
          <w:rStyle w:val="FootnoteReference"/>
        </w:rPr>
        <w:footnoteRef/>
      </w:r>
      <w:r>
        <w:t xml:space="preserve"> </w:t>
      </w:r>
      <w:r>
        <w:rPr>
          <w:i/>
        </w:rPr>
        <w:t>Charter Order</w:t>
      </w:r>
      <w:r w:rsidR="00131514">
        <w:rPr>
          <w:i/>
        </w:rPr>
        <w:t xml:space="preserve"> </w:t>
      </w:r>
      <w:r w:rsidR="00131514">
        <w:t>at</w:t>
      </w:r>
      <w:r>
        <w:t xml:space="preserve"> paras. 25-26.</w:t>
      </w:r>
    </w:p>
  </w:footnote>
  <w:footnote w:id="38">
    <w:p w:rsidR="00685EB3" w:rsidRPr="00BB0525" w:rsidRDefault="00685EB3" w:rsidP="00B841F0">
      <w:pPr>
        <w:pStyle w:val="FootnoteText"/>
        <w:rPr>
          <w:i/>
        </w:rPr>
      </w:pPr>
      <w:r>
        <w:rPr>
          <w:rStyle w:val="FootnoteReference"/>
        </w:rPr>
        <w:footnoteRef/>
      </w:r>
      <w:r>
        <w:t xml:space="preserve"> </w:t>
      </w:r>
      <w:r>
        <w:rPr>
          <w:i/>
        </w:rPr>
        <w:t>Id.</w:t>
      </w:r>
    </w:p>
  </w:footnote>
  <w:footnote w:id="39">
    <w:p w:rsidR="00685EB3" w:rsidRDefault="00685EB3">
      <w:pPr>
        <w:pStyle w:val="FootnoteText"/>
      </w:pPr>
      <w:r>
        <w:rPr>
          <w:rStyle w:val="FootnoteReference"/>
        </w:rPr>
        <w:footnoteRef/>
      </w:r>
      <w:r>
        <w:t xml:space="preserve"> </w:t>
      </w:r>
      <w:r w:rsidRPr="000A4C87">
        <w:rPr>
          <w:i/>
        </w:rPr>
        <w:t>Data Collection Order</w:t>
      </w:r>
      <w:r>
        <w:t xml:space="preserve">, 27 FCC Rcd 16318.  Nor did the Objectors raise their concerns in any of the numerous opportunities they had over the course of the proceeding while the Bureau refined and narrowed the scope of the data collection in 2014 and 2015.  That is, based on feedback from potential respondents, including Paperwork Reduction Act (PRA) comments, the Bureau clarified and modified the collection on September 18, 2013.  </w:t>
      </w:r>
      <w:r w:rsidRPr="00D30EC1">
        <w:rPr>
          <w:i/>
        </w:rPr>
        <w:t xml:space="preserve">See </w:t>
      </w:r>
      <w:r w:rsidRPr="000A4C87">
        <w:rPr>
          <w:i/>
        </w:rPr>
        <w:t>Implementation Order</w:t>
      </w:r>
      <w:r>
        <w:t xml:space="preserve">, 28 FCC Rcd 13189; </w:t>
      </w:r>
      <w:r w:rsidRPr="009A7079">
        <w:t>78 Fed. Reg. 67053 (Nov. 8, 2013).</w:t>
      </w:r>
      <w:r>
        <w:t xml:space="preserve">  The Bureau subsequently submitted the collection to the Office of Management and Budget (OMB) for review as required by the PRA.  </w:t>
      </w:r>
      <w:r w:rsidRPr="000A4C87">
        <w:rPr>
          <w:i/>
        </w:rPr>
        <w:t>See Reconsideration Order</w:t>
      </w:r>
      <w:r w:rsidRPr="00532E86">
        <w:t>, 29 FCC Rcd at 10902, para. 8;</w:t>
      </w:r>
      <w:r>
        <w:t xml:space="preserve"> </w:t>
      </w:r>
      <w:r w:rsidRPr="00532E86">
        <w:t xml:space="preserve">78 Fed. Reg. </w:t>
      </w:r>
      <w:r>
        <w:t>73861</w:t>
      </w:r>
      <w:r w:rsidRPr="00532E86">
        <w:t xml:space="preserve"> (</w:t>
      </w:r>
      <w:r>
        <w:t>Dec. 9</w:t>
      </w:r>
      <w:r w:rsidRPr="00532E86">
        <w:t>, 2013).</w:t>
      </w:r>
      <w:r>
        <w:t xml:space="preserve">  After receiving comments from interested parties and completing its review, OMB approved the collection subject to modification</w:t>
      </w:r>
      <w:r w:rsidRPr="006011C2">
        <w:t xml:space="preserve"> </w:t>
      </w:r>
      <w:r>
        <w:t xml:space="preserve">on August 15, 2014.  </w:t>
      </w:r>
      <w:r w:rsidRPr="000A4C87">
        <w:rPr>
          <w:i/>
        </w:rPr>
        <w:t>See Reconsideration Order</w:t>
      </w:r>
      <w:r>
        <w:t>, 29 FCC Rcd at 10902, para. 8; Notice of Office of Management and Budget Action, OMB Control No. 3060-1197 (Aug. 15, 2014), http://www.reginfo.gov/public/do/PRAViewICR?ref _nbr=201311-3060-001# .  The collection was finalized in a September 15, 2014 order and became effective on October 27, 2014</w:t>
      </w:r>
      <w:r w:rsidRPr="00AB59B8">
        <w:t xml:space="preserve"> </w:t>
      </w:r>
      <w:r>
        <w:t xml:space="preserve">after Federal Register notice.  </w:t>
      </w:r>
      <w:r w:rsidRPr="000A4C87">
        <w:rPr>
          <w:i/>
        </w:rPr>
        <w:t>See Reconsideration Order</w:t>
      </w:r>
      <w:r w:rsidRPr="00532E86">
        <w:t>, 29 FCC Rcd at 1090</w:t>
      </w:r>
      <w:r>
        <w:t>6</w:t>
      </w:r>
      <w:r w:rsidRPr="00532E86">
        <w:t xml:space="preserve">, para. </w:t>
      </w:r>
      <w:r>
        <w:t xml:space="preserve">16; </w:t>
      </w:r>
      <w:r w:rsidRPr="000A4C87">
        <w:rPr>
          <w:i/>
        </w:rPr>
        <w:t>see</w:t>
      </w:r>
      <w:r w:rsidR="00E42B3B">
        <w:rPr>
          <w:i/>
        </w:rPr>
        <w:t xml:space="preserve"> also</w:t>
      </w:r>
      <w:r w:rsidRPr="000A4C87">
        <w:rPr>
          <w:i/>
        </w:rPr>
        <w:t xml:space="preserve"> Data Collection Order</w:t>
      </w:r>
      <w:r w:rsidRPr="00532E86">
        <w:t>, 27 FCC Rcd at 16358, para. 106</w:t>
      </w:r>
      <w:r>
        <w:t xml:space="preserve">; 78 Fed. Reg. 57810 (Sept. 26, 2014).  </w:t>
      </w:r>
      <w:r w:rsidRPr="004B3E31">
        <w:t xml:space="preserve">At no time did these Objectors argue that their confidential information should not be made available for review pursuant to a protective order. </w:t>
      </w:r>
      <w:r>
        <w:t xml:space="preserve"> </w:t>
      </w:r>
    </w:p>
  </w:footnote>
  <w:footnote w:id="40">
    <w:p w:rsidR="00685EB3" w:rsidRDefault="00685EB3" w:rsidP="0020182F">
      <w:pPr>
        <w:pStyle w:val="FootnoteText"/>
      </w:pPr>
      <w:r>
        <w:rPr>
          <w:rStyle w:val="FootnoteReference"/>
        </w:rPr>
        <w:footnoteRef/>
      </w:r>
      <w:r>
        <w:t xml:space="preserve"> </w:t>
      </w:r>
      <w:r>
        <w:rPr>
          <w:i/>
        </w:rPr>
        <w:t>Protective Order Public Notice</w:t>
      </w:r>
      <w:r w:rsidRPr="00F43F94">
        <w:t>,</w:t>
      </w:r>
      <w:r>
        <w:t xml:space="preserve"> 28 FCC Rcd at 9172. </w:t>
      </w:r>
    </w:p>
  </w:footnote>
  <w:footnote w:id="41">
    <w:p w:rsidR="00685EB3" w:rsidRDefault="00685EB3">
      <w:pPr>
        <w:pStyle w:val="FootnoteText"/>
      </w:pPr>
      <w:r>
        <w:rPr>
          <w:rStyle w:val="FootnoteReference"/>
        </w:rPr>
        <w:footnoteRef/>
      </w:r>
      <w:r>
        <w:t xml:space="preserve"> </w:t>
      </w:r>
      <w:r w:rsidRPr="001320CA">
        <w:rPr>
          <w:i/>
        </w:rPr>
        <w:t>Protective Order</w:t>
      </w:r>
      <w:r>
        <w:t xml:space="preserve">, 29 FCC Rcd at 11660, para. 7. </w:t>
      </w:r>
    </w:p>
  </w:footnote>
  <w:footnote w:id="42">
    <w:p w:rsidR="00685EB3" w:rsidRDefault="00685EB3">
      <w:pPr>
        <w:pStyle w:val="FootnoteText"/>
      </w:pPr>
      <w:r>
        <w:rPr>
          <w:rStyle w:val="FootnoteReference"/>
        </w:rPr>
        <w:footnoteRef/>
      </w:r>
      <w:r>
        <w:t xml:space="preserve"> </w:t>
      </w:r>
      <w:r w:rsidRPr="00BE2AAE">
        <w:rPr>
          <w:i/>
        </w:rPr>
        <w:t>See, e.g.</w:t>
      </w:r>
      <w:r>
        <w:t>, Verizon Comments at 1 (“[T]he Protective Order goes beyond previous protective orders in this proceeding and introduces new protections that limit how reviewing parties can access certain information.  The Commission correctly concluded that extra steps are necessary . . . .”).</w:t>
      </w:r>
    </w:p>
  </w:footnote>
  <w:footnote w:id="43">
    <w:p w:rsidR="00685EB3" w:rsidRDefault="00685EB3" w:rsidP="005E06A2">
      <w:pPr>
        <w:pStyle w:val="FootnoteText"/>
      </w:pPr>
      <w:r>
        <w:rPr>
          <w:rStyle w:val="FootnoteReference"/>
        </w:rPr>
        <w:footnoteRef/>
      </w:r>
      <w:r>
        <w:t xml:space="preserve"> </w:t>
      </w:r>
      <w:r w:rsidRPr="001320CA">
        <w:rPr>
          <w:i/>
        </w:rPr>
        <w:t xml:space="preserve">See </w:t>
      </w:r>
      <w:r w:rsidRPr="009B4D6E">
        <w:t>47 C.F.R. § 1.104</w:t>
      </w:r>
      <w:r>
        <w:t xml:space="preserve">(b); </w:t>
      </w:r>
      <w:r w:rsidRPr="006E080F">
        <w:rPr>
          <w:i/>
        </w:rPr>
        <w:t>see</w:t>
      </w:r>
      <w:r w:rsidR="002E437B">
        <w:rPr>
          <w:i/>
        </w:rPr>
        <w:t xml:space="preserve"> also</w:t>
      </w:r>
      <w:r>
        <w:t xml:space="preserve"> 47 C.F.R. </w:t>
      </w:r>
      <w:r w:rsidRPr="009B4D6E">
        <w:t>§</w:t>
      </w:r>
      <w:r w:rsidR="00E42B3B" w:rsidRPr="009B4D6E">
        <w:t xml:space="preserve">§ </w:t>
      </w:r>
      <w:r w:rsidRPr="009B4D6E">
        <w:t xml:space="preserve"> </w:t>
      </w:r>
      <w:r>
        <w:t>1.4(b)</w:t>
      </w:r>
      <w:r w:rsidR="00E42B3B">
        <w:t xml:space="preserve">, </w:t>
      </w:r>
      <w:r w:rsidRPr="009B4D6E">
        <w:t>1.115(d)</w:t>
      </w:r>
      <w:r>
        <w:t>.</w:t>
      </w:r>
    </w:p>
  </w:footnote>
  <w:footnote w:id="44">
    <w:p w:rsidR="0053022C" w:rsidRDefault="0053022C">
      <w:pPr>
        <w:pStyle w:val="FootnoteText"/>
      </w:pPr>
      <w:r>
        <w:rPr>
          <w:rStyle w:val="FootnoteReference"/>
        </w:rPr>
        <w:footnoteRef/>
      </w:r>
      <w:r>
        <w:t xml:space="preserve"> </w:t>
      </w:r>
      <w:r w:rsidRPr="00247A39">
        <w:rPr>
          <w:i/>
        </w:rPr>
        <w:t xml:space="preserve">See </w:t>
      </w:r>
      <w:r>
        <w:rPr>
          <w:i/>
        </w:rPr>
        <w:t>infra</w:t>
      </w:r>
      <w:r>
        <w:t xml:space="preserve"> section </w:t>
      </w:r>
      <w:r w:rsidR="00C95F03">
        <w:t>II</w:t>
      </w:r>
      <w:r w:rsidR="00D237C4">
        <w:t>I</w:t>
      </w:r>
      <w:r w:rsidR="00C95F03">
        <w:t>.</w:t>
      </w:r>
      <w:r>
        <w:t>C.1.</w:t>
      </w:r>
    </w:p>
  </w:footnote>
  <w:footnote w:id="45">
    <w:p w:rsidR="00685EB3" w:rsidRDefault="00685EB3" w:rsidP="00F4146F">
      <w:pPr>
        <w:pStyle w:val="FootnoteText"/>
      </w:pPr>
      <w:r>
        <w:rPr>
          <w:rStyle w:val="FootnoteReference"/>
        </w:rPr>
        <w:footnoteRef/>
      </w:r>
      <w:r>
        <w:t xml:space="preserve"> Vantage Point Objection at 2; JSI Objection at 1.</w:t>
      </w:r>
    </w:p>
  </w:footnote>
  <w:footnote w:id="46">
    <w:p w:rsidR="00685EB3" w:rsidRDefault="00685EB3" w:rsidP="009C137D">
      <w:pPr>
        <w:pStyle w:val="FootnoteText"/>
      </w:pPr>
      <w:r>
        <w:rPr>
          <w:rStyle w:val="FootnoteReference"/>
        </w:rPr>
        <w:footnoteRef/>
      </w:r>
      <w:r>
        <w:t xml:space="preserve"> </w:t>
      </w:r>
      <w:r w:rsidRPr="009C137D">
        <w:rPr>
          <w:i/>
        </w:rPr>
        <w:t>Protective Order</w:t>
      </w:r>
      <w:r>
        <w:t xml:space="preserve">, 29 FCC Rcd at 11663, para. 19 &amp; n. 48 (citing the Commission’s rules protecting “customer proprietary network information” or CPNI, 47 C.F.R. § 64.2001 et seq.).  </w:t>
      </w:r>
    </w:p>
  </w:footnote>
  <w:footnote w:id="47">
    <w:p w:rsidR="00685EB3" w:rsidRDefault="00685EB3">
      <w:pPr>
        <w:pStyle w:val="FootnoteText"/>
      </w:pPr>
      <w:r>
        <w:rPr>
          <w:rStyle w:val="FootnoteReference"/>
        </w:rPr>
        <w:footnoteRef/>
      </w:r>
      <w:r>
        <w:t xml:space="preserve"> </w:t>
      </w:r>
      <w:r w:rsidRPr="00B91551">
        <w:rPr>
          <w:i/>
        </w:rPr>
        <w:t>Wi</w:t>
      </w:r>
      <w:r>
        <w:rPr>
          <w:i/>
        </w:rPr>
        <w:t>re</w:t>
      </w:r>
      <w:r w:rsidRPr="00B91551">
        <w:rPr>
          <w:i/>
        </w:rPr>
        <w:t>line Competition Bureau Issues Subpoena for Providers in Special Access Data Collection</w:t>
      </w:r>
      <w:r w:rsidRPr="009302F9">
        <w:t>, WC Docket No. 05-25, RM-10593, Public Notice, 30 FCC Rcd 219</w:t>
      </w:r>
      <w:r>
        <w:t>, 223-24, Attach.</w:t>
      </w:r>
      <w:r w:rsidRPr="009302F9">
        <w:t xml:space="preserve"> (Wireline Comp. Bur. 2015)</w:t>
      </w:r>
      <w:r>
        <w:t>.</w:t>
      </w:r>
    </w:p>
  </w:footnote>
  <w:footnote w:id="48">
    <w:p w:rsidR="00685EB3" w:rsidRDefault="00685EB3">
      <w:pPr>
        <w:pStyle w:val="FootnoteText"/>
      </w:pPr>
      <w:r>
        <w:rPr>
          <w:rStyle w:val="FootnoteReference"/>
        </w:rPr>
        <w:footnoteRef/>
      </w:r>
      <w:r>
        <w:rPr>
          <w:i/>
        </w:rPr>
        <w:t xml:space="preserve"> </w:t>
      </w:r>
      <w:r w:rsidRPr="00B81D45">
        <w:rPr>
          <w:i/>
        </w:rPr>
        <w:t>Protective Order</w:t>
      </w:r>
      <w:r>
        <w:t>, 29 FCC Rcd at 11677, Appx. B.</w:t>
      </w:r>
    </w:p>
  </w:footnote>
  <w:footnote w:id="49">
    <w:p w:rsidR="00685EB3" w:rsidRDefault="00685EB3" w:rsidP="00244907">
      <w:pPr>
        <w:pStyle w:val="FootnoteText"/>
      </w:pPr>
      <w:r>
        <w:rPr>
          <w:rStyle w:val="FootnoteReference"/>
        </w:rPr>
        <w:footnoteRef/>
      </w:r>
      <w:r>
        <w:t xml:space="preserve"> JSI Opposition at 1-2.</w:t>
      </w:r>
    </w:p>
  </w:footnote>
  <w:footnote w:id="50">
    <w:p w:rsidR="00685EB3" w:rsidRDefault="00685EB3" w:rsidP="003D1CAE">
      <w:pPr>
        <w:pStyle w:val="FootnoteText"/>
      </w:pPr>
      <w:r>
        <w:rPr>
          <w:rStyle w:val="FootnoteReference"/>
        </w:rPr>
        <w:footnoteRef/>
      </w:r>
      <w:r>
        <w:t xml:space="preserve"> </w:t>
      </w:r>
      <w:r w:rsidRPr="00AD050D">
        <w:rPr>
          <w:i/>
        </w:rPr>
        <w:t>See Data Collection Order</w:t>
      </w:r>
      <w:r w:rsidRPr="00045035">
        <w:t>, 27 FCC Rcd at 16345-49, paras. 66-71</w:t>
      </w:r>
      <w:r>
        <w:t>.</w:t>
      </w:r>
    </w:p>
  </w:footnote>
  <w:footnote w:id="51">
    <w:p w:rsidR="00685EB3" w:rsidRDefault="00685EB3" w:rsidP="00244907">
      <w:pPr>
        <w:pStyle w:val="FootnoteText"/>
      </w:pPr>
      <w:r>
        <w:rPr>
          <w:rStyle w:val="FootnoteReference"/>
        </w:rPr>
        <w:footnoteRef/>
      </w:r>
      <w:r>
        <w:t xml:space="preserve"> </w:t>
      </w:r>
      <w:r w:rsidRPr="00AD050D">
        <w:rPr>
          <w:i/>
        </w:rPr>
        <w:t>Protective Order</w:t>
      </w:r>
      <w:r>
        <w:t xml:space="preserve">, 29 FCC Rcd at 11664, para. 21. </w:t>
      </w:r>
    </w:p>
  </w:footnote>
  <w:footnote w:id="52">
    <w:p w:rsidR="00685EB3" w:rsidRDefault="00685EB3">
      <w:pPr>
        <w:pStyle w:val="FootnoteText"/>
      </w:pPr>
      <w:r>
        <w:rPr>
          <w:rStyle w:val="FootnoteReference"/>
        </w:rPr>
        <w:footnoteRef/>
      </w:r>
      <w:r>
        <w:t xml:space="preserve"> </w:t>
      </w:r>
      <w:r w:rsidRPr="000A4C87">
        <w:rPr>
          <w:i/>
        </w:rPr>
        <w:t>Id</w:t>
      </w:r>
      <w:r>
        <w:t xml:space="preserve">.; </w:t>
      </w:r>
      <w:r w:rsidRPr="000E4B5D">
        <w:t>AT&amp;T Comments at 9-10.</w:t>
      </w:r>
    </w:p>
  </w:footnote>
  <w:footnote w:id="53">
    <w:p w:rsidR="00685EB3" w:rsidRDefault="00685EB3" w:rsidP="00244907">
      <w:pPr>
        <w:pStyle w:val="FootnoteText"/>
      </w:pPr>
      <w:r>
        <w:rPr>
          <w:rStyle w:val="FootnoteReference"/>
        </w:rPr>
        <w:footnoteRef/>
      </w:r>
      <w:r>
        <w:t xml:space="preserve"> </w:t>
      </w:r>
      <w:r w:rsidRPr="000A4C87">
        <w:rPr>
          <w:i/>
        </w:rPr>
        <w:t>Protective Order</w:t>
      </w:r>
      <w:r w:rsidRPr="000E4B5D">
        <w:t xml:space="preserve">, 29 FCC Rcd at 11664, para. 21. </w:t>
      </w:r>
    </w:p>
  </w:footnote>
  <w:footnote w:id="54">
    <w:p w:rsidR="00685EB3" w:rsidRDefault="00685EB3">
      <w:pPr>
        <w:pStyle w:val="FootnoteText"/>
      </w:pPr>
      <w:r>
        <w:rPr>
          <w:rStyle w:val="FootnoteReference"/>
        </w:rPr>
        <w:footnoteRef/>
      </w:r>
      <w:r>
        <w:t xml:space="preserve"> Service Electric Objection at 4; Vantage Point Objection at 2. </w:t>
      </w:r>
    </w:p>
  </w:footnote>
  <w:footnote w:id="55">
    <w:p w:rsidR="00685EB3" w:rsidRDefault="00685EB3">
      <w:pPr>
        <w:pStyle w:val="FootnoteText"/>
      </w:pPr>
      <w:r>
        <w:rPr>
          <w:rStyle w:val="FootnoteReference"/>
        </w:rPr>
        <w:footnoteRef/>
      </w:r>
      <w:r>
        <w:t xml:space="preserve"> Service Electric Objection at 4 (arguing that disclosure of fiber network mapping and interconnected node locations </w:t>
      </w:r>
      <w:r w:rsidRPr="00270FA6">
        <w:t>“could increase the potential for serious data breaches and exposes Service Electric to possible sabotage”</w:t>
      </w:r>
      <w:r>
        <w:t xml:space="preserve">); </w:t>
      </w:r>
      <w:r w:rsidRPr="000A4C87">
        <w:rPr>
          <w:i/>
        </w:rPr>
        <w:t>see</w:t>
      </w:r>
      <w:r>
        <w:t xml:space="preserve"> Data Collection – Question II.A.5. </w:t>
      </w:r>
    </w:p>
  </w:footnote>
  <w:footnote w:id="56">
    <w:p w:rsidR="00685EB3" w:rsidRDefault="00685EB3">
      <w:pPr>
        <w:pStyle w:val="FootnoteText"/>
      </w:pPr>
      <w:r>
        <w:rPr>
          <w:rStyle w:val="FootnoteReference"/>
        </w:rPr>
        <w:footnoteRef/>
      </w:r>
      <w:r>
        <w:t xml:space="preserve"> </w:t>
      </w:r>
      <w:r w:rsidRPr="000A4C87">
        <w:rPr>
          <w:i/>
        </w:rPr>
        <w:t>Protective Order</w:t>
      </w:r>
      <w:r>
        <w:t xml:space="preserve">, 29 FCC Rcd at 11661, para. 10. </w:t>
      </w:r>
    </w:p>
  </w:footnote>
  <w:footnote w:id="57">
    <w:p w:rsidR="00685EB3" w:rsidRDefault="00685EB3">
      <w:pPr>
        <w:pStyle w:val="FootnoteText"/>
      </w:pPr>
      <w:r>
        <w:rPr>
          <w:rStyle w:val="FootnoteReference"/>
        </w:rPr>
        <w:footnoteRef/>
      </w:r>
      <w:r>
        <w:t xml:space="preserve"> </w:t>
      </w:r>
      <w:r w:rsidRPr="000A4C87">
        <w:rPr>
          <w:i/>
        </w:rPr>
        <w:t>Id</w:t>
      </w:r>
      <w:r>
        <w:t>. at 11662, para. 14.</w:t>
      </w:r>
    </w:p>
  </w:footnote>
  <w:footnote w:id="58">
    <w:p w:rsidR="00685EB3" w:rsidRDefault="00685EB3">
      <w:pPr>
        <w:pStyle w:val="FootnoteText"/>
      </w:pPr>
      <w:r>
        <w:rPr>
          <w:rStyle w:val="FootnoteReference"/>
        </w:rPr>
        <w:footnoteRef/>
      </w:r>
      <w:r>
        <w:t xml:space="preserve"> </w:t>
      </w:r>
      <w:r w:rsidRPr="00F16F1F">
        <w:rPr>
          <w:i/>
        </w:rPr>
        <w:t>Id.</w:t>
      </w:r>
    </w:p>
  </w:footnote>
  <w:footnote w:id="59">
    <w:p w:rsidR="00685EB3" w:rsidRPr="00137FC5" w:rsidRDefault="00685EB3" w:rsidP="00B33C43">
      <w:pPr>
        <w:pStyle w:val="FootnoteText"/>
      </w:pPr>
      <w:r>
        <w:rPr>
          <w:rStyle w:val="FootnoteReference"/>
        </w:rPr>
        <w:footnoteRef/>
      </w:r>
      <w:r>
        <w:t xml:space="preserve"> These parties also argue that the information is subject to withholding from public disclosure under the </w:t>
      </w:r>
      <w:r w:rsidR="00AB4D2D">
        <w:t>FOIA</w:t>
      </w:r>
      <w:r>
        <w:t xml:space="preserve">.  </w:t>
      </w:r>
      <w:r w:rsidR="0068419B">
        <w:t xml:space="preserve">This challenge is misplaced and summarily dismissed.  </w:t>
      </w:r>
      <w:r>
        <w:t xml:space="preserve">The fact that information may be exempt from release under FOIA only allows the Commission to withhold it from public release; it does not require the Commission to do so.  </w:t>
      </w:r>
      <w:r>
        <w:rPr>
          <w:i/>
        </w:rPr>
        <w:t>See Chrysler Corp. v. Brown,</w:t>
      </w:r>
      <w:r>
        <w:t xml:space="preserve"> 441 U.S. 281, 292-93 (1979); </w:t>
      </w:r>
      <w:r>
        <w:rPr>
          <w:i/>
        </w:rPr>
        <w:t>Charter Order</w:t>
      </w:r>
      <w:r w:rsidR="00131514">
        <w:t xml:space="preserve"> at </w:t>
      </w:r>
      <w:r>
        <w:t xml:space="preserve">para. 37.  Nor does it speak to whether the Commission can or should allow the information to be reviewed pursuant to a protective order. </w:t>
      </w:r>
      <w:r w:rsidR="00AB4D2D">
        <w:t xml:space="preserve"> </w:t>
      </w:r>
      <w:r>
        <w:t xml:space="preserve">More generally, as the Commission recently explained, </w:t>
      </w:r>
      <w:r w:rsidR="00AB4D2D">
        <w:t>because</w:t>
      </w:r>
      <w:r>
        <w:t xml:space="preserve"> information may be competitively sensitive or confidential does not prevent its review pursuant to a protective order, although competitive sensitiv</w:t>
      </w:r>
      <w:r w:rsidR="00AB4D2D">
        <w:t>ity</w:t>
      </w:r>
      <w:r>
        <w:t xml:space="preserve"> is a reason to limit its review only pursuant to a protective order</w:t>
      </w:r>
      <w:r w:rsidRPr="00692DFA">
        <w:rPr>
          <w:i/>
        </w:rPr>
        <w:t>.</w:t>
      </w:r>
      <w:r>
        <w:t xml:space="preserve"> </w:t>
      </w:r>
      <w:r w:rsidR="00AB4D2D">
        <w:t xml:space="preserve"> </w:t>
      </w:r>
      <w:r>
        <w:rPr>
          <w:i/>
        </w:rPr>
        <w:t>See Charter Order</w:t>
      </w:r>
      <w:r w:rsidR="0068419B">
        <w:t xml:space="preserve"> at para. 6 (“</w:t>
      </w:r>
      <w:r w:rsidR="0068419B" w:rsidRPr="001106B2">
        <w:t xml:space="preserve">This showing </w:t>
      </w:r>
      <w:r w:rsidR="0068419B">
        <w:t xml:space="preserve">[under FOIA] </w:t>
      </w:r>
      <w:r w:rsidR="0068419B" w:rsidRPr="001106B2">
        <w:t xml:space="preserve">applies to requests to </w:t>
      </w:r>
      <w:r w:rsidR="0068419B" w:rsidRPr="001106B2">
        <w:rPr>
          <w:i/>
        </w:rPr>
        <w:t>publicly</w:t>
      </w:r>
      <w:r w:rsidR="0068419B" w:rsidRPr="001106B2">
        <w:t xml:space="preserve"> disclose confidential information; it does not apply when we permit participants in a proceeding to review confidential information </w:t>
      </w:r>
      <w:r w:rsidR="0068419B">
        <w:t>pursuant to a protective order</w:t>
      </w:r>
      <w:r w:rsidR="004B16C2">
        <w:t>.</w:t>
      </w:r>
      <w:r w:rsidR="0068419B">
        <w:t>”)</w:t>
      </w:r>
      <w:r>
        <w:rPr>
          <w:i/>
        </w:rPr>
        <w:t>.</w:t>
      </w:r>
    </w:p>
  </w:footnote>
  <w:footnote w:id="60">
    <w:p w:rsidR="00685EB3" w:rsidRDefault="00685EB3">
      <w:pPr>
        <w:pStyle w:val="FootnoteText"/>
      </w:pPr>
      <w:r>
        <w:rPr>
          <w:rStyle w:val="FootnoteReference"/>
        </w:rPr>
        <w:footnoteRef/>
      </w:r>
      <w:r>
        <w:t xml:space="preserve"> </w:t>
      </w:r>
      <w:r w:rsidRPr="00A97D22">
        <w:t xml:space="preserve">Brown County </w:t>
      </w:r>
      <w:r>
        <w:t xml:space="preserve">Objection at 1; </w:t>
      </w:r>
      <w:r w:rsidRPr="00A97D22">
        <w:t>FiberNet</w:t>
      </w:r>
      <w:r>
        <w:t xml:space="preserve"> Objection at 1; </w:t>
      </w:r>
      <w:r w:rsidRPr="00A97D22">
        <w:t>Santa Rosa</w:t>
      </w:r>
      <w:r>
        <w:t xml:space="preserve"> Objection at 1. </w:t>
      </w:r>
    </w:p>
  </w:footnote>
  <w:footnote w:id="61">
    <w:p w:rsidR="00685EB3" w:rsidRDefault="00685EB3" w:rsidP="00B33C43">
      <w:pPr>
        <w:pStyle w:val="FootnoteText"/>
      </w:pPr>
      <w:r>
        <w:rPr>
          <w:rStyle w:val="FootnoteReference"/>
        </w:rPr>
        <w:footnoteRef/>
      </w:r>
      <w:r>
        <w:t xml:space="preserve"> </w:t>
      </w:r>
      <w:r w:rsidRPr="00096361">
        <w:rPr>
          <w:i/>
        </w:rPr>
        <w:t>Data Collection Order</w:t>
      </w:r>
      <w:r>
        <w:t>, 27 FCC Rcd at 16324, para. 13.</w:t>
      </w:r>
    </w:p>
  </w:footnote>
  <w:footnote w:id="62">
    <w:p w:rsidR="00685EB3" w:rsidRPr="00BB0525" w:rsidRDefault="00685EB3" w:rsidP="00B33C43">
      <w:pPr>
        <w:pStyle w:val="FootnoteText"/>
        <w:rPr>
          <w:i/>
        </w:rPr>
      </w:pPr>
      <w:r>
        <w:rPr>
          <w:rStyle w:val="FootnoteReference"/>
        </w:rPr>
        <w:footnoteRef/>
      </w:r>
      <w:r>
        <w:t xml:space="preserve"> </w:t>
      </w:r>
      <w:r>
        <w:rPr>
          <w:i/>
          <w:iCs/>
          <w:snapToGrid w:val="0"/>
        </w:rPr>
        <w:t>Special Access for Price Cap Local Exchange Carriers; AT&amp;T Corporation Petition for Rulemaking to Reform Regulation of Incumbent Local Exchange Carrier Rates for Interstate Special Access Services</w:t>
      </w:r>
      <w:r>
        <w:rPr>
          <w:snapToGrid w:val="0"/>
        </w:rPr>
        <w:t xml:space="preserve">, WC Docket No. 05-25, RM-10593, Report and Order, 27 FCC Rcd 10557, 10561 para. 7 (2012).  </w:t>
      </w:r>
      <w:r>
        <w:rPr>
          <w:i/>
          <w:snapToGrid w:val="0"/>
        </w:rPr>
        <w:t xml:space="preserve">See also </w:t>
      </w:r>
      <w:r w:rsidRPr="00162DFA">
        <w:rPr>
          <w:i/>
        </w:rPr>
        <w:t>Data Collection Order</w:t>
      </w:r>
      <w:r>
        <w:t>, 27 FCC Rcd at</w:t>
      </w:r>
      <w:r w:rsidRPr="00736CF4">
        <w:t xml:space="preserve"> 16345-49, paras. 66-71</w:t>
      </w:r>
      <w:r>
        <w:t>;</w:t>
      </w:r>
      <w:r w:rsidRPr="00162DFA">
        <w:rPr>
          <w:i/>
        </w:rPr>
        <w:t xml:space="preserve"> id</w:t>
      </w:r>
      <w:r>
        <w:t>. at 16327, para. 19.</w:t>
      </w:r>
    </w:p>
  </w:footnote>
  <w:footnote w:id="63">
    <w:p w:rsidR="00685EB3" w:rsidRDefault="00685EB3" w:rsidP="00B33C43">
      <w:pPr>
        <w:pStyle w:val="FootnoteText"/>
      </w:pPr>
      <w:r>
        <w:rPr>
          <w:rStyle w:val="FootnoteReference"/>
        </w:rPr>
        <w:footnoteRef/>
      </w:r>
      <w:r>
        <w:t xml:space="preserve"> </w:t>
      </w:r>
      <w:r w:rsidR="00001425">
        <w:rPr>
          <w:i/>
        </w:rPr>
        <w:t>Data Collection Order</w:t>
      </w:r>
      <w:r w:rsidR="00001425" w:rsidRPr="0039385B">
        <w:t>,</w:t>
      </w:r>
      <w:r w:rsidR="00001425">
        <w:t xml:space="preserve"> </w:t>
      </w:r>
      <w:r w:rsidR="00001425">
        <w:rPr>
          <w:snapToGrid w:val="0"/>
        </w:rPr>
        <w:t xml:space="preserve">27 FCC Rcd </w:t>
      </w:r>
      <w:r>
        <w:t xml:space="preserve">at </w:t>
      </w:r>
      <w:r w:rsidR="0011727A">
        <w:t xml:space="preserve">16339, </w:t>
      </w:r>
      <w:r>
        <w:t>para. 51.</w:t>
      </w:r>
    </w:p>
  </w:footnote>
  <w:footnote w:id="64">
    <w:p w:rsidR="00685EB3" w:rsidRDefault="00685EB3" w:rsidP="00B33C43">
      <w:pPr>
        <w:pStyle w:val="FootnoteText"/>
      </w:pPr>
      <w:r>
        <w:rPr>
          <w:rStyle w:val="FootnoteReference"/>
        </w:rPr>
        <w:footnoteRef/>
      </w:r>
      <w:r>
        <w:t xml:space="preserve"> </w:t>
      </w:r>
      <w:r w:rsidR="00001425">
        <w:rPr>
          <w:i/>
        </w:rPr>
        <w:t xml:space="preserve">Protective Order, </w:t>
      </w:r>
      <w:r w:rsidR="00001425">
        <w:t xml:space="preserve">29 FCC Rcd </w:t>
      </w:r>
      <w:r>
        <w:t>at 11662, para. 13.</w:t>
      </w:r>
    </w:p>
  </w:footnote>
  <w:footnote w:id="65">
    <w:p w:rsidR="00685EB3" w:rsidRPr="00786A8D" w:rsidRDefault="00685EB3" w:rsidP="00B33C43">
      <w:pPr>
        <w:pStyle w:val="FootnoteText"/>
      </w:pPr>
      <w:r w:rsidRPr="00786A8D">
        <w:rPr>
          <w:rStyle w:val="FootnoteReference"/>
        </w:rPr>
        <w:footnoteRef/>
      </w:r>
      <w:r w:rsidRPr="00786A8D">
        <w:t xml:space="preserve"> </w:t>
      </w:r>
      <w:r w:rsidRPr="00534D78">
        <w:rPr>
          <w:i/>
        </w:rPr>
        <w:t>See</w:t>
      </w:r>
      <w:r>
        <w:t xml:space="preserve"> </w:t>
      </w:r>
      <w:r w:rsidRPr="00786A8D">
        <w:t xml:space="preserve">NORC Data Enclave: The Key to Unlocking Data Securely, NORC at the University of Chicago, </w:t>
      </w:r>
      <w:hyperlink r:id="rId1" w:history="1">
        <w:r w:rsidRPr="00786A8D">
          <w:rPr>
            <w:rStyle w:val="Hyperlink"/>
            <w:color w:val="auto"/>
            <w:u w:val="none"/>
          </w:rPr>
          <w:t>http://www.norc.org/PDFs/BD-Brochures/Data%20Enclave_FINAL%20%20July%202012.pdf</w:t>
        </w:r>
      </w:hyperlink>
      <w:r>
        <w:t xml:space="preserve">; </w:t>
      </w:r>
      <w:r w:rsidRPr="00162DFA">
        <w:rPr>
          <w:i/>
        </w:rPr>
        <w:t>see</w:t>
      </w:r>
      <w:r>
        <w:t xml:space="preserve"> Federal Information Security Management Act of 2002 (FISMA), </w:t>
      </w:r>
      <w:r w:rsidRPr="003154B6">
        <w:t>Pub. L. No. 107-347, 116 Stat. 2899 (codified at 44 U.S.C. §</w:t>
      </w:r>
      <w:r>
        <w:t xml:space="preserve">§ 3541-3549 (2006)); National Institute of Standards and Technology, U.S. Dept. of Commerce, Volume I: Guide for Mapping Types of Information and Information Systems to Security Categories at 10 (August 2008), </w:t>
      </w:r>
      <w:r w:rsidRPr="00934C0B">
        <w:t>http://csrc.nist.gov/publications/nistpubs/800-60-rev1/SP800-60_Vol1-Rev1.pdf</w:t>
      </w:r>
      <w:r>
        <w:t>.</w:t>
      </w:r>
      <w:r w:rsidRPr="00786A8D">
        <w:t xml:space="preserve"> </w:t>
      </w:r>
    </w:p>
  </w:footnote>
  <w:footnote w:id="66">
    <w:p w:rsidR="00685EB3" w:rsidRDefault="00685EB3" w:rsidP="00B33C43">
      <w:pPr>
        <w:pStyle w:val="FootnoteText"/>
      </w:pPr>
      <w:r>
        <w:rPr>
          <w:rStyle w:val="FootnoteReference"/>
        </w:rPr>
        <w:footnoteRef/>
      </w:r>
      <w:r>
        <w:t xml:space="preserve"> </w:t>
      </w:r>
      <w:r w:rsidRPr="00162DFA">
        <w:rPr>
          <w:i/>
        </w:rPr>
        <w:t>Protective Order</w:t>
      </w:r>
      <w:r>
        <w:t xml:space="preserve">, 29 FCC Rcd at 11664, para. 20. </w:t>
      </w:r>
    </w:p>
  </w:footnote>
  <w:footnote w:id="67">
    <w:p w:rsidR="00685EB3" w:rsidRDefault="00685EB3" w:rsidP="00B33C43">
      <w:pPr>
        <w:pStyle w:val="FootnoteText"/>
      </w:pPr>
      <w:r>
        <w:rPr>
          <w:rStyle w:val="FootnoteReference"/>
        </w:rPr>
        <w:footnoteRef/>
      </w:r>
      <w:r>
        <w:t xml:space="preserve"> </w:t>
      </w:r>
      <w:r w:rsidRPr="00162DFA">
        <w:rPr>
          <w:i/>
        </w:rPr>
        <w:t>Id</w:t>
      </w:r>
      <w:r>
        <w:t>. at 11664, para. 21.</w:t>
      </w:r>
    </w:p>
  </w:footnote>
  <w:footnote w:id="68">
    <w:p w:rsidR="00685EB3" w:rsidRDefault="00685EB3" w:rsidP="00B33C43">
      <w:pPr>
        <w:pStyle w:val="FootnoteText"/>
      </w:pPr>
      <w:r>
        <w:rPr>
          <w:rStyle w:val="FootnoteReference"/>
        </w:rPr>
        <w:footnoteRef/>
      </w:r>
      <w:r>
        <w:t xml:space="preserve"> </w:t>
      </w:r>
      <w:r w:rsidRPr="00534D78">
        <w:rPr>
          <w:i/>
        </w:rPr>
        <w:t>Id</w:t>
      </w:r>
      <w:r>
        <w:t>. at 11662, para. 14.</w:t>
      </w:r>
      <w:r w:rsidRPr="005D4D8E">
        <w:t xml:space="preserve"> Each authorized Reviewing Party will be provided with a restricted access virtual locker on the SDE for saving information, notes and analysis results. Id. at 11664, para, 20, 11673, App. A at para. 6.</w:t>
      </w:r>
    </w:p>
  </w:footnote>
  <w:footnote w:id="69">
    <w:p w:rsidR="00685EB3" w:rsidRPr="00BB0525" w:rsidRDefault="00685EB3" w:rsidP="00B33C43">
      <w:pPr>
        <w:pStyle w:val="FootnoteText"/>
        <w:rPr>
          <w:i/>
        </w:rPr>
      </w:pPr>
      <w:r>
        <w:rPr>
          <w:rStyle w:val="FootnoteReference"/>
        </w:rPr>
        <w:footnoteRef/>
      </w:r>
      <w:r>
        <w:t xml:space="preserve"> </w:t>
      </w:r>
      <w:r>
        <w:rPr>
          <w:i/>
        </w:rPr>
        <w:t>See Charter Order</w:t>
      </w:r>
      <w:r w:rsidR="00131514">
        <w:t xml:space="preserve"> at </w:t>
      </w:r>
      <w:r>
        <w:t xml:space="preserve">para. 14; </w:t>
      </w:r>
      <w:r>
        <w:rPr>
          <w:i/>
        </w:rPr>
        <w:t xml:space="preserve">see also </w:t>
      </w:r>
      <w:r w:rsidRPr="003D34A9">
        <w:rPr>
          <w:i/>
        </w:rPr>
        <w:t>Examination of Current Policy Concerning the Treatment of Confidential Information Submitted to the Commission</w:t>
      </w:r>
      <w:r>
        <w:t xml:space="preserve">, </w:t>
      </w:r>
      <w:r w:rsidRPr="003D34A9">
        <w:t>Report and Order</w:t>
      </w:r>
      <w:r>
        <w:rPr>
          <w:i/>
        </w:rPr>
        <w:t>,</w:t>
      </w:r>
      <w:r>
        <w:t xml:space="preserve"> 13 FCC Rcd 24816, 24843-44 paras. 43-44 (1998). </w:t>
      </w:r>
      <w:r>
        <w:rPr>
          <w:i/>
        </w:rPr>
        <w:t xml:space="preserve"> </w:t>
      </w:r>
    </w:p>
  </w:footnote>
  <w:footnote w:id="70">
    <w:p w:rsidR="00685EB3" w:rsidRDefault="00685EB3">
      <w:pPr>
        <w:pStyle w:val="FootnoteText"/>
      </w:pPr>
      <w:r>
        <w:rPr>
          <w:rStyle w:val="FootnoteReference"/>
        </w:rPr>
        <w:footnoteRef/>
      </w:r>
      <w:r>
        <w:t xml:space="preserve"> </w:t>
      </w:r>
      <w:r w:rsidRPr="00D30EC1">
        <w:rPr>
          <w:i/>
        </w:rPr>
        <w:t>Charter Order</w:t>
      </w:r>
      <w:r w:rsidR="00131514">
        <w:t xml:space="preserve"> at </w:t>
      </w:r>
      <w:r>
        <w:t xml:space="preserve">para. 14. </w:t>
      </w:r>
    </w:p>
  </w:footnote>
  <w:footnote w:id="71">
    <w:p w:rsidR="00685EB3" w:rsidRPr="008D6C3A" w:rsidRDefault="00685EB3" w:rsidP="00B33C43">
      <w:pPr>
        <w:pStyle w:val="FootnoteText"/>
      </w:pPr>
      <w:r>
        <w:rPr>
          <w:rStyle w:val="FootnoteReference"/>
        </w:rPr>
        <w:footnoteRef/>
      </w:r>
      <w:r>
        <w:t xml:space="preserve"> 47 U.S.C. § 154(</w:t>
      </w:r>
      <w:r w:rsidRPr="008B7EF7">
        <w:t>j</w:t>
      </w:r>
      <w:r>
        <w:t>)</w:t>
      </w:r>
      <w:r>
        <w:rPr>
          <w:i/>
        </w:rPr>
        <w:t>; s</w:t>
      </w:r>
      <w:r w:rsidRPr="008B7EF7">
        <w:rPr>
          <w:i/>
        </w:rPr>
        <w:t xml:space="preserve">ee </w:t>
      </w:r>
      <w:r>
        <w:rPr>
          <w:i/>
        </w:rPr>
        <w:t>generally Charter Order</w:t>
      </w:r>
      <w:r w:rsidR="00131514">
        <w:t xml:space="preserve"> at </w:t>
      </w:r>
      <w:r>
        <w:t xml:space="preserve">para. 14; </w:t>
      </w:r>
      <w:r>
        <w:rPr>
          <w:i/>
        </w:rPr>
        <w:t>see also FCC v. Schreiber,</w:t>
      </w:r>
      <w:r>
        <w:t xml:space="preserve"> 381 U.S. 279, 289, 291-94 (1965).  </w:t>
      </w:r>
    </w:p>
  </w:footnote>
  <w:footnote w:id="72">
    <w:p w:rsidR="00685EB3" w:rsidRDefault="00685EB3">
      <w:pPr>
        <w:pStyle w:val="FootnoteText"/>
      </w:pPr>
      <w:r>
        <w:rPr>
          <w:rStyle w:val="FootnoteReference"/>
        </w:rPr>
        <w:footnoteRef/>
      </w:r>
      <w:r>
        <w:t xml:space="preserve"> </w:t>
      </w:r>
      <w:r w:rsidRPr="001320CA">
        <w:rPr>
          <w:i/>
        </w:rPr>
        <w:t>Protective Order</w:t>
      </w:r>
      <w:r>
        <w:t xml:space="preserve">, 29 FCC Rcd at 11668, para. 29. </w:t>
      </w:r>
    </w:p>
  </w:footnote>
  <w:footnote w:id="73">
    <w:p w:rsidR="00685EB3" w:rsidRDefault="00685EB3" w:rsidP="00A36EB2">
      <w:pPr>
        <w:pStyle w:val="FootnoteText"/>
      </w:pPr>
      <w:r>
        <w:rPr>
          <w:rStyle w:val="FootnoteReference"/>
        </w:rPr>
        <w:footnoteRef/>
      </w:r>
      <w:r>
        <w:t xml:space="preserve"> </w:t>
      </w:r>
      <w:r w:rsidRPr="003D4A89">
        <w:t>TransWorld Objection at 2-3; Service Electric Objection at 4-5; Vantage Point Objection at 2.</w:t>
      </w:r>
    </w:p>
  </w:footnote>
  <w:footnote w:id="74">
    <w:p w:rsidR="00685EB3" w:rsidRDefault="00685EB3" w:rsidP="003D4A89">
      <w:pPr>
        <w:pStyle w:val="FootnoteText"/>
      </w:pPr>
      <w:r>
        <w:rPr>
          <w:rStyle w:val="FootnoteReference"/>
        </w:rPr>
        <w:footnoteRef/>
      </w:r>
      <w:r>
        <w:t xml:space="preserve"> </w:t>
      </w:r>
      <w:r w:rsidRPr="003D4A89">
        <w:t>TransWorld Objection at 2-3; Service Electric Objection at 4-5.</w:t>
      </w:r>
    </w:p>
  </w:footnote>
  <w:footnote w:id="75">
    <w:p w:rsidR="00685EB3" w:rsidRDefault="00685EB3" w:rsidP="007635C6">
      <w:pPr>
        <w:pStyle w:val="FootnoteText"/>
      </w:pPr>
      <w:r>
        <w:rPr>
          <w:rStyle w:val="FootnoteReference"/>
        </w:rPr>
        <w:footnoteRef/>
      </w:r>
      <w:r>
        <w:t xml:space="preserve"> </w:t>
      </w:r>
      <w:r w:rsidRPr="004C2EC3">
        <w:rPr>
          <w:i/>
        </w:rPr>
        <w:t>See</w:t>
      </w:r>
      <w:r>
        <w:t xml:space="preserve"> </w:t>
      </w:r>
      <w:r w:rsidRPr="00901D41">
        <w:rPr>
          <w:i/>
        </w:rPr>
        <w:t>Protective Order</w:t>
      </w:r>
      <w:r w:rsidRPr="00FF0FFA">
        <w:t>, 29 FCC Rcd at 11665, para. 23 n.57 (“In addition to identifying the requesting party, we will include details about the requesting party, e.g., job title, employer, client represented, intended purpose for accessing data, to help Submitting Parties evaluate whether to object to the access sought.”)</w:t>
      </w:r>
      <w:r w:rsidR="00BC7949">
        <w:t>.</w:t>
      </w:r>
    </w:p>
  </w:footnote>
  <w:footnote w:id="76">
    <w:p w:rsidR="00685EB3" w:rsidRDefault="00685EB3">
      <w:pPr>
        <w:pStyle w:val="FootnoteText"/>
      </w:pPr>
      <w:r>
        <w:rPr>
          <w:rStyle w:val="FootnoteReference"/>
        </w:rPr>
        <w:footnoteRef/>
      </w:r>
      <w:r>
        <w:t xml:space="preserve"> </w:t>
      </w:r>
      <w:r w:rsidRPr="00D30EC1">
        <w:rPr>
          <w:i/>
        </w:rPr>
        <w:t>Id</w:t>
      </w:r>
      <w:r>
        <w:t>.</w:t>
      </w:r>
    </w:p>
  </w:footnote>
  <w:footnote w:id="77">
    <w:p w:rsidR="00685EB3" w:rsidRDefault="00685EB3" w:rsidP="00A17821">
      <w:pPr>
        <w:pStyle w:val="FootnoteText"/>
      </w:pPr>
      <w:r>
        <w:rPr>
          <w:rStyle w:val="FootnoteReference"/>
        </w:rPr>
        <w:footnoteRef/>
      </w:r>
      <w:r>
        <w:t xml:space="preserve"> </w:t>
      </w:r>
      <w:r w:rsidRPr="00EE2131">
        <w:rPr>
          <w:i/>
        </w:rPr>
        <w:t xml:space="preserve">See </w:t>
      </w:r>
      <w:r>
        <w:rPr>
          <w:i/>
        </w:rPr>
        <w:t>id.</w:t>
      </w:r>
    </w:p>
  </w:footnote>
  <w:footnote w:id="78">
    <w:p w:rsidR="00685EB3" w:rsidRDefault="00685EB3">
      <w:pPr>
        <w:pStyle w:val="FootnoteText"/>
      </w:pPr>
      <w:r>
        <w:rPr>
          <w:rStyle w:val="FootnoteReference"/>
        </w:rPr>
        <w:footnoteRef/>
      </w:r>
      <w:r>
        <w:t xml:space="preserve"> </w:t>
      </w:r>
      <w:r w:rsidRPr="00D30EC1">
        <w:rPr>
          <w:i/>
        </w:rPr>
        <w:t>See</w:t>
      </w:r>
      <w:r>
        <w:t xml:space="preserve"> </w:t>
      </w:r>
      <w:r w:rsidRPr="00E80C6A">
        <w:t>Letter from Walter E. Anderson, Harris, Wiltshire &amp; Grannis LLP, to Marlene H. Dortch, Secretary, FCC, WC Docket No. 05-25, RM-10593 (filed Jul. 22, 2015); Letter from Eric J. Branfman, Morgan Lewis &amp; Bockius LLP, to Marlene H. Dortch, Secretary, FCC, WC Docket No. 05-25, RM-10593 (filed Jul. 27, 2015).</w:t>
      </w:r>
    </w:p>
  </w:footnote>
  <w:footnote w:id="79">
    <w:p w:rsidR="00D64732" w:rsidRDefault="00D64732">
      <w:pPr>
        <w:pStyle w:val="FootnoteText"/>
      </w:pPr>
      <w:r>
        <w:rPr>
          <w:rStyle w:val="FootnoteReference"/>
        </w:rPr>
        <w:footnoteRef/>
      </w:r>
      <w:r>
        <w:t xml:space="preserve"> </w:t>
      </w:r>
      <w:r w:rsidRPr="00071145">
        <w:rPr>
          <w:i/>
        </w:rPr>
        <w:t>See</w:t>
      </w:r>
      <w:r>
        <w:t xml:space="preserve"> A</w:t>
      </w:r>
      <w:r w:rsidR="00296C40">
        <w:t>ppendix</w:t>
      </w:r>
      <w:r>
        <w:t xml:space="preserve"> 1.</w:t>
      </w:r>
    </w:p>
  </w:footnote>
  <w:footnote w:id="80">
    <w:p w:rsidR="00685EB3" w:rsidRDefault="00685EB3">
      <w:pPr>
        <w:pStyle w:val="FootnoteText"/>
      </w:pPr>
      <w:r>
        <w:rPr>
          <w:rStyle w:val="FootnoteReference"/>
        </w:rPr>
        <w:footnoteRef/>
      </w:r>
      <w:r>
        <w:t xml:space="preserve"> These objectors point to language in a footnote where the Bureau stated that “[i]n addition to identifying the requesting party [in a public notice], we will include details about the requesting party, e.g., job title, employer, client represented, [and the] intended purpose for accessing data.”  </w:t>
      </w:r>
      <w:r w:rsidRPr="00024B56">
        <w:rPr>
          <w:i/>
        </w:rPr>
        <w:t>Protective Order</w:t>
      </w:r>
      <w:r>
        <w:t>, 29 FCC Rcd at 11665, para. 23 n.57.</w:t>
      </w:r>
    </w:p>
  </w:footnote>
  <w:footnote w:id="81">
    <w:p w:rsidR="00685EB3" w:rsidRDefault="00685EB3" w:rsidP="00A17821">
      <w:pPr>
        <w:pStyle w:val="FootnoteText"/>
      </w:pPr>
      <w:r>
        <w:rPr>
          <w:rStyle w:val="FootnoteReference"/>
        </w:rPr>
        <w:footnoteRef/>
      </w:r>
      <w:r>
        <w:t xml:space="preserve"> The </w:t>
      </w:r>
      <w:r w:rsidRPr="00F94943">
        <w:rPr>
          <w:i/>
        </w:rPr>
        <w:t>Protective Order</w:t>
      </w:r>
      <w:r>
        <w:t xml:space="preserve"> limits the use of the special access data to the “</w:t>
      </w:r>
      <w:r w:rsidRPr="00311BD8">
        <w:t>the preparation and conduct of this proceeding before the Commission</w:t>
      </w:r>
      <w:r>
        <w:t>” prohibiting use “</w:t>
      </w:r>
      <w:r w:rsidRPr="00311BD8">
        <w:t>for any other purpose</w:t>
      </w:r>
      <w:r>
        <w:t>.</w:t>
      </w:r>
      <w:r w:rsidRPr="00311BD8">
        <w:t>”</w:t>
      </w:r>
      <w:r>
        <w:t xml:space="preserve">  </w:t>
      </w:r>
      <w:r>
        <w:rPr>
          <w:i/>
        </w:rPr>
        <w:t>Protective Order</w:t>
      </w:r>
      <w:r w:rsidRPr="002B291E">
        <w:t>, 29 FCC Rcd at</w:t>
      </w:r>
      <w:r>
        <w:t xml:space="preserve"> </w:t>
      </w:r>
      <w:r w:rsidRPr="00EE2131">
        <w:t>11674</w:t>
      </w:r>
      <w:r>
        <w:t xml:space="preserve">, Appx. A at </w:t>
      </w:r>
      <w:r w:rsidRPr="00311BD8">
        <w:t>para. 8</w:t>
      </w:r>
      <w:r>
        <w:t xml:space="preserve">; </w:t>
      </w:r>
      <w:r w:rsidRPr="0098324C">
        <w:rPr>
          <w:i/>
        </w:rPr>
        <w:t xml:space="preserve">see </w:t>
      </w:r>
      <w:r>
        <w:t xml:space="preserve">Sprint Letter at 1-2. </w:t>
      </w:r>
    </w:p>
  </w:footnote>
  <w:footnote w:id="82">
    <w:p w:rsidR="003A024E" w:rsidRDefault="003A024E">
      <w:pPr>
        <w:pStyle w:val="FootnoteText"/>
      </w:pPr>
      <w:r>
        <w:rPr>
          <w:rStyle w:val="FootnoteReference"/>
        </w:rPr>
        <w:footnoteRef/>
      </w:r>
      <w:r w:rsidR="00723EDB">
        <w:t xml:space="preserve"> The notice and comment requirements of the </w:t>
      </w:r>
      <w:r w:rsidR="00D64732">
        <w:t>APA</w:t>
      </w:r>
      <w:r w:rsidR="00723EDB">
        <w:t xml:space="preserve"> do not apply to the issuance </w:t>
      </w:r>
      <w:r w:rsidR="00CE2F13">
        <w:t xml:space="preserve">or modification </w:t>
      </w:r>
      <w:r w:rsidR="00723EDB">
        <w:t xml:space="preserve">of protective orders.  </w:t>
      </w:r>
      <w:r w:rsidR="00723EDB" w:rsidRPr="00247A39">
        <w:rPr>
          <w:i/>
        </w:rPr>
        <w:t>See</w:t>
      </w:r>
      <w:r w:rsidR="00723EDB">
        <w:t xml:space="preserve"> 5 U.S.C. § 553(b)(3)(A) (providing notice and comment requirements for rulemaking decisions and listing exemptions to those requirements).</w:t>
      </w:r>
    </w:p>
  </w:footnote>
  <w:footnote w:id="83">
    <w:p w:rsidR="00685EB3" w:rsidRPr="00534F31" w:rsidRDefault="00685EB3" w:rsidP="00363C0E">
      <w:pPr>
        <w:pStyle w:val="FootnoteText"/>
      </w:pPr>
      <w:r w:rsidRPr="00534F31">
        <w:rPr>
          <w:rStyle w:val="FootnoteReference"/>
        </w:rPr>
        <w:footnoteRef/>
      </w:r>
      <w:r w:rsidRPr="00534F31">
        <w:t xml:space="preserve"> </w:t>
      </w:r>
      <w:r w:rsidRPr="005F3ED2">
        <w:rPr>
          <w:i/>
        </w:rPr>
        <w:t>Protective Order</w:t>
      </w:r>
      <w:r w:rsidRPr="00D30EC1">
        <w:rPr>
          <w:i/>
        </w:rPr>
        <w:t xml:space="preserve"> Public Notice</w:t>
      </w:r>
      <w:r w:rsidRPr="00534F31">
        <w:t xml:space="preserve">, 28 FCC Rcd </w:t>
      </w:r>
      <w:r>
        <w:t>at</w:t>
      </w:r>
      <w:r w:rsidRPr="00534F31">
        <w:t xml:space="preserve"> 9171. </w:t>
      </w:r>
    </w:p>
  </w:footnote>
  <w:footnote w:id="84">
    <w:p w:rsidR="00685EB3" w:rsidRPr="00534F31" w:rsidRDefault="00685EB3" w:rsidP="00363C0E">
      <w:pPr>
        <w:pStyle w:val="FootnoteText"/>
      </w:pPr>
      <w:r w:rsidRPr="00534F31">
        <w:rPr>
          <w:rStyle w:val="FootnoteReference"/>
        </w:rPr>
        <w:footnoteRef/>
      </w:r>
      <w:r w:rsidRPr="00534F31">
        <w:t xml:space="preserve"> </w:t>
      </w:r>
      <w:r w:rsidRPr="00534F31">
        <w:rPr>
          <w:i/>
        </w:rPr>
        <w:t>See id</w:t>
      </w:r>
      <w:r w:rsidRPr="00534F31">
        <w:t xml:space="preserve">. at 11661-62, para. 12 n.34; </w:t>
      </w:r>
      <w:r w:rsidRPr="00534F31">
        <w:rPr>
          <w:i/>
        </w:rPr>
        <w:t>see</w:t>
      </w:r>
      <w:r w:rsidRPr="00534F31">
        <w:t xml:space="preserve"> </w:t>
      </w:r>
      <w:r w:rsidRPr="00534F31">
        <w:rPr>
          <w:i/>
        </w:rPr>
        <w:t>also</w:t>
      </w:r>
      <w:r w:rsidRPr="00534F31">
        <w:t xml:space="preserve"> NORC at the University of Chicago, </w:t>
      </w:r>
      <w:hyperlink r:id="rId2" w:history="1">
        <w:r w:rsidRPr="00534F31">
          <w:rPr>
            <w:rStyle w:val="Hyperlink"/>
            <w:color w:val="auto"/>
            <w:u w:val="none"/>
          </w:rPr>
          <w:t>http://www.norc.org/Research/Capabilities/Pages/data-enclave.aspx</w:t>
        </w:r>
      </w:hyperlink>
      <w:r w:rsidRPr="00534F31">
        <w:t xml:space="preserve">.  </w:t>
      </w:r>
    </w:p>
  </w:footnote>
  <w:footnote w:id="85">
    <w:p w:rsidR="00685EB3" w:rsidRPr="00534F31" w:rsidRDefault="00685EB3" w:rsidP="00363C0E">
      <w:pPr>
        <w:pStyle w:val="FootnoteText"/>
      </w:pPr>
      <w:r w:rsidRPr="00534F31">
        <w:rPr>
          <w:rStyle w:val="FootnoteReference"/>
        </w:rPr>
        <w:footnoteRef/>
      </w:r>
      <w:r w:rsidRPr="00534F31">
        <w:t xml:space="preserve"> </w:t>
      </w:r>
      <w:r w:rsidRPr="00534F31">
        <w:rPr>
          <w:i/>
        </w:rPr>
        <w:t>Protective Order</w:t>
      </w:r>
      <w:r w:rsidRPr="00534F31">
        <w:t xml:space="preserve">, 29 FCC Rcd at 11660-61, paras. 8-11. </w:t>
      </w:r>
    </w:p>
  </w:footnote>
  <w:footnote w:id="86">
    <w:p w:rsidR="00685EB3" w:rsidRPr="00534F31" w:rsidRDefault="00685EB3" w:rsidP="00363C0E">
      <w:pPr>
        <w:pStyle w:val="FootnoteText"/>
      </w:pPr>
      <w:r w:rsidRPr="00534F31">
        <w:rPr>
          <w:rStyle w:val="FootnoteReference"/>
        </w:rPr>
        <w:footnoteRef/>
      </w:r>
      <w:r w:rsidRPr="00534F31">
        <w:t xml:space="preserve"> </w:t>
      </w:r>
      <w:r w:rsidRPr="00534F31">
        <w:rPr>
          <w:i/>
        </w:rPr>
        <w:t>Id</w:t>
      </w:r>
      <w:r w:rsidRPr="00534F31">
        <w:t xml:space="preserve">. at 11662, para. 14. </w:t>
      </w:r>
    </w:p>
  </w:footnote>
  <w:footnote w:id="87">
    <w:p w:rsidR="00685EB3" w:rsidRPr="00534F31" w:rsidRDefault="00685EB3" w:rsidP="00363C0E">
      <w:pPr>
        <w:pStyle w:val="FootnoteText"/>
      </w:pPr>
      <w:r w:rsidRPr="00534F31">
        <w:rPr>
          <w:rStyle w:val="FootnoteReference"/>
        </w:rPr>
        <w:footnoteRef/>
      </w:r>
      <w:r w:rsidRPr="00534F31">
        <w:t xml:space="preserve"> </w:t>
      </w:r>
      <w:r w:rsidRPr="00534F31">
        <w:rPr>
          <w:i/>
        </w:rPr>
        <w:t>Id</w:t>
      </w:r>
      <w:r w:rsidRPr="00534F31">
        <w:t xml:space="preserve">. </w:t>
      </w:r>
      <w:r w:rsidR="00756C1B">
        <w:t xml:space="preserve">at </w:t>
      </w:r>
      <w:r w:rsidRPr="00534F31">
        <w:t>11673, para. 6.</w:t>
      </w:r>
    </w:p>
  </w:footnote>
  <w:footnote w:id="88">
    <w:p w:rsidR="00685EB3" w:rsidRPr="00534F31" w:rsidRDefault="00685EB3" w:rsidP="00363C0E">
      <w:pPr>
        <w:pStyle w:val="FootnoteText"/>
      </w:pPr>
      <w:r w:rsidRPr="00534F31">
        <w:rPr>
          <w:rStyle w:val="FootnoteReference"/>
        </w:rPr>
        <w:footnoteRef/>
      </w:r>
      <w:r w:rsidRPr="00534F31">
        <w:t xml:space="preserve"> </w:t>
      </w:r>
      <w:r w:rsidRPr="00534F31">
        <w:rPr>
          <w:i/>
        </w:rPr>
        <w:t>Id</w:t>
      </w:r>
      <w:r w:rsidRPr="00534F31">
        <w:t>. at 11662, para. 14.</w:t>
      </w:r>
    </w:p>
  </w:footnote>
  <w:footnote w:id="89">
    <w:p w:rsidR="00685EB3" w:rsidRPr="00534F31" w:rsidRDefault="00685EB3" w:rsidP="00363C0E">
      <w:pPr>
        <w:pStyle w:val="FootnoteText"/>
      </w:pPr>
      <w:r w:rsidRPr="00534F31">
        <w:rPr>
          <w:rStyle w:val="FootnoteReference"/>
        </w:rPr>
        <w:footnoteRef/>
      </w:r>
      <w:r w:rsidRPr="00534F31">
        <w:t xml:space="preserve"> </w:t>
      </w:r>
      <w:r w:rsidRPr="00534F31">
        <w:rPr>
          <w:i/>
        </w:rPr>
        <w:t>Id</w:t>
      </w:r>
      <w:r w:rsidRPr="00534F31">
        <w:t>. at 11660, para. 6.</w:t>
      </w:r>
    </w:p>
  </w:footnote>
  <w:footnote w:id="90">
    <w:p w:rsidR="00685EB3" w:rsidRPr="00534F31" w:rsidRDefault="00685EB3" w:rsidP="00363C0E">
      <w:pPr>
        <w:pStyle w:val="FootnoteText"/>
      </w:pPr>
      <w:r w:rsidRPr="00534F31">
        <w:rPr>
          <w:rStyle w:val="FootnoteReference"/>
        </w:rPr>
        <w:footnoteRef/>
      </w:r>
      <w:r w:rsidRPr="00534F31">
        <w:t xml:space="preserve"> </w:t>
      </w:r>
      <w:r w:rsidRPr="00534F31">
        <w:rPr>
          <w:i/>
        </w:rPr>
        <w:t>Id</w:t>
      </w:r>
      <w:r w:rsidRPr="00534F31">
        <w:t>. at 11663, para</w:t>
      </w:r>
      <w:r w:rsidR="00756C1B">
        <w:t>s</w:t>
      </w:r>
      <w:r w:rsidRPr="00534F31">
        <w:t>. 16-17.</w:t>
      </w:r>
    </w:p>
  </w:footnote>
  <w:footnote w:id="91">
    <w:p w:rsidR="00685EB3" w:rsidRDefault="00685EB3">
      <w:pPr>
        <w:pStyle w:val="FootnoteText"/>
      </w:pPr>
      <w:r>
        <w:rPr>
          <w:rStyle w:val="FootnoteReference"/>
        </w:rPr>
        <w:footnoteRef/>
      </w:r>
      <w:r>
        <w:t xml:space="preserve"> </w:t>
      </w:r>
      <w:r w:rsidRPr="001320CA">
        <w:rPr>
          <w:i/>
        </w:rPr>
        <w:t>Id</w:t>
      </w:r>
      <w:r>
        <w:t xml:space="preserve">. at 11673, App. A at para. 6; </w:t>
      </w:r>
      <w:r w:rsidRPr="001320CA">
        <w:rPr>
          <w:i/>
        </w:rPr>
        <w:t xml:space="preserve">see also </w:t>
      </w:r>
      <w:r w:rsidR="00BA36EA" w:rsidRPr="00071145">
        <w:rPr>
          <w:i/>
        </w:rPr>
        <w:t>June 24, 2015 Public Notice</w:t>
      </w:r>
      <w:r w:rsidR="00BA36EA">
        <w:t>, 30 FCC Rcd at 6421</w:t>
      </w:r>
      <w:r>
        <w:t xml:space="preserve">. </w:t>
      </w:r>
    </w:p>
  </w:footnote>
  <w:footnote w:id="92">
    <w:p w:rsidR="00685EB3" w:rsidRPr="00534F31" w:rsidRDefault="00685EB3" w:rsidP="00363C0E">
      <w:pPr>
        <w:pStyle w:val="FootnoteText"/>
      </w:pPr>
      <w:r w:rsidRPr="00534F31">
        <w:rPr>
          <w:rStyle w:val="FootnoteReference"/>
        </w:rPr>
        <w:footnoteRef/>
      </w:r>
      <w:r w:rsidRPr="00534F31">
        <w:t xml:space="preserve"> </w:t>
      </w:r>
      <w:r w:rsidRPr="001320CA">
        <w:rPr>
          <w:i/>
        </w:rPr>
        <w:t>See supra</w:t>
      </w:r>
      <w:r>
        <w:t xml:space="preserve"> note </w:t>
      </w:r>
      <w:r w:rsidR="00756C1B">
        <w:t>64</w:t>
      </w:r>
      <w:r>
        <w:t>.</w:t>
      </w:r>
    </w:p>
  </w:footnote>
  <w:footnote w:id="93">
    <w:p w:rsidR="00685EB3" w:rsidRPr="00534F31" w:rsidRDefault="00685EB3" w:rsidP="00363C0E">
      <w:pPr>
        <w:pStyle w:val="FootnoteText"/>
      </w:pPr>
      <w:r w:rsidRPr="00534F31">
        <w:rPr>
          <w:rStyle w:val="FootnoteReference"/>
        </w:rPr>
        <w:footnoteRef/>
      </w:r>
      <w:r w:rsidRPr="00534F31">
        <w:t xml:space="preserve"> In the </w:t>
      </w:r>
      <w:r w:rsidRPr="00534F31">
        <w:rPr>
          <w:i/>
        </w:rPr>
        <w:t>Protective Order</w:t>
      </w:r>
      <w:r w:rsidRPr="00534F31">
        <w:t xml:space="preserve">, we provided that NORC can assess reasonable charges for remote access using a thin client.  29 FCC Rcd at 11662, para. 14. </w:t>
      </w:r>
    </w:p>
  </w:footnote>
  <w:footnote w:id="94">
    <w:p w:rsidR="00685EB3" w:rsidRDefault="00685EB3" w:rsidP="00363C0E">
      <w:pPr>
        <w:pStyle w:val="FootnoteText"/>
      </w:pPr>
      <w:r>
        <w:rPr>
          <w:rStyle w:val="FootnoteReference"/>
        </w:rPr>
        <w:footnoteRef/>
      </w:r>
      <w:r>
        <w:t xml:space="preserve"> </w:t>
      </w:r>
      <w:r w:rsidRPr="00FA40D4">
        <w:rPr>
          <w:i/>
        </w:rPr>
        <w:t>Id</w:t>
      </w:r>
      <w:r>
        <w:t>. at 11673, para. 6.</w:t>
      </w:r>
    </w:p>
  </w:footnote>
  <w:footnote w:id="95">
    <w:p w:rsidR="00685EB3" w:rsidRPr="00534F31" w:rsidRDefault="00685EB3" w:rsidP="00BD1744">
      <w:pPr>
        <w:pStyle w:val="FootnoteText"/>
      </w:pPr>
      <w:r w:rsidRPr="00534F31">
        <w:rPr>
          <w:rStyle w:val="FootnoteReference"/>
        </w:rPr>
        <w:footnoteRef/>
      </w:r>
      <w:r w:rsidRPr="00534F31">
        <w:t xml:space="preserve"> </w:t>
      </w:r>
      <w:r>
        <w:rPr>
          <w:i/>
        </w:rPr>
        <w:t>Id</w:t>
      </w:r>
      <w:r>
        <w:t>.</w:t>
      </w:r>
      <w:r w:rsidRPr="00534F31">
        <w:t xml:space="preserve"> at 11663, para. 19.</w:t>
      </w:r>
    </w:p>
  </w:footnote>
  <w:footnote w:id="96">
    <w:p w:rsidR="00C3553D" w:rsidRDefault="00C3553D">
      <w:pPr>
        <w:pStyle w:val="FootnoteText"/>
      </w:pPr>
      <w:r>
        <w:rPr>
          <w:rStyle w:val="FootnoteReference"/>
        </w:rPr>
        <w:footnoteRef/>
      </w:r>
      <w:r>
        <w:t xml:space="preserve"> </w:t>
      </w:r>
      <w:r w:rsidRPr="00071145">
        <w:rPr>
          <w:i/>
        </w:rPr>
        <w:t>See</w:t>
      </w:r>
      <w:r>
        <w:t xml:space="preserve"> A</w:t>
      </w:r>
      <w:r w:rsidR="00296C40">
        <w:t>ppendix</w:t>
      </w:r>
      <w:r>
        <w:t xml:space="preserve"> 2. </w:t>
      </w:r>
    </w:p>
  </w:footnote>
  <w:footnote w:id="97">
    <w:p w:rsidR="00685EB3" w:rsidRDefault="00685EB3">
      <w:pPr>
        <w:pStyle w:val="FootnoteText"/>
      </w:pPr>
      <w:r>
        <w:rPr>
          <w:rStyle w:val="FootnoteReference"/>
        </w:rPr>
        <w:footnoteRef/>
      </w:r>
      <w:r>
        <w:t xml:space="preserve"> </w:t>
      </w:r>
      <w:r w:rsidRPr="000A4C87">
        <w:rPr>
          <w:i/>
        </w:rPr>
        <w:t>Implementation Order</w:t>
      </w:r>
      <w:r>
        <w:t xml:space="preserve">, 29 FCC Rcd at 13198, para. 20; </w:t>
      </w:r>
      <w:r w:rsidRPr="000A4C87">
        <w:rPr>
          <w:i/>
        </w:rPr>
        <w:t>i</w:t>
      </w:r>
      <w:r w:rsidRPr="003A1753">
        <w:rPr>
          <w:i/>
        </w:rPr>
        <w:t>d</w:t>
      </w:r>
      <w:r>
        <w:t>. at 13203-04, para. 34.</w:t>
      </w:r>
    </w:p>
  </w:footnote>
  <w:footnote w:id="98">
    <w:p w:rsidR="00685EB3" w:rsidRPr="00DC344F" w:rsidRDefault="00685EB3" w:rsidP="0039385B">
      <w:pPr>
        <w:pStyle w:val="ParaNum"/>
        <w:numPr>
          <w:ilvl w:val="0"/>
          <w:numId w:val="0"/>
        </w:numPr>
      </w:pPr>
      <w:r w:rsidRPr="00DC344F">
        <w:rPr>
          <w:rStyle w:val="FootnoteReference"/>
        </w:rPr>
        <w:footnoteRef/>
      </w:r>
      <w:r w:rsidRPr="0039385B">
        <w:rPr>
          <w:sz w:val="20"/>
        </w:rPr>
        <w:t xml:space="preserve"> </w:t>
      </w:r>
      <w:r w:rsidRPr="0039385B">
        <w:rPr>
          <w:i/>
          <w:sz w:val="20"/>
        </w:rPr>
        <w:t xml:space="preserve">See </w:t>
      </w:r>
      <w:r w:rsidRPr="0039385B">
        <w:rPr>
          <w:sz w:val="20"/>
        </w:rPr>
        <w:t>Instructions</w:t>
      </w:r>
      <w:r w:rsidR="00D33E30" w:rsidRPr="0039385B">
        <w:rPr>
          <w:sz w:val="20"/>
        </w:rPr>
        <w:t xml:space="preserve"> for Data Collection for Special Access Proceeding, WC Docket No. 05-25, RM-10593, OMB Control No. 3060-1197, Question II.A.5 (Fiber Network Maps) (dated Dec. 5, 2014),</w:t>
      </w:r>
      <w:r w:rsidR="00CA6570" w:rsidRPr="0039385B">
        <w:rPr>
          <w:sz w:val="20"/>
        </w:rPr>
        <w:t xml:space="preserve"> </w:t>
      </w:r>
      <w:hyperlink r:id="rId3" w:history="1">
        <w:r w:rsidR="00CA6570" w:rsidRPr="0039385B">
          <w:rPr>
            <w:rStyle w:val="Hyperlink"/>
            <w:color w:val="auto"/>
            <w:sz w:val="20"/>
            <w:u w:val="none"/>
          </w:rPr>
          <w:t>https://www.fcc.gov/ encyclopedia/instructions</w:t>
        </w:r>
      </w:hyperlink>
      <w:r w:rsidR="00D33E30" w:rsidRPr="0039385B">
        <w:rPr>
          <w:sz w:val="20"/>
        </w:rPr>
        <w:t xml:space="preserve"> (Instructions).</w:t>
      </w:r>
    </w:p>
  </w:footnote>
  <w:footnote w:id="99">
    <w:p w:rsidR="00685EB3" w:rsidRPr="00534F31" w:rsidRDefault="00685EB3" w:rsidP="006D554C">
      <w:pPr>
        <w:pStyle w:val="FootnoteText"/>
      </w:pPr>
      <w:r w:rsidRPr="00534F31">
        <w:rPr>
          <w:rStyle w:val="FootnoteReference"/>
        </w:rPr>
        <w:footnoteRef/>
      </w:r>
      <w:r w:rsidRPr="00534F31">
        <w:t xml:space="preserve"> </w:t>
      </w:r>
      <w:r w:rsidR="00DC344F" w:rsidRPr="0039385B">
        <w:rPr>
          <w:i/>
        </w:rPr>
        <w:t>See</w:t>
      </w:r>
      <w:r w:rsidR="00DC344F">
        <w:t xml:space="preserve"> </w:t>
      </w:r>
      <w:r w:rsidRPr="000A4C87">
        <w:t>Instructions</w:t>
      </w:r>
      <w:r w:rsidRPr="00AB455E">
        <w:t>,</w:t>
      </w:r>
      <w:r w:rsidRPr="00534F31">
        <w:t xml:space="preserve"> Question II.A.7</w:t>
      </w:r>
      <w:r>
        <w:t xml:space="preserve"> (Collocations by Wire Center); </w:t>
      </w:r>
      <w:r w:rsidRPr="00534F31">
        <w:t xml:space="preserve">Question II.B.4 </w:t>
      </w:r>
      <w:r>
        <w:t>(</w:t>
      </w:r>
      <w:r w:rsidRPr="00534F31">
        <w:t>Billing Information Overview</w:t>
      </w:r>
      <w:r>
        <w:t>)</w:t>
      </w:r>
      <w:r w:rsidRPr="00534F31">
        <w:t xml:space="preserve">; </w:t>
      </w:r>
      <w:r>
        <w:t>Question II.B.7 (</w:t>
      </w:r>
      <w:r w:rsidRPr="00534F31">
        <w:t>Wire Centers</w:t>
      </w:r>
      <w:r>
        <w:t xml:space="preserve">).  A CLLI code is “an 11-character, standardized, geographic identifier that uniquely identifies the geographic location of places and certain functional categories of equipment unique to the telecommunications industry. All valid CLLI codes are created, updated and maintained in the Central Location Online Entry System (CLONES) database.” </w:t>
      </w:r>
      <w:r w:rsidRPr="000A4C87">
        <w:rPr>
          <w:i/>
        </w:rPr>
        <w:t>See</w:t>
      </w:r>
      <w:r>
        <w:t xml:space="preserve"> iconectiv COMMON LANGUAGE® Location Information Services (CLLI), product FAQ</w:t>
      </w:r>
      <w:r w:rsidRPr="007533B5">
        <w:t xml:space="preserve">, </w:t>
      </w:r>
      <w:hyperlink r:id="rId4" w:history="1">
        <w:r w:rsidRPr="00EB7AF6">
          <w:rPr>
            <w:rStyle w:val="Hyperlink"/>
            <w:color w:val="auto"/>
            <w:u w:val="none"/>
          </w:rPr>
          <w:t>http://www.commonlanguage.com/resources/commonlang/productshowroom/</w:t>
        </w:r>
      </w:hyperlink>
      <w:r w:rsidRPr="006D554C">
        <w:t xml:space="preserve"> product/clli/CLLIProductFAQ.pdf</w:t>
      </w:r>
      <w:r>
        <w:t xml:space="preserve">. </w:t>
      </w:r>
    </w:p>
  </w:footnote>
  <w:footnote w:id="100">
    <w:p w:rsidR="00685EB3" w:rsidRDefault="00685EB3">
      <w:pPr>
        <w:pStyle w:val="FootnoteText"/>
      </w:pPr>
      <w:r>
        <w:rPr>
          <w:rStyle w:val="FootnoteReference"/>
        </w:rPr>
        <w:footnoteRef/>
      </w:r>
      <w:r>
        <w:t xml:space="preserve"> </w:t>
      </w:r>
      <w:r w:rsidRPr="00A85807">
        <w:t xml:space="preserve">We will, however, entertain requests for the data to be reproduced in a different format, so long as the format does not heighten risks to critical infrastructure, and a valid case is made that such information could provide valuable insights to this proceeding that are unlikely to be obtained from the data in the form we release.  </w:t>
      </w:r>
    </w:p>
  </w:footnote>
  <w:footnote w:id="101">
    <w:p w:rsidR="00685EB3" w:rsidRDefault="00685EB3" w:rsidP="00363C0E">
      <w:pPr>
        <w:pStyle w:val="FootnoteText"/>
      </w:pPr>
      <w:r>
        <w:rPr>
          <w:rStyle w:val="FootnoteReference"/>
        </w:rPr>
        <w:footnoteRef/>
      </w:r>
      <w:r>
        <w:t xml:space="preserve"> </w:t>
      </w:r>
      <w:r w:rsidR="00DC344F" w:rsidRPr="0039385B">
        <w:rPr>
          <w:i/>
        </w:rPr>
        <w:t xml:space="preserve">See </w:t>
      </w:r>
      <w:r w:rsidRPr="000A4C87">
        <w:t>Instructions</w:t>
      </w:r>
      <w:r w:rsidRPr="00AB455E">
        <w:t xml:space="preserve">, </w:t>
      </w:r>
      <w:r w:rsidRPr="004C0C12">
        <w:t>Questions II.A.4 (Locations Data for Competitive Providers); Question II.A.12 (Prices by Circuit Element from Competitive Providers); Questions II.B.3 (Locations Data for ILECs); Question II.B.4 (Billing Information Overview).</w:t>
      </w:r>
    </w:p>
  </w:footnote>
  <w:footnote w:id="102">
    <w:p w:rsidR="00685EB3" w:rsidRDefault="00685EB3">
      <w:pPr>
        <w:pStyle w:val="FootnoteText"/>
      </w:pPr>
      <w:r>
        <w:rPr>
          <w:rStyle w:val="FootnoteReference"/>
        </w:rPr>
        <w:footnoteRef/>
      </w:r>
      <w:r>
        <w:t xml:space="preserve"> </w:t>
      </w:r>
      <w:r w:rsidRPr="00A85807">
        <w:t>Similar to the discussion of fiber network location information above, however, we will entertain requests for the data to be reproduced in a different format, so long as the format does not heighten risks to critical infrastructure, and a valid case is made that such information could provide valuable insights to this proceeding that are unlikely to be obtained from the data we release.</w:t>
      </w:r>
    </w:p>
  </w:footnote>
  <w:footnote w:id="103">
    <w:p w:rsidR="00685EB3" w:rsidRPr="00534F31" w:rsidRDefault="00685EB3" w:rsidP="00067BFD">
      <w:pPr>
        <w:pStyle w:val="FootnoteText"/>
      </w:pPr>
      <w:r w:rsidRPr="00534F31">
        <w:rPr>
          <w:rStyle w:val="FootnoteReference"/>
        </w:rPr>
        <w:footnoteRef/>
      </w:r>
      <w:r w:rsidRPr="00534F31">
        <w:t xml:space="preserve"> </w:t>
      </w:r>
      <w:r w:rsidRPr="00534F31">
        <w:rPr>
          <w:i/>
        </w:rPr>
        <w:t>Protective Order</w:t>
      </w:r>
      <w:r w:rsidRPr="00534F31">
        <w:t>, 29 FCC Rcd at 11663, para. 19.</w:t>
      </w:r>
      <w:r w:rsidRPr="00BF4B6C">
        <w:rPr>
          <w:i/>
        </w:rPr>
        <w:t xml:space="preserve"> </w:t>
      </w:r>
    </w:p>
  </w:footnote>
  <w:footnote w:id="104">
    <w:p w:rsidR="00685EB3" w:rsidRDefault="00685EB3">
      <w:pPr>
        <w:pStyle w:val="FootnoteText"/>
      </w:pPr>
      <w:r>
        <w:rPr>
          <w:rStyle w:val="FootnoteReference"/>
        </w:rPr>
        <w:footnoteRef/>
      </w:r>
      <w:r>
        <w:t xml:space="preserve"> </w:t>
      </w:r>
      <w:r>
        <w:rPr>
          <w:i/>
        </w:rPr>
        <w:t>Id.</w:t>
      </w:r>
      <w:r w:rsidRPr="00D30EC1">
        <w:t>;</w:t>
      </w:r>
      <w:r>
        <w:rPr>
          <w:i/>
        </w:rPr>
        <w:t xml:space="preserve"> s</w:t>
      </w:r>
      <w:r w:rsidRPr="000A4C87">
        <w:rPr>
          <w:i/>
        </w:rPr>
        <w:t xml:space="preserve">ee </w:t>
      </w:r>
      <w:r w:rsidRPr="000A4C87">
        <w:t>Instructions,</w:t>
      </w:r>
      <w:r>
        <w:t xml:space="preserve"> Questions II.A.12 Part 1 (Record Format for Monthly Billing Data by Circuit Element); Question II.A.12 Part 2 (Record Format for Identifying Customers); II.B.4 Part 1 (Record Format for Monthly Billing Data for Circuits by Circuit and Rate Element); II.B.4 Part 2 (Record Format for Identifying Customers).</w:t>
      </w:r>
    </w:p>
  </w:footnote>
  <w:footnote w:id="105">
    <w:p w:rsidR="00AB4D2D" w:rsidRDefault="00AB4D2D">
      <w:pPr>
        <w:pStyle w:val="FootnoteText"/>
      </w:pPr>
      <w:r>
        <w:rPr>
          <w:rStyle w:val="FootnoteReference"/>
        </w:rPr>
        <w:footnoteRef/>
      </w:r>
      <w:r>
        <w:t xml:space="preserve"> Consistent with the </w:t>
      </w:r>
      <w:r w:rsidRPr="00247A39">
        <w:rPr>
          <w:i/>
        </w:rPr>
        <w:t>Charter Order</w:t>
      </w:r>
      <w:r>
        <w:t xml:space="preserve">, we will not allow </w:t>
      </w:r>
      <w:r w:rsidR="00E31BD6">
        <w:t xml:space="preserve">access to the filers’ data covered by the scope of these objections until the ten business day window for filing challenges has expired without the filing of a challenge.  </w:t>
      </w:r>
      <w:r w:rsidR="00E31BD6" w:rsidRPr="00247A39">
        <w:rPr>
          <w:i/>
        </w:rPr>
        <w:t>See Charter Order</w:t>
      </w:r>
      <w:r w:rsidR="00E31BD6">
        <w:t xml:space="preserve"> at para. 26 (“</w:t>
      </w:r>
      <w:r w:rsidR="00E31BD6" w:rsidRPr="001106B2">
        <w:t>If the Bureau overrules the objection, we will not require that the information be made available for review pursuant to the protective order for ten business days and, if an application for review is filed within that time, until the Commission acts upon the application for review (if an application for review is not filed within that time, the information will be required to be made available for review pursuant to the terms of the protective order</w:t>
      </w:r>
      <w:r w:rsidR="00247A39">
        <w:t>).”</w:t>
      </w:r>
      <w:r w:rsidR="00E31BD6" w:rsidRPr="001106B2">
        <w:t xml:space="preserve">).  </w:t>
      </w:r>
    </w:p>
  </w:footnote>
  <w:footnote w:id="106">
    <w:p w:rsidR="00685EB3" w:rsidRDefault="00685EB3" w:rsidP="00BE0F1E">
      <w:pPr>
        <w:pStyle w:val="FootnoteText"/>
      </w:pPr>
      <w:r>
        <w:rPr>
          <w:rStyle w:val="FootnoteReference"/>
        </w:rPr>
        <w:footnoteRef/>
      </w:r>
      <w:r>
        <w:t xml:space="preserve"> </w:t>
      </w:r>
      <w:r w:rsidRPr="00A06680">
        <w:rPr>
          <w:i/>
        </w:rPr>
        <w:t>See Protective Order</w:t>
      </w:r>
      <w:r>
        <w:t>, 29 FCC Rcd at 11673, Appx. A</w:t>
      </w:r>
      <w:r w:rsidR="002A1F18">
        <w:t xml:space="preserve"> at</w:t>
      </w:r>
      <w:r>
        <w:t xml:space="preserve"> para. 5; </w:t>
      </w:r>
      <w:r w:rsidRPr="00A06680">
        <w:rPr>
          <w:i/>
        </w:rPr>
        <w:t>Parties Seeking Access to Data and Information Filed in Response to the Special Access Data Collection</w:t>
      </w:r>
      <w:r>
        <w:t xml:space="preserve">, WC Docket No. 05-25; RM-10593, Public Notice, DA 15-580, Attach. (Wireline Comp. Bur. rel. Jul. 10, 2015).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2B0" w:rsidRDefault="005072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EB3" w:rsidRDefault="00685EB3" w:rsidP="00810B6F">
    <w:pPr>
      <w:pStyle w:val="Header"/>
      <w:rPr>
        <w:b w:val="0"/>
      </w:rPr>
    </w:pPr>
    <w:r>
      <w:tab/>
      <w:t>Federal Communications Commission</w:t>
    </w:r>
    <w:r>
      <w:tab/>
      <w:t xml:space="preserve">DA </w:t>
    </w:r>
    <w:r w:rsidR="00C914E8">
      <w:t>15</w:t>
    </w:r>
    <w:r>
      <w:t>-</w:t>
    </w:r>
    <w:r w:rsidR="00C914E8">
      <w:t>1035</w:t>
    </w:r>
  </w:p>
  <w:p w:rsidR="00685EB3" w:rsidRDefault="00685EB3">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7216" behindDoc="1" locked="0" layoutInCell="0" allowOverlap="1" wp14:anchorId="071874D5" wp14:editId="5046B7FD">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7B7307D"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685EB3" w:rsidRDefault="00685EB3">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EB3" w:rsidRDefault="00685EB3" w:rsidP="00810B6F">
    <w:pPr>
      <w:pStyle w:val="Header"/>
      <w:rPr>
        <w:b w:val="0"/>
      </w:rPr>
    </w:pPr>
    <w:r>
      <w:rPr>
        <w:noProof/>
        <w:snapToGrid/>
      </w:rPr>
      <mc:AlternateContent>
        <mc:Choice Requires="wps">
          <w:drawing>
            <wp:anchor distT="0" distB="0" distL="114300" distR="114300" simplePos="0" relativeHeight="251658240" behindDoc="1" locked="0" layoutInCell="0" allowOverlap="1" wp14:anchorId="440D4FFC" wp14:editId="4DC23FAD">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567C69A"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t xml:space="preserve">DA </w:t>
    </w:r>
    <w:r w:rsidR="00C914E8">
      <w:t>15</w:t>
    </w:r>
    <w:r>
      <w:t>-</w:t>
    </w:r>
    <w:r w:rsidR="00C914E8">
      <w:t>1035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349CAB6A"/>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num>
  <w:num w:numId="8">
    <w:abstractNumId w:val="5"/>
    <w:lvlOverride w:ilvl="0">
      <w:startOverride w:val="1"/>
    </w:lvlOverride>
  </w:num>
  <w:num w:numId="9">
    <w:abstractNumId w:val="5"/>
    <w:lvlOverride w:ilvl="0">
      <w:startOverride w:val="1"/>
    </w:lvlOverride>
  </w:num>
  <w:num w:numId="10">
    <w:abstractNumId w:val="5"/>
    <w:lvlOverride w:ilvl="0">
      <w:startOverride w:val="1"/>
    </w:lvlOverride>
  </w:num>
  <w:num w:numId="11">
    <w:abstractNumId w:val="5"/>
    <w:lvlOverride w:ilvl="0">
      <w:startOverride w:val="1"/>
    </w:lvlOverride>
  </w:num>
  <w:num w:numId="12">
    <w:abstractNumId w:val="5"/>
    <w:lvlOverride w:ilvl="0">
      <w:startOverride w:val="1"/>
    </w:lvlOverride>
  </w:num>
  <w:num w:numId="13">
    <w:abstractNumId w:val="5"/>
    <w:lvlOverride w:ilvl="0">
      <w:startOverride w:val="1"/>
    </w:lvlOverride>
  </w:num>
  <w:num w:numId="14">
    <w:abstractNumId w:val="5"/>
  </w:num>
  <w:num w:numId="15">
    <w:abstractNumId w:val="5"/>
    <w:lvlOverride w:ilvl="0">
      <w:startOverride w:val="1"/>
    </w:lvlOverride>
  </w:num>
  <w:num w:numId="16">
    <w:abstractNumId w:val="5"/>
    <w:lvlOverride w:ilvl="0">
      <w:startOverride w:val="1"/>
    </w:lvlOverride>
  </w:num>
  <w:num w:numId="17">
    <w:abstractNumId w:val="5"/>
    <w:lvlOverride w:ilvl="0">
      <w:startOverride w:val="1"/>
    </w:lvlOverride>
  </w:num>
  <w:num w:numId="18">
    <w:abstractNumId w:val="5"/>
    <w:lvlOverride w:ilvl="0">
      <w:startOverride w:val="1"/>
    </w:lvlOverride>
  </w:num>
  <w:num w:numId="19">
    <w:abstractNumId w:val="5"/>
  </w:num>
  <w:num w:numId="20">
    <w:abstractNumId w:val="5"/>
  </w:num>
  <w:num w:numId="21">
    <w:abstractNumId w:val="5"/>
    <w:lvlOverride w:ilvl="0">
      <w:startOverride w:val="1"/>
    </w:lvlOverride>
  </w:num>
  <w:num w:numId="22">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5D0"/>
    <w:rsid w:val="00000F9C"/>
    <w:rsid w:val="00001425"/>
    <w:rsid w:val="0000464A"/>
    <w:rsid w:val="00010666"/>
    <w:rsid w:val="00013FDE"/>
    <w:rsid w:val="00016869"/>
    <w:rsid w:val="000171A2"/>
    <w:rsid w:val="00017B1C"/>
    <w:rsid w:val="00020AF0"/>
    <w:rsid w:val="000230FC"/>
    <w:rsid w:val="00024B56"/>
    <w:rsid w:val="00025650"/>
    <w:rsid w:val="00030F9C"/>
    <w:rsid w:val="000318E6"/>
    <w:rsid w:val="00034134"/>
    <w:rsid w:val="00036039"/>
    <w:rsid w:val="0003724F"/>
    <w:rsid w:val="00037F90"/>
    <w:rsid w:val="00040C12"/>
    <w:rsid w:val="0004295F"/>
    <w:rsid w:val="00044BC2"/>
    <w:rsid w:val="00045035"/>
    <w:rsid w:val="000470B0"/>
    <w:rsid w:val="00050727"/>
    <w:rsid w:val="000514DC"/>
    <w:rsid w:val="00051CB0"/>
    <w:rsid w:val="00052934"/>
    <w:rsid w:val="00052EB6"/>
    <w:rsid w:val="00053004"/>
    <w:rsid w:val="00054811"/>
    <w:rsid w:val="0005499A"/>
    <w:rsid w:val="00055278"/>
    <w:rsid w:val="00055AE8"/>
    <w:rsid w:val="00055BD3"/>
    <w:rsid w:val="0005608E"/>
    <w:rsid w:val="000672D4"/>
    <w:rsid w:val="00067BFD"/>
    <w:rsid w:val="00071145"/>
    <w:rsid w:val="000744A9"/>
    <w:rsid w:val="000753E2"/>
    <w:rsid w:val="0008416A"/>
    <w:rsid w:val="00085568"/>
    <w:rsid w:val="00085AB6"/>
    <w:rsid w:val="000875BF"/>
    <w:rsid w:val="00090934"/>
    <w:rsid w:val="000954C7"/>
    <w:rsid w:val="00096361"/>
    <w:rsid w:val="00096712"/>
    <w:rsid w:val="00096D8C"/>
    <w:rsid w:val="000A4C87"/>
    <w:rsid w:val="000A59E8"/>
    <w:rsid w:val="000A72ED"/>
    <w:rsid w:val="000A7694"/>
    <w:rsid w:val="000A7D7D"/>
    <w:rsid w:val="000B0735"/>
    <w:rsid w:val="000B39E4"/>
    <w:rsid w:val="000B4D05"/>
    <w:rsid w:val="000B5901"/>
    <w:rsid w:val="000C0B65"/>
    <w:rsid w:val="000C0F3E"/>
    <w:rsid w:val="000C2C4E"/>
    <w:rsid w:val="000C2F0B"/>
    <w:rsid w:val="000C4FFB"/>
    <w:rsid w:val="000C7582"/>
    <w:rsid w:val="000D293C"/>
    <w:rsid w:val="000D3F84"/>
    <w:rsid w:val="000D6C79"/>
    <w:rsid w:val="000D6D31"/>
    <w:rsid w:val="000E05FE"/>
    <w:rsid w:val="000E12DB"/>
    <w:rsid w:val="000E3D42"/>
    <w:rsid w:val="000E4B5D"/>
    <w:rsid w:val="000F319C"/>
    <w:rsid w:val="000F4268"/>
    <w:rsid w:val="000F50B1"/>
    <w:rsid w:val="000F7134"/>
    <w:rsid w:val="001070EF"/>
    <w:rsid w:val="001107FD"/>
    <w:rsid w:val="00112051"/>
    <w:rsid w:val="00114790"/>
    <w:rsid w:val="00115C5F"/>
    <w:rsid w:val="00115F96"/>
    <w:rsid w:val="00116055"/>
    <w:rsid w:val="0011727A"/>
    <w:rsid w:val="00117B7C"/>
    <w:rsid w:val="00122263"/>
    <w:rsid w:val="00122BD5"/>
    <w:rsid w:val="00124A03"/>
    <w:rsid w:val="00131514"/>
    <w:rsid w:val="001320CA"/>
    <w:rsid w:val="00132841"/>
    <w:rsid w:val="00133F79"/>
    <w:rsid w:val="00134B81"/>
    <w:rsid w:val="001370A6"/>
    <w:rsid w:val="001407B5"/>
    <w:rsid w:val="00141520"/>
    <w:rsid w:val="00143F2F"/>
    <w:rsid w:val="0014632D"/>
    <w:rsid w:val="00146D35"/>
    <w:rsid w:val="0015195A"/>
    <w:rsid w:val="00151CB7"/>
    <w:rsid w:val="00152850"/>
    <w:rsid w:val="001539BE"/>
    <w:rsid w:val="00155827"/>
    <w:rsid w:val="001561DF"/>
    <w:rsid w:val="00157D89"/>
    <w:rsid w:val="00161649"/>
    <w:rsid w:val="00162DFA"/>
    <w:rsid w:val="00172EA5"/>
    <w:rsid w:val="00173754"/>
    <w:rsid w:val="0017407B"/>
    <w:rsid w:val="00175D6D"/>
    <w:rsid w:val="001763C1"/>
    <w:rsid w:val="00181192"/>
    <w:rsid w:val="00181F91"/>
    <w:rsid w:val="00186C5C"/>
    <w:rsid w:val="0018781E"/>
    <w:rsid w:val="00187D57"/>
    <w:rsid w:val="00190F3B"/>
    <w:rsid w:val="00193442"/>
    <w:rsid w:val="00194A66"/>
    <w:rsid w:val="001956F2"/>
    <w:rsid w:val="001966F6"/>
    <w:rsid w:val="00196BE7"/>
    <w:rsid w:val="001A06DD"/>
    <w:rsid w:val="001A08B2"/>
    <w:rsid w:val="001A19C7"/>
    <w:rsid w:val="001A225F"/>
    <w:rsid w:val="001A2978"/>
    <w:rsid w:val="001A2C20"/>
    <w:rsid w:val="001A5836"/>
    <w:rsid w:val="001B3E25"/>
    <w:rsid w:val="001B4BAA"/>
    <w:rsid w:val="001B57A8"/>
    <w:rsid w:val="001B7125"/>
    <w:rsid w:val="001C0098"/>
    <w:rsid w:val="001C445D"/>
    <w:rsid w:val="001D32F2"/>
    <w:rsid w:val="001D5654"/>
    <w:rsid w:val="001D5D2F"/>
    <w:rsid w:val="001D6BCF"/>
    <w:rsid w:val="001E01CA"/>
    <w:rsid w:val="001E3129"/>
    <w:rsid w:val="001E5D93"/>
    <w:rsid w:val="001E7EEC"/>
    <w:rsid w:val="001F2078"/>
    <w:rsid w:val="001F4800"/>
    <w:rsid w:val="0020161B"/>
    <w:rsid w:val="0020182F"/>
    <w:rsid w:val="0020218D"/>
    <w:rsid w:val="00204578"/>
    <w:rsid w:val="002057C8"/>
    <w:rsid w:val="00206CB9"/>
    <w:rsid w:val="002163A7"/>
    <w:rsid w:val="0022587F"/>
    <w:rsid w:val="00227065"/>
    <w:rsid w:val="002271F7"/>
    <w:rsid w:val="0022768C"/>
    <w:rsid w:val="00231554"/>
    <w:rsid w:val="00231713"/>
    <w:rsid w:val="00232C2A"/>
    <w:rsid w:val="0023397A"/>
    <w:rsid w:val="00244907"/>
    <w:rsid w:val="00244C31"/>
    <w:rsid w:val="002459A3"/>
    <w:rsid w:val="0024660F"/>
    <w:rsid w:val="00247532"/>
    <w:rsid w:val="002476D6"/>
    <w:rsid w:val="00247A39"/>
    <w:rsid w:val="0025037A"/>
    <w:rsid w:val="00253AB4"/>
    <w:rsid w:val="00254630"/>
    <w:rsid w:val="002554D5"/>
    <w:rsid w:val="00256085"/>
    <w:rsid w:val="0026271B"/>
    <w:rsid w:val="00266BE1"/>
    <w:rsid w:val="00270FA6"/>
    <w:rsid w:val="0027215A"/>
    <w:rsid w:val="00275CF5"/>
    <w:rsid w:val="00277688"/>
    <w:rsid w:val="00277E6B"/>
    <w:rsid w:val="00282388"/>
    <w:rsid w:val="0028301F"/>
    <w:rsid w:val="00284F50"/>
    <w:rsid w:val="00285017"/>
    <w:rsid w:val="002866A0"/>
    <w:rsid w:val="00292518"/>
    <w:rsid w:val="00293830"/>
    <w:rsid w:val="0029399E"/>
    <w:rsid w:val="00296C40"/>
    <w:rsid w:val="002970BB"/>
    <w:rsid w:val="002A1B5D"/>
    <w:rsid w:val="002A1F18"/>
    <w:rsid w:val="002A2D2E"/>
    <w:rsid w:val="002A6C18"/>
    <w:rsid w:val="002B291E"/>
    <w:rsid w:val="002B45BC"/>
    <w:rsid w:val="002C00E8"/>
    <w:rsid w:val="002C0987"/>
    <w:rsid w:val="002C0A6E"/>
    <w:rsid w:val="002C43D8"/>
    <w:rsid w:val="002C781E"/>
    <w:rsid w:val="002D0D37"/>
    <w:rsid w:val="002D195C"/>
    <w:rsid w:val="002D3D57"/>
    <w:rsid w:val="002D7389"/>
    <w:rsid w:val="002D7402"/>
    <w:rsid w:val="002E20D3"/>
    <w:rsid w:val="002E437B"/>
    <w:rsid w:val="002E445E"/>
    <w:rsid w:val="002E5A0B"/>
    <w:rsid w:val="002F57AD"/>
    <w:rsid w:val="002F5905"/>
    <w:rsid w:val="003021BE"/>
    <w:rsid w:val="00311933"/>
    <w:rsid w:val="00311BD8"/>
    <w:rsid w:val="003147A5"/>
    <w:rsid w:val="00314E1D"/>
    <w:rsid w:val="003154B6"/>
    <w:rsid w:val="00316B27"/>
    <w:rsid w:val="00316DCE"/>
    <w:rsid w:val="00317D55"/>
    <w:rsid w:val="00322255"/>
    <w:rsid w:val="00323C0B"/>
    <w:rsid w:val="00326E5B"/>
    <w:rsid w:val="00330675"/>
    <w:rsid w:val="00332BA0"/>
    <w:rsid w:val="00333B71"/>
    <w:rsid w:val="00337FF2"/>
    <w:rsid w:val="00341112"/>
    <w:rsid w:val="00342901"/>
    <w:rsid w:val="00343749"/>
    <w:rsid w:val="00346D5D"/>
    <w:rsid w:val="003528FA"/>
    <w:rsid w:val="003532FE"/>
    <w:rsid w:val="0035463C"/>
    <w:rsid w:val="00355685"/>
    <w:rsid w:val="003618AB"/>
    <w:rsid w:val="00363C0E"/>
    <w:rsid w:val="003660ED"/>
    <w:rsid w:val="00366B11"/>
    <w:rsid w:val="00370B2C"/>
    <w:rsid w:val="00371582"/>
    <w:rsid w:val="00372560"/>
    <w:rsid w:val="00372B98"/>
    <w:rsid w:val="003736C9"/>
    <w:rsid w:val="00376398"/>
    <w:rsid w:val="0038038C"/>
    <w:rsid w:val="00381825"/>
    <w:rsid w:val="00384A35"/>
    <w:rsid w:val="003854E7"/>
    <w:rsid w:val="003866C6"/>
    <w:rsid w:val="00387C9A"/>
    <w:rsid w:val="003928A4"/>
    <w:rsid w:val="0039363E"/>
    <w:rsid w:val="0039385B"/>
    <w:rsid w:val="003A024E"/>
    <w:rsid w:val="003A09CE"/>
    <w:rsid w:val="003A0B51"/>
    <w:rsid w:val="003A5840"/>
    <w:rsid w:val="003A5ACA"/>
    <w:rsid w:val="003B0550"/>
    <w:rsid w:val="003B5DE2"/>
    <w:rsid w:val="003B694F"/>
    <w:rsid w:val="003C5D37"/>
    <w:rsid w:val="003C7BE1"/>
    <w:rsid w:val="003D1CAE"/>
    <w:rsid w:val="003D1F3B"/>
    <w:rsid w:val="003D2979"/>
    <w:rsid w:val="003D3BCE"/>
    <w:rsid w:val="003D4A89"/>
    <w:rsid w:val="003D4EB4"/>
    <w:rsid w:val="003D6466"/>
    <w:rsid w:val="003D727A"/>
    <w:rsid w:val="003D76AF"/>
    <w:rsid w:val="003E09EC"/>
    <w:rsid w:val="003E0DD3"/>
    <w:rsid w:val="003E28CD"/>
    <w:rsid w:val="003E3FC2"/>
    <w:rsid w:val="003E499D"/>
    <w:rsid w:val="003E6B0B"/>
    <w:rsid w:val="003F171C"/>
    <w:rsid w:val="003F33AD"/>
    <w:rsid w:val="003F46F2"/>
    <w:rsid w:val="003F7205"/>
    <w:rsid w:val="004063E2"/>
    <w:rsid w:val="00407B56"/>
    <w:rsid w:val="004113F6"/>
    <w:rsid w:val="00412FC5"/>
    <w:rsid w:val="00413972"/>
    <w:rsid w:val="004140F1"/>
    <w:rsid w:val="00414F57"/>
    <w:rsid w:val="00415154"/>
    <w:rsid w:val="00415A1A"/>
    <w:rsid w:val="00415B0F"/>
    <w:rsid w:val="00417180"/>
    <w:rsid w:val="00420CBF"/>
    <w:rsid w:val="00422276"/>
    <w:rsid w:val="00422995"/>
    <w:rsid w:val="00424008"/>
    <w:rsid w:val="004242F1"/>
    <w:rsid w:val="004244DB"/>
    <w:rsid w:val="00425726"/>
    <w:rsid w:val="00425887"/>
    <w:rsid w:val="00434932"/>
    <w:rsid w:val="00434C1A"/>
    <w:rsid w:val="00435770"/>
    <w:rsid w:val="00435862"/>
    <w:rsid w:val="00436185"/>
    <w:rsid w:val="00444B96"/>
    <w:rsid w:val="00445A00"/>
    <w:rsid w:val="00446CA5"/>
    <w:rsid w:val="00447012"/>
    <w:rsid w:val="0044707C"/>
    <w:rsid w:val="00450973"/>
    <w:rsid w:val="00451B0F"/>
    <w:rsid w:val="004527E8"/>
    <w:rsid w:val="00457AFA"/>
    <w:rsid w:val="004638E1"/>
    <w:rsid w:val="00465AE6"/>
    <w:rsid w:val="004721EC"/>
    <w:rsid w:val="004726AE"/>
    <w:rsid w:val="00472C81"/>
    <w:rsid w:val="00474265"/>
    <w:rsid w:val="0048096B"/>
    <w:rsid w:val="004813A5"/>
    <w:rsid w:val="00481839"/>
    <w:rsid w:val="0048248B"/>
    <w:rsid w:val="0048393C"/>
    <w:rsid w:val="0049139A"/>
    <w:rsid w:val="004914AF"/>
    <w:rsid w:val="00493B0D"/>
    <w:rsid w:val="00494281"/>
    <w:rsid w:val="004A273C"/>
    <w:rsid w:val="004A528A"/>
    <w:rsid w:val="004A7007"/>
    <w:rsid w:val="004B16C2"/>
    <w:rsid w:val="004B2478"/>
    <w:rsid w:val="004B3E31"/>
    <w:rsid w:val="004B5644"/>
    <w:rsid w:val="004B7154"/>
    <w:rsid w:val="004C1817"/>
    <w:rsid w:val="004C2EC3"/>
    <w:rsid w:val="004C2EE3"/>
    <w:rsid w:val="004C3234"/>
    <w:rsid w:val="004C60CC"/>
    <w:rsid w:val="004C666A"/>
    <w:rsid w:val="004C7313"/>
    <w:rsid w:val="004D10AF"/>
    <w:rsid w:val="004E11CB"/>
    <w:rsid w:val="004E4745"/>
    <w:rsid w:val="004E4A22"/>
    <w:rsid w:val="004E5E19"/>
    <w:rsid w:val="004E6BE3"/>
    <w:rsid w:val="004E7859"/>
    <w:rsid w:val="004F1DA3"/>
    <w:rsid w:val="004F269E"/>
    <w:rsid w:val="004F5605"/>
    <w:rsid w:val="004F77A5"/>
    <w:rsid w:val="00500107"/>
    <w:rsid w:val="00505FD8"/>
    <w:rsid w:val="005072B0"/>
    <w:rsid w:val="00507CF1"/>
    <w:rsid w:val="0051045B"/>
    <w:rsid w:val="00511968"/>
    <w:rsid w:val="00512FA4"/>
    <w:rsid w:val="00513934"/>
    <w:rsid w:val="00513C49"/>
    <w:rsid w:val="005164B4"/>
    <w:rsid w:val="00520238"/>
    <w:rsid w:val="00521111"/>
    <w:rsid w:val="00524F87"/>
    <w:rsid w:val="00525069"/>
    <w:rsid w:val="00526766"/>
    <w:rsid w:val="0053022C"/>
    <w:rsid w:val="00532E86"/>
    <w:rsid w:val="00534D78"/>
    <w:rsid w:val="00535526"/>
    <w:rsid w:val="005367B6"/>
    <w:rsid w:val="00536C5A"/>
    <w:rsid w:val="00537F68"/>
    <w:rsid w:val="005405F4"/>
    <w:rsid w:val="00543F3B"/>
    <w:rsid w:val="005441C3"/>
    <w:rsid w:val="0054642A"/>
    <w:rsid w:val="005464A5"/>
    <w:rsid w:val="00546AF2"/>
    <w:rsid w:val="00551C3B"/>
    <w:rsid w:val="005548B0"/>
    <w:rsid w:val="00555EFD"/>
    <w:rsid w:val="0055614C"/>
    <w:rsid w:val="005650C6"/>
    <w:rsid w:val="005671AE"/>
    <w:rsid w:val="00570EB6"/>
    <w:rsid w:val="0057483E"/>
    <w:rsid w:val="005779AC"/>
    <w:rsid w:val="00577BED"/>
    <w:rsid w:val="0058170B"/>
    <w:rsid w:val="00583A17"/>
    <w:rsid w:val="00583FB2"/>
    <w:rsid w:val="0058498A"/>
    <w:rsid w:val="0059088C"/>
    <w:rsid w:val="005916C8"/>
    <w:rsid w:val="00592423"/>
    <w:rsid w:val="00597755"/>
    <w:rsid w:val="005A0984"/>
    <w:rsid w:val="005A1F3A"/>
    <w:rsid w:val="005B0FB9"/>
    <w:rsid w:val="005B4278"/>
    <w:rsid w:val="005B4350"/>
    <w:rsid w:val="005B5CDC"/>
    <w:rsid w:val="005B6972"/>
    <w:rsid w:val="005C5519"/>
    <w:rsid w:val="005C70D6"/>
    <w:rsid w:val="005D09F0"/>
    <w:rsid w:val="005D2876"/>
    <w:rsid w:val="005D4D8E"/>
    <w:rsid w:val="005D7790"/>
    <w:rsid w:val="005E06A2"/>
    <w:rsid w:val="005E14C2"/>
    <w:rsid w:val="005E35CF"/>
    <w:rsid w:val="005E4E67"/>
    <w:rsid w:val="005E6A56"/>
    <w:rsid w:val="005E79E4"/>
    <w:rsid w:val="005E7E2B"/>
    <w:rsid w:val="005F033E"/>
    <w:rsid w:val="005F3BB0"/>
    <w:rsid w:val="005F3ED2"/>
    <w:rsid w:val="005F4476"/>
    <w:rsid w:val="006002DD"/>
    <w:rsid w:val="006011C2"/>
    <w:rsid w:val="0060276A"/>
    <w:rsid w:val="00604CBC"/>
    <w:rsid w:val="00606DA1"/>
    <w:rsid w:val="00607BA5"/>
    <w:rsid w:val="006116E5"/>
    <w:rsid w:val="0061180A"/>
    <w:rsid w:val="006128DF"/>
    <w:rsid w:val="00616661"/>
    <w:rsid w:val="00622735"/>
    <w:rsid w:val="006251B7"/>
    <w:rsid w:val="00626EB6"/>
    <w:rsid w:val="006273DB"/>
    <w:rsid w:val="00627F9F"/>
    <w:rsid w:val="00630564"/>
    <w:rsid w:val="00630DDC"/>
    <w:rsid w:val="0063135A"/>
    <w:rsid w:val="006353F4"/>
    <w:rsid w:val="00635EB0"/>
    <w:rsid w:val="00637BDA"/>
    <w:rsid w:val="00643ABF"/>
    <w:rsid w:val="0064718F"/>
    <w:rsid w:val="00647E39"/>
    <w:rsid w:val="00650F3B"/>
    <w:rsid w:val="00653D7B"/>
    <w:rsid w:val="00655D03"/>
    <w:rsid w:val="0065741C"/>
    <w:rsid w:val="00660B37"/>
    <w:rsid w:val="00660C77"/>
    <w:rsid w:val="00661341"/>
    <w:rsid w:val="00664B19"/>
    <w:rsid w:val="00664C00"/>
    <w:rsid w:val="0066657B"/>
    <w:rsid w:val="00671842"/>
    <w:rsid w:val="006720B3"/>
    <w:rsid w:val="00673F7A"/>
    <w:rsid w:val="00675716"/>
    <w:rsid w:val="0068223B"/>
    <w:rsid w:val="00683388"/>
    <w:rsid w:val="00683F84"/>
    <w:rsid w:val="0068419B"/>
    <w:rsid w:val="00684516"/>
    <w:rsid w:val="00685EB3"/>
    <w:rsid w:val="006877CA"/>
    <w:rsid w:val="00692AD6"/>
    <w:rsid w:val="006952FF"/>
    <w:rsid w:val="006959D3"/>
    <w:rsid w:val="00695D97"/>
    <w:rsid w:val="006968CB"/>
    <w:rsid w:val="006A15D0"/>
    <w:rsid w:val="006A4334"/>
    <w:rsid w:val="006A4625"/>
    <w:rsid w:val="006A6A81"/>
    <w:rsid w:val="006A7581"/>
    <w:rsid w:val="006B16D9"/>
    <w:rsid w:val="006B452D"/>
    <w:rsid w:val="006B4EF4"/>
    <w:rsid w:val="006B5F4A"/>
    <w:rsid w:val="006C512D"/>
    <w:rsid w:val="006C76B6"/>
    <w:rsid w:val="006C7801"/>
    <w:rsid w:val="006D3875"/>
    <w:rsid w:val="006D4B5F"/>
    <w:rsid w:val="006D52EF"/>
    <w:rsid w:val="006D554C"/>
    <w:rsid w:val="006D7007"/>
    <w:rsid w:val="006E080F"/>
    <w:rsid w:val="006E323B"/>
    <w:rsid w:val="006E448B"/>
    <w:rsid w:val="006E563A"/>
    <w:rsid w:val="006F165C"/>
    <w:rsid w:val="006F7393"/>
    <w:rsid w:val="007017EF"/>
    <w:rsid w:val="0070224F"/>
    <w:rsid w:val="007075A9"/>
    <w:rsid w:val="00711033"/>
    <w:rsid w:val="007115F7"/>
    <w:rsid w:val="00712D9A"/>
    <w:rsid w:val="00713149"/>
    <w:rsid w:val="007150A0"/>
    <w:rsid w:val="00716DB0"/>
    <w:rsid w:val="00723D13"/>
    <w:rsid w:val="00723EDB"/>
    <w:rsid w:val="00724610"/>
    <w:rsid w:val="007247E0"/>
    <w:rsid w:val="00736CF4"/>
    <w:rsid w:val="00740FB2"/>
    <w:rsid w:val="007445A7"/>
    <w:rsid w:val="00744C97"/>
    <w:rsid w:val="00750FCB"/>
    <w:rsid w:val="007513BC"/>
    <w:rsid w:val="00752F4C"/>
    <w:rsid w:val="007533B5"/>
    <w:rsid w:val="00753DFC"/>
    <w:rsid w:val="00756C1B"/>
    <w:rsid w:val="007574A9"/>
    <w:rsid w:val="007635C6"/>
    <w:rsid w:val="00771A35"/>
    <w:rsid w:val="007746F5"/>
    <w:rsid w:val="00780486"/>
    <w:rsid w:val="00782D6D"/>
    <w:rsid w:val="00784D9A"/>
    <w:rsid w:val="00785689"/>
    <w:rsid w:val="0078640B"/>
    <w:rsid w:val="00786A8D"/>
    <w:rsid w:val="007961A2"/>
    <w:rsid w:val="0079738C"/>
    <w:rsid w:val="0079754B"/>
    <w:rsid w:val="007A1E6D"/>
    <w:rsid w:val="007A23B2"/>
    <w:rsid w:val="007A29F7"/>
    <w:rsid w:val="007A2C68"/>
    <w:rsid w:val="007A49B9"/>
    <w:rsid w:val="007A4A02"/>
    <w:rsid w:val="007A4BEA"/>
    <w:rsid w:val="007A70BF"/>
    <w:rsid w:val="007B0EB2"/>
    <w:rsid w:val="007C5084"/>
    <w:rsid w:val="007D141F"/>
    <w:rsid w:val="007D2289"/>
    <w:rsid w:val="007E53CA"/>
    <w:rsid w:val="007E53F4"/>
    <w:rsid w:val="007E63D0"/>
    <w:rsid w:val="007F0448"/>
    <w:rsid w:val="007F5068"/>
    <w:rsid w:val="007F7A49"/>
    <w:rsid w:val="00800A58"/>
    <w:rsid w:val="00803967"/>
    <w:rsid w:val="008050C8"/>
    <w:rsid w:val="0080549B"/>
    <w:rsid w:val="00810B6F"/>
    <w:rsid w:val="00811C81"/>
    <w:rsid w:val="008173D6"/>
    <w:rsid w:val="0082263D"/>
    <w:rsid w:val="00822CE0"/>
    <w:rsid w:val="00823B58"/>
    <w:rsid w:val="00833AE8"/>
    <w:rsid w:val="00833F3C"/>
    <w:rsid w:val="008350F2"/>
    <w:rsid w:val="00835CFD"/>
    <w:rsid w:val="00841AB1"/>
    <w:rsid w:val="0084574C"/>
    <w:rsid w:val="00846F3B"/>
    <w:rsid w:val="0084753B"/>
    <w:rsid w:val="008532A1"/>
    <w:rsid w:val="0085492D"/>
    <w:rsid w:val="008555B8"/>
    <w:rsid w:val="00855B19"/>
    <w:rsid w:val="00857AD9"/>
    <w:rsid w:val="00860CDA"/>
    <w:rsid w:val="0086103C"/>
    <w:rsid w:val="00861373"/>
    <w:rsid w:val="00861738"/>
    <w:rsid w:val="00863278"/>
    <w:rsid w:val="00865A66"/>
    <w:rsid w:val="00867AC9"/>
    <w:rsid w:val="008715AD"/>
    <w:rsid w:val="008715E3"/>
    <w:rsid w:val="008738FD"/>
    <w:rsid w:val="00875A54"/>
    <w:rsid w:val="00876D7B"/>
    <w:rsid w:val="008771BD"/>
    <w:rsid w:val="00877C88"/>
    <w:rsid w:val="008815DB"/>
    <w:rsid w:val="008817AE"/>
    <w:rsid w:val="008841B9"/>
    <w:rsid w:val="00885413"/>
    <w:rsid w:val="008865AB"/>
    <w:rsid w:val="008900EF"/>
    <w:rsid w:val="00891BEA"/>
    <w:rsid w:val="008946CC"/>
    <w:rsid w:val="008950C4"/>
    <w:rsid w:val="0089627A"/>
    <w:rsid w:val="00897301"/>
    <w:rsid w:val="008A47DF"/>
    <w:rsid w:val="008A60BF"/>
    <w:rsid w:val="008A63EA"/>
    <w:rsid w:val="008B0048"/>
    <w:rsid w:val="008B1337"/>
    <w:rsid w:val="008B3380"/>
    <w:rsid w:val="008B40D0"/>
    <w:rsid w:val="008B4409"/>
    <w:rsid w:val="008B5D3C"/>
    <w:rsid w:val="008C5ACB"/>
    <w:rsid w:val="008C62F3"/>
    <w:rsid w:val="008C68F1"/>
    <w:rsid w:val="008D1C0F"/>
    <w:rsid w:val="008D3333"/>
    <w:rsid w:val="008D5F7E"/>
    <w:rsid w:val="008E11D6"/>
    <w:rsid w:val="008E206C"/>
    <w:rsid w:val="008E3C92"/>
    <w:rsid w:val="008F07C2"/>
    <w:rsid w:val="008F0932"/>
    <w:rsid w:val="008F3617"/>
    <w:rsid w:val="008F3860"/>
    <w:rsid w:val="008F54CE"/>
    <w:rsid w:val="008F643B"/>
    <w:rsid w:val="00901DD1"/>
    <w:rsid w:val="00903177"/>
    <w:rsid w:val="009036E2"/>
    <w:rsid w:val="00905F22"/>
    <w:rsid w:val="00910793"/>
    <w:rsid w:val="00910C78"/>
    <w:rsid w:val="009113D7"/>
    <w:rsid w:val="00912A08"/>
    <w:rsid w:val="00912C9C"/>
    <w:rsid w:val="00914D1B"/>
    <w:rsid w:val="00915E46"/>
    <w:rsid w:val="00921803"/>
    <w:rsid w:val="009229FF"/>
    <w:rsid w:val="00926503"/>
    <w:rsid w:val="00926741"/>
    <w:rsid w:val="009302F9"/>
    <w:rsid w:val="00933E8F"/>
    <w:rsid w:val="00934A82"/>
    <w:rsid w:val="00934C0B"/>
    <w:rsid w:val="00936ACA"/>
    <w:rsid w:val="009404DE"/>
    <w:rsid w:val="00942A27"/>
    <w:rsid w:val="00943218"/>
    <w:rsid w:val="009436CE"/>
    <w:rsid w:val="00944E37"/>
    <w:rsid w:val="00945A26"/>
    <w:rsid w:val="00947DB0"/>
    <w:rsid w:val="00953F38"/>
    <w:rsid w:val="009544E8"/>
    <w:rsid w:val="009608B5"/>
    <w:rsid w:val="009619DE"/>
    <w:rsid w:val="00962789"/>
    <w:rsid w:val="00970FB9"/>
    <w:rsid w:val="009711FE"/>
    <w:rsid w:val="009726D8"/>
    <w:rsid w:val="009739A0"/>
    <w:rsid w:val="00975618"/>
    <w:rsid w:val="009761B4"/>
    <w:rsid w:val="009774DD"/>
    <w:rsid w:val="0098324C"/>
    <w:rsid w:val="009833BF"/>
    <w:rsid w:val="009852C7"/>
    <w:rsid w:val="009A0EC8"/>
    <w:rsid w:val="009A7079"/>
    <w:rsid w:val="009A796E"/>
    <w:rsid w:val="009A7AB0"/>
    <w:rsid w:val="009B1327"/>
    <w:rsid w:val="009B17B5"/>
    <w:rsid w:val="009B1A4C"/>
    <w:rsid w:val="009B39AD"/>
    <w:rsid w:val="009B3A0B"/>
    <w:rsid w:val="009B45C5"/>
    <w:rsid w:val="009B461C"/>
    <w:rsid w:val="009B4D6E"/>
    <w:rsid w:val="009C137D"/>
    <w:rsid w:val="009C1F05"/>
    <w:rsid w:val="009C3F75"/>
    <w:rsid w:val="009C4988"/>
    <w:rsid w:val="009C5C8E"/>
    <w:rsid w:val="009C6D21"/>
    <w:rsid w:val="009C7751"/>
    <w:rsid w:val="009D22B8"/>
    <w:rsid w:val="009D3336"/>
    <w:rsid w:val="009D4D87"/>
    <w:rsid w:val="009D4D94"/>
    <w:rsid w:val="009D5956"/>
    <w:rsid w:val="009D73EA"/>
    <w:rsid w:val="009E22AA"/>
    <w:rsid w:val="009E354D"/>
    <w:rsid w:val="009E373D"/>
    <w:rsid w:val="009E7428"/>
    <w:rsid w:val="009F2834"/>
    <w:rsid w:val="009F424E"/>
    <w:rsid w:val="009F76DB"/>
    <w:rsid w:val="00A03D6E"/>
    <w:rsid w:val="00A043DB"/>
    <w:rsid w:val="00A075B8"/>
    <w:rsid w:val="00A10667"/>
    <w:rsid w:val="00A13424"/>
    <w:rsid w:val="00A14665"/>
    <w:rsid w:val="00A17821"/>
    <w:rsid w:val="00A20616"/>
    <w:rsid w:val="00A21B68"/>
    <w:rsid w:val="00A2571E"/>
    <w:rsid w:val="00A26F10"/>
    <w:rsid w:val="00A32633"/>
    <w:rsid w:val="00A32C3B"/>
    <w:rsid w:val="00A32ECB"/>
    <w:rsid w:val="00A35A40"/>
    <w:rsid w:val="00A36EB2"/>
    <w:rsid w:val="00A374C9"/>
    <w:rsid w:val="00A43FA8"/>
    <w:rsid w:val="00A44022"/>
    <w:rsid w:val="00A45F4F"/>
    <w:rsid w:val="00A600A9"/>
    <w:rsid w:val="00A644A6"/>
    <w:rsid w:val="00A67597"/>
    <w:rsid w:val="00A73AFD"/>
    <w:rsid w:val="00A75A03"/>
    <w:rsid w:val="00A80465"/>
    <w:rsid w:val="00A82C42"/>
    <w:rsid w:val="00A85807"/>
    <w:rsid w:val="00A8685C"/>
    <w:rsid w:val="00A86FED"/>
    <w:rsid w:val="00A873B0"/>
    <w:rsid w:val="00A90CFA"/>
    <w:rsid w:val="00A91D23"/>
    <w:rsid w:val="00A9388F"/>
    <w:rsid w:val="00A963CE"/>
    <w:rsid w:val="00A9715B"/>
    <w:rsid w:val="00A97D22"/>
    <w:rsid w:val="00AA13A4"/>
    <w:rsid w:val="00AA1616"/>
    <w:rsid w:val="00AA4552"/>
    <w:rsid w:val="00AA55B7"/>
    <w:rsid w:val="00AA5B9E"/>
    <w:rsid w:val="00AB13ED"/>
    <w:rsid w:val="00AB2407"/>
    <w:rsid w:val="00AB29C8"/>
    <w:rsid w:val="00AB455E"/>
    <w:rsid w:val="00AB4B3A"/>
    <w:rsid w:val="00AB4D2D"/>
    <w:rsid w:val="00AB4EB3"/>
    <w:rsid w:val="00AB53DF"/>
    <w:rsid w:val="00AB59B8"/>
    <w:rsid w:val="00AB5B24"/>
    <w:rsid w:val="00AC02CC"/>
    <w:rsid w:val="00AC104E"/>
    <w:rsid w:val="00AC654A"/>
    <w:rsid w:val="00AD2281"/>
    <w:rsid w:val="00AD4686"/>
    <w:rsid w:val="00AD5A19"/>
    <w:rsid w:val="00AE06C6"/>
    <w:rsid w:val="00AE07FB"/>
    <w:rsid w:val="00AE35A1"/>
    <w:rsid w:val="00AE374B"/>
    <w:rsid w:val="00AF08F8"/>
    <w:rsid w:val="00AF1443"/>
    <w:rsid w:val="00AF22A0"/>
    <w:rsid w:val="00AF4E87"/>
    <w:rsid w:val="00AF57BB"/>
    <w:rsid w:val="00AF7042"/>
    <w:rsid w:val="00B01486"/>
    <w:rsid w:val="00B0329E"/>
    <w:rsid w:val="00B04687"/>
    <w:rsid w:val="00B056BC"/>
    <w:rsid w:val="00B06C8F"/>
    <w:rsid w:val="00B06EA8"/>
    <w:rsid w:val="00B07E5C"/>
    <w:rsid w:val="00B1034D"/>
    <w:rsid w:val="00B119DA"/>
    <w:rsid w:val="00B11FFA"/>
    <w:rsid w:val="00B173DB"/>
    <w:rsid w:val="00B20216"/>
    <w:rsid w:val="00B253C6"/>
    <w:rsid w:val="00B26AAD"/>
    <w:rsid w:val="00B31325"/>
    <w:rsid w:val="00B33C43"/>
    <w:rsid w:val="00B34E46"/>
    <w:rsid w:val="00B37266"/>
    <w:rsid w:val="00B435D6"/>
    <w:rsid w:val="00B522A5"/>
    <w:rsid w:val="00B64387"/>
    <w:rsid w:val="00B66FEA"/>
    <w:rsid w:val="00B6798D"/>
    <w:rsid w:val="00B712A8"/>
    <w:rsid w:val="00B75652"/>
    <w:rsid w:val="00B7577F"/>
    <w:rsid w:val="00B75E96"/>
    <w:rsid w:val="00B8088C"/>
    <w:rsid w:val="00B811F7"/>
    <w:rsid w:val="00B81708"/>
    <w:rsid w:val="00B81D45"/>
    <w:rsid w:val="00B841F0"/>
    <w:rsid w:val="00B91551"/>
    <w:rsid w:val="00B93EA5"/>
    <w:rsid w:val="00B94401"/>
    <w:rsid w:val="00B95E9F"/>
    <w:rsid w:val="00B96998"/>
    <w:rsid w:val="00BA0374"/>
    <w:rsid w:val="00BA1203"/>
    <w:rsid w:val="00BA2E33"/>
    <w:rsid w:val="00BA36EA"/>
    <w:rsid w:val="00BA5DC6"/>
    <w:rsid w:val="00BA6196"/>
    <w:rsid w:val="00BA7411"/>
    <w:rsid w:val="00BB3A29"/>
    <w:rsid w:val="00BB3A3D"/>
    <w:rsid w:val="00BB44FE"/>
    <w:rsid w:val="00BB6F52"/>
    <w:rsid w:val="00BC1603"/>
    <w:rsid w:val="00BC1C71"/>
    <w:rsid w:val="00BC6D8C"/>
    <w:rsid w:val="00BC7949"/>
    <w:rsid w:val="00BD127B"/>
    <w:rsid w:val="00BD1744"/>
    <w:rsid w:val="00BD38AB"/>
    <w:rsid w:val="00BD3B14"/>
    <w:rsid w:val="00BD3FF6"/>
    <w:rsid w:val="00BD44C3"/>
    <w:rsid w:val="00BE0F1E"/>
    <w:rsid w:val="00BE1A7F"/>
    <w:rsid w:val="00BE2AAE"/>
    <w:rsid w:val="00BF4B6C"/>
    <w:rsid w:val="00BF6FCF"/>
    <w:rsid w:val="00C02C89"/>
    <w:rsid w:val="00C05A5B"/>
    <w:rsid w:val="00C064EF"/>
    <w:rsid w:val="00C07CB1"/>
    <w:rsid w:val="00C1413E"/>
    <w:rsid w:val="00C15129"/>
    <w:rsid w:val="00C15664"/>
    <w:rsid w:val="00C168AC"/>
    <w:rsid w:val="00C171D5"/>
    <w:rsid w:val="00C178C4"/>
    <w:rsid w:val="00C21C78"/>
    <w:rsid w:val="00C22D2C"/>
    <w:rsid w:val="00C237D6"/>
    <w:rsid w:val="00C30A25"/>
    <w:rsid w:val="00C34006"/>
    <w:rsid w:val="00C34622"/>
    <w:rsid w:val="00C3553D"/>
    <w:rsid w:val="00C35587"/>
    <w:rsid w:val="00C35E85"/>
    <w:rsid w:val="00C3768C"/>
    <w:rsid w:val="00C37711"/>
    <w:rsid w:val="00C4045E"/>
    <w:rsid w:val="00C41787"/>
    <w:rsid w:val="00C41E1C"/>
    <w:rsid w:val="00C426B1"/>
    <w:rsid w:val="00C47630"/>
    <w:rsid w:val="00C55DA3"/>
    <w:rsid w:val="00C63F86"/>
    <w:rsid w:val="00C65AD1"/>
    <w:rsid w:val="00C66160"/>
    <w:rsid w:val="00C721AC"/>
    <w:rsid w:val="00C74823"/>
    <w:rsid w:val="00C74B0B"/>
    <w:rsid w:val="00C76AB6"/>
    <w:rsid w:val="00C8140A"/>
    <w:rsid w:val="00C87F10"/>
    <w:rsid w:val="00C90D6A"/>
    <w:rsid w:val="00C914E8"/>
    <w:rsid w:val="00C934D1"/>
    <w:rsid w:val="00C94A0D"/>
    <w:rsid w:val="00C95F03"/>
    <w:rsid w:val="00CA150F"/>
    <w:rsid w:val="00CA189E"/>
    <w:rsid w:val="00CA247E"/>
    <w:rsid w:val="00CA3092"/>
    <w:rsid w:val="00CA4E0E"/>
    <w:rsid w:val="00CA6570"/>
    <w:rsid w:val="00CB471E"/>
    <w:rsid w:val="00CB715C"/>
    <w:rsid w:val="00CB72AB"/>
    <w:rsid w:val="00CC1CAD"/>
    <w:rsid w:val="00CC548D"/>
    <w:rsid w:val="00CC6B91"/>
    <w:rsid w:val="00CC72B6"/>
    <w:rsid w:val="00CD6295"/>
    <w:rsid w:val="00CE0533"/>
    <w:rsid w:val="00CE2D4F"/>
    <w:rsid w:val="00CE2F13"/>
    <w:rsid w:val="00CE3723"/>
    <w:rsid w:val="00CE42C4"/>
    <w:rsid w:val="00CE4C37"/>
    <w:rsid w:val="00CE779E"/>
    <w:rsid w:val="00CF3810"/>
    <w:rsid w:val="00CF7DD4"/>
    <w:rsid w:val="00D00D78"/>
    <w:rsid w:val="00D0218D"/>
    <w:rsid w:val="00D03024"/>
    <w:rsid w:val="00D07B1B"/>
    <w:rsid w:val="00D11A8C"/>
    <w:rsid w:val="00D13490"/>
    <w:rsid w:val="00D1399A"/>
    <w:rsid w:val="00D163AC"/>
    <w:rsid w:val="00D20E73"/>
    <w:rsid w:val="00D21897"/>
    <w:rsid w:val="00D21A9A"/>
    <w:rsid w:val="00D237C4"/>
    <w:rsid w:val="00D25FB5"/>
    <w:rsid w:val="00D30EC1"/>
    <w:rsid w:val="00D3355D"/>
    <w:rsid w:val="00D33E30"/>
    <w:rsid w:val="00D421C2"/>
    <w:rsid w:val="00D4398F"/>
    <w:rsid w:val="00D43DB9"/>
    <w:rsid w:val="00D44223"/>
    <w:rsid w:val="00D467D7"/>
    <w:rsid w:val="00D511A0"/>
    <w:rsid w:val="00D52992"/>
    <w:rsid w:val="00D54352"/>
    <w:rsid w:val="00D55452"/>
    <w:rsid w:val="00D60CEC"/>
    <w:rsid w:val="00D61F1B"/>
    <w:rsid w:val="00D64732"/>
    <w:rsid w:val="00D65AA4"/>
    <w:rsid w:val="00D65BE3"/>
    <w:rsid w:val="00D70FDB"/>
    <w:rsid w:val="00D7222D"/>
    <w:rsid w:val="00D72C41"/>
    <w:rsid w:val="00D77FCE"/>
    <w:rsid w:val="00D853ED"/>
    <w:rsid w:val="00D912EA"/>
    <w:rsid w:val="00D9317C"/>
    <w:rsid w:val="00D93D5A"/>
    <w:rsid w:val="00D954F1"/>
    <w:rsid w:val="00D959C0"/>
    <w:rsid w:val="00D961D7"/>
    <w:rsid w:val="00D963E0"/>
    <w:rsid w:val="00D97EF2"/>
    <w:rsid w:val="00DA1019"/>
    <w:rsid w:val="00DA15E9"/>
    <w:rsid w:val="00DA2529"/>
    <w:rsid w:val="00DA6369"/>
    <w:rsid w:val="00DB130A"/>
    <w:rsid w:val="00DB2EBB"/>
    <w:rsid w:val="00DC031D"/>
    <w:rsid w:val="00DC10A1"/>
    <w:rsid w:val="00DC2595"/>
    <w:rsid w:val="00DC344F"/>
    <w:rsid w:val="00DC4123"/>
    <w:rsid w:val="00DC655F"/>
    <w:rsid w:val="00DC6950"/>
    <w:rsid w:val="00DC7987"/>
    <w:rsid w:val="00DD0B59"/>
    <w:rsid w:val="00DD3D5A"/>
    <w:rsid w:val="00DD57E4"/>
    <w:rsid w:val="00DD7691"/>
    <w:rsid w:val="00DD7EBD"/>
    <w:rsid w:val="00DE08A9"/>
    <w:rsid w:val="00DE2BF0"/>
    <w:rsid w:val="00DF03E3"/>
    <w:rsid w:val="00DF5C14"/>
    <w:rsid w:val="00DF62B6"/>
    <w:rsid w:val="00E03A4D"/>
    <w:rsid w:val="00E068E6"/>
    <w:rsid w:val="00E06D2E"/>
    <w:rsid w:val="00E07225"/>
    <w:rsid w:val="00E11920"/>
    <w:rsid w:val="00E12336"/>
    <w:rsid w:val="00E12AA2"/>
    <w:rsid w:val="00E1303A"/>
    <w:rsid w:val="00E15578"/>
    <w:rsid w:val="00E16E6E"/>
    <w:rsid w:val="00E20F51"/>
    <w:rsid w:val="00E25843"/>
    <w:rsid w:val="00E26D5F"/>
    <w:rsid w:val="00E30DB2"/>
    <w:rsid w:val="00E31BD6"/>
    <w:rsid w:val="00E334A3"/>
    <w:rsid w:val="00E34D49"/>
    <w:rsid w:val="00E35979"/>
    <w:rsid w:val="00E35C68"/>
    <w:rsid w:val="00E37C35"/>
    <w:rsid w:val="00E42A2E"/>
    <w:rsid w:val="00E42B3B"/>
    <w:rsid w:val="00E46239"/>
    <w:rsid w:val="00E46BF7"/>
    <w:rsid w:val="00E5047B"/>
    <w:rsid w:val="00E5409F"/>
    <w:rsid w:val="00E5411D"/>
    <w:rsid w:val="00E54174"/>
    <w:rsid w:val="00E5422B"/>
    <w:rsid w:val="00E62883"/>
    <w:rsid w:val="00E64AA8"/>
    <w:rsid w:val="00E6584F"/>
    <w:rsid w:val="00E72705"/>
    <w:rsid w:val="00E75816"/>
    <w:rsid w:val="00E758AF"/>
    <w:rsid w:val="00E75BB7"/>
    <w:rsid w:val="00E75DDE"/>
    <w:rsid w:val="00E80B50"/>
    <w:rsid w:val="00E80C6A"/>
    <w:rsid w:val="00E8306B"/>
    <w:rsid w:val="00E93AFC"/>
    <w:rsid w:val="00E944EB"/>
    <w:rsid w:val="00E96D5F"/>
    <w:rsid w:val="00E96E98"/>
    <w:rsid w:val="00EA5057"/>
    <w:rsid w:val="00EA5508"/>
    <w:rsid w:val="00EA5BEF"/>
    <w:rsid w:val="00EA69EC"/>
    <w:rsid w:val="00EB29F1"/>
    <w:rsid w:val="00EB308E"/>
    <w:rsid w:val="00EB6421"/>
    <w:rsid w:val="00EB6469"/>
    <w:rsid w:val="00EB7AF6"/>
    <w:rsid w:val="00EB7F15"/>
    <w:rsid w:val="00EC1FDB"/>
    <w:rsid w:val="00EC5E17"/>
    <w:rsid w:val="00EC6516"/>
    <w:rsid w:val="00EC70AD"/>
    <w:rsid w:val="00ED0529"/>
    <w:rsid w:val="00ED1671"/>
    <w:rsid w:val="00ED2262"/>
    <w:rsid w:val="00ED2A5E"/>
    <w:rsid w:val="00ED4C9D"/>
    <w:rsid w:val="00EE043E"/>
    <w:rsid w:val="00EE1F3F"/>
    <w:rsid w:val="00EE2131"/>
    <w:rsid w:val="00EE2C12"/>
    <w:rsid w:val="00EE5ABF"/>
    <w:rsid w:val="00EE6488"/>
    <w:rsid w:val="00EF1367"/>
    <w:rsid w:val="00EF5D2F"/>
    <w:rsid w:val="00EF617F"/>
    <w:rsid w:val="00EF6B80"/>
    <w:rsid w:val="00EF71C4"/>
    <w:rsid w:val="00F021FA"/>
    <w:rsid w:val="00F02581"/>
    <w:rsid w:val="00F037ED"/>
    <w:rsid w:val="00F061E0"/>
    <w:rsid w:val="00F0761C"/>
    <w:rsid w:val="00F07740"/>
    <w:rsid w:val="00F14644"/>
    <w:rsid w:val="00F16F1F"/>
    <w:rsid w:val="00F23D7B"/>
    <w:rsid w:val="00F23F4C"/>
    <w:rsid w:val="00F24B3C"/>
    <w:rsid w:val="00F272E3"/>
    <w:rsid w:val="00F3112B"/>
    <w:rsid w:val="00F3397E"/>
    <w:rsid w:val="00F339E7"/>
    <w:rsid w:val="00F37B48"/>
    <w:rsid w:val="00F40320"/>
    <w:rsid w:val="00F4146F"/>
    <w:rsid w:val="00F43F94"/>
    <w:rsid w:val="00F5159F"/>
    <w:rsid w:val="00F601D6"/>
    <w:rsid w:val="00F6074C"/>
    <w:rsid w:val="00F621AE"/>
    <w:rsid w:val="00F62E97"/>
    <w:rsid w:val="00F63749"/>
    <w:rsid w:val="00F63D48"/>
    <w:rsid w:val="00F64209"/>
    <w:rsid w:val="00F6505D"/>
    <w:rsid w:val="00F70796"/>
    <w:rsid w:val="00F71930"/>
    <w:rsid w:val="00F735C7"/>
    <w:rsid w:val="00F74009"/>
    <w:rsid w:val="00F74090"/>
    <w:rsid w:val="00F763FD"/>
    <w:rsid w:val="00F81F17"/>
    <w:rsid w:val="00F81F71"/>
    <w:rsid w:val="00F84687"/>
    <w:rsid w:val="00F93BF5"/>
    <w:rsid w:val="00F9438D"/>
    <w:rsid w:val="00F94943"/>
    <w:rsid w:val="00F976D2"/>
    <w:rsid w:val="00FA75FE"/>
    <w:rsid w:val="00FB1CD6"/>
    <w:rsid w:val="00FB2CCE"/>
    <w:rsid w:val="00FB2E8C"/>
    <w:rsid w:val="00FB50BE"/>
    <w:rsid w:val="00FB5FB8"/>
    <w:rsid w:val="00FB6CB3"/>
    <w:rsid w:val="00FB7054"/>
    <w:rsid w:val="00FB79CC"/>
    <w:rsid w:val="00FC06DA"/>
    <w:rsid w:val="00FC5CFA"/>
    <w:rsid w:val="00FC78AB"/>
    <w:rsid w:val="00FD1DEB"/>
    <w:rsid w:val="00FD2C8F"/>
    <w:rsid w:val="00FD3F28"/>
    <w:rsid w:val="00FD553E"/>
    <w:rsid w:val="00FD7EBF"/>
    <w:rsid w:val="00FE30EE"/>
    <w:rsid w:val="00FE3A9E"/>
    <w:rsid w:val="00FE7CB0"/>
    <w:rsid w:val="00FF0441"/>
    <w:rsid w:val="00FF0FFA"/>
    <w:rsid w:val="00FF1175"/>
    <w:rsid w:val="00FF5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metricconverter"/>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1A2978"/>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Char1"/>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 Char1 Char,Footnote Text Char Char Char Char,Footnote Text Char1 Char Char Char Char,Footnote Text Char Char Char Char Char Char,Footnote Text Char3 Char Char Char Char Char Char,Footnote Text Char2,f,ALTS FOOTNOTE,fn"/>
    <w:link w:val="FootnoteTextChar"/>
    <w:rsid w:val="000E3D42"/>
    <w:pPr>
      <w:spacing w:after="120"/>
    </w:pPr>
  </w:style>
  <w:style w:type="character" w:styleId="FootnoteReference">
    <w:name w:val="footnote reference"/>
    <w:aliases w:val="Style 12,(NECG) Footnote Reference,o,fr,Appel note de bas de p,Style 17,FR,Style 124,Style 13,Style 6,Footnote Reference/,Style 3,Style 7"/>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Footnote Text Char1 Char1 Char Char,Footnote Text Char Char Char Char Char,Footnote Text Char1 Char Char Char Char Char,Footnote Text Char Char Char Char Char Char Char,Footnote Text Char3 Char Char Char Char Char Char Char,f Char"/>
    <w:basedOn w:val="DefaultParagraphFont"/>
    <w:link w:val="FootnoteText"/>
    <w:rsid w:val="00DF5C14"/>
  </w:style>
  <w:style w:type="paragraph" w:styleId="NoSpacing">
    <w:name w:val="No Spacing"/>
    <w:uiPriority w:val="1"/>
    <w:qFormat/>
    <w:rsid w:val="009B4D6E"/>
    <w:rPr>
      <w:rFonts w:asciiTheme="minorHAnsi" w:eastAsiaTheme="minorHAnsi" w:hAnsiTheme="minorHAnsi" w:cstheme="minorBidi"/>
      <w:sz w:val="22"/>
      <w:szCs w:val="22"/>
    </w:rPr>
  </w:style>
  <w:style w:type="character" w:customStyle="1" w:styleId="ParaNumCharChar1">
    <w:name w:val="ParaNum Char Char1"/>
    <w:link w:val="ParaNum"/>
    <w:rsid w:val="003E6B0B"/>
    <w:rPr>
      <w:snapToGrid w:val="0"/>
      <w:kern w:val="28"/>
      <w:sz w:val="22"/>
    </w:rPr>
  </w:style>
  <w:style w:type="character" w:styleId="CommentReference">
    <w:name w:val="annotation reference"/>
    <w:basedOn w:val="DefaultParagraphFont"/>
    <w:rsid w:val="00EA5057"/>
    <w:rPr>
      <w:sz w:val="16"/>
      <w:szCs w:val="16"/>
    </w:rPr>
  </w:style>
  <w:style w:type="paragraph" w:styleId="CommentText">
    <w:name w:val="annotation text"/>
    <w:basedOn w:val="Normal"/>
    <w:link w:val="CommentTextChar"/>
    <w:rsid w:val="00EA5057"/>
    <w:rPr>
      <w:sz w:val="20"/>
    </w:rPr>
  </w:style>
  <w:style w:type="character" w:customStyle="1" w:styleId="CommentTextChar">
    <w:name w:val="Comment Text Char"/>
    <w:basedOn w:val="DefaultParagraphFont"/>
    <w:link w:val="CommentText"/>
    <w:rsid w:val="00EA5057"/>
    <w:rPr>
      <w:snapToGrid w:val="0"/>
      <w:kern w:val="28"/>
    </w:rPr>
  </w:style>
  <w:style w:type="paragraph" w:styleId="CommentSubject">
    <w:name w:val="annotation subject"/>
    <w:basedOn w:val="CommentText"/>
    <w:next w:val="CommentText"/>
    <w:link w:val="CommentSubjectChar"/>
    <w:rsid w:val="00EA5057"/>
    <w:rPr>
      <w:b/>
      <w:bCs/>
    </w:rPr>
  </w:style>
  <w:style w:type="character" w:customStyle="1" w:styleId="CommentSubjectChar">
    <w:name w:val="Comment Subject Char"/>
    <w:basedOn w:val="CommentTextChar"/>
    <w:link w:val="CommentSubject"/>
    <w:rsid w:val="00EA5057"/>
    <w:rPr>
      <w:b/>
      <w:bCs/>
      <w:snapToGrid w:val="0"/>
      <w:kern w:val="28"/>
    </w:rPr>
  </w:style>
  <w:style w:type="paragraph" w:styleId="BalloonText">
    <w:name w:val="Balloon Text"/>
    <w:basedOn w:val="Normal"/>
    <w:link w:val="BalloonTextChar"/>
    <w:rsid w:val="00EA5057"/>
    <w:rPr>
      <w:rFonts w:ascii="Tahoma" w:hAnsi="Tahoma" w:cs="Tahoma"/>
      <w:sz w:val="16"/>
      <w:szCs w:val="16"/>
    </w:rPr>
  </w:style>
  <w:style w:type="character" w:customStyle="1" w:styleId="BalloonTextChar">
    <w:name w:val="Balloon Text Char"/>
    <w:basedOn w:val="DefaultParagraphFont"/>
    <w:link w:val="BalloonText"/>
    <w:rsid w:val="00EA5057"/>
    <w:rPr>
      <w:rFonts w:ascii="Tahoma" w:hAnsi="Tahoma" w:cs="Tahoma"/>
      <w:snapToGrid w:val="0"/>
      <w:kern w:val="28"/>
      <w:sz w:val="16"/>
      <w:szCs w:val="16"/>
    </w:rPr>
  </w:style>
  <w:style w:type="character" w:styleId="Emphasis">
    <w:name w:val="Emphasis"/>
    <w:basedOn w:val="DefaultParagraphFont"/>
    <w:uiPriority w:val="20"/>
    <w:qFormat/>
    <w:rsid w:val="009711FE"/>
    <w:rPr>
      <w:i/>
      <w:iCs/>
    </w:rPr>
  </w:style>
  <w:style w:type="character" w:customStyle="1" w:styleId="cosearchterm">
    <w:name w:val="co_searchterm"/>
    <w:basedOn w:val="DefaultParagraphFont"/>
    <w:rsid w:val="009711FE"/>
  </w:style>
  <w:style w:type="paragraph" w:styleId="Revision">
    <w:name w:val="Revision"/>
    <w:hidden/>
    <w:uiPriority w:val="99"/>
    <w:semiHidden/>
    <w:rsid w:val="00D4398F"/>
    <w:rPr>
      <w:snapToGrid w:val="0"/>
      <w:kern w:val="28"/>
      <w:sz w:val="22"/>
    </w:rPr>
  </w:style>
  <w:style w:type="table" w:styleId="TableGrid">
    <w:name w:val="Table Grid"/>
    <w:basedOn w:val="TableNormal"/>
    <w:uiPriority w:val="59"/>
    <w:rsid w:val="00D21A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061E0"/>
    <w:pPr>
      <w:ind w:left="720"/>
      <w:contextualSpacing/>
    </w:pPr>
  </w:style>
  <w:style w:type="character" w:customStyle="1" w:styleId="FooterChar">
    <w:name w:val="Footer Char"/>
    <w:basedOn w:val="DefaultParagraphFont"/>
    <w:link w:val="Footer"/>
    <w:uiPriority w:val="99"/>
    <w:rsid w:val="005B4350"/>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1A2978"/>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Char1"/>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 Char1 Char,Footnote Text Char Char Char Char,Footnote Text Char1 Char Char Char Char,Footnote Text Char Char Char Char Char Char,Footnote Text Char3 Char Char Char Char Char Char,Footnote Text Char2,f,ALTS FOOTNOTE,fn"/>
    <w:link w:val="FootnoteTextChar"/>
    <w:rsid w:val="000E3D42"/>
    <w:pPr>
      <w:spacing w:after="120"/>
    </w:pPr>
  </w:style>
  <w:style w:type="character" w:styleId="FootnoteReference">
    <w:name w:val="footnote reference"/>
    <w:aliases w:val="Style 12,(NECG) Footnote Reference,o,fr,Appel note de bas de p,Style 17,FR,Style 124,Style 13,Style 6,Footnote Reference/,Style 3,Style 7"/>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Footnote Text Char1 Char1 Char Char,Footnote Text Char Char Char Char Char,Footnote Text Char1 Char Char Char Char Char,Footnote Text Char Char Char Char Char Char Char,Footnote Text Char3 Char Char Char Char Char Char Char,f Char"/>
    <w:basedOn w:val="DefaultParagraphFont"/>
    <w:link w:val="FootnoteText"/>
    <w:rsid w:val="00DF5C14"/>
  </w:style>
  <w:style w:type="paragraph" w:styleId="NoSpacing">
    <w:name w:val="No Spacing"/>
    <w:uiPriority w:val="1"/>
    <w:qFormat/>
    <w:rsid w:val="009B4D6E"/>
    <w:rPr>
      <w:rFonts w:asciiTheme="minorHAnsi" w:eastAsiaTheme="minorHAnsi" w:hAnsiTheme="minorHAnsi" w:cstheme="minorBidi"/>
      <w:sz w:val="22"/>
      <w:szCs w:val="22"/>
    </w:rPr>
  </w:style>
  <w:style w:type="character" w:customStyle="1" w:styleId="ParaNumCharChar1">
    <w:name w:val="ParaNum Char Char1"/>
    <w:link w:val="ParaNum"/>
    <w:rsid w:val="003E6B0B"/>
    <w:rPr>
      <w:snapToGrid w:val="0"/>
      <w:kern w:val="28"/>
      <w:sz w:val="22"/>
    </w:rPr>
  </w:style>
  <w:style w:type="character" w:styleId="CommentReference">
    <w:name w:val="annotation reference"/>
    <w:basedOn w:val="DefaultParagraphFont"/>
    <w:rsid w:val="00EA5057"/>
    <w:rPr>
      <w:sz w:val="16"/>
      <w:szCs w:val="16"/>
    </w:rPr>
  </w:style>
  <w:style w:type="paragraph" w:styleId="CommentText">
    <w:name w:val="annotation text"/>
    <w:basedOn w:val="Normal"/>
    <w:link w:val="CommentTextChar"/>
    <w:rsid w:val="00EA5057"/>
    <w:rPr>
      <w:sz w:val="20"/>
    </w:rPr>
  </w:style>
  <w:style w:type="character" w:customStyle="1" w:styleId="CommentTextChar">
    <w:name w:val="Comment Text Char"/>
    <w:basedOn w:val="DefaultParagraphFont"/>
    <w:link w:val="CommentText"/>
    <w:rsid w:val="00EA5057"/>
    <w:rPr>
      <w:snapToGrid w:val="0"/>
      <w:kern w:val="28"/>
    </w:rPr>
  </w:style>
  <w:style w:type="paragraph" w:styleId="CommentSubject">
    <w:name w:val="annotation subject"/>
    <w:basedOn w:val="CommentText"/>
    <w:next w:val="CommentText"/>
    <w:link w:val="CommentSubjectChar"/>
    <w:rsid w:val="00EA5057"/>
    <w:rPr>
      <w:b/>
      <w:bCs/>
    </w:rPr>
  </w:style>
  <w:style w:type="character" w:customStyle="1" w:styleId="CommentSubjectChar">
    <w:name w:val="Comment Subject Char"/>
    <w:basedOn w:val="CommentTextChar"/>
    <w:link w:val="CommentSubject"/>
    <w:rsid w:val="00EA5057"/>
    <w:rPr>
      <w:b/>
      <w:bCs/>
      <w:snapToGrid w:val="0"/>
      <w:kern w:val="28"/>
    </w:rPr>
  </w:style>
  <w:style w:type="paragraph" w:styleId="BalloonText">
    <w:name w:val="Balloon Text"/>
    <w:basedOn w:val="Normal"/>
    <w:link w:val="BalloonTextChar"/>
    <w:rsid w:val="00EA5057"/>
    <w:rPr>
      <w:rFonts w:ascii="Tahoma" w:hAnsi="Tahoma" w:cs="Tahoma"/>
      <w:sz w:val="16"/>
      <w:szCs w:val="16"/>
    </w:rPr>
  </w:style>
  <w:style w:type="character" w:customStyle="1" w:styleId="BalloonTextChar">
    <w:name w:val="Balloon Text Char"/>
    <w:basedOn w:val="DefaultParagraphFont"/>
    <w:link w:val="BalloonText"/>
    <w:rsid w:val="00EA5057"/>
    <w:rPr>
      <w:rFonts w:ascii="Tahoma" w:hAnsi="Tahoma" w:cs="Tahoma"/>
      <w:snapToGrid w:val="0"/>
      <w:kern w:val="28"/>
      <w:sz w:val="16"/>
      <w:szCs w:val="16"/>
    </w:rPr>
  </w:style>
  <w:style w:type="character" w:styleId="Emphasis">
    <w:name w:val="Emphasis"/>
    <w:basedOn w:val="DefaultParagraphFont"/>
    <w:uiPriority w:val="20"/>
    <w:qFormat/>
    <w:rsid w:val="009711FE"/>
    <w:rPr>
      <w:i/>
      <w:iCs/>
    </w:rPr>
  </w:style>
  <w:style w:type="character" w:customStyle="1" w:styleId="cosearchterm">
    <w:name w:val="co_searchterm"/>
    <w:basedOn w:val="DefaultParagraphFont"/>
    <w:rsid w:val="009711FE"/>
  </w:style>
  <w:style w:type="paragraph" w:styleId="Revision">
    <w:name w:val="Revision"/>
    <w:hidden/>
    <w:uiPriority w:val="99"/>
    <w:semiHidden/>
    <w:rsid w:val="00D4398F"/>
    <w:rPr>
      <w:snapToGrid w:val="0"/>
      <w:kern w:val="28"/>
      <w:sz w:val="22"/>
    </w:rPr>
  </w:style>
  <w:style w:type="table" w:styleId="TableGrid">
    <w:name w:val="Table Grid"/>
    <w:basedOn w:val="TableNormal"/>
    <w:uiPriority w:val="59"/>
    <w:rsid w:val="00D21A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061E0"/>
    <w:pPr>
      <w:ind w:left="720"/>
      <w:contextualSpacing/>
    </w:pPr>
  </w:style>
  <w:style w:type="character" w:customStyle="1" w:styleId="FooterChar">
    <w:name w:val="Footer Char"/>
    <w:basedOn w:val="DefaultParagraphFont"/>
    <w:link w:val="Footer"/>
    <w:uiPriority w:val="99"/>
    <w:rsid w:val="005B4350"/>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125423">
      <w:bodyDiv w:val="1"/>
      <w:marLeft w:val="0"/>
      <w:marRight w:val="0"/>
      <w:marTop w:val="0"/>
      <w:marBottom w:val="0"/>
      <w:divBdr>
        <w:top w:val="none" w:sz="0" w:space="0" w:color="auto"/>
        <w:left w:val="none" w:sz="0" w:space="0" w:color="auto"/>
        <w:bottom w:val="none" w:sz="0" w:space="0" w:color="auto"/>
        <w:right w:val="none" w:sz="0" w:space="0" w:color="auto"/>
      </w:divBdr>
      <w:divsChild>
        <w:div w:id="20282925">
          <w:marLeft w:val="0"/>
          <w:marRight w:val="0"/>
          <w:marTop w:val="0"/>
          <w:marBottom w:val="0"/>
          <w:divBdr>
            <w:top w:val="none" w:sz="0" w:space="0" w:color="auto"/>
            <w:left w:val="none" w:sz="0" w:space="0" w:color="auto"/>
            <w:bottom w:val="none" w:sz="0" w:space="0" w:color="auto"/>
            <w:right w:val="none" w:sz="0" w:space="0" w:color="auto"/>
          </w:divBdr>
          <w:divsChild>
            <w:div w:id="272783316">
              <w:marLeft w:val="0"/>
              <w:marRight w:val="0"/>
              <w:marTop w:val="0"/>
              <w:marBottom w:val="0"/>
              <w:divBdr>
                <w:top w:val="none" w:sz="0" w:space="0" w:color="auto"/>
                <w:left w:val="none" w:sz="0" w:space="0" w:color="auto"/>
                <w:bottom w:val="none" w:sz="0" w:space="0" w:color="auto"/>
                <w:right w:val="none" w:sz="0" w:space="0" w:color="auto"/>
              </w:divBdr>
              <w:divsChild>
                <w:div w:id="199760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209919">
      <w:bodyDiv w:val="1"/>
      <w:marLeft w:val="0"/>
      <w:marRight w:val="0"/>
      <w:marTop w:val="0"/>
      <w:marBottom w:val="0"/>
      <w:divBdr>
        <w:top w:val="none" w:sz="0" w:space="0" w:color="auto"/>
        <w:left w:val="none" w:sz="0" w:space="0" w:color="auto"/>
        <w:bottom w:val="none" w:sz="0" w:space="0" w:color="auto"/>
        <w:right w:val="none" w:sz="0" w:space="0" w:color="auto"/>
      </w:divBdr>
      <w:divsChild>
        <w:div w:id="935015886">
          <w:marLeft w:val="0"/>
          <w:marRight w:val="0"/>
          <w:marTop w:val="0"/>
          <w:marBottom w:val="0"/>
          <w:divBdr>
            <w:top w:val="none" w:sz="0" w:space="0" w:color="auto"/>
            <w:left w:val="none" w:sz="0" w:space="0" w:color="auto"/>
            <w:bottom w:val="none" w:sz="0" w:space="0" w:color="auto"/>
            <w:right w:val="none" w:sz="0" w:space="0" w:color="auto"/>
          </w:divBdr>
          <w:divsChild>
            <w:div w:id="428745131">
              <w:marLeft w:val="0"/>
              <w:marRight w:val="0"/>
              <w:marTop w:val="0"/>
              <w:marBottom w:val="0"/>
              <w:divBdr>
                <w:top w:val="none" w:sz="0" w:space="0" w:color="auto"/>
                <w:left w:val="none" w:sz="0" w:space="0" w:color="auto"/>
                <w:bottom w:val="none" w:sz="0" w:space="0" w:color="auto"/>
                <w:right w:val="none" w:sz="0" w:space="0" w:color="auto"/>
              </w:divBdr>
              <w:divsChild>
                <w:div w:id="15102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apps.fcc.gov/edocs_public/attachmatch/DOC-330966A1.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fcc.gov/%20encyclopedia/instructions" TargetMode="External"/><Relationship Id="rId2" Type="http://schemas.openxmlformats.org/officeDocument/2006/relationships/hyperlink" Target="http://www.norc.org/Research/Capabilities/Pages/data-enclave.aspx" TargetMode="External"/><Relationship Id="rId1" Type="http://schemas.openxmlformats.org/officeDocument/2006/relationships/hyperlink" Target="http://www.norc.org/PDFs/BD-Brochures/Data%20Enclave_FINAL%20%20July%202012.pdf" TargetMode="External"/><Relationship Id="rId4" Type="http://schemas.openxmlformats.org/officeDocument/2006/relationships/hyperlink" Target="http://www.commonlanguage.com/resources/commonlang/productshowro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Template>
  <TotalTime>0</TotalTime>
  <Pages>3</Pages>
  <Words>5577</Words>
  <Characters>32021</Characters>
  <Application>Microsoft Office Word</Application>
  <DocSecurity>0</DocSecurity>
  <Lines>596</Lines>
  <Paragraphs>214</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37630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2015-09-17T13:28:00Z</cp:lastPrinted>
  <dcterms:created xsi:type="dcterms:W3CDTF">2015-09-18T19:27:00Z</dcterms:created>
  <dcterms:modified xsi:type="dcterms:W3CDTF">2015-09-18T19:27:00Z</dcterms:modified>
  <cp:category> </cp:category>
  <cp:contentStatus> </cp:contentStatus>
</cp:coreProperties>
</file>