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9CEA" w14:textId="77777777" w:rsidR="005916F1" w:rsidRDefault="005916F1">
      <w:pPr>
        <w:jc w:val="center"/>
        <w:rPr>
          <w:b/>
        </w:rPr>
      </w:pPr>
      <w:bookmarkStart w:id="0" w:name="_GoBack"/>
      <w:bookmarkEnd w:id="0"/>
      <w:r>
        <w:rPr>
          <w:b/>
        </w:rPr>
        <w:t>Before the</w:t>
      </w:r>
    </w:p>
    <w:p w14:paraId="071E69E5" w14:textId="77777777" w:rsidR="005916F1" w:rsidRDefault="005916F1">
      <w:pPr>
        <w:jc w:val="center"/>
        <w:rPr>
          <w:b/>
        </w:rPr>
      </w:pPr>
      <w:r>
        <w:rPr>
          <w:b/>
        </w:rPr>
        <w:t>Federal Communications Commission</w:t>
      </w:r>
    </w:p>
    <w:p w14:paraId="34D1221A" w14:textId="77777777" w:rsidR="005916F1" w:rsidRDefault="005916F1">
      <w:pPr>
        <w:jc w:val="center"/>
        <w:rPr>
          <w:b/>
        </w:rPr>
      </w:pPr>
      <w:r>
        <w:rPr>
          <w:b/>
        </w:rPr>
        <w:t>Washington, D.C. 20554</w:t>
      </w:r>
    </w:p>
    <w:tbl>
      <w:tblPr>
        <w:tblW w:w="9347" w:type="dxa"/>
        <w:tblLayout w:type="fixed"/>
        <w:tblLook w:val="0000" w:firstRow="0" w:lastRow="0" w:firstColumn="0" w:lastColumn="0" w:noHBand="0" w:noVBand="0"/>
      </w:tblPr>
      <w:tblGrid>
        <w:gridCol w:w="4586"/>
        <w:gridCol w:w="614"/>
        <w:gridCol w:w="4147"/>
      </w:tblGrid>
      <w:tr w:rsidR="005916F1" w14:paraId="7062BCA8" w14:textId="77777777" w:rsidTr="009B5BE0">
        <w:trPr>
          <w:trHeight w:val="2985"/>
        </w:trPr>
        <w:tc>
          <w:tcPr>
            <w:tcW w:w="4586" w:type="dxa"/>
          </w:tcPr>
          <w:p w14:paraId="56161AD9" w14:textId="77777777" w:rsidR="005916F1" w:rsidRDefault="005916F1">
            <w:pPr>
              <w:tabs>
                <w:tab w:val="center" w:pos="4680"/>
              </w:tabs>
              <w:suppressAutoHyphens/>
              <w:rPr>
                <w:spacing w:val="-2"/>
                <w:szCs w:val="22"/>
              </w:rPr>
            </w:pPr>
          </w:p>
          <w:p w14:paraId="2910D881" w14:textId="77777777" w:rsidR="005916F1" w:rsidRDefault="005916F1">
            <w:pPr>
              <w:tabs>
                <w:tab w:val="center" w:pos="4680"/>
              </w:tabs>
              <w:suppressAutoHyphens/>
              <w:rPr>
                <w:spacing w:val="-2"/>
                <w:szCs w:val="22"/>
              </w:rPr>
            </w:pPr>
          </w:p>
          <w:p w14:paraId="064E8A9C" w14:textId="77777777" w:rsidR="005916F1" w:rsidRDefault="005916F1">
            <w:pPr>
              <w:tabs>
                <w:tab w:val="center" w:pos="4680"/>
              </w:tabs>
              <w:suppressAutoHyphens/>
              <w:rPr>
                <w:spacing w:val="-2"/>
                <w:szCs w:val="22"/>
              </w:rPr>
            </w:pPr>
            <w:r>
              <w:rPr>
                <w:spacing w:val="-2"/>
                <w:szCs w:val="22"/>
              </w:rPr>
              <w:t>In the Matter of</w:t>
            </w:r>
          </w:p>
          <w:p w14:paraId="0E282990" w14:textId="77777777" w:rsidR="005916F1" w:rsidRDefault="005916F1">
            <w:pPr>
              <w:tabs>
                <w:tab w:val="center" w:pos="4680"/>
              </w:tabs>
              <w:suppressAutoHyphens/>
              <w:rPr>
                <w:spacing w:val="-2"/>
                <w:szCs w:val="22"/>
              </w:rPr>
            </w:pPr>
          </w:p>
          <w:p w14:paraId="35CF3734" w14:textId="77777777" w:rsidR="001A3BAF" w:rsidRDefault="001A3BAF">
            <w:pPr>
              <w:tabs>
                <w:tab w:val="center" w:pos="4680"/>
              </w:tabs>
              <w:rPr>
                <w:szCs w:val="22"/>
              </w:rPr>
            </w:pPr>
            <w:r>
              <w:rPr>
                <w:szCs w:val="22"/>
              </w:rPr>
              <w:t>Lifeline and Link Up Reform and Modernization</w:t>
            </w:r>
          </w:p>
          <w:p w14:paraId="6985A113" w14:textId="77777777" w:rsidR="001A3BAF" w:rsidRDefault="001A3BAF">
            <w:pPr>
              <w:tabs>
                <w:tab w:val="center" w:pos="4680"/>
              </w:tabs>
              <w:rPr>
                <w:szCs w:val="22"/>
              </w:rPr>
            </w:pPr>
          </w:p>
          <w:p w14:paraId="46815847" w14:textId="77777777" w:rsidR="001A3BAF" w:rsidRDefault="001A3BAF">
            <w:pPr>
              <w:tabs>
                <w:tab w:val="center" w:pos="4680"/>
              </w:tabs>
              <w:rPr>
                <w:szCs w:val="22"/>
              </w:rPr>
            </w:pPr>
            <w:r>
              <w:rPr>
                <w:szCs w:val="22"/>
              </w:rPr>
              <w:t>Telecommunications Carriers Eligible for Universal Service Support</w:t>
            </w:r>
          </w:p>
          <w:p w14:paraId="6B2477BA" w14:textId="77777777" w:rsidR="001A3BAF" w:rsidRDefault="001A3BAF">
            <w:pPr>
              <w:tabs>
                <w:tab w:val="center" w:pos="4680"/>
              </w:tabs>
              <w:rPr>
                <w:szCs w:val="22"/>
              </w:rPr>
            </w:pPr>
          </w:p>
          <w:p w14:paraId="711215E6" w14:textId="77777777" w:rsidR="005916F1" w:rsidRDefault="001A3BAF">
            <w:pPr>
              <w:tabs>
                <w:tab w:val="center" w:pos="4680"/>
              </w:tabs>
              <w:rPr>
                <w:szCs w:val="22"/>
              </w:rPr>
            </w:pPr>
            <w:r>
              <w:rPr>
                <w:szCs w:val="22"/>
              </w:rPr>
              <w:t>Connect America Fund</w:t>
            </w:r>
            <w:r w:rsidR="009B5BE0">
              <w:rPr>
                <w:spacing w:val="-2"/>
                <w:szCs w:val="22"/>
              </w:rPr>
              <w:tab/>
            </w:r>
            <w:r w:rsidR="005916F1">
              <w:rPr>
                <w:szCs w:val="22"/>
              </w:rPr>
              <w:t xml:space="preserve"> </w:t>
            </w:r>
          </w:p>
          <w:p w14:paraId="5DDF1828" w14:textId="77777777" w:rsidR="005916F1" w:rsidRDefault="005916F1">
            <w:pPr>
              <w:tabs>
                <w:tab w:val="center" w:pos="4680"/>
              </w:tabs>
              <w:suppressAutoHyphens/>
              <w:rPr>
                <w:spacing w:val="-2"/>
                <w:szCs w:val="22"/>
              </w:rPr>
            </w:pPr>
          </w:p>
        </w:tc>
        <w:tc>
          <w:tcPr>
            <w:tcW w:w="614" w:type="dxa"/>
          </w:tcPr>
          <w:p w14:paraId="52AE9D42" w14:textId="77777777" w:rsidR="005916F1" w:rsidRDefault="005916F1">
            <w:pPr>
              <w:tabs>
                <w:tab w:val="center" w:pos="4680"/>
              </w:tabs>
              <w:suppressAutoHyphens/>
              <w:rPr>
                <w:b/>
                <w:spacing w:val="-2"/>
                <w:szCs w:val="22"/>
              </w:rPr>
            </w:pPr>
          </w:p>
          <w:p w14:paraId="0FD3C7F1" w14:textId="77777777" w:rsidR="005916F1" w:rsidRDefault="005916F1">
            <w:pPr>
              <w:tabs>
                <w:tab w:val="center" w:pos="4680"/>
              </w:tabs>
              <w:suppressAutoHyphens/>
              <w:rPr>
                <w:b/>
                <w:spacing w:val="-2"/>
                <w:szCs w:val="22"/>
              </w:rPr>
            </w:pPr>
          </w:p>
          <w:p w14:paraId="4AAA2FA8" w14:textId="77777777" w:rsidR="005916F1" w:rsidRDefault="005916F1">
            <w:pPr>
              <w:tabs>
                <w:tab w:val="center" w:pos="4680"/>
              </w:tabs>
              <w:suppressAutoHyphens/>
              <w:rPr>
                <w:b/>
                <w:spacing w:val="-2"/>
                <w:szCs w:val="22"/>
              </w:rPr>
            </w:pPr>
            <w:r>
              <w:rPr>
                <w:b/>
                <w:spacing w:val="-2"/>
                <w:szCs w:val="22"/>
              </w:rPr>
              <w:t>)</w:t>
            </w:r>
          </w:p>
          <w:p w14:paraId="7DF32854" w14:textId="77777777" w:rsidR="005916F1" w:rsidRDefault="005916F1">
            <w:pPr>
              <w:tabs>
                <w:tab w:val="center" w:pos="4680"/>
              </w:tabs>
              <w:suppressAutoHyphens/>
              <w:rPr>
                <w:b/>
                <w:spacing w:val="-2"/>
                <w:szCs w:val="22"/>
              </w:rPr>
            </w:pPr>
            <w:r>
              <w:rPr>
                <w:b/>
                <w:spacing w:val="-2"/>
                <w:szCs w:val="22"/>
              </w:rPr>
              <w:t>)</w:t>
            </w:r>
          </w:p>
          <w:p w14:paraId="745F18B9" w14:textId="77777777" w:rsidR="005916F1" w:rsidRDefault="005916F1">
            <w:pPr>
              <w:tabs>
                <w:tab w:val="center" w:pos="4680"/>
              </w:tabs>
              <w:suppressAutoHyphens/>
              <w:rPr>
                <w:b/>
                <w:spacing w:val="-2"/>
                <w:szCs w:val="22"/>
              </w:rPr>
            </w:pPr>
            <w:r>
              <w:rPr>
                <w:b/>
                <w:spacing w:val="-2"/>
                <w:szCs w:val="22"/>
              </w:rPr>
              <w:t>)</w:t>
            </w:r>
          </w:p>
          <w:p w14:paraId="7F4454EF" w14:textId="77777777" w:rsidR="005916F1" w:rsidRDefault="005916F1">
            <w:pPr>
              <w:tabs>
                <w:tab w:val="center" w:pos="4680"/>
              </w:tabs>
              <w:suppressAutoHyphens/>
              <w:rPr>
                <w:b/>
                <w:spacing w:val="-2"/>
                <w:szCs w:val="22"/>
              </w:rPr>
            </w:pPr>
            <w:r>
              <w:rPr>
                <w:b/>
                <w:spacing w:val="-2"/>
                <w:szCs w:val="22"/>
              </w:rPr>
              <w:t>)</w:t>
            </w:r>
          </w:p>
          <w:p w14:paraId="7B7B4C08" w14:textId="77777777" w:rsidR="005916F1" w:rsidRDefault="005916F1">
            <w:pPr>
              <w:tabs>
                <w:tab w:val="center" w:pos="4680"/>
              </w:tabs>
              <w:suppressAutoHyphens/>
              <w:rPr>
                <w:b/>
                <w:spacing w:val="-2"/>
                <w:szCs w:val="22"/>
              </w:rPr>
            </w:pPr>
            <w:r>
              <w:rPr>
                <w:b/>
                <w:spacing w:val="-2"/>
                <w:szCs w:val="22"/>
              </w:rPr>
              <w:t>)</w:t>
            </w:r>
          </w:p>
          <w:p w14:paraId="4420CECF" w14:textId="77777777" w:rsidR="001A3BAF" w:rsidRDefault="001A3BAF">
            <w:pPr>
              <w:tabs>
                <w:tab w:val="center" w:pos="4680"/>
              </w:tabs>
              <w:suppressAutoHyphens/>
              <w:rPr>
                <w:b/>
                <w:spacing w:val="-2"/>
                <w:szCs w:val="22"/>
              </w:rPr>
            </w:pPr>
            <w:r>
              <w:rPr>
                <w:b/>
                <w:spacing w:val="-2"/>
                <w:szCs w:val="22"/>
              </w:rPr>
              <w:t>)</w:t>
            </w:r>
          </w:p>
          <w:p w14:paraId="39AAB770" w14:textId="77777777" w:rsidR="001A3BAF" w:rsidRDefault="001A3BAF">
            <w:pPr>
              <w:tabs>
                <w:tab w:val="center" w:pos="4680"/>
              </w:tabs>
              <w:suppressAutoHyphens/>
              <w:rPr>
                <w:b/>
                <w:spacing w:val="-2"/>
                <w:szCs w:val="22"/>
              </w:rPr>
            </w:pPr>
            <w:r>
              <w:rPr>
                <w:b/>
                <w:spacing w:val="-2"/>
                <w:szCs w:val="22"/>
              </w:rPr>
              <w:t>)</w:t>
            </w:r>
          </w:p>
          <w:p w14:paraId="654C0E2A" w14:textId="77777777" w:rsidR="001A3BAF" w:rsidRDefault="001A3BAF">
            <w:pPr>
              <w:tabs>
                <w:tab w:val="center" w:pos="4680"/>
              </w:tabs>
              <w:suppressAutoHyphens/>
              <w:rPr>
                <w:b/>
                <w:spacing w:val="-2"/>
                <w:szCs w:val="22"/>
              </w:rPr>
            </w:pPr>
            <w:r>
              <w:rPr>
                <w:b/>
                <w:spacing w:val="-2"/>
                <w:szCs w:val="22"/>
              </w:rPr>
              <w:t>)</w:t>
            </w:r>
          </w:p>
          <w:p w14:paraId="31C8503A" w14:textId="77777777" w:rsidR="009B5BE0" w:rsidRDefault="009B5BE0">
            <w:pPr>
              <w:tabs>
                <w:tab w:val="center" w:pos="4680"/>
              </w:tabs>
              <w:suppressAutoHyphens/>
              <w:rPr>
                <w:b/>
                <w:spacing w:val="-2"/>
                <w:szCs w:val="22"/>
              </w:rPr>
            </w:pPr>
            <w:r>
              <w:rPr>
                <w:b/>
                <w:spacing w:val="-2"/>
                <w:szCs w:val="22"/>
              </w:rPr>
              <w:t>)</w:t>
            </w:r>
          </w:p>
        </w:tc>
        <w:tc>
          <w:tcPr>
            <w:tcW w:w="4147" w:type="dxa"/>
          </w:tcPr>
          <w:p w14:paraId="6CBA9B48" w14:textId="77777777" w:rsidR="005916F1" w:rsidRDefault="005916F1">
            <w:pPr>
              <w:tabs>
                <w:tab w:val="center" w:pos="4680"/>
              </w:tabs>
              <w:suppressAutoHyphens/>
              <w:rPr>
                <w:spacing w:val="-2"/>
                <w:szCs w:val="22"/>
              </w:rPr>
            </w:pPr>
          </w:p>
          <w:p w14:paraId="4DE40DAB" w14:textId="77777777" w:rsidR="005916F1" w:rsidRDefault="005916F1">
            <w:pPr>
              <w:pStyle w:val="TOAHeading"/>
              <w:tabs>
                <w:tab w:val="clear" w:pos="9360"/>
                <w:tab w:val="center" w:pos="4680"/>
              </w:tabs>
              <w:rPr>
                <w:spacing w:val="-2"/>
                <w:szCs w:val="22"/>
              </w:rPr>
            </w:pPr>
          </w:p>
          <w:p w14:paraId="40ED4458" w14:textId="77777777" w:rsidR="005916F1" w:rsidRDefault="005916F1">
            <w:pPr>
              <w:tabs>
                <w:tab w:val="center" w:pos="4680"/>
              </w:tabs>
              <w:suppressAutoHyphens/>
              <w:rPr>
                <w:spacing w:val="-2"/>
                <w:szCs w:val="22"/>
              </w:rPr>
            </w:pPr>
          </w:p>
          <w:p w14:paraId="6963BB09" w14:textId="77777777" w:rsidR="005916F1" w:rsidRDefault="005916F1">
            <w:pPr>
              <w:tabs>
                <w:tab w:val="center" w:pos="4680"/>
              </w:tabs>
              <w:suppressAutoHyphens/>
              <w:rPr>
                <w:spacing w:val="-2"/>
                <w:szCs w:val="22"/>
              </w:rPr>
            </w:pPr>
          </w:p>
          <w:p w14:paraId="320B24A8" w14:textId="77777777" w:rsidR="001A3BAF" w:rsidRDefault="001A3BAF">
            <w:pPr>
              <w:tabs>
                <w:tab w:val="center" w:pos="4680"/>
              </w:tabs>
              <w:suppressAutoHyphens/>
              <w:rPr>
                <w:spacing w:val="-2"/>
                <w:szCs w:val="22"/>
              </w:rPr>
            </w:pPr>
            <w:r>
              <w:rPr>
                <w:spacing w:val="-2"/>
                <w:szCs w:val="22"/>
              </w:rPr>
              <w:t>WC Docket No. 11-42</w:t>
            </w:r>
          </w:p>
          <w:p w14:paraId="708A1972" w14:textId="77777777" w:rsidR="001A3BAF" w:rsidRDefault="001A3BAF">
            <w:pPr>
              <w:tabs>
                <w:tab w:val="center" w:pos="4680"/>
              </w:tabs>
              <w:suppressAutoHyphens/>
              <w:rPr>
                <w:spacing w:val="-2"/>
                <w:szCs w:val="22"/>
              </w:rPr>
            </w:pPr>
          </w:p>
          <w:p w14:paraId="7CFF1123" w14:textId="77777777" w:rsidR="001A3BAF" w:rsidRDefault="001A3BAF">
            <w:pPr>
              <w:tabs>
                <w:tab w:val="center" w:pos="4680"/>
              </w:tabs>
              <w:suppressAutoHyphens/>
              <w:rPr>
                <w:spacing w:val="-2"/>
                <w:szCs w:val="22"/>
              </w:rPr>
            </w:pPr>
            <w:r>
              <w:rPr>
                <w:spacing w:val="-2"/>
                <w:szCs w:val="22"/>
              </w:rPr>
              <w:t>WC Docket No. 09-197</w:t>
            </w:r>
          </w:p>
          <w:p w14:paraId="60416D1D" w14:textId="77777777" w:rsidR="001A3BAF" w:rsidRDefault="001A3BAF">
            <w:pPr>
              <w:tabs>
                <w:tab w:val="center" w:pos="4680"/>
              </w:tabs>
              <w:suppressAutoHyphens/>
              <w:rPr>
                <w:spacing w:val="-2"/>
                <w:szCs w:val="22"/>
              </w:rPr>
            </w:pPr>
          </w:p>
          <w:p w14:paraId="4903E60C" w14:textId="77777777" w:rsidR="001A3BAF" w:rsidRDefault="001A3BAF">
            <w:pPr>
              <w:tabs>
                <w:tab w:val="center" w:pos="4680"/>
              </w:tabs>
              <w:suppressAutoHyphens/>
              <w:rPr>
                <w:spacing w:val="-2"/>
                <w:szCs w:val="22"/>
              </w:rPr>
            </w:pPr>
          </w:p>
          <w:p w14:paraId="359D4582" w14:textId="77777777" w:rsidR="001A3BAF" w:rsidRDefault="001A3BAF">
            <w:pPr>
              <w:tabs>
                <w:tab w:val="center" w:pos="4680"/>
              </w:tabs>
              <w:suppressAutoHyphens/>
              <w:rPr>
                <w:spacing w:val="-2"/>
                <w:szCs w:val="22"/>
              </w:rPr>
            </w:pPr>
            <w:r>
              <w:rPr>
                <w:spacing w:val="-2"/>
                <w:szCs w:val="22"/>
              </w:rPr>
              <w:t>WC Docket No. 10-90</w:t>
            </w:r>
          </w:p>
          <w:p w14:paraId="6D805C53" w14:textId="77777777" w:rsidR="009B5BE0" w:rsidRDefault="009B5BE0">
            <w:pPr>
              <w:tabs>
                <w:tab w:val="center" w:pos="4680"/>
              </w:tabs>
              <w:suppressAutoHyphens/>
              <w:rPr>
                <w:spacing w:val="-2"/>
                <w:szCs w:val="22"/>
              </w:rPr>
            </w:pPr>
          </w:p>
        </w:tc>
      </w:tr>
    </w:tbl>
    <w:p w14:paraId="16EC7770" w14:textId="77777777" w:rsidR="005916F1" w:rsidRDefault="005916F1">
      <w:pPr>
        <w:tabs>
          <w:tab w:val="center" w:pos="4680"/>
        </w:tabs>
        <w:suppressAutoHyphens/>
        <w:rPr>
          <w:b/>
          <w:spacing w:val="-2"/>
          <w:szCs w:val="22"/>
        </w:rPr>
      </w:pPr>
      <w:r>
        <w:rPr>
          <w:b/>
          <w:spacing w:val="-2"/>
          <w:szCs w:val="22"/>
        </w:rPr>
        <w:tab/>
      </w:r>
    </w:p>
    <w:p w14:paraId="08AEC7A7" w14:textId="77777777" w:rsidR="005916F1" w:rsidRDefault="005916F1">
      <w:pPr>
        <w:pStyle w:val="StyleBoldCentered"/>
        <w:rPr>
          <w:rFonts w:ascii="Times New Roman" w:hAnsi="Times New Roman"/>
        </w:rPr>
      </w:pPr>
      <w:r>
        <w:rPr>
          <w:rFonts w:ascii="Times New Roman" w:hAnsi="Times New Roman"/>
        </w:rPr>
        <w:t>order</w:t>
      </w:r>
    </w:p>
    <w:p w14:paraId="342DFB7B" w14:textId="77777777" w:rsidR="005916F1" w:rsidRDefault="005916F1">
      <w:pPr>
        <w:pStyle w:val="StyleBoldCentered"/>
        <w:rPr>
          <w:rFonts w:ascii="Times New Roman" w:hAnsi="Times New Roman"/>
        </w:rPr>
      </w:pPr>
    </w:p>
    <w:p w14:paraId="63155ECB" w14:textId="60FE5346" w:rsidR="005916F1" w:rsidRDefault="005916F1">
      <w:pPr>
        <w:tabs>
          <w:tab w:val="left" w:pos="720"/>
          <w:tab w:val="left" w:pos="5760"/>
        </w:tabs>
        <w:suppressAutoHyphens/>
        <w:spacing w:line="227" w:lineRule="auto"/>
        <w:rPr>
          <w:spacing w:val="-2"/>
          <w:szCs w:val="22"/>
        </w:rPr>
      </w:pPr>
      <w:r>
        <w:rPr>
          <w:b/>
          <w:spacing w:val="-2"/>
          <w:szCs w:val="22"/>
        </w:rPr>
        <w:t xml:space="preserve">Adopted:  </w:t>
      </w:r>
      <w:r w:rsidR="00386C8C">
        <w:rPr>
          <w:b/>
          <w:spacing w:val="-2"/>
          <w:szCs w:val="22"/>
        </w:rPr>
        <w:t>September 1</w:t>
      </w:r>
      <w:r w:rsidR="008E1848">
        <w:rPr>
          <w:b/>
          <w:spacing w:val="-2"/>
          <w:szCs w:val="22"/>
        </w:rPr>
        <w:t>6</w:t>
      </w:r>
      <w:r w:rsidR="00386C8C">
        <w:rPr>
          <w:b/>
          <w:spacing w:val="-2"/>
          <w:szCs w:val="22"/>
        </w:rPr>
        <w:t>, 2015</w:t>
      </w:r>
      <w:r>
        <w:rPr>
          <w:b/>
          <w:spacing w:val="-2"/>
          <w:szCs w:val="22"/>
        </w:rPr>
        <w:tab/>
      </w:r>
      <w:r w:rsidR="00386C8C">
        <w:rPr>
          <w:b/>
          <w:spacing w:val="-2"/>
          <w:szCs w:val="22"/>
        </w:rPr>
        <w:tab/>
        <w:t xml:space="preserve"> </w:t>
      </w:r>
      <w:r w:rsidR="00160EA9">
        <w:rPr>
          <w:b/>
          <w:spacing w:val="-2"/>
          <w:szCs w:val="22"/>
        </w:rPr>
        <w:t xml:space="preserve">Released:  </w:t>
      </w:r>
      <w:r w:rsidR="00386C8C">
        <w:rPr>
          <w:b/>
          <w:spacing w:val="-2"/>
          <w:szCs w:val="22"/>
        </w:rPr>
        <w:t>September 1</w:t>
      </w:r>
      <w:r w:rsidR="008E1848">
        <w:rPr>
          <w:b/>
          <w:spacing w:val="-2"/>
          <w:szCs w:val="22"/>
        </w:rPr>
        <w:t>6</w:t>
      </w:r>
      <w:r w:rsidR="00386C8C">
        <w:rPr>
          <w:b/>
          <w:spacing w:val="-2"/>
          <w:szCs w:val="22"/>
        </w:rPr>
        <w:t>, 2015</w:t>
      </w:r>
    </w:p>
    <w:p w14:paraId="45E28C07" w14:textId="77777777" w:rsidR="005916F1" w:rsidRDefault="005916F1">
      <w:pPr>
        <w:rPr>
          <w:szCs w:val="22"/>
        </w:rPr>
      </w:pPr>
    </w:p>
    <w:p w14:paraId="1F22D32B" w14:textId="77777777" w:rsidR="005916F1" w:rsidRDefault="005916F1">
      <w:pPr>
        <w:autoSpaceDE w:val="0"/>
        <w:autoSpaceDN w:val="0"/>
        <w:adjustRightInd w:val="0"/>
        <w:jc w:val="both"/>
        <w:rPr>
          <w:color w:val="000000"/>
          <w:szCs w:val="22"/>
        </w:rPr>
      </w:pPr>
      <w:r>
        <w:rPr>
          <w:b/>
          <w:color w:val="000000"/>
          <w:szCs w:val="22"/>
        </w:rPr>
        <w:t xml:space="preserve">Extended </w:t>
      </w:r>
      <w:r w:rsidR="00AE7BCB">
        <w:rPr>
          <w:b/>
          <w:color w:val="000000"/>
          <w:szCs w:val="22"/>
        </w:rPr>
        <w:t xml:space="preserve">Opposition </w:t>
      </w:r>
      <w:r>
        <w:rPr>
          <w:b/>
          <w:color w:val="000000"/>
          <w:szCs w:val="22"/>
        </w:rPr>
        <w:t>Filing Deadline:</w:t>
      </w:r>
      <w:r>
        <w:rPr>
          <w:color w:val="000000"/>
          <w:szCs w:val="22"/>
        </w:rPr>
        <w:t xml:space="preserve">  </w:t>
      </w:r>
      <w:r w:rsidR="00386C8C">
        <w:rPr>
          <w:color w:val="000000"/>
          <w:szCs w:val="22"/>
        </w:rPr>
        <w:t>October 8, 2015</w:t>
      </w:r>
    </w:p>
    <w:p w14:paraId="160BDE4F" w14:textId="77777777" w:rsidR="00A82122" w:rsidRDefault="00A82122">
      <w:pPr>
        <w:autoSpaceDE w:val="0"/>
        <w:autoSpaceDN w:val="0"/>
        <w:adjustRightInd w:val="0"/>
        <w:jc w:val="both"/>
        <w:rPr>
          <w:color w:val="000000"/>
          <w:szCs w:val="22"/>
        </w:rPr>
      </w:pPr>
      <w:r>
        <w:rPr>
          <w:b/>
          <w:color w:val="000000"/>
          <w:szCs w:val="22"/>
        </w:rPr>
        <w:t>Extended Reply to Opposition Filing Deadline:</w:t>
      </w:r>
      <w:r>
        <w:rPr>
          <w:color w:val="000000"/>
          <w:szCs w:val="22"/>
        </w:rPr>
        <w:t xml:space="preserve">  </w:t>
      </w:r>
      <w:r w:rsidR="00386C8C">
        <w:rPr>
          <w:color w:val="000000"/>
          <w:szCs w:val="22"/>
        </w:rPr>
        <w:t>October 19, 2015</w:t>
      </w:r>
    </w:p>
    <w:p w14:paraId="605C2D53" w14:textId="77777777" w:rsidR="005916F1" w:rsidRDefault="005916F1">
      <w:pPr>
        <w:autoSpaceDE w:val="0"/>
        <w:autoSpaceDN w:val="0"/>
        <w:adjustRightInd w:val="0"/>
        <w:jc w:val="both"/>
        <w:rPr>
          <w:color w:val="000000"/>
          <w:szCs w:val="22"/>
        </w:rPr>
      </w:pPr>
    </w:p>
    <w:p w14:paraId="4B43C4EF" w14:textId="77777777" w:rsidR="005916F1" w:rsidRDefault="005916F1">
      <w:pPr>
        <w:autoSpaceDE w:val="0"/>
        <w:autoSpaceDN w:val="0"/>
        <w:adjustRightInd w:val="0"/>
        <w:jc w:val="both"/>
        <w:rPr>
          <w:color w:val="000000"/>
          <w:szCs w:val="22"/>
        </w:rPr>
      </w:pPr>
      <w:r>
        <w:rPr>
          <w:color w:val="000000"/>
          <w:szCs w:val="22"/>
        </w:rPr>
        <w:t xml:space="preserve">By the </w:t>
      </w:r>
      <w:r w:rsidR="004D5EAC">
        <w:rPr>
          <w:color w:val="000000"/>
          <w:szCs w:val="22"/>
        </w:rPr>
        <w:t>Chief</w:t>
      </w:r>
      <w:r>
        <w:rPr>
          <w:spacing w:val="-2"/>
          <w:szCs w:val="22"/>
        </w:rPr>
        <w:t>,</w:t>
      </w:r>
      <w:r w:rsidR="004D5EAC">
        <w:rPr>
          <w:spacing w:val="-2"/>
          <w:szCs w:val="22"/>
        </w:rPr>
        <w:t xml:space="preserve"> </w:t>
      </w:r>
      <w:r w:rsidR="001A3BAF">
        <w:rPr>
          <w:color w:val="000000"/>
          <w:szCs w:val="22"/>
        </w:rPr>
        <w:t>Wireline Competition</w:t>
      </w:r>
      <w:r>
        <w:rPr>
          <w:color w:val="000000"/>
          <w:szCs w:val="22"/>
        </w:rPr>
        <w:t xml:space="preserve"> Bureau:</w:t>
      </w:r>
    </w:p>
    <w:p w14:paraId="01E6E15D" w14:textId="77777777" w:rsidR="005916F1" w:rsidRDefault="005916F1">
      <w:pPr>
        <w:autoSpaceDE w:val="0"/>
        <w:autoSpaceDN w:val="0"/>
        <w:adjustRightInd w:val="0"/>
        <w:rPr>
          <w:color w:val="000000"/>
          <w:szCs w:val="22"/>
        </w:rPr>
      </w:pPr>
    </w:p>
    <w:p w14:paraId="11606CC7" w14:textId="46A6D50B" w:rsidR="00B24AE2" w:rsidRDefault="00160EA9">
      <w:pPr>
        <w:pStyle w:val="ParaNum"/>
        <w:numPr>
          <w:ilvl w:val="0"/>
          <w:numId w:val="5"/>
        </w:numPr>
        <w:tabs>
          <w:tab w:val="clear" w:pos="1080"/>
          <w:tab w:val="num" w:pos="1440"/>
        </w:tabs>
        <w:spacing w:after="120"/>
        <w:jc w:val="left"/>
        <w:rPr>
          <w:szCs w:val="22"/>
        </w:rPr>
      </w:pPr>
      <w:r>
        <w:rPr>
          <w:szCs w:val="22"/>
        </w:rPr>
        <w:t xml:space="preserve">On </w:t>
      </w:r>
      <w:r w:rsidR="00B24AE2">
        <w:rPr>
          <w:szCs w:val="22"/>
        </w:rPr>
        <w:t>June 18, 2015</w:t>
      </w:r>
      <w:r w:rsidR="00D40DBF">
        <w:rPr>
          <w:szCs w:val="22"/>
        </w:rPr>
        <w:t>, the Federal Communications Commission adopted a</w:t>
      </w:r>
      <w:r>
        <w:rPr>
          <w:szCs w:val="22"/>
        </w:rPr>
        <w:t>n</w:t>
      </w:r>
      <w:r w:rsidR="00D40DBF">
        <w:rPr>
          <w:szCs w:val="22"/>
        </w:rPr>
        <w:t xml:space="preserve"> </w:t>
      </w:r>
      <w:r>
        <w:rPr>
          <w:szCs w:val="22"/>
        </w:rPr>
        <w:t>Order on Reconsideration</w:t>
      </w:r>
      <w:r w:rsidR="00386E16">
        <w:rPr>
          <w:szCs w:val="22"/>
        </w:rPr>
        <w:t xml:space="preserve"> (</w:t>
      </w:r>
      <w:r>
        <w:rPr>
          <w:szCs w:val="22"/>
        </w:rPr>
        <w:t>Order on Reconsideration</w:t>
      </w:r>
      <w:r w:rsidR="00386E16">
        <w:rPr>
          <w:szCs w:val="22"/>
        </w:rPr>
        <w:t>)</w:t>
      </w:r>
      <w:r w:rsidR="00D40DBF">
        <w:rPr>
          <w:szCs w:val="22"/>
        </w:rPr>
        <w:t xml:space="preserve"> in which</w:t>
      </w:r>
      <w:r w:rsidR="00773169">
        <w:rPr>
          <w:szCs w:val="22"/>
        </w:rPr>
        <w:t>,</w:t>
      </w:r>
      <w:r w:rsidR="00D40DBF">
        <w:rPr>
          <w:szCs w:val="22"/>
        </w:rPr>
        <w:t xml:space="preserve"> </w:t>
      </w:r>
      <w:r w:rsidR="006A714E">
        <w:rPr>
          <w:szCs w:val="22"/>
        </w:rPr>
        <w:t>among other matters</w:t>
      </w:r>
      <w:r w:rsidR="00773169">
        <w:rPr>
          <w:szCs w:val="22"/>
        </w:rPr>
        <w:t>,</w:t>
      </w:r>
      <w:r w:rsidR="006A714E">
        <w:rPr>
          <w:szCs w:val="22"/>
        </w:rPr>
        <w:t xml:space="preserve"> </w:t>
      </w:r>
      <w:r w:rsidR="00D40DBF">
        <w:rPr>
          <w:szCs w:val="22"/>
        </w:rPr>
        <w:t xml:space="preserve">the Commission </w:t>
      </w:r>
      <w:r>
        <w:rPr>
          <w:szCs w:val="22"/>
        </w:rPr>
        <w:t>required eligible telecommunications carriers (ETCs) to retain documentation demonstr</w:t>
      </w:r>
      <w:r w:rsidR="00550AC3">
        <w:rPr>
          <w:szCs w:val="22"/>
        </w:rPr>
        <w:t>ating subscriber eligibility for the</w:t>
      </w:r>
      <w:r>
        <w:rPr>
          <w:szCs w:val="22"/>
        </w:rPr>
        <w:t xml:space="preserve"> Lifeline Program</w:t>
      </w:r>
      <w:r w:rsidR="00D40DBF">
        <w:rPr>
          <w:szCs w:val="22"/>
        </w:rPr>
        <w:t>.</w:t>
      </w:r>
      <w:r w:rsidR="00D40DBF">
        <w:rPr>
          <w:rStyle w:val="FootnoteReference"/>
          <w:szCs w:val="22"/>
        </w:rPr>
        <w:footnoteReference w:id="2"/>
      </w:r>
      <w:r w:rsidR="00386E16">
        <w:rPr>
          <w:szCs w:val="22"/>
        </w:rPr>
        <w:t xml:space="preserve">  </w:t>
      </w:r>
      <w:r>
        <w:rPr>
          <w:szCs w:val="22"/>
        </w:rPr>
        <w:t>On August 13, 2015, CTIA – The Wireless Association (CTIA) filed a Petition for Partial Reconsideration</w:t>
      </w:r>
      <w:r w:rsidR="00550AC3">
        <w:rPr>
          <w:szCs w:val="22"/>
        </w:rPr>
        <w:t xml:space="preserve"> of the Commission’s Order on Reconsideration.</w:t>
      </w:r>
      <w:r w:rsidR="00550AC3">
        <w:rPr>
          <w:rStyle w:val="FootnoteReference"/>
          <w:szCs w:val="22"/>
        </w:rPr>
        <w:footnoteReference w:id="3"/>
      </w:r>
      <w:r w:rsidR="00550AC3">
        <w:rPr>
          <w:szCs w:val="22"/>
        </w:rPr>
        <w:t xml:space="preserve">  </w:t>
      </w:r>
    </w:p>
    <w:p w14:paraId="3B39C66B" w14:textId="77777777" w:rsidR="005916F1" w:rsidRDefault="00CE4AC4">
      <w:pPr>
        <w:pStyle w:val="ParaNum"/>
        <w:numPr>
          <w:ilvl w:val="0"/>
          <w:numId w:val="5"/>
        </w:numPr>
        <w:tabs>
          <w:tab w:val="clear" w:pos="1080"/>
          <w:tab w:val="num" w:pos="1440"/>
        </w:tabs>
        <w:spacing w:after="120"/>
        <w:jc w:val="left"/>
        <w:rPr>
          <w:szCs w:val="22"/>
        </w:rPr>
      </w:pPr>
      <w:r>
        <w:rPr>
          <w:szCs w:val="22"/>
        </w:rPr>
        <w:t xml:space="preserve">On August 26, 2015, </w:t>
      </w:r>
      <w:r w:rsidR="00550AC3">
        <w:rPr>
          <w:szCs w:val="22"/>
        </w:rPr>
        <w:t>a Public Notice</w:t>
      </w:r>
      <w:r>
        <w:rPr>
          <w:szCs w:val="22"/>
        </w:rPr>
        <w:t xml:space="preserve"> was issued</w:t>
      </w:r>
      <w:r w:rsidR="00550AC3">
        <w:rPr>
          <w:szCs w:val="22"/>
        </w:rPr>
        <w:t xml:space="preserve"> announcing that any oppositions to the CTIA Petition must be filed within 15 days of public notice of the CTIA P</w:t>
      </w:r>
      <w:r w:rsidR="00B24AE2">
        <w:rPr>
          <w:szCs w:val="22"/>
        </w:rPr>
        <w:t>etition in the Federal Register.</w:t>
      </w:r>
      <w:r w:rsidR="00B24AE2">
        <w:rPr>
          <w:rStyle w:val="FootnoteReference"/>
          <w:szCs w:val="22"/>
        </w:rPr>
        <w:footnoteReference w:id="4"/>
      </w:r>
      <w:r w:rsidR="00B24AE2">
        <w:rPr>
          <w:szCs w:val="22"/>
        </w:rPr>
        <w:t xml:space="preserve">  Additionally, </w:t>
      </w:r>
      <w:r>
        <w:rPr>
          <w:szCs w:val="22"/>
        </w:rPr>
        <w:t>the Public Notice</w:t>
      </w:r>
      <w:r w:rsidR="00B24AE2">
        <w:rPr>
          <w:szCs w:val="22"/>
        </w:rPr>
        <w:t xml:space="preserve"> announced that </w:t>
      </w:r>
      <w:r w:rsidR="00550AC3">
        <w:rPr>
          <w:szCs w:val="22"/>
        </w:rPr>
        <w:t xml:space="preserve">any </w:t>
      </w:r>
      <w:r w:rsidR="00C113FF">
        <w:rPr>
          <w:szCs w:val="22"/>
        </w:rPr>
        <w:t>rep</w:t>
      </w:r>
      <w:r w:rsidR="0033274F">
        <w:rPr>
          <w:szCs w:val="22"/>
        </w:rPr>
        <w:t>lies</w:t>
      </w:r>
      <w:r w:rsidR="00C113FF">
        <w:rPr>
          <w:szCs w:val="22"/>
        </w:rPr>
        <w:t xml:space="preserve"> to </w:t>
      </w:r>
      <w:r w:rsidR="00550AC3">
        <w:rPr>
          <w:szCs w:val="22"/>
        </w:rPr>
        <w:t>oppositions to the CTIA Petition must be filed within 10 days after the time for filing oppositions has expired.</w:t>
      </w:r>
      <w:r w:rsidR="00BD7F6A">
        <w:rPr>
          <w:rStyle w:val="FootnoteReference"/>
          <w:szCs w:val="22"/>
        </w:rPr>
        <w:footnoteReference w:id="5"/>
      </w:r>
      <w:r w:rsidR="00BD7F6A">
        <w:rPr>
          <w:szCs w:val="22"/>
        </w:rPr>
        <w:t xml:space="preserve">  On September 2, 2015, notice of the CTIA Petition was published in the Federal Register, which established a September 17, 2015 opposition filing deadline and September 28, 2015 reply to opposition filing deadline.</w:t>
      </w:r>
      <w:r w:rsidRPr="00CE4AC4">
        <w:rPr>
          <w:rStyle w:val="FootnoteReference"/>
          <w:szCs w:val="22"/>
        </w:rPr>
        <w:t xml:space="preserve"> </w:t>
      </w:r>
      <w:r>
        <w:rPr>
          <w:rStyle w:val="FootnoteReference"/>
          <w:szCs w:val="22"/>
        </w:rPr>
        <w:footnoteReference w:id="6"/>
      </w:r>
    </w:p>
    <w:p w14:paraId="327DC339" w14:textId="0BCB3666" w:rsidR="00C10A2B" w:rsidRDefault="00EE4BC9" w:rsidP="00386C8C">
      <w:pPr>
        <w:pStyle w:val="ParaNum"/>
        <w:widowControl/>
        <w:numPr>
          <w:ilvl w:val="0"/>
          <w:numId w:val="5"/>
        </w:numPr>
        <w:tabs>
          <w:tab w:val="clear" w:pos="1080"/>
          <w:tab w:val="num" w:pos="1440"/>
        </w:tabs>
        <w:spacing w:after="120"/>
        <w:jc w:val="left"/>
        <w:rPr>
          <w:color w:val="000000"/>
          <w:szCs w:val="22"/>
        </w:rPr>
      </w:pPr>
      <w:r>
        <w:rPr>
          <w:color w:val="000000"/>
          <w:szCs w:val="22"/>
        </w:rPr>
        <w:lastRenderedPageBreak/>
        <w:t>On September 9, 2015</w:t>
      </w:r>
      <w:r w:rsidR="00C10A2B">
        <w:rPr>
          <w:color w:val="000000"/>
          <w:szCs w:val="22"/>
        </w:rPr>
        <w:t xml:space="preserve">, the </w:t>
      </w:r>
      <w:r w:rsidR="006A714E">
        <w:rPr>
          <w:color w:val="000000"/>
          <w:szCs w:val="22"/>
        </w:rPr>
        <w:t>C</w:t>
      </w:r>
      <w:r>
        <w:rPr>
          <w:color w:val="000000"/>
          <w:szCs w:val="22"/>
        </w:rPr>
        <w:t>enter for Democracy &amp; Technology, Free Press, New America Foundation’s Open Technology Institute, and Public Knowledge (Requestors) jointly</w:t>
      </w:r>
      <w:r w:rsidR="00C10A2B">
        <w:rPr>
          <w:color w:val="000000"/>
          <w:szCs w:val="22"/>
        </w:rPr>
        <w:t xml:space="preserve"> filed a motion to extend the established </w:t>
      </w:r>
      <w:r>
        <w:rPr>
          <w:color w:val="000000"/>
          <w:szCs w:val="22"/>
        </w:rPr>
        <w:t xml:space="preserve">opposition filing </w:t>
      </w:r>
      <w:r w:rsidR="003A54CC">
        <w:rPr>
          <w:color w:val="000000"/>
          <w:szCs w:val="22"/>
        </w:rPr>
        <w:t>deadline</w:t>
      </w:r>
      <w:r w:rsidR="00C10A2B">
        <w:rPr>
          <w:color w:val="000000"/>
          <w:szCs w:val="22"/>
        </w:rPr>
        <w:t xml:space="preserve"> </w:t>
      </w:r>
      <w:r>
        <w:rPr>
          <w:color w:val="000000"/>
          <w:szCs w:val="22"/>
        </w:rPr>
        <w:t xml:space="preserve">for the CTIA Petition </w:t>
      </w:r>
      <w:r w:rsidR="00C10A2B">
        <w:rPr>
          <w:color w:val="000000"/>
          <w:szCs w:val="22"/>
        </w:rPr>
        <w:t>by 30 days.</w:t>
      </w:r>
      <w:r w:rsidR="00C10A2B">
        <w:rPr>
          <w:rStyle w:val="FootnoteReference"/>
          <w:color w:val="000000"/>
          <w:szCs w:val="22"/>
        </w:rPr>
        <w:footnoteReference w:id="7"/>
      </w:r>
      <w:r w:rsidR="00C10A2B">
        <w:rPr>
          <w:color w:val="000000"/>
          <w:szCs w:val="22"/>
        </w:rPr>
        <w:t xml:space="preserve">  </w:t>
      </w:r>
      <w:r w:rsidR="006A714E">
        <w:rPr>
          <w:color w:val="000000"/>
          <w:szCs w:val="22"/>
        </w:rPr>
        <w:t>In support of their motion, t</w:t>
      </w:r>
      <w:r w:rsidR="00C10A2B">
        <w:rPr>
          <w:color w:val="000000"/>
          <w:szCs w:val="22"/>
        </w:rPr>
        <w:t xml:space="preserve">he </w:t>
      </w:r>
      <w:r w:rsidR="003A54CC">
        <w:rPr>
          <w:color w:val="000000"/>
          <w:szCs w:val="22"/>
        </w:rPr>
        <w:t>Requestors</w:t>
      </w:r>
      <w:r w:rsidR="00C10A2B">
        <w:rPr>
          <w:color w:val="000000"/>
          <w:szCs w:val="22"/>
        </w:rPr>
        <w:t xml:space="preserve"> </w:t>
      </w:r>
      <w:r w:rsidR="006A714E">
        <w:rPr>
          <w:color w:val="000000"/>
          <w:szCs w:val="22"/>
        </w:rPr>
        <w:t>point out that</w:t>
      </w:r>
      <w:r w:rsidR="0034026E">
        <w:rPr>
          <w:color w:val="000000"/>
          <w:szCs w:val="22"/>
        </w:rPr>
        <w:t xml:space="preserve"> </w:t>
      </w:r>
      <w:r w:rsidR="006A714E">
        <w:rPr>
          <w:color w:val="000000"/>
          <w:szCs w:val="22"/>
        </w:rPr>
        <w:t xml:space="preserve">certain of the </w:t>
      </w:r>
      <w:r w:rsidR="003A54CC">
        <w:rPr>
          <w:color w:val="000000"/>
          <w:szCs w:val="22"/>
        </w:rPr>
        <w:t xml:space="preserve">comments </w:t>
      </w:r>
      <w:r w:rsidR="006A714E">
        <w:rPr>
          <w:color w:val="000000"/>
          <w:szCs w:val="22"/>
        </w:rPr>
        <w:t xml:space="preserve">that </w:t>
      </w:r>
      <w:r w:rsidR="003A54CC">
        <w:rPr>
          <w:color w:val="000000"/>
          <w:szCs w:val="22"/>
        </w:rPr>
        <w:t>were recently filed pursuant to the Commission’s Second Further Notice of Proposed Rulemaking</w:t>
      </w:r>
      <w:r w:rsidR="006D460A">
        <w:rPr>
          <w:color w:val="000000"/>
          <w:szCs w:val="22"/>
        </w:rPr>
        <w:t xml:space="preserve"> (Second FNPRM)</w:t>
      </w:r>
      <w:r w:rsidR="006D460A">
        <w:rPr>
          <w:rStyle w:val="FootnoteReference"/>
          <w:color w:val="000000"/>
          <w:szCs w:val="22"/>
        </w:rPr>
        <w:footnoteReference w:id="8"/>
      </w:r>
      <w:r w:rsidR="003A54CC">
        <w:rPr>
          <w:color w:val="000000"/>
          <w:szCs w:val="22"/>
        </w:rPr>
        <w:t xml:space="preserve"> in the above captioned proceeding specifically raise issues that are </w:t>
      </w:r>
      <w:r w:rsidR="006A714E">
        <w:rPr>
          <w:color w:val="000000"/>
          <w:szCs w:val="22"/>
        </w:rPr>
        <w:t>relevant to</w:t>
      </w:r>
      <w:r w:rsidR="003A54CC">
        <w:rPr>
          <w:color w:val="000000"/>
          <w:szCs w:val="22"/>
        </w:rPr>
        <w:t xml:space="preserve"> the CTIA Petition.</w:t>
      </w:r>
      <w:r w:rsidR="003A54CC">
        <w:rPr>
          <w:rStyle w:val="FootnoteReference"/>
          <w:color w:val="000000"/>
          <w:szCs w:val="22"/>
        </w:rPr>
        <w:footnoteReference w:id="9"/>
      </w:r>
      <w:r w:rsidR="003A54CC">
        <w:rPr>
          <w:color w:val="000000"/>
          <w:szCs w:val="22"/>
        </w:rPr>
        <w:t xml:space="preserve">  The Requestors </w:t>
      </w:r>
      <w:r w:rsidR="0084391D">
        <w:rPr>
          <w:color w:val="000000"/>
          <w:szCs w:val="22"/>
        </w:rPr>
        <w:t xml:space="preserve">also </w:t>
      </w:r>
      <w:r w:rsidR="003A54CC">
        <w:rPr>
          <w:color w:val="000000"/>
          <w:szCs w:val="22"/>
        </w:rPr>
        <w:t xml:space="preserve">argue that </w:t>
      </w:r>
      <w:r w:rsidR="0084391D">
        <w:rPr>
          <w:color w:val="000000"/>
          <w:szCs w:val="22"/>
        </w:rPr>
        <w:t xml:space="preserve">a 30-day extension is in the public interest </w:t>
      </w:r>
      <w:r w:rsidR="003A54CC">
        <w:rPr>
          <w:color w:val="000000"/>
          <w:szCs w:val="22"/>
        </w:rPr>
        <w:t xml:space="preserve">because </w:t>
      </w:r>
      <w:r w:rsidR="0084391D">
        <w:rPr>
          <w:color w:val="000000"/>
          <w:szCs w:val="22"/>
        </w:rPr>
        <w:t xml:space="preserve">a number of reply comments </w:t>
      </w:r>
      <w:r w:rsidR="006A714E">
        <w:rPr>
          <w:color w:val="000000"/>
          <w:szCs w:val="22"/>
        </w:rPr>
        <w:t>may</w:t>
      </w:r>
      <w:r w:rsidR="0084391D">
        <w:rPr>
          <w:color w:val="000000"/>
          <w:szCs w:val="22"/>
        </w:rPr>
        <w:t xml:space="preserve"> be filed on issues relevant to the CTIA Petition by the September 30th deadline.</w:t>
      </w:r>
      <w:r w:rsidR="0084391D">
        <w:rPr>
          <w:rStyle w:val="FootnoteReference"/>
          <w:color w:val="000000"/>
          <w:szCs w:val="22"/>
        </w:rPr>
        <w:footnoteReference w:id="10"/>
      </w:r>
      <w:r w:rsidR="0084391D">
        <w:rPr>
          <w:color w:val="000000"/>
          <w:szCs w:val="22"/>
        </w:rPr>
        <w:t xml:space="preserve">  </w:t>
      </w:r>
      <w:r w:rsidR="00955420">
        <w:rPr>
          <w:color w:val="000000"/>
          <w:szCs w:val="22"/>
        </w:rPr>
        <w:t xml:space="preserve">The Requestors also cite the Commission’s </w:t>
      </w:r>
      <w:r w:rsidR="004F0A3D">
        <w:rPr>
          <w:color w:val="000000"/>
          <w:szCs w:val="22"/>
        </w:rPr>
        <w:t>recent</w:t>
      </w:r>
      <w:r w:rsidR="00955420">
        <w:rPr>
          <w:color w:val="000000"/>
          <w:szCs w:val="22"/>
        </w:rPr>
        <w:t xml:space="preserve"> IT-modernization efforts, which made some already-filed comments inaccessible to the public for several days,</w:t>
      </w:r>
      <w:r w:rsidR="00955420">
        <w:rPr>
          <w:rStyle w:val="FootnoteReference"/>
          <w:color w:val="000000"/>
          <w:szCs w:val="22"/>
        </w:rPr>
        <w:footnoteReference w:id="11"/>
      </w:r>
      <w:r w:rsidR="00955420">
        <w:rPr>
          <w:color w:val="000000"/>
          <w:szCs w:val="22"/>
        </w:rPr>
        <w:t xml:space="preserve"> and intervening holidays as circumstances that help to justify an extension in this case.</w:t>
      </w:r>
      <w:r w:rsidR="00955420">
        <w:rPr>
          <w:rStyle w:val="FootnoteReference"/>
          <w:color w:val="000000"/>
          <w:szCs w:val="22"/>
        </w:rPr>
        <w:footnoteReference w:id="12"/>
      </w:r>
    </w:p>
    <w:p w14:paraId="1DB73F12" w14:textId="6C92A9E5" w:rsidR="00F70C0C" w:rsidRPr="00D45654" w:rsidRDefault="00F70C0C" w:rsidP="00F70C0C">
      <w:pPr>
        <w:pStyle w:val="ParaNum"/>
        <w:widowControl/>
        <w:numPr>
          <w:ilvl w:val="0"/>
          <w:numId w:val="5"/>
        </w:numPr>
        <w:tabs>
          <w:tab w:val="clear" w:pos="1080"/>
          <w:tab w:val="num" w:pos="1440"/>
        </w:tabs>
        <w:spacing w:after="120"/>
        <w:jc w:val="left"/>
        <w:rPr>
          <w:szCs w:val="22"/>
        </w:rPr>
      </w:pPr>
      <w:r w:rsidRPr="00D45654">
        <w:rPr>
          <w:szCs w:val="22"/>
        </w:rPr>
        <w:t>The Commission does not routinely grant extensions of time.</w:t>
      </w:r>
      <w:r w:rsidRPr="00D45654">
        <w:rPr>
          <w:rStyle w:val="FootnoteReference"/>
          <w:szCs w:val="22"/>
        </w:rPr>
        <w:footnoteReference w:id="13"/>
      </w:r>
      <w:r>
        <w:rPr>
          <w:szCs w:val="22"/>
        </w:rPr>
        <w:t xml:space="preserve">  </w:t>
      </w:r>
      <w:r w:rsidR="006A714E">
        <w:rPr>
          <w:szCs w:val="22"/>
        </w:rPr>
        <w:t>Here, h</w:t>
      </w:r>
      <w:r>
        <w:rPr>
          <w:szCs w:val="22"/>
        </w:rPr>
        <w:t xml:space="preserve">owever, </w:t>
      </w:r>
      <w:r w:rsidR="00A82CD1">
        <w:rPr>
          <w:szCs w:val="22"/>
        </w:rPr>
        <w:t>the Requestors have pointed to a</w:t>
      </w:r>
      <w:r>
        <w:rPr>
          <w:szCs w:val="22"/>
        </w:rPr>
        <w:t xml:space="preserve"> </w:t>
      </w:r>
      <w:r w:rsidR="006A714E">
        <w:rPr>
          <w:szCs w:val="22"/>
        </w:rPr>
        <w:t>potential relationship between</w:t>
      </w:r>
      <w:r w:rsidR="003E7079">
        <w:rPr>
          <w:szCs w:val="22"/>
        </w:rPr>
        <w:t xml:space="preserve"> issues addressed in the CTIA Petition and </w:t>
      </w:r>
      <w:r w:rsidR="006A714E">
        <w:rPr>
          <w:szCs w:val="22"/>
        </w:rPr>
        <w:t xml:space="preserve">certain </w:t>
      </w:r>
      <w:r w:rsidR="006D460A">
        <w:rPr>
          <w:szCs w:val="22"/>
        </w:rPr>
        <w:t>of the comments</w:t>
      </w:r>
      <w:r w:rsidR="003E7079">
        <w:rPr>
          <w:szCs w:val="22"/>
        </w:rPr>
        <w:t xml:space="preserve">, and </w:t>
      </w:r>
      <w:r w:rsidR="006A714E">
        <w:rPr>
          <w:szCs w:val="22"/>
        </w:rPr>
        <w:t xml:space="preserve">potentially </w:t>
      </w:r>
      <w:r w:rsidR="003E7079">
        <w:rPr>
          <w:szCs w:val="22"/>
        </w:rPr>
        <w:t xml:space="preserve">the </w:t>
      </w:r>
      <w:r w:rsidR="006D460A">
        <w:rPr>
          <w:szCs w:val="22"/>
        </w:rPr>
        <w:t>reply comments</w:t>
      </w:r>
      <w:r w:rsidR="003E7079">
        <w:rPr>
          <w:szCs w:val="22"/>
        </w:rPr>
        <w:t>,</w:t>
      </w:r>
      <w:r w:rsidR="006D460A">
        <w:rPr>
          <w:szCs w:val="22"/>
        </w:rPr>
        <w:t xml:space="preserve"> </w:t>
      </w:r>
      <w:r w:rsidR="003E7079">
        <w:rPr>
          <w:szCs w:val="22"/>
        </w:rPr>
        <w:t xml:space="preserve">filed pursuant </w:t>
      </w:r>
      <w:r w:rsidR="006D460A">
        <w:rPr>
          <w:szCs w:val="22"/>
        </w:rPr>
        <w:t xml:space="preserve">to </w:t>
      </w:r>
      <w:r>
        <w:rPr>
          <w:szCs w:val="22"/>
        </w:rPr>
        <w:t>the Second FNPRM</w:t>
      </w:r>
      <w:r w:rsidR="00A82CD1">
        <w:rPr>
          <w:szCs w:val="22"/>
        </w:rPr>
        <w:t xml:space="preserve"> on or before September 30.</w:t>
      </w:r>
      <w:r w:rsidR="00955420">
        <w:rPr>
          <w:rStyle w:val="FootnoteReference"/>
          <w:szCs w:val="22"/>
        </w:rPr>
        <w:footnoteReference w:id="14"/>
      </w:r>
      <w:r w:rsidR="00A82CD1">
        <w:rPr>
          <w:szCs w:val="22"/>
        </w:rPr>
        <w:t xml:space="preserve">  </w:t>
      </w:r>
      <w:r w:rsidR="004F0A3D">
        <w:rPr>
          <w:szCs w:val="22"/>
        </w:rPr>
        <w:t xml:space="preserve">Furthermore, the Commission’s </w:t>
      </w:r>
      <w:r w:rsidR="001003E3">
        <w:rPr>
          <w:szCs w:val="22"/>
        </w:rPr>
        <w:t xml:space="preserve">major </w:t>
      </w:r>
      <w:r w:rsidR="004F0A3D">
        <w:rPr>
          <w:szCs w:val="22"/>
        </w:rPr>
        <w:t xml:space="preserve">IT-modernization efforts, making some relevant documents unavailable, occurred during the fifteen days that parties would normally have to prepare oppositions.  Taken together, these special circumstances present a sufficiently unique situation to justify a longer period for oppositions than is typical.  </w:t>
      </w:r>
      <w:r w:rsidR="00A82CD1">
        <w:rPr>
          <w:szCs w:val="22"/>
        </w:rPr>
        <w:t>W</w:t>
      </w:r>
      <w:r w:rsidR="003E7079">
        <w:rPr>
          <w:szCs w:val="22"/>
        </w:rPr>
        <w:t xml:space="preserve">e </w:t>
      </w:r>
      <w:r w:rsidR="004F0A3D">
        <w:rPr>
          <w:szCs w:val="22"/>
        </w:rPr>
        <w:t xml:space="preserve">also are persuaded </w:t>
      </w:r>
      <w:r w:rsidR="003E7079">
        <w:rPr>
          <w:szCs w:val="22"/>
        </w:rPr>
        <w:t>that granting a</w:t>
      </w:r>
      <w:r w:rsidR="000F0D0C">
        <w:rPr>
          <w:szCs w:val="22"/>
        </w:rPr>
        <w:t>n</w:t>
      </w:r>
      <w:r w:rsidR="003E7079">
        <w:rPr>
          <w:szCs w:val="22"/>
        </w:rPr>
        <w:t xml:space="preserve"> </w:t>
      </w:r>
      <w:r w:rsidRPr="00D45654">
        <w:rPr>
          <w:szCs w:val="22"/>
        </w:rPr>
        <w:t>extension to the</w:t>
      </w:r>
      <w:r>
        <w:rPr>
          <w:szCs w:val="22"/>
        </w:rPr>
        <w:t xml:space="preserve"> </w:t>
      </w:r>
      <w:r w:rsidR="003E7079">
        <w:rPr>
          <w:szCs w:val="22"/>
        </w:rPr>
        <w:t>opposition</w:t>
      </w:r>
      <w:r w:rsidR="000F0D0C">
        <w:rPr>
          <w:szCs w:val="22"/>
        </w:rPr>
        <w:t>-</w:t>
      </w:r>
      <w:r>
        <w:rPr>
          <w:szCs w:val="22"/>
        </w:rPr>
        <w:t xml:space="preserve">filing </w:t>
      </w:r>
      <w:r w:rsidR="003E7079">
        <w:rPr>
          <w:szCs w:val="22"/>
        </w:rPr>
        <w:t xml:space="preserve">deadline </w:t>
      </w:r>
      <w:r w:rsidR="000F0D0C">
        <w:rPr>
          <w:szCs w:val="22"/>
        </w:rPr>
        <w:t>so that opp</w:t>
      </w:r>
      <w:r w:rsidR="007B01DF">
        <w:rPr>
          <w:szCs w:val="22"/>
        </w:rPr>
        <w:t>ositions are due after the September</w:t>
      </w:r>
      <w:r w:rsidR="000F0D0C">
        <w:rPr>
          <w:szCs w:val="22"/>
        </w:rPr>
        <w:t xml:space="preserve"> 30</w:t>
      </w:r>
      <w:r w:rsidR="007B01DF">
        <w:rPr>
          <w:szCs w:val="22"/>
        </w:rPr>
        <w:t>th</w:t>
      </w:r>
      <w:r w:rsidR="000F0D0C">
        <w:rPr>
          <w:szCs w:val="22"/>
        </w:rPr>
        <w:t xml:space="preserve"> deadline for reply comments on the Second FNPRM </w:t>
      </w:r>
      <w:r>
        <w:rPr>
          <w:szCs w:val="22"/>
        </w:rPr>
        <w:t xml:space="preserve">will facilitate more thorough and deliberate consideration of the issues raised in </w:t>
      </w:r>
      <w:r w:rsidR="003E7079">
        <w:rPr>
          <w:szCs w:val="22"/>
        </w:rPr>
        <w:t>the CTIA Petition</w:t>
      </w:r>
      <w:r w:rsidRPr="00D45654">
        <w:rPr>
          <w:szCs w:val="22"/>
        </w:rPr>
        <w:t>.</w:t>
      </w:r>
      <w:r>
        <w:rPr>
          <w:szCs w:val="22"/>
        </w:rPr>
        <w:t xml:space="preserve">  </w:t>
      </w:r>
      <w:r w:rsidR="003F00AB">
        <w:rPr>
          <w:szCs w:val="22"/>
        </w:rPr>
        <w:t xml:space="preserve">We therefore waive the 15-day deadline established in section 1.429(f) and </w:t>
      </w:r>
      <w:r w:rsidR="000F0D0C">
        <w:rPr>
          <w:szCs w:val="22"/>
        </w:rPr>
        <w:t xml:space="preserve">will </w:t>
      </w:r>
      <w:r w:rsidR="003F00AB">
        <w:rPr>
          <w:szCs w:val="22"/>
        </w:rPr>
        <w:t xml:space="preserve">allow oppositions to be filed by October 8.  </w:t>
      </w:r>
      <w:r w:rsidR="007B01DF">
        <w:rPr>
          <w:szCs w:val="22"/>
        </w:rPr>
        <w:t>Replies to those oppositions must</w:t>
      </w:r>
      <w:r w:rsidR="003F00AB">
        <w:rPr>
          <w:szCs w:val="22"/>
        </w:rPr>
        <w:t xml:space="preserve"> be filed by October 19.</w:t>
      </w:r>
    </w:p>
    <w:p w14:paraId="19FB5575" w14:textId="28B529D9" w:rsidR="005916F1" w:rsidRPr="00D45654" w:rsidRDefault="005916F1">
      <w:pPr>
        <w:pStyle w:val="ParaNum"/>
        <w:numPr>
          <w:ilvl w:val="0"/>
          <w:numId w:val="5"/>
        </w:numPr>
        <w:tabs>
          <w:tab w:val="clear" w:pos="1080"/>
          <w:tab w:val="num" w:pos="1440"/>
        </w:tabs>
        <w:spacing w:after="120"/>
        <w:jc w:val="left"/>
      </w:pPr>
      <w:r w:rsidRPr="00D45654">
        <w:rPr>
          <w:szCs w:val="22"/>
        </w:rPr>
        <w:t>Accordingly, IT IS ORDERED that, pursuant to Section 4(i)</w:t>
      </w:r>
      <w:r w:rsidR="00237CF3" w:rsidRPr="00D45654">
        <w:rPr>
          <w:szCs w:val="22"/>
        </w:rPr>
        <w:t xml:space="preserve"> and 4(j)</w:t>
      </w:r>
      <w:r w:rsidRPr="00D45654">
        <w:rPr>
          <w:szCs w:val="22"/>
        </w:rPr>
        <w:t xml:space="preserve"> of the Communications Act of 1934, as amended, 47 U.S.C. § 154(i)</w:t>
      </w:r>
      <w:r w:rsidR="001315E2">
        <w:rPr>
          <w:szCs w:val="22"/>
        </w:rPr>
        <w:t>,</w:t>
      </w:r>
      <w:r w:rsidR="00237CF3" w:rsidRPr="00D45654">
        <w:rPr>
          <w:szCs w:val="22"/>
        </w:rPr>
        <w:t xml:space="preserve"> (j)</w:t>
      </w:r>
      <w:r w:rsidRPr="00D45654">
        <w:rPr>
          <w:szCs w:val="22"/>
        </w:rPr>
        <w:t xml:space="preserve">, </w:t>
      </w:r>
      <w:r w:rsidR="00237CF3" w:rsidRPr="00D45654">
        <w:rPr>
          <w:szCs w:val="22"/>
        </w:rPr>
        <w:t>and Sections 0.9</w:t>
      </w:r>
      <w:r w:rsidRPr="00D45654">
        <w:rPr>
          <w:szCs w:val="22"/>
        </w:rPr>
        <w:t>1,</w:t>
      </w:r>
      <w:r w:rsidR="00237CF3" w:rsidRPr="00D45654">
        <w:rPr>
          <w:szCs w:val="22"/>
        </w:rPr>
        <w:t xml:space="preserve"> 0.291,</w:t>
      </w:r>
      <w:r w:rsidR="0034026E" w:rsidRPr="00D45654">
        <w:rPr>
          <w:szCs w:val="22"/>
        </w:rPr>
        <w:t xml:space="preserve"> </w:t>
      </w:r>
      <w:r w:rsidR="001315E2">
        <w:rPr>
          <w:szCs w:val="22"/>
        </w:rPr>
        <w:t xml:space="preserve">1.3, </w:t>
      </w:r>
      <w:r w:rsidR="0034026E" w:rsidRPr="00D45654">
        <w:rPr>
          <w:szCs w:val="22"/>
        </w:rPr>
        <w:t>1.46, 1.41</w:t>
      </w:r>
      <w:r w:rsidR="00237CF3" w:rsidRPr="00D45654">
        <w:rPr>
          <w:szCs w:val="22"/>
        </w:rPr>
        <w:t>5</w:t>
      </w:r>
      <w:r w:rsidR="003F00AB">
        <w:rPr>
          <w:szCs w:val="22"/>
        </w:rPr>
        <w:t>, and 1.429</w:t>
      </w:r>
      <w:r w:rsidRPr="00D45654">
        <w:rPr>
          <w:szCs w:val="22"/>
        </w:rPr>
        <w:t xml:space="preserve"> of the Commission’s Rules, 47 C.F.R. §§ </w:t>
      </w:r>
      <w:r w:rsidR="0034026E" w:rsidRPr="00D45654">
        <w:rPr>
          <w:szCs w:val="22"/>
        </w:rPr>
        <w:t xml:space="preserve">0.91, 0.291, </w:t>
      </w:r>
      <w:r w:rsidR="001315E2">
        <w:rPr>
          <w:szCs w:val="22"/>
        </w:rPr>
        <w:t xml:space="preserve">1.3, </w:t>
      </w:r>
      <w:r w:rsidR="0034026E" w:rsidRPr="00D45654">
        <w:rPr>
          <w:szCs w:val="22"/>
        </w:rPr>
        <w:t>1.46</w:t>
      </w:r>
      <w:r w:rsidR="00237CF3" w:rsidRPr="00D45654">
        <w:rPr>
          <w:szCs w:val="22"/>
        </w:rPr>
        <w:t xml:space="preserve">, </w:t>
      </w:r>
      <w:r w:rsidR="0034026E" w:rsidRPr="00D45654">
        <w:rPr>
          <w:szCs w:val="22"/>
        </w:rPr>
        <w:t>1.41</w:t>
      </w:r>
      <w:r w:rsidR="00237CF3" w:rsidRPr="00D45654">
        <w:rPr>
          <w:szCs w:val="22"/>
        </w:rPr>
        <w:t>5</w:t>
      </w:r>
      <w:r w:rsidRPr="00D45654">
        <w:rPr>
          <w:szCs w:val="22"/>
        </w:rPr>
        <w:t xml:space="preserve">, </w:t>
      </w:r>
      <w:r w:rsidR="003F00AB">
        <w:rPr>
          <w:szCs w:val="22"/>
        </w:rPr>
        <w:t xml:space="preserve">1.429, </w:t>
      </w:r>
      <w:r w:rsidRPr="00D45654">
        <w:rPr>
          <w:szCs w:val="22"/>
        </w:rPr>
        <w:t xml:space="preserve">the </w:t>
      </w:r>
      <w:r w:rsidR="00E178D4" w:rsidRPr="00D45654">
        <w:rPr>
          <w:szCs w:val="22"/>
        </w:rPr>
        <w:t>m</w:t>
      </w:r>
      <w:r w:rsidR="00C10A2B" w:rsidRPr="00D45654">
        <w:rPr>
          <w:szCs w:val="22"/>
        </w:rPr>
        <w:t xml:space="preserve">otion of the </w:t>
      </w:r>
      <w:r w:rsidR="001315E2">
        <w:rPr>
          <w:szCs w:val="22"/>
        </w:rPr>
        <w:t xml:space="preserve">Center for </w:t>
      </w:r>
      <w:r w:rsidR="00772DED">
        <w:rPr>
          <w:color w:val="000000"/>
          <w:szCs w:val="22"/>
        </w:rPr>
        <w:t xml:space="preserve">Democracy &amp; Technology, Free Press, New America Foundation’s Open Technology Institute, and Public Knowledge </w:t>
      </w:r>
      <w:r w:rsidR="00772DED">
        <w:rPr>
          <w:szCs w:val="22"/>
        </w:rPr>
        <w:t>IS</w:t>
      </w:r>
      <w:r w:rsidRPr="00D45654">
        <w:rPr>
          <w:szCs w:val="22"/>
        </w:rPr>
        <w:t xml:space="preserve"> GRANTED to the extent in</w:t>
      </w:r>
      <w:r w:rsidR="00772DED">
        <w:rPr>
          <w:szCs w:val="22"/>
        </w:rPr>
        <w:t>dicated herein and the deadline</w:t>
      </w:r>
      <w:r w:rsidRPr="00D45654">
        <w:rPr>
          <w:szCs w:val="22"/>
        </w:rPr>
        <w:t xml:space="preserve"> to file </w:t>
      </w:r>
      <w:r w:rsidR="00772DED">
        <w:rPr>
          <w:szCs w:val="22"/>
        </w:rPr>
        <w:t>oppositions</w:t>
      </w:r>
      <w:r w:rsidR="006602B9">
        <w:rPr>
          <w:szCs w:val="22"/>
        </w:rPr>
        <w:t xml:space="preserve"> </w:t>
      </w:r>
      <w:r w:rsidR="00772DED">
        <w:rPr>
          <w:szCs w:val="22"/>
        </w:rPr>
        <w:t xml:space="preserve">in response to the Petition for Partial Reconsideration filed by CTIA – The Wireless Association is </w:t>
      </w:r>
      <w:r w:rsidRPr="00D45654">
        <w:rPr>
          <w:szCs w:val="22"/>
        </w:rPr>
        <w:t xml:space="preserve">extended to </w:t>
      </w:r>
      <w:r w:rsidR="00386C8C">
        <w:rPr>
          <w:szCs w:val="22"/>
        </w:rPr>
        <w:t>October 8, 2015</w:t>
      </w:r>
      <w:r w:rsidR="006602B9">
        <w:rPr>
          <w:szCs w:val="22"/>
        </w:rPr>
        <w:t xml:space="preserve">, and the deadline to file </w:t>
      </w:r>
      <w:r w:rsidR="0033274F">
        <w:rPr>
          <w:szCs w:val="22"/>
        </w:rPr>
        <w:t xml:space="preserve">replies </w:t>
      </w:r>
      <w:r w:rsidR="006602B9">
        <w:rPr>
          <w:szCs w:val="22"/>
        </w:rPr>
        <w:t xml:space="preserve">to oppositions is extended to </w:t>
      </w:r>
      <w:r w:rsidR="00386C8C">
        <w:rPr>
          <w:szCs w:val="22"/>
        </w:rPr>
        <w:t>October 19, 2015</w:t>
      </w:r>
      <w:r w:rsidRPr="00D45654">
        <w:rPr>
          <w:szCs w:val="22"/>
        </w:rPr>
        <w:t>.</w:t>
      </w:r>
    </w:p>
    <w:p w14:paraId="5A0A1AA8" w14:textId="77777777" w:rsidR="005916F1" w:rsidRPr="00C10A2B" w:rsidRDefault="005916F1">
      <w:pPr>
        <w:rPr>
          <w:color w:val="FF0000"/>
          <w:szCs w:val="22"/>
        </w:rPr>
      </w:pPr>
    </w:p>
    <w:p w14:paraId="4200ECCB" w14:textId="77777777" w:rsidR="007B01DF" w:rsidRDefault="007B01DF">
      <w:pPr>
        <w:ind w:left="3600" w:firstLine="720"/>
        <w:rPr>
          <w:szCs w:val="22"/>
        </w:rPr>
      </w:pPr>
    </w:p>
    <w:p w14:paraId="38890E79" w14:textId="77777777" w:rsidR="007B01DF" w:rsidRDefault="007B01DF">
      <w:pPr>
        <w:ind w:left="3600" w:firstLine="720"/>
        <w:rPr>
          <w:szCs w:val="22"/>
        </w:rPr>
      </w:pPr>
    </w:p>
    <w:p w14:paraId="50AD7EDD" w14:textId="77777777" w:rsidR="005916F1" w:rsidRPr="00C10A2B" w:rsidRDefault="005916F1">
      <w:pPr>
        <w:ind w:left="3600" w:firstLine="720"/>
        <w:rPr>
          <w:szCs w:val="22"/>
        </w:rPr>
      </w:pPr>
      <w:r w:rsidRPr="00C10A2B">
        <w:rPr>
          <w:szCs w:val="22"/>
        </w:rPr>
        <w:t>FEDERAL COMMUNICATIONS COMMISSION</w:t>
      </w:r>
    </w:p>
    <w:p w14:paraId="2AE8CA57" w14:textId="77777777" w:rsidR="005916F1" w:rsidRPr="00C10A2B" w:rsidRDefault="005916F1">
      <w:pPr>
        <w:rPr>
          <w:szCs w:val="22"/>
        </w:rPr>
      </w:pPr>
    </w:p>
    <w:p w14:paraId="3FA72E38" w14:textId="77777777" w:rsidR="005916F1" w:rsidRPr="00C10A2B" w:rsidRDefault="005916F1">
      <w:pPr>
        <w:rPr>
          <w:szCs w:val="22"/>
        </w:rPr>
      </w:pPr>
    </w:p>
    <w:p w14:paraId="0BA4E02E" w14:textId="77777777" w:rsidR="00386C8C" w:rsidRDefault="00386C8C">
      <w:pPr>
        <w:ind w:left="3600" w:firstLine="720"/>
        <w:rPr>
          <w:szCs w:val="22"/>
        </w:rPr>
      </w:pPr>
    </w:p>
    <w:p w14:paraId="4F390347" w14:textId="77777777" w:rsidR="00386C8C" w:rsidRDefault="00386C8C">
      <w:pPr>
        <w:ind w:left="3600" w:firstLine="720"/>
        <w:rPr>
          <w:szCs w:val="22"/>
        </w:rPr>
      </w:pPr>
    </w:p>
    <w:p w14:paraId="593F87F8" w14:textId="77777777" w:rsidR="005916F1" w:rsidRPr="00C10A2B" w:rsidRDefault="004D5EAC">
      <w:pPr>
        <w:ind w:left="3600" w:firstLine="720"/>
        <w:rPr>
          <w:szCs w:val="22"/>
        </w:rPr>
      </w:pPr>
      <w:r>
        <w:rPr>
          <w:szCs w:val="22"/>
        </w:rPr>
        <w:t>Matthew S. DelNero</w:t>
      </w:r>
    </w:p>
    <w:p w14:paraId="75501260" w14:textId="77777777" w:rsidR="005916F1" w:rsidRPr="00C10A2B" w:rsidRDefault="004D5EAC">
      <w:pPr>
        <w:ind w:left="3600" w:firstLine="720"/>
        <w:rPr>
          <w:szCs w:val="22"/>
        </w:rPr>
      </w:pPr>
      <w:r>
        <w:rPr>
          <w:szCs w:val="22"/>
        </w:rPr>
        <w:t>Chief</w:t>
      </w:r>
    </w:p>
    <w:p w14:paraId="1BDDF28D" w14:textId="77777777" w:rsidR="005916F1" w:rsidRPr="00C10A2B" w:rsidRDefault="00C10A2B">
      <w:pPr>
        <w:ind w:left="3600" w:firstLine="720"/>
        <w:rPr>
          <w:szCs w:val="22"/>
        </w:rPr>
      </w:pPr>
      <w:r w:rsidRPr="00C10A2B">
        <w:rPr>
          <w:szCs w:val="22"/>
        </w:rPr>
        <w:t>Wireline Competition</w:t>
      </w:r>
      <w:r w:rsidR="005916F1" w:rsidRPr="00C10A2B">
        <w:rPr>
          <w:szCs w:val="22"/>
        </w:rPr>
        <w:t xml:space="preserve"> Bureau</w:t>
      </w:r>
    </w:p>
    <w:sectPr w:rsidR="005916F1" w:rsidRPr="00C10A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31726" w14:textId="77777777" w:rsidR="008C30B2" w:rsidRDefault="008C30B2">
      <w:r>
        <w:separator/>
      </w:r>
    </w:p>
  </w:endnote>
  <w:endnote w:type="continuationSeparator" w:id="0">
    <w:p w14:paraId="2EB7ADE7" w14:textId="77777777" w:rsidR="008C30B2" w:rsidRDefault="008C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B1DA" w14:textId="77777777" w:rsidR="000955D9" w:rsidRDefault="00095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5230" w14:textId="77777777" w:rsidR="005916F1" w:rsidRDefault="005916F1">
    <w:pPr>
      <w:pStyle w:val="Footer"/>
      <w:jc w:val="center"/>
    </w:pPr>
    <w:r>
      <w:rPr>
        <w:rStyle w:val="PageNumber"/>
      </w:rPr>
      <w:fldChar w:fldCharType="begin"/>
    </w:r>
    <w:r>
      <w:rPr>
        <w:rStyle w:val="PageNumber"/>
      </w:rPr>
      <w:instrText xml:space="preserve"> PAGE </w:instrText>
    </w:r>
    <w:r>
      <w:rPr>
        <w:rStyle w:val="PageNumber"/>
      </w:rPr>
      <w:fldChar w:fldCharType="separate"/>
    </w:r>
    <w:r w:rsidR="00F97ED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C4223" w14:textId="77777777" w:rsidR="000955D9" w:rsidRDefault="00095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CD51D" w14:textId="77777777" w:rsidR="008C30B2" w:rsidRDefault="008C30B2">
      <w:pPr>
        <w:rPr>
          <w:sz w:val="20"/>
        </w:rPr>
      </w:pPr>
      <w:r>
        <w:rPr>
          <w:sz w:val="20"/>
        </w:rPr>
        <w:separator/>
      </w:r>
    </w:p>
  </w:footnote>
  <w:footnote w:type="continuationSeparator" w:id="0">
    <w:p w14:paraId="0B7B0D87" w14:textId="77777777" w:rsidR="008C30B2" w:rsidRDefault="008C30B2">
      <w:pPr>
        <w:rPr>
          <w:sz w:val="20"/>
        </w:rPr>
      </w:pPr>
      <w:r>
        <w:rPr>
          <w:sz w:val="20"/>
        </w:rPr>
        <w:separator/>
      </w:r>
    </w:p>
    <w:p w14:paraId="0AC2A473" w14:textId="77777777" w:rsidR="008C30B2" w:rsidRDefault="008C30B2">
      <w:pPr>
        <w:rPr>
          <w:sz w:val="20"/>
        </w:rPr>
      </w:pPr>
      <w:r>
        <w:rPr>
          <w:sz w:val="20"/>
        </w:rPr>
        <w:t>(...continued from previous page)</w:t>
      </w:r>
    </w:p>
  </w:footnote>
  <w:footnote w:type="continuationNotice" w:id="1">
    <w:p w14:paraId="6A4B4FC8" w14:textId="77777777" w:rsidR="008C30B2" w:rsidRDefault="008C30B2">
      <w:pPr>
        <w:jc w:val="right"/>
        <w:rPr>
          <w:sz w:val="20"/>
        </w:rPr>
      </w:pPr>
      <w:r>
        <w:rPr>
          <w:sz w:val="20"/>
        </w:rPr>
        <w:t>(continued....)</w:t>
      </w:r>
    </w:p>
  </w:footnote>
  <w:footnote w:id="2">
    <w:p w14:paraId="30B530C5" w14:textId="77777777" w:rsidR="00D40DBF" w:rsidRPr="00D40DBF" w:rsidRDefault="00D40DBF" w:rsidP="00CE4AC4">
      <w:pPr>
        <w:pStyle w:val="FootnoteText"/>
        <w:jc w:val="left"/>
      </w:pPr>
      <w:r>
        <w:rPr>
          <w:rStyle w:val="FootnoteReference"/>
        </w:rPr>
        <w:footnoteRef/>
      </w:r>
      <w:r>
        <w:t xml:space="preserve"> </w:t>
      </w:r>
      <w:r>
        <w:rPr>
          <w:i/>
        </w:rPr>
        <w:t>See</w:t>
      </w:r>
      <w:r>
        <w:t xml:space="preserve"> </w:t>
      </w:r>
      <w:r>
        <w:rPr>
          <w:i/>
        </w:rPr>
        <w:t>Lifeline and Link Up Reform and Modernization</w:t>
      </w:r>
      <w:r w:rsidR="00386E16">
        <w:rPr>
          <w:i/>
        </w:rPr>
        <w:t>,</w:t>
      </w:r>
      <w:r>
        <w:rPr>
          <w:i/>
        </w:rPr>
        <w:t xml:space="preserve"> et al.</w:t>
      </w:r>
      <w:r>
        <w:t>, WC Docket No. 11-42</w:t>
      </w:r>
      <w:r w:rsidR="00386E16">
        <w:t>,</w:t>
      </w:r>
      <w:r>
        <w:t xml:space="preserve"> et al., Second Further Notice of Proposed Rulemaking, Order on Reconsideration, Second Report and Order, and Memorandum Opinion and Order</w:t>
      </w:r>
      <w:r w:rsidR="00C94E60">
        <w:t xml:space="preserve">, </w:t>
      </w:r>
      <w:r w:rsidR="00160EA9">
        <w:t>30 FCC Rcd 7818, 7891</w:t>
      </w:r>
      <w:r w:rsidR="00550AC3">
        <w:t>-97</w:t>
      </w:r>
      <w:r w:rsidR="00160EA9">
        <w:t>, paras</w:t>
      </w:r>
      <w:r w:rsidR="00550AC3">
        <w:t>. 224-37</w:t>
      </w:r>
      <w:r>
        <w:t xml:space="preserve"> (2015)</w:t>
      </w:r>
      <w:r w:rsidR="00A60DB7">
        <w:t xml:space="preserve"> (</w:t>
      </w:r>
      <w:r w:rsidR="00160EA9">
        <w:rPr>
          <w:i/>
        </w:rPr>
        <w:t>Order on Reconsideration</w:t>
      </w:r>
      <w:r w:rsidR="00A60DB7">
        <w:t>)</w:t>
      </w:r>
      <w:r>
        <w:t>.</w:t>
      </w:r>
    </w:p>
  </w:footnote>
  <w:footnote w:id="3">
    <w:p w14:paraId="321CD51A" w14:textId="74B8B0B2" w:rsidR="00550AC3" w:rsidRPr="00550AC3" w:rsidRDefault="00550AC3" w:rsidP="00CE4AC4">
      <w:pPr>
        <w:pStyle w:val="FootnoteText"/>
        <w:jc w:val="left"/>
      </w:pPr>
      <w:r>
        <w:rPr>
          <w:rStyle w:val="FootnoteReference"/>
        </w:rPr>
        <w:footnoteRef/>
      </w:r>
      <w:r>
        <w:t xml:space="preserve"> Petition of CTIA – The Wireless Association for Partial Reconsideration of the Commission’s </w:t>
      </w:r>
      <w:r>
        <w:rPr>
          <w:i/>
        </w:rPr>
        <w:t>Order on Reconsideration</w:t>
      </w:r>
      <w:r>
        <w:t xml:space="preserve">, WC Docket No. 11-42 et al., (filed Aug. 13, 2015), </w:t>
      </w:r>
      <w:hyperlink r:id="rId1" w:history="1">
        <w:r w:rsidRPr="002A6808">
          <w:rPr>
            <w:rStyle w:val="Hyperlink"/>
          </w:rPr>
          <w:t>http://apps.fcc.gov/ecfs/document/view?id=60001121721</w:t>
        </w:r>
      </w:hyperlink>
      <w:r>
        <w:t xml:space="preserve"> (CTIA Petition).</w:t>
      </w:r>
    </w:p>
  </w:footnote>
  <w:footnote w:id="4">
    <w:p w14:paraId="172810A1" w14:textId="77777777" w:rsidR="00B24AE2" w:rsidRPr="00B24AE2" w:rsidRDefault="00B24AE2" w:rsidP="00CE4AC4">
      <w:pPr>
        <w:pStyle w:val="FootnoteText"/>
        <w:jc w:val="left"/>
      </w:pPr>
      <w:r>
        <w:rPr>
          <w:rStyle w:val="FootnoteReference"/>
        </w:rPr>
        <w:footnoteRef/>
      </w:r>
      <w:r>
        <w:t xml:space="preserve"> </w:t>
      </w:r>
      <w:r>
        <w:rPr>
          <w:i/>
        </w:rPr>
        <w:t>Petitions for Reconsideration of Action in Rulemaking Proceedings</w:t>
      </w:r>
      <w:r>
        <w:t xml:space="preserve">, </w:t>
      </w:r>
      <w:r w:rsidR="003B5622">
        <w:t>Report No. 3027, Public Notice</w:t>
      </w:r>
      <w:r w:rsidR="00386C8C">
        <w:t xml:space="preserve"> </w:t>
      </w:r>
      <w:r w:rsidR="00CE4AC4">
        <w:t>(2015)</w:t>
      </w:r>
      <w:r>
        <w:t>.</w:t>
      </w:r>
    </w:p>
  </w:footnote>
  <w:footnote w:id="5">
    <w:p w14:paraId="77129D38" w14:textId="77777777" w:rsidR="00BD7F6A" w:rsidRPr="00BD7F6A" w:rsidRDefault="00BD7F6A" w:rsidP="00CE4AC4">
      <w:pPr>
        <w:pStyle w:val="FootnoteText"/>
        <w:jc w:val="left"/>
        <w:rPr>
          <w:i/>
        </w:rPr>
      </w:pPr>
      <w:r>
        <w:rPr>
          <w:rStyle w:val="FootnoteReference"/>
        </w:rPr>
        <w:footnoteRef/>
      </w:r>
      <w:r>
        <w:t xml:space="preserve"> </w:t>
      </w:r>
      <w:r>
        <w:rPr>
          <w:i/>
        </w:rPr>
        <w:t>See id.</w:t>
      </w:r>
    </w:p>
  </w:footnote>
  <w:footnote w:id="6">
    <w:p w14:paraId="2026580B" w14:textId="77777777" w:rsidR="00CE4AC4" w:rsidRPr="00CE4AC4" w:rsidRDefault="00CE4AC4" w:rsidP="00CE4AC4">
      <w:pPr>
        <w:pStyle w:val="FootnoteText"/>
        <w:jc w:val="left"/>
      </w:pPr>
      <w:r>
        <w:rPr>
          <w:rStyle w:val="FootnoteReference"/>
        </w:rPr>
        <w:footnoteRef/>
      </w:r>
      <w:r>
        <w:t xml:space="preserve"> </w:t>
      </w:r>
      <w:r>
        <w:rPr>
          <w:i/>
        </w:rPr>
        <w:t xml:space="preserve">See </w:t>
      </w:r>
      <w:r>
        <w:t xml:space="preserve">80 Fed. Reg. 53088 (Sept. 2, 2015).  The initial Federal Register notice was subsequently corrected to reflect the correct date by which parties were required to file replies to oppositions.  </w:t>
      </w:r>
      <w:r>
        <w:rPr>
          <w:i/>
        </w:rPr>
        <w:t xml:space="preserve">See </w:t>
      </w:r>
      <w:r>
        <w:t xml:space="preserve">80 Fed. Reg. 53757 (Sept. 8, 2015).  </w:t>
      </w:r>
      <w:r>
        <w:rPr>
          <w:i/>
        </w:rPr>
        <w:t>See also Wireline Competition Bureau Clarifies Opposition and Reply Deadlines for Petitions for Reconsideration</w:t>
      </w:r>
      <w:r>
        <w:t>, WC Docket Nos. 11-42, et al., Public Notice, DA 15-994 (Wireline Comp. Bur. rel. Sept. 2, 2015).</w:t>
      </w:r>
    </w:p>
  </w:footnote>
  <w:footnote w:id="7">
    <w:p w14:paraId="7A0C6AA5" w14:textId="77777777" w:rsidR="00C10A2B" w:rsidRDefault="00C10A2B" w:rsidP="00C529A7">
      <w:pPr>
        <w:pStyle w:val="FootnoteText"/>
        <w:jc w:val="left"/>
      </w:pPr>
      <w:r>
        <w:rPr>
          <w:rStyle w:val="FootnoteReference"/>
        </w:rPr>
        <w:footnoteRef/>
      </w:r>
      <w:r>
        <w:t xml:space="preserve"> Motion of </w:t>
      </w:r>
      <w:r w:rsidR="003F00AB">
        <w:t xml:space="preserve">Center for </w:t>
      </w:r>
      <w:r w:rsidR="00EE4BC9">
        <w:rPr>
          <w:color w:val="000000"/>
          <w:szCs w:val="22"/>
        </w:rPr>
        <w:t>Democracy &amp; Technology, Free Press, New America Foundation’s Open Technology Institute, and Public Knowledge</w:t>
      </w:r>
      <w:r>
        <w:t xml:space="preserve"> for Extension of Time to </w:t>
      </w:r>
      <w:r w:rsidR="003A54CC">
        <w:t>File Oppositions to CTIA’s Petition for Partial Reconsideration</w:t>
      </w:r>
      <w:r>
        <w:t>, WC Docket No</w:t>
      </w:r>
      <w:r w:rsidR="003A54CC">
        <w:t xml:space="preserve">. 11-42 et al., </w:t>
      </w:r>
      <w:r>
        <w:t xml:space="preserve">(filed </w:t>
      </w:r>
      <w:r w:rsidR="003A54CC">
        <w:t>Sept. 9</w:t>
      </w:r>
      <w:r>
        <w:t>, 2015)</w:t>
      </w:r>
      <w:r w:rsidR="00772DED">
        <w:t xml:space="preserve"> (Motion for Extension)</w:t>
      </w:r>
      <w:r>
        <w:t>.</w:t>
      </w:r>
    </w:p>
  </w:footnote>
  <w:footnote w:id="8">
    <w:p w14:paraId="4964352D" w14:textId="4913295F" w:rsidR="006D460A" w:rsidRDefault="006D460A">
      <w:pPr>
        <w:pStyle w:val="FootnoteText"/>
      </w:pPr>
      <w:r>
        <w:rPr>
          <w:rStyle w:val="FootnoteReference"/>
        </w:rPr>
        <w:footnoteRef/>
      </w:r>
      <w:r>
        <w:t xml:space="preserve"> </w:t>
      </w:r>
      <w:r>
        <w:rPr>
          <w:i/>
        </w:rPr>
        <w:t>See</w:t>
      </w:r>
      <w:r>
        <w:t xml:space="preserve"> </w:t>
      </w:r>
      <w:r>
        <w:rPr>
          <w:i/>
        </w:rPr>
        <w:t xml:space="preserve">Lifeline and Link Up Reform and Modernization, </w:t>
      </w:r>
      <w:r>
        <w:t xml:space="preserve">30 FCC Rcd </w:t>
      </w:r>
      <w:r w:rsidR="00772DED">
        <w:t xml:space="preserve">at </w:t>
      </w:r>
      <w:r>
        <w:t>7827-91, paras. 14-223.</w:t>
      </w:r>
    </w:p>
  </w:footnote>
  <w:footnote w:id="9">
    <w:p w14:paraId="2458D54B" w14:textId="77777777" w:rsidR="003A54CC" w:rsidRDefault="003A54CC">
      <w:pPr>
        <w:pStyle w:val="FootnoteText"/>
      </w:pPr>
      <w:r>
        <w:rPr>
          <w:rStyle w:val="FootnoteReference"/>
        </w:rPr>
        <w:footnoteRef/>
      </w:r>
      <w:r>
        <w:t xml:space="preserve"> </w:t>
      </w:r>
      <w:r w:rsidR="006D460A">
        <w:rPr>
          <w:i/>
        </w:rPr>
        <w:t xml:space="preserve">See </w:t>
      </w:r>
      <w:r w:rsidR="00772DED">
        <w:t>Motion for Extension</w:t>
      </w:r>
      <w:r w:rsidR="006D460A">
        <w:t xml:space="preserve"> at 1</w:t>
      </w:r>
      <w:r>
        <w:rPr>
          <w:i/>
        </w:rPr>
        <w:t>.</w:t>
      </w:r>
    </w:p>
  </w:footnote>
  <w:footnote w:id="10">
    <w:p w14:paraId="7EFB5ED5" w14:textId="77777777" w:rsidR="0084391D" w:rsidRPr="0084391D" w:rsidRDefault="0084391D">
      <w:pPr>
        <w:pStyle w:val="FootnoteText"/>
      </w:pPr>
      <w:r>
        <w:rPr>
          <w:rStyle w:val="FootnoteReference"/>
        </w:rPr>
        <w:footnoteRef/>
      </w:r>
      <w:r>
        <w:t xml:space="preserve"> </w:t>
      </w:r>
      <w:r>
        <w:rPr>
          <w:i/>
        </w:rPr>
        <w:t xml:space="preserve">See id. </w:t>
      </w:r>
      <w:r>
        <w:t>at 1-2.</w:t>
      </w:r>
    </w:p>
  </w:footnote>
  <w:footnote w:id="11">
    <w:p w14:paraId="0C720140" w14:textId="77777777" w:rsidR="00955420" w:rsidRPr="00955420" w:rsidRDefault="00955420" w:rsidP="00955420">
      <w:pPr>
        <w:pStyle w:val="FootnoteText"/>
      </w:pPr>
      <w:r>
        <w:rPr>
          <w:rStyle w:val="FootnoteReference"/>
        </w:rPr>
        <w:footnoteRef/>
      </w:r>
      <w:r>
        <w:t xml:space="preserve"> </w:t>
      </w:r>
      <w:r>
        <w:rPr>
          <w:i/>
        </w:rPr>
        <w:t xml:space="preserve">See </w:t>
      </w:r>
      <w:r>
        <w:t>FCC Public Notice, Certain FCC Databases Will Be Unavailable and Filing Deadlines Will Be Extended in Early September to Accommodate a Significant FCC IT Upgrade, DA 15-940 (Aug. 20, 2015).</w:t>
      </w:r>
    </w:p>
  </w:footnote>
  <w:footnote w:id="12">
    <w:p w14:paraId="0CA6AF12" w14:textId="77777777" w:rsidR="00955420" w:rsidRPr="00955420" w:rsidRDefault="00955420">
      <w:pPr>
        <w:pStyle w:val="FootnoteText"/>
      </w:pPr>
      <w:r>
        <w:rPr>
          <w:rStyle w:val="FootnoteReference"/>
        </w:rPr>
        <w:footnoteRef/>
      </w:r>
      <w:r>
        <w:t xml:space="preserve"> </w:t>
      </w:r>
      <w:r>
        <w:rPr>
          <w:i/>
        </w:rPr>
        <w:t>See</w:t>
      </w:r>
      <w:r>
        <w:t xml:space="preserve"> Motion for Extension at 1-2.</w:t>
      </w:r>
    </w:p>
  </w:footnote>
  <w:footnote w:id="13">
    <w:p w14:paraId="71970F91" w14:textId="77777777" w:rsidR="00F70C0C" w:rsidRDefault="00F70C0C" w:rsidP="00C529A7">
      <w:pPr>
        <w:pStyle w:val="FootnoteText"/>
        <w:jc w:val="left"/>
      </w:pPr>
      <w:r>
        <w:rPr>
          <w:rStyle w:val="FootnoteReference"/>
        </w:rPr>
        <w:footnoteRef/>
      </w:r>
      <w:r>
        <w:t xml:space="preserve"> 47 C.F.R. § 1.46(a).</w:t>
      </w:r>
    </w:p>
  </w:footnote>
  <w:footnote w:id="14">
    <w:p w14:paraId="4B3D1933" w14:textId="7CFD12EB" w:rsidR="00955420" w:rsidRPr="00E71D7C" w:rsidRDefault="00955420">
      <w:pPr>
        <w:pStyle w:val="FootnoteText"/>
      </w:pPr>
      <w:r>
        <w:rPr>
          <w:rStyle w:val="FootnoteReference"/>
        </w:rPr>
        <w:footnoteRef/>
      </w:r>
      <w:r>
        <w:t xml:space="preserve"> </w:t>
      </w:r>
      <w:r>
        <w:rPr>
          <w:i/>
        </w:rPr>
        <w:t xml:space="preserve">Cf. </w:t>
      </w:r>
      <w:r w:rsidRPr="00955420">
        <w:rPr>
          <w:i/>
        </w:rPr>
        <w:t>Implementation of Section 304 of the Telecommunications Act of 1996</w:t>
      </w:r>
      <w:r>
        <w:t xml:space="preserve">, Order, 19 FCC Rcd 1943 (Media Bur. 2004) (extending the section 1.429(f) deadline </w:t>
      </w:r>
      <w:r w:rsidR="00E573E6">
        <w:t xml:space="preserve">where issues in the petition for reconsideration were also discussed in comments and reply comments on a related </w:t>
      </w:r>
      <w:r w:rsidRPr="00955420">
        <w:t>Further Notice of Proposed Rulemaking</w:t>
      </w:r>
      <w:r w:rsidR="00E573E6">
        <w:t xml:space="preserve"> in the same </w:t>
      </w:r>
      <w:r w:rsidRPr="00955420">
        <w:t>proceeding</w:t>
      </w:r>
      <w:r w:rsidR="00E573E6">
        <w:t>)</w:t>
      </w:r>
      <w:r w:rsidR="00E71D7C">
        <w:t xml:space="preserve">; </w:t>
      </w:r>
      <w:r w:rsidR="00E71D7C" w:rsidRPr="001003E3">
        <w:rPr>
          <w:i/>
        </w:rPr>
        <w:t>Amendment of Parts 1, 21, 73, 74 &amp; 101 of the Commission</w:t>
      </w:r>
      <w:r w:rsidR="00E71D7C">
        <w:rPr>
          <w:i/>
        </w:rPr>
        <w:t>’</w:t>
      </w:r>
      <w:r w:rsidR="00E71D7C" w:rsidRPr="001003E3">
        <w:rPr>
          <w:i/>
        </w:rPr>
        <w:t>s Rules to Facilitate the Provision of Fixed &amp; Mobile Broadband Access, Educ. &amp; Other Advanced Servs. in the 2150-2162 &amp; 2500-2690 Mhz Bands</w:t>
      </w:r>
      <w:r w:rsidR="00E71D7C">
        <w:t xml:space="preserve">, Order, </w:t>
      </w:r>
      <w:r w:rsidR="00E71D7C" w:rsidRPr="00E71D7C">
        <w:t>23 FCC Rcd 12018, 12019 (</w:t>
      </w:r>
      <w:r w:rsidR="00E71D7C">
        <w:t xml:space="preserve">Wireless Tel. Bur. </w:t>
      </w:r>
      <w:r w:rsidR="00E71D7C" w:rsidRPr="00E71D7C">
        <w:t>2008)</w:t>
      </w:r>
      <w:r w:rsidR="00E71D7C">
        <w:t xml:space="preserve"> (finding that “providing a limited extension </w:t>
      </w:r>
      <w:r w:rsidR="00E71D7C" w:rsidRPr="00E71D7C">
        <w:t>will serve the public interest by allowing parties to discuss the complex issues at stake and develop consensus approaches where possible</w:t>
      </w:r>
      <w:r w:rsidR="007B01DF">
        <w:t>.</w:t>
      </w:r>
      <w:r w:rsidR="00E71D7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3BA5" w14:textId="77777777" w:rsidR="000955D9" w:rsidRDefault="00095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9D9A" w14:textId="5E920ACE" w:rsidR="005916F1" w:rsidRDefault="005916F1">
    <w:pPr>
      <w:pStyle w:val="Header"/>
      <w:tabs>
        <w:tab w:val="clear" w:pos="4320"/>
        <w:tab w:val="clear" w:pos="8640"/>
        <w:tab w:val="center" w:pos="4680"/>
        <w:tab w:val="right" w:pos="9360"/>
      </w:tabs>
      <w:rPr>
        <w:b/>
      </w:rPr>
    </w:pPr>
    <w:r>
      <w:rPr>
        <w:b/>
      </w:rPr>
      <w:tab/>
      <w:t>Federal Co</w:t>
    </w:r>
    <w:r w:rsidR="004D5EAC">
      <w:rPr>
        <w:b/>
      </w:rPr>
      <w:t>m</w:t>
    </w:r>
    <w:r w:rsidR="00773169">
      <w:rPr>
        <w:b/>
      </w:rPr>
      <w:t>munications Commission</w:t>
    </w:r>
    <w:r w:rsidR="00773169">
      <w:rPr>
        <w:b/>
      </w:rPr>
      <w:tab/>
      <w:t>DA 15-1036</w:t>
    </w:r>
  </w:p>
  <w:p w14:paraId="5E13D7FD" w14:textId="77777777" w:rsidR="005916F1" w:rsidRDefault="00C113F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14D2856" wp14:editId="281128E9">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B47F7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3A51E3D8" w14:textId="77777777" w:rsidR="005916F1" w:rsidRDefault="00591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7E69" w14:textId="6A192303" w:rsidR="005916F1" w:rsidRDefault="005916F1">
    <w:pPr>
      <w:pStyle w:val="Header"/>
      <w:tabs>
        <w:tab w:val="clear" w:pos="4320"/>
        <w:tab w:val="clear" w:pos="8640"/>
        <w:tab w:val="center" w:pos="4680"/>
        <w:tab w:val="right" w:pos="9360"/>
      </w:tabs>
      <w:rPr>
        <w:b/>
      </w:rPr>
    </w:pPr>
    <w:r>
      <w:rPr>
        <w:b/>
      </w:rPr>
      <w:tab/>
      <w:t>Federal Co</w:t>
    </w:r>
    <w:r w:rsidR="00D61F77">
      <w:rPr>
        <w:b/>
      </w:rPr>
      <w:t>m</w:t>
    </w:r>
    <w:r w:rsidR="00773169">
      <w:rPr>
        <w:b/>
      </w:rPr>
      <w:t>munications Commission</w:t>
    </w:r>
    <w:r w:rsidR="00773169">
      <w:rPr>
        <w:b/>
      </w:rPr>
      <w:tab/>
      <w:t>DA 15-1036</w:t>
    </w:r>
  </w:p>
  <w:p w14:paraId="4AAC5C48" w14:textId="77777777" w:rsidR="005916F1" w:rsidRDefault="00C113F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55B38EE" wp14:editId="07A3C47A">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B926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4A1"/>
    <w:multiLevelType w:val="hybridMultilevel"/>
    <w:tmpl w:val="FAD2F974"/>
    <w:lvl w:ilvl="0" w:tplc="19D69C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2862E2"/>
    <w:multiLevelType w:val="hybridMultilevel"/>
    <w:tmpl w:val="18F259F0"/>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3C4E4A59"/>
    <w:multiLevelType w:val="hybridMultilevel"/>
    <w:tmpl w:val="0D4674E0"/>
    <w:lvl w:ilvl="0" w:tplc="58088F32">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F1B3D"/>
    <w:multiLevelType w:val="multilevel"/>
    <w:tmpl w:val="D260579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AA9411B"/>
    <w:multiLevelType w:val="hybridMultilevel"/>
    <w:tmpl w:val="41FCAB0C"/>
    <w:lvl w:ilvl="0" w:tplc="404653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82925"/>
    <w:multiLevelType w:val="singleLevel"/>
    <w:tmpl w:val="D180CED0"/>
    <w:lvl w:ilvl="0">
      <w:start w:val="1"/>
      <w:numFmt w:val="decimal"/>
      <w:pStyle w:val="ParaNumChar1"/>
      <w:lvlText w:val="%1."/>
      <w:lvlJc w:val="left"/>
      <w:pPr>
        <w:tabs>
          <w:tab w:val="num" w:pos="1080"/>
        </w:tabs>
        <w:ind w:left="0" w:firstLine="720"/>
      </w:pPr>
    </w:lvl>
  </w:abstractNum>
  <w:num w:numId="1">
    <w:abstractNumId w:val="5"/>
  </w:num>
  <w:num w:numId="2">
    <w:abstractNumId w:val="6"/>
  </w:num>
  <w:num w:numId="3">
    <w:abstractNumId w:val="3"/>
  </w:num>
  <w:num w:numId="4">
    <w:abstractNumId w:val="4"/>
  </w:num>
  <w:num w:numId="5">
    <w:abstractNumId w:val="8"/>
  </w:num>
  <w:num w:numId="6">
    <w:abstractNumId w:val="1"/>
  </w:num>
  <w:num w:numId="7">
    <w:abstractNumId w:val="3"/>
  </w:num>
  <w:num w:numId="8">
    <w:abstractNumId w:val="3"/>
  </w:num>
  <w:num w:numId="9">
    <w:abstractNumId w:val="3"/>
  </w:num>
  <w:num w:numId="10">
    <w:abstractNumId w:val="3"/>
  </w:num>
  <w:num w:numId="11">
    <w:abstractNumId w:val="5"/>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2"/>
  </w:num>
  <w:num w:numId="21">
    <w:abstractNumId w:val="0"/>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77"/>
    <w:rsid w:val="000063E1"/>
    <w:rsid w:val="0008064A"/>
    <w:rsid w:val="000955D9"/>
    <w:rsid w:val="000F0D0C"/>
    <w:rsid w:val="001003E3"/>
    <w:rsid w:val="001315E2"/>
    <w:rsid w:val="00160EA9"/>
    <w:rsid w:val="00166907"/>
    <w:rsid w:val="001A3BAF"/>
    <w:rsid w:val="001C4868"/>
    <w:rsid w:val="001E3E5C"/>
    <w:rsid w:val="001F6035"/>
    <w:rsid w:val="00237CF3"/>
    <w:rsid w:val="00310FE3"/>
    <w:rsid w:val="00317A14"/>
    <w:rsid w:val="0033274F"/>
    <w:rsid w:val="0034026E"/>
    <w:rsid w:val="003625D3"/>
    <w:rsid w:val="00386C8C"/>
    <w:rsid w:val="00386E16"/>
    <w:rsid w:val="003A54CC"/>
    <w:rsid w:val="003B5622"/>
    <w:rsid w:val="003B652A"/>
    <w:rsid w:val="003E03A9"/>
    <w:rsid w:val="003E7079"/>
    <w:rsid w:val="003F00AB"/>
    <w:rsid w:val="004323C0"/>
    <w:rsid w:val="004D5EAC"/>
    <w:rsid w:val="004F0A3D"/>
    <w:rsid w:val="00510C8D"/>
    <w:rsid w:val="00550AC3"/>
    <w:rsid w:val="005916F1"/>
    <w:rsid w:val="006602B9"/>
    <w:rsid w:val="00694AC1"/>
    <w:rsid w:val="006A714E"/>
    <w:rsid w:val="006B0213"/>
    <w:rsid w:val="006D460A"/>
    <w:rsid w:val="00772DED"/>
    <w:rsid w:val="00773169"/>
    <w:rsid w:val="00781BEC"/>
    <w:rsid w:val="007B01DF"/>
    <w:rsid w:val="007F1CED"/>
    <w:rsid w:val="0084391D"/>
    <w:rsid w:val="008C30B2"/>
    <w:rsid w:val="008E1848"/>
    <w:rsid w:val="008F3859"/>
    <w:rsid w:val="009211D4"/>
    <w:rsid w:val="00921E51"/>
    <w:rsid w:val="00955420"/>
    <w:rsid w:val="00970E31"/>
    <w:rsid w:val="009B5BE0"/>
    <w:rsid w:val="00A60DB7"/>
    <w:rsid w:val="00A82122"/>
    <w:rsid w:val="00A82CD1"/>
    <w:rsid w:val="00A90AD3"/>
    <w:rsid w:val="00AA6E31"/>
    <w:rsid w:val="00AD5DAD"/>
    <w:rsid w:val="00AE5BFF"/>
    <w:rsid w:val="00AE7BCB"/>
    <w:rsid w:val="00B0556E"/>
    <w:rsid w:val="00B24AE2"/>
    <w:rsid w:val="00B44AAF"/>
    <w:rsid w:val="00B46826"/>
    <w:rsid w:val="00BC0DB2"/>
    <w:rsid w:val="00BD7F6A"/>
    <w:rsid w:val="00C10A2B"/>
    <w:rsid w:val="00C113FF"/>
    <w:rsid w:val="00C529A7"/>
    <w:rsid w:val="00C708D3"/>
    <w:rsid w:val="00C94E60"/>
    <w:rsid w:val="00CE4AC4"/>
    <w:rsid w:val="00D0169B"/>
    <w:rsid w:val="00D40DBF"/>
    <w:rsid w:val="00D45654"/>
    <w:rsid w:val="00D61F77"/>
    <w:rsid w:val="00DC7793"/>
    <w:rsid w:val="00E11759"/>
    <w:rsid w:val="00E178D4"/>
    <w:rsid w:val="00E226D6"/>
    <w:rsid w:val="00E573E6"/>
    <w:rsid w:val="00E71D7C"/>
    <w:rsid w:val="00EE4BC9"/>
    <w:rsid w:val="00EE6B56"/>
    <w:rsid w:val="00F70C0C"/>
    <w:rsid w:val="00F73F1F"/>
    <w:rsid w:val="00F90019"/>
    <w:rsid w:val="00F9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407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 w:type="character" w:styleId="CommentReference">
    <w:name w:val="annotation reference"/>
    <w:rsid w:val="001A3BAF"/>
    <w:rPr>
      <w:sz w:val="16"/>
      <w:szCs w:val="16"/>
    </w:rPr>
  </w:style>
  <w:style w:type="paragraph" w:styleId="CommentText">
    <w:name w:val="annotation text"/>
    <w:basedOn w:val="Normal"/>
    <w:link w:val="CommentTextChar"/>
    <w:rsid w:val="001A3BAF"/>
    <w:rPr>
      <w:sz w:val="20"/>
    </w:rPr>
  </w:style>
  <w:style w:type="character" w:customStyle="1" w:styleId="CommentTextChar">
    <w:name w:val="Comment Text Char"/>
    <w:basedOn w:val="DefaultParagraphFont"/>
    <w:link w:val="CommentText"/>
    <w:rsid w:val="001A3BAF"/>
  </w:style>
  <w:style w:type="paragraph" w:styleId="CommentSubject">
    <w:name w:val="annotation subject"/>
    <w:basedOn w:val="CommentText"/>
    <w:next w:val="CommentText"/>
    <w:link w:val="CommentSubjectChar"/>
    <w:rsid w:val="001A3BAF"/>
    <w:rPr>
      <w:b/>
      <w:bCs/>
    </w:rPr>
  </w:style>
  <w:style w:type="character" w:customStyle="1" w:styleId="CommentSubjectChar">
    <w:name w:val="Comment Subject Char"/>
    <w:link w:val="CommentSubject"/>
    <w:rsid w:val="001A3BAF"/>
    <w:rPr>
      <w:b/>
      <w:bCs/>
    </w:rPr>
  </w:style>
  <w:style w:type="character" w:styleId="Hyperlink">
    <w:name w:val="Hyperlink"/>
    <w:rsid w:val="00550AC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3">
    <w:name w:val="Footnote Text Char3"/>
    <w:aliases w:val="Footnote Text Char1 Char,Footnote Text Char1 Char Char Char1,Footnote Text Char Char Char,Footnote Text Char1 Char1 Char,ALTS FOOTNOTE Char,fn Char,Footnote Text Char2 Char,Footnote Text Char2 Char Char Char,Footnote Text Char Char1"/>
    <w:link w:val="FootnoteText"/>
    <w:semiHidden/>
    <w:rPr>
      <w:lang w:val="en-US" w:eastAsia="en-US" w:bidi="ar-SA"/>
    </w:rPr>
  </w:style>
  <w:style w:type="paragraph" w:customStyle="1" w:styleId="ParaNumChar1">
    <w:name w:val="ParaNum Char1"/>
    <w:basedOn w:val="Normal"/>
    <w:pPr>
      <w:widowControl w:val="0"/>
      <w:numPr>
        <w:numId w:val="5"/>
      </w:numPr>
      <w:spacing w:after="220"/>
      <w:jc w:val="both"/>
    </w:pPr>
    <w:rPr>
      <w:snapToGrid w:val="0"/>
      <w:kern w:val="28"/>
    </w:rPr>
  </w:style>
  <w:style w:type="character" w:customStyle="1" w:styleId="documentbody1">
    <w:name w:val="documentbody1"/>
    <w:rPr>
      <w:rFonts w:ascii="Verdana" w:hAnsi="Verdana" w:hint="default"/>
      <w:sz w:val="19"/>
      <w:szCs w:val="19"/>
      <w:shd w:val="clear" w:color="auto" w:fill="FFFFFF"/>
    </w:rPr>
  </w:style>
  <w:style w:type="paragraph" w:styleId="EndnoteText">
    <w:name w:val="endnote text"/>
    <w:basedOn w:val="Normal"/>
    <w:semiHidden/>
    <w:pPr>
      <w:widowControl w:val="0"/>
    </w:pPr>
    <w:rPr>
      <w:rFonts w:ascii="Courier" w:hAnsi="Courier"/>
      <w:snapToGrid w:val="0"/>
      <w:sz w:val="24"/>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pPr>
    <w:rPr>
      <w:snapToGrid w:val="0"/>
      <w:kern w:val="28"/>
    </w:rPr>
  </w:style>
  <w:style w:type="paragraph" w:customStyle="1" w:styleId="StyleBoldCentered">
    <w:name w:val="Style Bold Centered"/>
    <w:basedOn w:val="Normal"/>
    <w:pPr>
      <w:widowControl w:val="0"/>
      <w:jc w:val="center"/>
    </w:pPr>
    <w:rPr>
      <w:rFonts w:ascii="Times New Roman Bold" w:hAnsi="Times New Roman Bold"/>
      <w:b/>
      <w:bCs/>
      <w:caps/>
      <w:snapToGrid w:val="0"/>
      <w:kern w:val="28"/>
      <w:szCs w:val="22"/>
    </w:rPr>
  </w:style>
  <w:style w:type="character" w:styleId="CommentReference">
    <w:name w:val="annotation reference"/>
    <w:rsid w:val="001A3BAF"/>
    <w:rPr>
      <w:sz w:val="16"/>
      <w:szCs w:val="16"/>
    </w:rPr>
  </w:style>
  <w:style w:type="paragraph" w:styleId="CommentText">
    <w:name w:val="annotation text"/>
    <w:basedOn w:val="Normal"/>
    <w:link w:val="CommentTextChar"/>
    <w:rsid w:val="001A3BAF"/>
    <w:rPr>
      <w:sz w:val="20"/>
    </w:rPr>
  </w:style>
  <w:style w:type="character" w:customStyle="1" w:styleId="CommentTextChar">
    <w:name w:val="Comment Text Char"/>
    <w:basedOn w:val="DefaultParagraphFont"/>
    <w:link w:val="CommentText"/>
    <w:rsid w:val="001A3BAF"/>
  </w:style>
  <w:style w:type="paragraph" w:styleId="CommentSubject">
    <w:name w:val="annotation subject"/>
    <w:basedOn w:val="CommentText"/>
    <w:next w:val="CommentText"/>
    <w:link w:val="CommentSubjectChar"/>
    <w:rsid w:val="001A3BAF"/>
    <w:rPr>
      <w:b/>
      <w:bCs/>
    </w:rPr>
  </w:style>
  <w:style w:type="character" w:customStyle="1" w:styleId="CommentSubjectChar">
    <w:name w:val="Comment Subject Char"/>
    <w:link w:val="CommentSubject"/>
    <w:rsid w:val="001A3BAF"/>
    <w:rPr>
      <w:b/>
      <w:bCs/>
    </w:rPr>
  </w:style>
  <w:style w:type="character" w:styleId="Hyperlink">
    <w:name w:val="Hyperlink"/>
    <w:rsid w:val="00550A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91094">
      <w:bodyDiv w:val="1"/>
      <w:marLeft w:val="0"/>
      <w:marRight w:val="0"/>
      <w:marTop w:val="0"/>
      <w:marBottom w:val="0"/>
      <w:divBdr>
        <w:top w:val="none" w:sz="0" w:space="0" w:color="auto"/>
        <w:left w:val="none" w:sz="0" w:space="0" w:color="auto"/>
        <w:bottom w:val="none" w:sz="0" w:space="0" w:color="auto"/>
        <w:right w:val="none" w:sz="0" w:space="0" w:color="auto"/>
      </w:divBdr>
      <w:divsChild>
        <w:div w:id="114131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1121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3808</Characters>
  <Application>Microsoft Office Word</Application>
  <DocSecurity>0</DocSecurity>
  <Lines>98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4483</CharactersWithSpaces>
  <SharedDoc>false</SharedDoc>
  <HyperlinkBase> </HyperlinkBase>
  <HLinks>
    <vt:vector size="6" baseType="variant">
      <vt:variant>
        <vt:i4>5898307</vt:i4>
      </vt:variant>
      <vt:variant>
        <vt:i4>0</vt:i4>
      </vt:variant>
      <vt:variant>
        <vt:i4>0</vt:i4>
      </vt:variant>
      <vt:variant>
        <vt:i4>5</vt:i4>
      </vt:variant>
      <vt:variant>
        <vt:lpwstr>http://apps.fcc.gov/ecfs/document/view?id=60001121721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2015-09-16T15:49:00Z</dcterms:created>
  <dcterms:modified xsi:type="dcterms:W3CDTF">2015-09-16T15:49:00Z</dcterms:modified>
  <cp:category> </cp:category>
  <cp:contentStatus> </cp:contentStatus>
</cp:coreProperties>
</file>