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8F" w:rsidRDefault="005C2E8F">
      <w:pPr>
        <w:pStyle w:val="Title"/>
      </w:pPr>
      <w:bookmarkStart w:id="0" w:name="_GoBack"/>
      <w:bookmarkEnd w:id="0"/>
      <w:r>
        <w:t>Before the</w:t>
      </w:r>
    </w:p>
    <w:p w:rsidR="005C2E8F" w:rsidRDefault="005C2E8F">
      <w:pPr>
        <w:pStyle w:val="Title"/>
      </w:pPr>
      <w:r>
        <w:t>Federal Communications Commission</w:t>
      </w:r>
    </w:p>
    <w:p w:rsidR="005C2E8F" w:rsidRDefault="005C2E8F">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5C2E8F" w:rsidRDefault="005C2E8F">
      <w:pPr>
        <w:pStyle w:val="EndnoteText"/>
        <w:tabs>
          <w:tab w:val="left" w:pos="-720"/>
        </w:tabs>
        <w:suppressAutoHyphens/>
        <w:spacing w:line="227" w:lineRule="auto"/>
        <w:rPr>
          <w:spacing w:val="-2"/>
        </w:rPr>
      </w:pPr>
    </w:p>
    <w:p w:rsidR="005C2E8F" w:rsidRDefault="005C2E8F">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5C2E8F">
        <w:tc>
          <w:tcPr>
            <w:tcW w:w="4698" w:type="dxa"/>
          </w:tcPr>
          <w:p w:rsidR="005C2E8F" w:rsidRDefault="005C2E8F">
            <w:pPr>
              <w:tabs>
                <w:tab w:val="center" w:pos="4680"/>
              </w:tabs>
              <w:suppressAutoHyphens/>
              <w:rPr>
                <w:spacing w:val="-2"/>
              </w:rPr>
            </w:pPr>
            <w:r>
              <w:rPr>
                <w:spacing w:val="-2"/>
              </w:rPr>
              <w:t>In the Matter of</w:t>
            </w:r>
          </w:p>
          <w:p w:rsidR="005C2E8F" w:rsidRDefault="005C2E8F">
            <w:pPr>
              <w:tabs>
                <w:tab w:val="center" w:pos="4680"/>
              </w:tabs>
              <w:suppressAutoHyphens/>
              <w:rPr>
                <w:spacing w:val="-2"/>
              </w:rPr>
            </w:pPr>
          </w:p>
          <w:p w:rsidR="005C2E8F" w:rsidRDefault="00BD46F4" w:rsidP="00BD46F4">
            <w:r>
              <w:t>Rates for Interstate Inmate Calling Services</w:t>
            </w:r>
          </w:p>
        </w:tc>
        <w:tc>
          <w:tcPr>
            <w:tcW w:w="630" w:type="dxa"/>
          </w:tcPr>
          <w:p w:rsidR="005C2E8F" w:rsidRDefault="005C2E8F">
            <w:pPr>
              <w:tabs>
                <w:tab w:val="center" w:pos="4680"/>
              </w:tabs>
              <w:suppressAutoHyphens/>
              <w:rPr>
                <w:b/>
                <w:spacing w:val="-2"/>
              </w:rPr>
            </w:pPr>
            <w:r>
              <w:rPr>
                <w:b/>
                <w:spacing w:val="-2"/>
              </w:rPr>
              <w:t>)</w:t>
            </w:r>
          </w:p>
          <w:p w:rsidR="005C2E8F" w:rsidRDefault="005C2E8F">
            <w:pPr>
              <w:tabs>
                <w:tab w:val="center" w:pos="4680"/>
              </w:tabs>
              <w:suppressAutoHyphens/>
              <w:rPr>
                <w:b/>
                <w:spacing w:val="-2"/>
              </w:rPr>
            </w:pPr>
            <w:r>
              <w:rPr>
                <w:b/>
                <w:spacing w:val="-2"/>
              </w:rPr>
              <w:t>)</w:t>
            </w:r>
          </w:p>
          <w:p w:rsidR="005C2E8F" w:rsidRDefault="005C2E8F">
            <w:pPr>
              <w:tabs>
                <w:tab w:val="center" w:pos="4680"/>
              </w:tabs>
              <w:suppressAutoHyphens/>
              <w:rPr>
                <w:b/>
                <w:spacing w:val="-2"/>
              </w:rPr>
            </w:pPr>
            <w:r>
              <w:rPr>
                <w:b/>
                <w:spacing w:val="-2"/>
              </w:rPr>
              <w:t>)</w:t>
            </w:r>
          </w:p>
          <w:p w:rsidR="005C2E8F" w:rsidRDefault="005C2E8F">
            <w:pPr>
              <w:tabs>
                <w:tab w:val="center" w:pos="4680"/>
              </w:tabs>
              <w:suppressAutoHyphens/>
              <w:rPr>
                <w:b/>
                <w:spacing w:val="-2"/>
              </w:rPr>
            </w:pPr>
            <w:r>
              <w:rPr>
                <w:b/>
                <w:spacing w:val="-2"/>
              </w:rPr>
              <w:t>)</w:t>
            </w:r>
          </w:p>
          <w:p w:rsidR="005C2E8F" w:rsidRDefault="005C2E8F">
            <w:pPr>
              <w:tabs>
                <w:tab w:val="center" w:pos="4680"/>
              </w:tabs>
              <w:suppressAutoHyphens/>
              <w:rPr>
                <w:spacing w:val="-2"/>
              </w:rPr>
            </w:pPr>
          </w:p>
        </w:tc>
        <w:tc>
          <w:tcPr>
            <w:tcW w:w="4248" w:type="dxa"/>
          </w:tcPr>
          <w:p w:rsidR="005C2E8F" w:rsidRDefault="005C2E8F">
            <w:pPr>
              <w:tabs>
                <w:tab w:val="center" w:pos="4680"/>
              </w:tabs>
              <w:suppressAutoHyphens/>
              <w:rPr>
                <w:spacing w:val="-2"/>
              </w:rPr>
            </w:pPr>
          </w:p>
          <w:p w:rsidR="005C2E8F" w:rsidRDefault="005C2E8F">
            <w:pPr>
              <w:tabs>
                <w:tab w:val="center" w:pos="4680"/>
              </w:tabs>
              <w:suppressAutoHyphens/>
              <w:rPr>
                <w:spacing w:val="-2"/>
              </w:rPr>
            </w:pPr>
          </w:p>
          <w:p w:rsidR="005C2E8F" w:rsidRDefault="00574B6E">
            <w:pPr>
              <w:tabs>
                <w:tab w:val="center" w:pos="4680"/>
              </w:tabs>
              <w:suppressAutoHyphens/>
              <w:rPr>
                <w:spacing w:val="-2"/>
              </w:rPr>
            </w:pPr>
            <w:r>
              <w:rPr>
                <w:spacing w:val="-2"/>
              </w:rPr>
              <w:t>WC Docket No. 12-375</w:t>
            </w:r>
          </w:p>
          <w:p w:rsidR="005C2E8F" w:rsidRDefault="005C2E8F" w:rsidP="00BD46F4">
            <w:pPr>
              <w:tabs>
                <w:tab w:val="center" w:pos="4680"/>
              </w:tabs>
              <w:suppressAutoHyphens/>
              <w:rPr>
                <w:spacing w:val="-2"/>
              </w:rPr>
            </w:pPr>
          </w:p>
        </w:tc>
      </w:tr>
    </w:tbl>
    <w:p w:rsidR="005C2E8F" w:rsidRDefault="005C2E8F">
      <w:pPr>
        <w:tabs>
          <w:tab w:val="left" w:pos="-720"/>
        </w:tabs>
        <w:suppressAutoHyphens/>
        <w:spacing w:line="227" w:lineRule="auto"/>
        <w:rPr>
          <w:spacing w:val="-2"/>
        </w:rPr>
      </w:pPr>
    </w:p>
    <w:p w:rsidR="005C2E8F" w:rsidRDefault="005C2E8F">
      <w:pPr>
        <w:pStyle w:val="Title"/>
      </w:pPr>
      <w:r>
        <w:fldChar w:fldCharType="begin"/>
      </w:r>
      <w:r>
        <w:instrText xml:space="preserve"> AUTOTEXTLIST  \* MERGEFORMAT </w:instrText>
      </w:r>
      <w:r>
        <w:fldChar w:fldCharType="separate"/>
      </w:r>
      <w:r>
        <w:t>ORDER</w:t>
      </w:r>
      <w:r>
        <w:fldChar w:fldCharType="end"/>
      </w:r>
    </w:p>
    <w:p w:rsidR="005C2E8F" w:rsidRDefault="005C2E8F">
      <w:pPr>
        <w:pStyle w:val="FootnoteText"/>
      </w:pPr>
    </w:p>
    <w:p w:rsidR="005C2E8F" w:rsidRDefault="005A7D32">
      <w:pPr>
        <w:tabs>
          <w:tab w:val="left" w:pos="720"/>
          <w:tab w:val="left" w:pos="5760"/>
        </w:tabs>
        <w:suppressAutoHyphens/>
        <w:spacing w:line="227" w:lineRule="auto"/>
        <w:rPr>
          <w:b/>
          <w:spacing w:val="-2"/>
        </w:rPr>
      </w:pPr>
      <w:r>
        <w:rPr>
          <w:b/>
          <w:spacing w:val="-2"/>
        </w:rPr>
        <w:t xml:space="preserve">Adopted:  </w:t>
      </w:r>
      <w:r w:rsidR="00106AA3">
        <w:rPr>
          <w:b/>
          <w:spacing w:val="-2"/>
        </w:rPr>
        <w:t>September</w:t>
      </w:r>
      <w:r w:rsidR="007D50FD">
        <w:rPr>
          <w:b/>
          <w:spacing w:val="-2"/>
        </w:rPr>
        <w:t xml:space="preserve"> </w:t>
      </w:r>
      <w:r w:rsidR="00EF1DD8">
        <w:rPr>
          <w:b/>
          <w:spacing w:val="-2"/>
        </w:rPr>
        <w:t>21</w:t>
      </w:r>
      <w:r w:rsidR="007B3C34">
        <w:rPr>
          <w:b/>
          <w:spacing w:val="-2"/>
        </w:rPr>
        <w:t>,</w:t>
      </w:r>
      <w:r w:rsidR="005C2E8F">
        <w:rPr>
          <w:b/>
          <w:spacing w:val="-2"/>
        </w:rPr>
        <w:t xml:space="preserve"> 20</w:t>
      </w:r>
      <w:r>
        <w:rPr>
          <w:b/>
          <w:spacing w:val="-2"/>
        </w:rPr>
        <w:t>15</w:t>
      </w:r>
      <w:r w:rsidR="005C2E8F">
        <w:rPr>
          <w:spacing w:val="-2"/>
        </w:rPr>
        <w:tab/>
      </w:r>
      <w:r w:rsidR="00D4246D">
        <w:rPr>
          <w:spacing w:val="-2"/>
        </w:rPr>
        <w:tab/>
      </w:r>
      <w:r w:rsidR="005C2E8F">
        <w:rPr>
          <w:b/>
          <w:spacing w:val="-2"/>
        </w:rPr>
        <w:t xml:space="preserve">Released:  </w:t>
      </w:r>
      <w:r w:rsidR="00106AA3" w:rsidRPr="007B3C34">
        <w:rPr>
          <w:b/>
          <w:spacing w:val="-2"/>
        </w:rPr>
        <w:t>September</w:t>
      </w:r>
      <w:r w:rsidR="007B3C34" w:rsidRPr="007B3C34">
        <w:rPr>
          <w:b/>
          <w:spacing w:val="-2"/>
        </w:rPr>
        <w:t xml:space="preserve"> </w:t>
      </w:r>
      <w:r w:rsidR="00EF1DD8">
        <w:rPr>
          <w:b/>
          <w:spacing w:val="-2"/>
        </w:rPr>
        <w:t>21</w:t>
      </w:r>
      <w:r w:rsidR="007B3C34">
        <w:rPr>
          <w:b/>
          <w:spacing w:val="-2"/>
        </w:rPr>
        <w:t xml:space="preserve">, </w:t>
      </w:r>
      <w:r>
        <w:rPr>
          <w:b/>
          <w:spacing w:val="-2"/>
        </w:rPr>
        <w:t>2015</w:t>
      </w:r>
    </w:p>
    <w:p w:rsidR="005C2E8F" w:rsidRDefault="005C2E8F"/>
    <w:p w:rsidR="005C2E8F" w:rsidRDefault="005C2E8F">
      <w:pPr>
        <w:rPr>
          <w:spacing w:val="-2"/>
        </w:rPr>
      </w:pPr>
      <w:r>
        <w:t xml:space="preserve">By the </w:t>
      </w:r>
      <w:r w:rsidRPr="009C2E24">
        <w:t>Chief,</w:t>
      </w:r>
      <w:r>
        <w:t xml:space="preserve"> </w:t>
      </w:r>
      <w:r w:rsidR="00574B6E">
        <w:t>Wireline Competition Bureau</w:t>
      </w:r>
      <w:r>
        <w:rPr>
          <w:spacing w:val="-2"/>
        </w:rPr>
        <w:t>:</w:t>
      </w:r>
    </w:p>
    <w:p w:rsidR="005C2E8F" w:rsidRDefault="005C2E8F">
      <w:pPr>
        <w:rPr>
          <w:spacing w:val="-2"/>
        </w:rPr>
      </w:pPr>
    </w:p>
    <w:p w:rsidR="001F7EA1" w:rsidRPr="00AC147A" w:rsidRDefault="001F7EA1" w:rsidP="00AC147A">
      <w:pPr>
        <w:pStyle w:val="Heading1"/>
      </w:pPr>
      <w:r>
        <w:t>background</w:t>
      </w:r>
    </w:p>
    <w:p w:rsidR="006146BF" w:rsidRDefault="00C30325" w:rsidP="00774818">
      <w:pPr>
        <w:pStyle w:val="ParaNum"/>
      </w:pPr>
      <w:r>
        <w:t xml:space="preserve">On December 19, 2013, the Wireline Competition Bureau (Bureau) </w:t>
      </w:r>
      <w:r w:rsidR="00AC147A">
        <w:t>adopted</w:t>
      </w:r>
      <w:r w:rsidR="00857074">
        <w:t xml:space="preserve"> a p</w:t>
      </w:r>
      <w:r>
        <w:t xml:space="preserve">rotective </w:t>
      </w:r>
      <w:r w:rsidR="00857074">
        <w:t>o</w:t>
      </w:r>
      <w:r>
        <w:t>rder in this proceeding to</w:t>
      </w:r>
      <w:r w:rsidR="00F33DED">
        <w:t xml:space="preserve"> </w:t>
      </w:r>
      <w:r w:rsidR="0053140D">
        <w:t xml:space="preserve">allow </w:t>
      </w:r>
      <w:r w:rsidR="0024101B">
        <w:t>p</w:t>
      </w:r>
      <w:r w:rsidR="0053140D">
        <w:t xml:space="preserve">articipants </w:t>
      </w:r>
      <w:r w:rsidR="0024101B">
        <w:t xml:space="preserve">to have </w:t>
      </w:r>
      <w:r w:rsidR="0053140D">
        <w:t xml:space="preserve">access to confidential </w:t>
      </w:r>
      <w:r w:rsidR="00B268F1">
        <w:t>documents and data filed in the docket, “</w:t>
      </w:r>
      <w:r w:rsidR="00F33DED">
        <w:t>while protecting proprietary and confi</w:t>
      </w:r>
      <w:r w:rsidR="00B268F1">
        <w:t>dential information from improp</w:t>
      </w:r>
      <w:r w:rsidR="00F33DED">
        <w:t>er disclosure.”</w:t>
      </w:r>
      <w:r>
        <w:rPr>
          <w:rStyle w:val="FootnoteReference"/>
        </w:rPr>
        <w:footnoteReference w:id="2"/>
      </w:r>
      <w:r>
        <w:t xml:space="preserve">  </w:t>
      </w:r>
      <w:r w:rsidR="00857074">
        <w:t xml:space="preserve">The </w:t>
      </w:r>
      <w:r w:rsidR="00857074">
        <w:rPr>
          <w:i/>
        </w:rPr>
        <w:t>Protective Order</w:t>
      </w:r>
      <w:r w:rsidR="00857074">
        <w:t xml:space="preserve"> makes clear that parties have an obligation to ensure that access to confidential information they obtain is “strictly limited as prescribed in the Protective Order.”</w:t>
      </w:r>
      <w:r w:rsidR="00857074">
        <w:rPr>
          <w:rStyle w:val="FootnoteReference"/>
        </w:rPr>
        <w:footnoteReference w:id="3"/>
      </w:r>
      <w:r w:rsidR="006146BF">
        <w:t xml:space="preserve">  The </w:t>
      </w:r>
      <w:r w:rsidR="006146BF" w:rsidRPr="006146BF">
        <w:rPr>
          <w:i/>
        </w:rPr>
        <w:t>Protective Order</w:t>
      </w:r>
      <w:r w:rsidR="006146BF">
        <w:t xml:space="preserve"> also requires parties to “immediately convey” any violations to the Commission and to the party whose information is affected by the violation</w:t>
      </w:r>
      <w:r w:rsidR="00D4246D">
        <w:t>,</w:t>
      </w:r>
      <w:r w:rsidR="006146BF">
        <w:t xml:space="preserve"> and to “take all necessary steps to remedy the improper disclosure.”</w:t>
      </w:r>
      <w:r w:rsidR="006146BF">
        <w:rPr>
          <w:rStyle w:val="FootnoteReference"/>
        </w:rPr>
        <w:footnoteReference w:id="4"/>
      </w:r>
      <w:r w:rsidR="006146BF">
        <w:t xml:space="preserve">  The </w:t>
      </w:r>
      <w:r w:rsidR="006146BF" w:rsidRPr="006146BF">
        <w:rPr>
          <w:i/>
        </w:rPr>
        <w:t>Protective Order</w:t>
      </w:r>
      <w:r w:rsidR="006146BF">
        <w:t xml:space="preserve"> provides that the Commission retains </w:t>
      </w:r>
      <w:r w:rsidR="001F7EA1">
        <w:t>“</w:t>
      </w:r>
      <w:r w:rsidR="006146BF">
        <w:t>full authority to fashion appropriate sanctions for violations of this Protective Order, including but not limited to suspen</w:t>
      </w:r>
      <w:r w:rsidR="009D5305">
        <w:t>sion or disbarment of Counsel o</w:t>
      </w:r>
      <w:r w:rsidR="006146BF">
        <w:t>r Outside Consultants from practice before the Commission, forfeitures, cease and desist orders, and denial of further access to Confidential Information in this or any other Commission proceeding.”</w:t>
      </w:r>
      <w:r w:rsidR="006146BF">
        <w:rPr>
          <w:rStyle w:val="FootnoteReference"/>
        </w:rPr>
        <w:footnoteReference w:id="5"/>
      </w:r>
    </w:p>
    <w:p w:rsidR="005C2E8F" w:rsidRDefault="0024101B" w:rsidP="00774818">
      <w:pPr>
        <w:pStyle w:val="ParaNum"/>
      </w:pPr>
      <w:r>
        <w:t>Employees of t</w:t>
      </w:r>
      <w:r w:rsidR="00602769">
        <w:t xml:space="preserve">he </w:t>
      </w:r>
      <w:r w:rsidR="0066720F">
        <w:t>Alabama Public Service Commission (A</w:t>
      </w:r>
      <w:r w:rsidR="006146BF">
        <w:t>L</w:t>
      </w:r>
      <w:r w:rsidR="0066720F">
        <w:t xml:space="preserve"> PSC)</w:t>
      </w:r>
      <w:r w:rsidR="006146BF">
        <w:t xml:space="preserve">, a </w:t>
      </w:r>
      <w:r w:rsidR="00F33DED">
        <w:t>P</w:t>
      </w:r>
      <w:r w:rsidR="006146BF">
        <w:t>articipant in this proceeding, sought and obtained access</w:t>
      </w:r>
      <w:r w:rsidR="009D5305">
        <w:t>,</w:t>
      </w:r>
      <w:r w:rsidR="006146BF">
        <w:t xml:space="preserve"> pursuant to the </w:t>
      </w:r>
      <w:r w:rsidR="006146BF">
        <w:rPr>
          <w:i/>
        </w:rPr>
        <w:t>Protective Order</w:t>
      </w:r>
      <w:r w:rsidR="009D5305">
        <w:t>,</w:t>
      </w:r>
      <w:r w:rsidR="006146BF">
        <w:rPr>
          <w:i/>
        </w:rPr>
        <w:t xml:space="preserve"> </w:t>
      </w:r>
      <w:r w:rsidR="006146BF">
        <w:t>to confidential and proprietary information submitted in this proceeding</w:t>
      </w:r>
      <w:r w:rsidR="005C2E8F">
        <w:t xml:space="preserve">.  </w:t>
      </w:r>
      <w:r w:rsidR="006146BF">
        <w:t>S</w:t>
      </w:r>
      <w:r w:rsidR="00F33DED">
        <w:t>pecifically, s</w:t>
      </w:r>
      <w:r w:rsidR="006146BF">
        <w:t>even individuals signed Acknowledgements of Confidentiality on behalf of the AL PSC, including Darrell A. Baker, who is listed as “Director, Utility Services Division” at the AL PSC.</w:t>
      </w:r>
      <w:r w:rsidR="006146BF">
        <w:rPr>
          <w:rStyle w:val="FootnoteReference"/>
        </w:rPr>
        <w:footnoteReference w:id="6"/>
      </w:r>
      <w:r w:rsidR="00AD6EF9">
        <w:t xml:space="preserve">  </w:t>
      </w:r>
    </w:p>
    <w:p w:rsidR="00AD6EF9" w:rsidRDefault="00AD6EF9" w:rsidP="00774818">
      <w:pPr>
        <w:pStyle w:val="ParaNum"/>
      </w:pPr>
      <w:r>
        <w:t xml:space="preserve">On July 8, 2015, Mr. Baker submitted to the Commission an </w:t>
      </w:r>
      <w:r>
        <w:rPr>
          <w:i/>
        </w:rPr>
        <w:t xml:space="preserve">ex parte </w:t>
      </w:r>
      <w:r>
        <w:t>letter that inc</w:t>
      </w:r>
      <w:r w:rsidR="009D5305">
        <w:t>luded confidential data that Global Tel*Link Corporation (GTL)</w:t>
      </w:r>
      <w:r>
        <w:t xml:space="preserve"> and</w:t>
      </w:r>
      <w:r w:rsidR="00B36E92">
        <w:t xml:space="preserve"> six</w:t>
      </w:r>
      <w:r>
        <w:t xml:space="preserve"> other providers </w:t>
      </w:r>
      <w:r w:rsidR="009D5305">
        <w:t xml:space="preserve">of inmate calling </w:t>
      </w:r>
      <w:r w:rsidR="009D5305">
        <w:lastRenderedPageBreak/>
        <w:t>service</w:t>
      </w:r>
      <w:r w:rsidR="00435167">
        <w:t>s</w:t>
      </w:r>
      <w:r w:rsidR="009D5305">
        <w:t xml:space="preserve"> </w:t>
      </w:r>
      <w:r>
        <w:t xml:space="preserve">had filed pursuant to the </w:t>
      </w:r>
      <w:r>
        <w:rPr>
          <w:i/>
        </w:rPr>
        <w:t>Protective Order</w:t>
      </w:r>
      <w:r>
        <w:t>.</w:t>
      </w:r>
      <w:r w:rsidR="00DA2E35">
        <w:rPr>
          <w:rStyle w:val="FootnoteReference"/>
        </w:rPr>
        <w:footnoteReference w:id="7"/>
      </w:r>
      <w:r>
        <w:t xml:space="preserve">  In accordance with the terms of the </w:t>
      </w:r>
      <w:r w:rsidRPr="009D5305">
        <w:rPr>
          <w:i/>
        </w:rPr>
        <w:t>Protective Order</w:t>
      </w:r>
      <w:r w:rsidR="00395BD2">
        <w:t>, the submission was labe</w:t>
      </w:r>
      <w:r>
        <w:t xml:space="preserve">led “CONFIDENTIAL INFORMATION SUBJECT TO PROTECTIVE ORDER IN WC DOCKET NO. 12-375 BEFORE THE FEDERAL COMMUNICATIONS COMMISSION.” </w:t>
      </w:r>
      <w:r w:rsidR="00984A85">
        <w:t xml:space="preserve"> The </w:t>
      </w:r>
      <w:r w:rsidR="00984A85" w:rsidRPr="00984A85">
        <w:rPr>
          <w:i/>
        </w:rPr>
        <w:t>Protective Order</w:t>
      </w:r>
      <w:r w:rsidR="00984A85">
        <w:t xml:space="preserve"> specifies that “[a] Submitting Party shall submit to the Secretary’s Office one copy of each Stamped Confidential Document it wishes to file and an accompanying cover letter” and that “with respect to each Stamped Confidential Document submitted, each Submitting Party shall also file through the Commission’s Electronic Comment Filing System (‘ECFS’) a copy of the respective Redacted Confidential Document and an accompanying cover letter.”</w:t>
      </w:r>
      <w:r w:rsidR="00984A85">
        <w:rPr>
          <w:rStyle w:val="FootnoteReference"/>
        </w:rPr>
        <w:footnoteReference w:id="8"/>
      </w:r>
      <w:r w:rsidR="00984A85">
        <w:t xml:space="preserve"> </w:t>
      </w:r>
      <w:r>
        <w:t xml:space="preserve"> Mr. Baker violated the terms of the </w:t>
      </w:r>
      <w:r w:rsidRPr="00546143">
        <w:rPr>
          <w:i/>
        </w:rPr>
        <w:t>Protective Order</w:t>
      </w:r>
      <w:r w:rsidR="00AC147A">
        <w:t xml:space="preserve">, however, by filing </w:t>
      </w:r>
      <w:r>
        <w:t xml:space="preserve">his confidential submission </w:t>
      </w:r>
      <w:r w:rsidR="0024101B">
        <w:t xml:space="preserve">as a public document </w:t>
      </w:r>
      <w:r>
        <w:t>via the Commission’s Ele</w:t>
      </w:r>
      <w:r w:rsidR="00AC147A">
        <w:t>ctronic Comment Filing System</w:t>
      </w:r>
      <w:r w:rsidR="0024232E">
        <w:t xml:space="preserve"> rather than filing the confidential version with the Secretary’s office as instructed by the </w:t>
      </w:r>
      <w:r w:rsidR="0024232E" w:rsidRPr="00130736">
        <w:rPr>
          <w:i/>
        </w:rPr>
        <w:t>Protective Order</w:t>
      </w:r>
      <w:r>
        <w:t>.</w:t>
      </w:r>
      <w:r w:rsidR="009C2E24">
        <w:rPr>
          <w:rStyle w:val="FootnoteReference"/>
        </w:rPr>
        <w:footnoteReference w:id="9"/>
      </w:r>
      <w:r>
        <w:t xml:space="preserve">  </w:t>
      </w:r>
    </w:p>
    <w:p w:rsidR="00AD6EF9" w:rsidRDefault="00AD6EF9" w:rsidP="00774818">
      <w:pPr>
        <w:pStyle w:val="ParaNum"/>
      </w:pPr>
      <w:r>
        <w:t>The filing was posted on ECFS on the morning of July 9, 2015.  GTL</w:t>
      </w:r>
      <w:r w:rsidR="00270A75">
        <w:t xml:space="preserve"> states that it</w:t>
      </w:r>
      <w:r>
        <w:t>s counsel became aware of the filing that same morning and emailed Commission staff to request that the filing be removed from ECFS.</w:t>
      </w:r>
      <w:r w:rsidR="00F147CD">
        <w:rPr>
          <w:rStyle w:val="FootnoteReference"/>
        </w:rPr>
        <w:footnoteReference w:id="10"/>
      </w:r>
      <w:r>
        <w:t xml:space="preserve">  Mr. Baker was copied on that email.</w:t>
      </w:r>
      <w:r w:rsidR="00040BE9">
        <w:rPr>
          <w:rStyle w:val="FootnoteReference"/>
        </w:rPr>
        <w:footnoteReference w:id="11"/>
      </w:r>
      <w:r>
        <w:t xml:space="preserve">  The filing was removed from ECFS approximately three hours after it was posted.</w:t>
      </w:r>
      <w:r>
        <w:rPr>
          <w:rStyle w:val="FootnoteReference"/>
        </w:rPr>
        <w:footnoteReference w:id="12"/>
      </w:r>
      <w:r>
        <w:t xml:space="preserve">  </w:t>
      </w:r>
    </w:p>
    <w:p w:rsidR="00AD6EF9" w:rsidRDefault="00AD6EF9" w:rsidP="00774818">
      <w:pPr>
        <w:pStyle w:val="ParaNum"/>
      </w:pPr>
      <w:r>
        <w:t xml:space="preserve">On July 16, 2015, GTL filed a motion seeking sanctions against Mr. Baker and the </w:t>
      </w:r>
      <w:r w:rsidR="000D63D8">
        <w:t>AL PSC</w:t>
      </w:r>
      <w:r>
        <w:t xml:space="preserve"> for violations of the </w:t>
      </w:r>
      <w:r w:rsidRPr="000D63D8">
        <w:rPr>
          <w:i/>
        </w:rPr>
        <w:t>Protective Order</w:t>
      </w:r>
      <w:r>
        <w:t>.</w:t>
      </w:r>
      <w:r>
        <w:rPr>
          <w:rStyle w:val="FootnoteReference"/>
        </w:rPr>
        <w:footnoteReference w:id="13"/>
      </w:r>
      <w:r>
        <w:t xml:space="preserve">  Mr. Baker responded in a brief letter, filed July 17, </w:t>
      </w:r>
      <w:r w:rsidR="00123258">
        <w:t xml:space="preserve">2015, </w:t>
      </w:r>
      <w:r>
        <w:t xml:space="preserve">in which he did not contest the facts presented by GTL, but explained that he acted </w:t>
      </w:r>
      <w:r w:rsidR="001F7EA1">
        <w:t xml:space="preserve">under </w:t>
      </w:r>
      <w:r>
        <w:t>the mistaken belief that the Commission would not post the confidential version of the filing, which was labeled with the appropriate header.</w:t>
      </w:r>
      <w:r>
        <w:rPr>
          <w:rStyle w:val="FootnoteReference"/>
        </w:rPr>
        <w:footnoteReference w:id="14"/>
      </w:r>
      <w:r>
        <w:t xml:space="preserve">  According to Mr. Baker, it was only after he made the filing that he “learned that the confidential version cannot be filed electronically, but must be submitted using hard copies.</w:t>
      </w:r>
      <w:r w:rsidR="004A7F78">
        <w:t>”</w:t>
      </w:r>
      <w:r>
        <w:rPr>
          <w:rStyle w:val="FootnoteReference"/>
        </w:rPr>
        <w:footnoteReference w:id="15"/>
      </w:r>
      <w:r>
        <w:t xml:space="preserve">  Mr. Baker acknowledged, however</w:t>
      </w:r>
      <w:r w:rsidR="00D4246D">
        <w:t>,</w:t>
      </w:r>
      <w:r>
        <w:t xml:space="preserve"> that “ignorance of the rules is no excuse” and admitted that he “should have more thoroughly researched the filing procedures.”</w:t>
      </w:r>
      <w:r>
        <w:rPr>
          <w:rStyle w:val="FootnoteReference"/>
        </w:rPr>
        <w:footnoteReference w:id="16"/>
      </w:r>
      <w:r>
        <w:t xml:space="preserve">  </w:t>
      </w:r>
      <w:r w:rsidR="005F4266">
        <w:t xml:space="preserve">Commission staff subsequently had an </w:t>
      </w:r>
      <w:r w:rsidR="005F4266">
        <w:rPr>
          <w:i/>
        </w:rPr>
        <w:t xml:space="preserve">ex </w:t>
      </w:r>
      <w:r w:rsidR="005F4266">
        <w:rPr>
          <w:i/>
        </w:rPr>
        <w:lastRenderedPageBreak/>
        <w:t>parte</w:t>
      </w:r>
      <w:r w:rsidR="005F4266">
        <w:t xml:space="preserve"> conference </w:t>
      </w:r>
      <w:r w:rsidR="00B4610E">
        <w:t xml:space="preserve">call </w:t>
      </w:r>
      <w:r w:rsidR="005F4266">
        <w:t>with Mr. Baker and other representative</w:t>
      </w:r>
      <w:r w:rsidR="00F815AF">
        <w:t>s</w:t>
      </w:r>
      <w:r w:rsidR="005F4266">
        <w:t xml:space="preserve"> of the AL PSC,</w:t>
      </w:r>
      <w:r w:rsidR="005F4266">
        <w:rPr>
          <w:rStyle w:val="FootnoteReference"/>
        </w:rPr>
        <w:footnoteReference w:id="17"/>
      </w:r>
      <w:r w:rsidR="005F4266">
        <w:t xml:space="preserve"> </w:t>
      </w:r>
      <w:r w:rsidR="00CA2167">
        <w:t xml:space="preserve">followed by an </w:t>
      </w:r>
      <w:r w:rsidR="00CA2167">
        <w:rPr>
          <w:i/>
        </w:rPr>
        <w:t xml:space="preserve">ex parte </w:t>
      </w:r>
      <w:r w:rsidR="00CA2167">
        <w:t xml:space="preserve">conference </w:t>
      </w:r>
      <w:r w:rsidR="00B4610E">
        <w:t xml:space="preserve">call </w:t>
      </w:r>
      <w:r w:rsidR="00CA2167">
        <w:t>with representative</w:t>
      </w:r>
      <w:r w:rsidR="00405CE5">
        <w:t>s</w:t>
      </w:r>
      <w:r w:rsidR="00CA2167">
        <w:t xml:space="preserve"> of GTL.</w:t>
      </w:r>
      <w:r w:rsidR="00CA2167">
        <w:rPr>
          <w:rStyle w:val="FootnoteReference"/>
        </w:rPr>
        <w:footnoteReference w:id="18"/>
      </w:r>
    </w:p>
    <w:p w:rsidR="001F7EA1" w:rsidRDefault="001F7EA1" w:rsidP="00546143">
      <w:pPr>
        <w:pStyle w:val="Heading1"/>
      </w:pPr>
      <w:r>
        <w:t>discussion</w:t>
      </w:r>
    </w:p>
    <w:p w:rsidR="008E0067" w:rsidRDefault="00A20133" w:rsidP="00774818">
      <w:pPr>
        <w:pStyle w:val="ParaNum"/>
      </w:pPr>
      <w:r>
        <w:t xml:space="preserve">We agree with GTL that Mr. Baker’s actions represent a “serious breach of the </w:t>
      </w:r>
      <w:r>
        <w:rPr>
          <w:i/>
        </w:rPr>
        <w:t>Protective Order</w:t>
      </w:r>
      <w:r>
        <w:t>.”</w:t>
      </w:r>
      <w:r>
        <w:rPr>
          <w:rStyle w:val="FootnoteReference"/>
        </w:rPr>
        <w:footnoteReference w:id="19"/>
      </w:r>
      <w:r w:rsidR="00AC0380">
        <w:t xml:space="preserve">  As the Commission has explained, </w:t>
      </w:r>
    </w:p>
    <w:p w:rsidR="008E0067" w:rsidRDefault="00AC0380" w:rsidP="00CA7F20">
      <w:pPr>
        <w:pStyle w:val="ParaNum"/>
        <w:numPr>
          <w:ilvl w:val="0"/>
          <w:numId w:val="0"/>
        </w:numPr>
        <w:spacing w:after="0"/>
        <w:ind w:left="720" w:right="720"/>
      </w:pPr>
      <w:r>
        <w:t xml:space="preserve">[u]nauthorized disclosure of proprietary information could lead to substantial </w:t>
      </w:r>
    </w:p>
    <w:p w:rsidR="008E0067" w:rsidRDefault="00AC0380" w:rsidP="00CA7F20">
      <w:pPr>
        <w:pStyle w:val="ParaNum"/>
        <w:numPr>
          <w:ilvl w:val="0"/>
          <w:numId w:val="0"/>
        </w:numPr>
        <w:spacing w:after="0"/>
        <w:ind w:left="720" w:right="720"/>
      </w:pPr>
      <w:r>
        <w:t>competitive and financial harm to the part</w:t>
      </w:r>
      <w:r w:rsidR="000E443A">
        <w:t>y</w:t>
      </w:r>
      <w:r>
        <w:t xml:space="preserve"> submitting the information.  Such </w:t>
      </w:r>
    </w:p>
    <w:p w:rsidR="008E0067" w:rsidRDefault="00AC0380" w:rsidP="00CA7F20">
      <w:pPr>
        <w:pStyle w:val="ParaNum"/>
        <w:numPr>
          <w:ilvl w:val="0"/>
          <w:numId w:val="0"/>
        </w:numPr>
        <w:spacing w:after="0"/>
        <w:ind w:left="720" w:right="720"/>
      </w:pPr>
      <w:r>
        <w:t xml:space="preserve">disclosure could also undermine public confidence in the effectiveness and </w:t>
      </w:r>
    </w:p>
    <w:p w:rsidR="008E0067" w:rsidRDefault="00AC0380" w:rsidP="00CA7F20">
      <w:pPr>
        <w:pStyle w:val="ParaNum"/>
        <w:numPr>
          <w:ilvl w:val="0"/>
          <w:numId w:val="0"/>
        </w:numPr>
        <w:spacing w:after="0"/>
        <w:ind w:left="720" w:right="720"/>
      </w:pPr>
      <w:r>
        <w:t xml:space="preserve">integrity of the Commission’s processes, and have a chilling effect on the </w:t>
      </w:r>
    </w:p>
    <w:p w:rsidR="008E0067" w:rsidRDefault="00AC0380" w:rsidP="00CA7F20">
      <w:pPr>
        <w:pStyle w:val="ParaNum"/>
        <w:numPr>
          <w:ilvl w:val="0"/>
          <w:numId w:val="0"/>
        </w:numPr>
        <w:spacing w:after="0"/>
        <w:ind w:left="720" w:right="720"/>
      </w:pPr>
      <w:r>
        <w:t xml:space="preserve">willingness of parties to provide us with information needed to fulfill our </w:t>
      </w:r>
    </w:p>
    <w:p w:rsidR="008E0067" w:rsidRDefault="00AC0380" w:rsidP="00CA7F20">
      <w:pPr>
        <w:pStyle w:val="ParaNum"/>
        <w:numPr>
          <w:ilvl w:val="0"/>
          <w:numId w:val="0"/>
        </w:numPr>
        <w:ind w:left="720" w:right="720"/>
      </w:pPr>
      <w:r>
        <w:t>regulatory duties.</w:t>
      </w:r>
      <w:r>
        <w:rPr>
          <w:rStyle w:val="FootnoteReference"/>
        </w:rPr>
        <w:footnoteReference w:id="20"/>
      </w:r>
      <w:r>
        <w:t xml:space="preserve">  </w:t>
      </w:r>
    </w:p>
    <w:p w:rsidR="00AD6EF9" w:rsidRDefault="000E443A" w:rsidP="00546143">
      <w:pPr>
        <w:pStyle w:val="ParaNum"/>
        <w:numPr>
          <w:ilvl w:val="0"/>
          <w:numId w:val="0"/>
        </w:numPr>
      </w:pPr>
      <w:r>
        <w:t xml:space="preserve">We therefore direct Mr. Baker and the AL PSC to provide by </w:t>
      </w:r>
      <w:r w:rsidR="006418DD">
        <w:t>September 2</w:t>
      </w:r>
      <w:r w:rsidR="00EF1DD8">
        <w:t>8</w:t>
      </w:r>
      <w:r>
        <w:t xml:space="preserve">, 2015 any additional information, beyond that provided in Mr. Baker’s letter of July 17, 2015, that is necessary to </w:t>
      </w:r>
      <w:r w:rsidR="001F7EA1">
        <w:t xml:space="preserve">give </w:t>
      </w:r>
      <w:r>
        <w:t>a full and detailed explanation of this matter, including an explanation of the steps Mr. Baker and the AL PSC took to remedy the breach</w:t>
      </w:r>
      <w:r w:rsidR="008E0067">
        <w:t xml:space="preserve"> once it was brought to their attention</w:t>
      </w:r>
      <w:r>
        <w:t xml:space="preserve">, </w:t>
      </w:r>
      <w:r w:rsidR="000D63D8">
        <w:t xml:space="preserve">as well as </w:t>
      </w:r>
      <w:r>
        <w:t xml:space="preserve">a description of any notice Mr. Baker or the AL PSC provided to other parties whose confidential information was included in the public ECFS filing. </w:t>
      </w:r>
      <w:r w:rsidR="00F815AF">
        <w:t xml:space="preserve"> </w:t>
      </w:r>
      <w:r w:rsidR="00BB1758">
        <w:t xml:space="preserve">The </w:t>
      </w:r>
      <w:r w:rsidR="006418DD">
        <w:t>September 2</w:t>
      </w:r>
      <w:r w:rsidR="00EF1DD8">
        <w:t>8</w:t>
      </w:r>
      <w:r w:rsidR="006418DD" w:rsidRPr="006418DD">
        <w:rPr>
          <w:vertAlign w:val="superscript"/>
        </w:rPr>
        <w:t>th</w:t>
      </w:r>
      <w:r w:rsidR="006418DD">
        <w:t xml:space="preserve"> </w:t>
      </w:r>
      <w:r w:rsidR="00BB1758">
        <w:t xml:space="preserve">filing should include a description of </w:t>
      </w:r>
      <w:r>
        <w:t xml:space="preserve">the procedures that were in place to ensure compliance with the </w:t>
      </w:r>
      <w:r>
        <w:rPr>
          <w:i/>
        </w:rPr>
        <w:t>Protective Order</w:t>
      </w:r>
      <w:r>
        <w:t xml:space="preserve"> and </w:t>
      </w:r>
      <w:r w:rsidR="000D63D8">
        <w:t xml:space="preserve">a statement regarding whether </w:t>
      </w:r>
      <w:r>
        <w:t xml:space="preserve">all AL PSC employees that signed Acknowledgments of Confidentiality read the </w:t>
      </w:r>
      <w:r>
        <w:rPr>
          <w:i/>
        </w:rPr>
        <w:t>Protective Order</w:t>
      </w:r>
      <w:r>
        <w:t>,</w:t>
      </w:r>
      <w:r w:rsidR="00467608">
        <w:t xml:space="preserve"> including the Acknowledgement</w:t>
      </w:r>
      <w:r>
        <w:t xml:space="preserve"> of Confidentiality</w:t>
      </w:r>
      <w:r w:rsidR="00467608">
        <w:t>.</w:t>
      </w:r>
      <w:r>
        <w:t xml:space="preserve"> </w:t>
      </w:r>
      <w:r w:rsidR="00B94C45">
        <w:t xml:space="preserve"> </w:t>
      </w:r>
    </w:p>
    <w:p w:rsidR="00F815AF" w:rsidRDefault="00B37F61" w:rsidP="00774818">
      <w:pPr>
        <w:pStyle w:val="ParaNum"/>
      </w:pPr>
      <w:r>
        <w:t xml:space="preserve">We are concerned about the apparent laxity that resulted in the disclosure of confidential information.  </w:t>
      </w:r>
      <w:r w:rsidR="00540AE6">
        <w:t xml:space="preserve">It appears that Mr. Baker did not review the </w:t>
      </w:r>
      <w:r w:rsidR="00540AE6" w:rsidRPr="00CA3074">
        <w:rPr>
          <w:i/>
        </w:rPr>
        <w:t>Protective Order</w:t>
      </w:r>
      <w:r w:rsidR="00540AE6">
        <w:t xml:space="preserve"> before submitting the confidential information</w:t>
      </w:r>
      <w:r w:rsidR="005E1402">
        <w:t>,</w:t>
      </w:r>
      <w:r w:rsidR="00540AE6">
        <w:t xml:space="preserve"> and that he did not confer with anyone else at the AL PSC to ensure that he was adhering to the requirements of the </w:t>
      </w:r>
      <w:r w:rsidR="00540AE6" w:rsidRPr="00CA3074">
        <w:rPr>
          <w:i/>
        </w:rPr>
        <w:t>Protective Order</w:t>
      </w:r>
      <w:r w:rsidR="00540AE6">
        <w:t xml:space="preserve"> or the AL PSC’s own procedures regarding </w:t>
      </w:r>
      <w:r w:rsidR="0024101B">
        <w:t xml:space="preserve">the handling of </w:t>
      </w:r>
      <w:r w:rsidR="00540AE6">
        <w:t xml:space="preserve">confidential information.  </w:t>
      </w:r>
      <w:r w:rsidR="00405CE5">
        <w:t xml:space="preserve">We note, however, that the </w:t>
      </w:r>
      <w:r w:rsidR="00B94C45">
        <w:t xml:space="preserve">AL PSC </w:t>
      </w:r>
      <w:r w:rsidR="00405CE5">
        <w:t xml:space="preserve">has already taken action to address these issues.  First, the AL PSC has certified that </w:t>
      </w:r>
      <w:r w:rsidR="00B94C45">
        <w:t xml:space="preserve">personnel </w:t>
      </w:r>
      <w:r w:rsidR="00405CE5">
        <w:t xml:space="preserve">who </w:t>
      </w:r>
      <w:r w:rsidR="00B94C45">
        <w:t xml:space="preserve">signed Acknowledgements of Confidentiality </w:t>
      </w:r>
      <w:r w:rsidR="00405CE5">
        <w:t>“have been retrained on the [Protective] Order and its requirements with respect to the proper handling of confidential information.”</w:t>
      </w:r>
      <w:r w:rsidR="00405CE5">
        <w:rPr>
          <w:rStyle w:val="FootnoteReference"/>
        </w:rPr>
        <w:footnoteReference w:id="21"/>
      </w:r>
      <w:r w:rsidR="00405CE5">
        <w:t xml:space="preserve">  </w:t>
      </w:r>
      <w:r w:rsidR="00014FC2">
        <w:t xml:space="preserve">Second, the </w:t>
      </w:r>
      <w:r w:rsidR="00B94C45">
        <w:t xml:space="preserve">AL PSC </w:t>
      </w:r>
      <w:r w:rsidR="00014FC2">
        <w:t>has secured all confidential information in its possession related to this docket in the office of its Chief Administrative Law Judge.</w:t>
      </w:r>
      <w:r w:rsidR="00014FC2">
        <w:rPr>
          <w:rStyle w:val="FootnoteReference"/>
        </w:rPr>
        <w:footnoteReference w:id="22"/>
      </w:r>
      <w:r w:rsidR="00014FC2">
        <w:t xml:space="preserve">  Third, the AL PSC has prohibited Mr. Baker from </w:t>
      </w:r>
      <w:r w:rsidR="00014FC2" w:rsidRPr="003B5A56">
        <w:t>submitting future filings in this docket</w:t>
      </w:r>
      <w:r w:rsidR="00014FC2">
        <w:t>.</w:t>
      </w:r>
      <w:r w:rsidR="00014FC2">
        <w:rPr>
          <w:rStyle w:val="FootnoteReference"/>
        </w:rPr>
        <w:footnoteReference w:id="23"/>
      </w:r>
      <w:r w:rsidR="00014FC2">
        <w:t xml:space="preserve">  And, finally, the AL PSC has indicated that any future filings it makes in this docket “will be thoroughly reviewed and </w:t>
      </w:r>
      <w:r w:rsidR="00014FC2">
        <w:lastRenderedPageBreak/>
        <w:t>signed by an attorney.”</w:t>
      </w:r>
      <w:r w:rsidR="00014FC2">
        <w:rPr>
          <w:rStyle w:val="FootnoteReference"/>
        </w:rPr>
        <w:footnoteReference w:id="24"/>
      </w:r>
      <w:r w:rsidR="00014FC2">
        <w:t xml:space="preserve">  </w:t>
      </w:r>
      <w:r w:rsidR="00376B1D">
        <w:t>T</w:t>
      </w:r>
      <w:r w:rsidR="00014FC2">
        <w:t xml:space="preserve">he </w:t>
      </w:r>
      <w:r w:rsidR="00376B1D">
        <w:t xml:space="preserve">actions taken by the </w:t>
      </w:r>
      <w:r w:rsidR="00014FC2">
        <w:t xml:space="preserve">AL PSC </w:t>
      </w:r>
      <w:r w:rsidR="00376B1D">
        <w:t xml:space="preserve">demonstrate </w:t>
      </w:r>
      <w:r w:rsidR="00014FC2">
        <w:t xml:space="preserve">that </w:t>
      </w:r>
      <w:r w:rsidR="00A42B32">
        <w:t>it understands</w:t>
      </w:r>
      <w:r w:rsidR="00014FC2">
        <w:t xml:space="preserve"> the gravity of the situation</w:t>
      </w:r>
      <w:r w:rsidR="00376B1D">
        <w:t xml:space="preserve"> and </w:t>
      </w:r>
      <w:r w:rsidR="00F815AF">
        <w:t xml:space="preserve">has taken </w:t>
      </w:r>
      <w:r w:rsidR="00471554">
        <w:t xml:space="preserve">productive </w:t>
      </w:r>
      <w:r w:rsidR="00F815AF">
        <w:t xml:space="preserve">steps </w:t>
      </w:r>
      <w:r w:rsidR="00471554">
        <w:t xml:space="preserve">in an attempt </w:t>
      </w:r>
      <w:r w:rsidR="00F815AF">
        <w:t xml:space="preserve">to </w:t>
      </w:r>
      <w:r w:rsidR="00376B1D">
        <w:t xml:space="preserve">cure defects in its procedures for handling confidential information it receives, or has received, pursuant to the </w:t>
      </w:r>
      <w:r w:rsidR="00376B1D">
        <w:rPr>
          <w:i/>
        </w:rPr>
        <w:t>Protective Order</w:t>
      </w:r>
      <w:r w:rsidR="00014FC2">
        <w:t xml:space="preserve">.  </w:t>
      </w:r>
    </w:p>
    <w:p w:rsidR="000554B7" w:rsidRDefault="00A42B32" w:rsidP="00774818">
      <w:pPr>
        <w:pStyle w:val="ParaNum"/>
      </w:pPr>
      <w:r>
        <w:t xml:space="preserve">Although we appreciate the </w:t>
      </w:r>
      <w:r w:rsidR="00F815AF">
        <w:t xml:space="preserve">actions </w:t>
      </w:r>
      <w:r w:rsidR="00BB6BAA">
        <w:t xml:space="preserve">taken by </w:t>
      </w:r>
      <w:r>
        <w:t xml:space="preserve">the AL PSC, we </w:t>
      </w:r>
      <w:r w:rsidR="00BB6BAA">
        <w:t>find that further action is needed.</w:t>
      </w:r>
      <w:r w:rsidR="00636B2B">
        <w:rPr>
          <w:rStyle w:val="FootnoteReference"/>
        </w:rPr>
        <w:footnoteReference w:id="25"/>
      </w:r>
      <w:r w:rsidR="00BB6BAA">
        <w:t xml:space="preserve">  Specifically, </w:t>
      </w:r>
      <w:r w:rsidR="00E657F0">
        <w:t xml:space="preserve">in addition, </w:t>
      </w:r>
      <w:r w:rsidR="00BB6BAA">
        <w:t xml:space="preserve">we </w:t>
      </w:r>
      <w:r w:rsidR="00540AE6">
        <w:t xml:space="preserve">direct that no </w:t>
      </w:r>
      <w:r>
        <w:t xml:space="preserve">AL PSC personnel </w:t>
      </w:r>
      <w:r w:rsidR="00540AE6">
        <w:t xml:space="preserve">may have any </w:t>
      </w:r>
      <w:r w:rsidR="00B94C45">
        <w:t xml:space="preserve">further </w:t>
      </w:r>
      <w:r w:rsidR="00540AE6">
        <w:t xml:space="preserve">access to </w:t>
      </w:r>
      <w:r w:rsidR="00B94C45">
        <w:t xml:space="preserve">confidential documents submitted under the </w:t>
      </w:r>
      <w:r w:rsidR="00B94C45" w:rsidRPr="00B94C45">
        <w:rPr>
          <w:i/>
        </w:rPr>
        <w:t>Protective Order</w:t>
      </w:r>
      <w:r w:rsidR="00B94C45">
        <w:t xml:space="preserve"> until</w:t>
      </w:r>
      <w:r w:rsidR="00B37F61">
        <w:t xml:space="preserve"> </w:t>
      </w:r>
      <w:r w:rsidR="00FF1F7B">
        <w:t xml:space="preserve">the </w:t>
      </w:r>
      <w:r>
        <w:t>AL PSC has submitted</w:t>
      </w:r>
      <w:r w:rsidR="00B37F61">
        <w:t xml:space="preserve"> a description of the measures and procedures to be implemented to ensure that future breaches of the </w:t>
      </w:r>
      <w:r w:rsidR="00B37F61" w:rsidRPr="00B94C45">
        <w:rPr>
          <w:i/>
        </w:rPr>
        <w:t>Protective Order</w:t>
      </w:r>
      <w:r w:rsidR="00B37F61">
        <w:t xml:space="preserve"> do not occur</w:t>
      </w:r>
      <w:r w:rsidR="00DA0098">
        <w:t xml:space="preserve">, along with signed acknowledgements from all relevant AL PSC </w:t>
      </w:r>
      <w:r w:rsidR="00CA3074">
        <w:t xml:space="preserve">personnel </w:t>
      </w:r>
      <w:r w:rsidR="00DA0098">
        <w:t>that they have reviewed and understand these measures and procedures</w:t>
      </w:r>
      <w:r w:rsidR="00B37F61">
        <w:t>.</w:t>
      </w:r>
      <w:r>
        <w:rPr>
          <w:rStyle w:val="FootnoteReference"/>
        </w:rPr>
        <w:footnoteReference w:id="26"/>
      </w:r>
      <w:r w:rsidR="00B94C45">
        <w:t xml:space="preserve"> </w:t>
      </w:r>
      <w:r w:rsidR="00FF1F7B">
        <w:t xml:space="preserve"> </w:t>
      </w:r>
      <w:r w:rsidR="008E0067">
        <w:t>A description of t</w:t>
      </w:r>
      <w:r w:rsidR="002C6A8C">
        <w:t xml:space="preserve">hese </w:t>
      </w:r>
      <w:r w:rsidR="00FF1F7B">
        <w:t>procedure</w:t>
      </w:r>
      <w:r w:rsidR="00DA0098">
        <w:t>s</w:t>
      </w:r>
      <w:r w:rsidR="00FF1F7B">
        <w:t xml:space="preserve"> </w:t>
      </w:r>
      <w:r w:rsidR="002C6A8C">
        <w:t xml:space="preserve">should be submitted to the Commission by </w:t>
      </w:r>
      <w:r w:rsidR="00B16376">
        <w:t>September 2</w:t>
      </w:r>
      <w:r w:rsidR="00EF1DD8">
        <w:t>8</w:t>
      </w:r>
      <w:r w:rsidR="00B16376">
        <w:t xml:space="preserve">, </w:t>
      </w:r>
      <w:r w:rsidR="002C6A8C">
        <w:t xml:space="preserve">2015.  GTL and other affected parties may file a response to </w:t>
      </w:r>
      <w:r w:rsidR="00E656B8">
        <w:t xml:space="preserve">Mr. Baker’s and </w:t>
      </w:r>
      <w:r w:rsidR="002C6A8C">
        <w:t xml:space="preserve">the AL PSC’s submissions by </w:t>
      </w:r>
      <w:r w:rsidR="00E23893">
        <w:t>October 1,</w:t>
      </w:r>
      <w:r w:rsidR="002C6A8C">
        <w:t xml:space="preserve"> 2015, and may suggest additional remedial measures or sanctions, beyond those entered in this </w:t>
      </w:r>
      <w:r w:rsidR="00E656B8">
        <w:t>O</w:t>
      </w:r>
      <w:r w:rsidR="002C6A8C">
        <w:t xml:space="preserve">rder.  Mr. Baker and the AL PSC may reply by </w:t>
      </w:r>
      <w:r w:rsidR="00E23893">
        <w:t>October 6</w:t>
      </w:r>
      <w:r w:rsidR="002C6A8C">
        <w:t xml:space="preserve">, 2015.  </w:t>
      </w:r>
      <w:r w:rsidR="000A7155" w:rsidRPr="000A7155">
        <w:t>We also prohibit Mr. Baker, until further action by the Commission, from reviewing confidential documents submitted in this proceeding or any other proceeding before the FCC and from participating further in this proceeding.</w:t>
      </w:r>
      <w:r w:rsidR="00FF1F7B" w:rsidRPr="000A7155">
        <w:rPr>
          <w:rStyle w:val="FootnoteReference"/>
        </w:rPr>
        <w:footnoteReference w:id="27"/>
      </w:r>
      <w:r w:rsidR="00FF1F7B" w:rsidRPr="000A7155">
        <w:t xml:space="preserve">  </w:t>
      </w:r>
      <w:r w:rsidR="002C6A8C" w:rsidRPr="000A7155">
        <w:t xml:space="preserve">Upon </w:t>
      </w:r>
      <w:r w:rsidR="002C6A8C">
        <w:t xml:space="preserve">conclusion of our investigation, we will decide </w:t>
      </w:r>
      <w:r w:rsidR="0024232E">
        <w:t xml:space="preserve">whether additional </w:t>
      </w:r>
      <w:r w:rsidR="002C6A8C">
        <w:t>sanctions may be appropriate</w:t>
      </w:r>
      <w:r w:rsidR="00FF1F7B">
        <w:t>, beyond the actions taken in this Order and the actions already taken by the AL PSC</w:t>
      </w:r>
      <w:r w:rsidR="002C6A8C">
        <w:t>.</w:t>
      </w:r>
    </w:p>
    <w:p w:rsidR="005C2E8F" w:rsidRPr="000D4C45" w:rsidRDefault="001F7EA1" w:rsidP="006B1A8E">
      <w:pPr>
        <w:pStyle w:val="ParaNum"/>
      </w:pPr>
      <w:r>
        <w:rPr>
          <w:i/>
        </w:rPr>
        <w:t>Authority</w:t>
      </w:r>
      <w:r>
        <w:t xml:space="preserve">. </w:t>
      </w:r>
      <w:r>
        <w:rPr>
          <w:i/>
        </w:rPr>
        <w:t xml:space="preserve"> </w:t>
      </w:r>
      <w:r w:rsidR="002C6A8C">
        <w:t>This Order is issued pursuant to section</w:t>
      </w:r>
      <w:r w:rsidR="008E0067">
        <w:t>s</w:t>
      </w:r>
      <w:r w:rsidR="002C6A8C">
        <w:t xml:space="preserve"> 4(i) and (j) of the Communications Act of 1934, as amended, 47 U.S.C. §§ 154(i) and (j), and authority delegated under section</w:t>
      </w:r>
      <w:r>
        <w:t>s 0.91 and</w:t>
      </w:r>
      <w:r w:rsidR="002C6A8C">
        <w:t xml:space="preserve"> </w:t>
      </w:r>
      <w:r w:rsidR="00270A75">
        <w:t>0</w:t>
      </w:r>
      <w:r w:rsidR="002C6A8C">
        <w:t>.</w:t>
      </w:r>
      <w:r w:rsidR="00270A75">
        <w:t>29</w:t>
      </w:r>
      <w:r w:rsidR="002C6A8C">
        <w:t xml:space="preserve">1 of the Commission’s rules, 47 C.F.R. </w:t>
      </w:r>
      <w:r w:rsidR="0047463A">
        <w:t>§</w:t>
      </w:r>
      <w:r>
        <w:t>§ 0.91,</w:t>
      </w:r>
      <w:r w:rsidR="00270A75">
        <w:t xml:space="preserve"> 0.29</w:t>
      </w:r>
      <w:r w:rsidR="002C6A8C">
        <w:t>1</w:t>
      </w:r>
      <w:r w:rsidR="0047463A">
        <w:t>,</w:t>
      </w:r>
      <w:r>
        <w:t xml:space="preserve"> and is effective upon its </w:t>
      </w:r>
      <w:r w:rsidR="0047463A">
        <w:t>release pursuant to section 1.102(b)(1) of the Commission’s rules, 47 C.F.R. §1.102(b)(1)</w:t>
      </w:r>
      <w:r w:rsidR="002C6A8C">
        <w:t xml:space="preserve">. </w:t>
      </w:r>
    </w:p>
    <w:p w:rsidR="005C2E8F" w:rsidRPr="000D4C45" w:rsidRDefault="005C2E8F" w:rsidP="00546143">
      <w:pPr>
        <w:pStyle w:val="BodyTextIndent2"/>
        <w:tabs>
          <w:tab w:val="clear" w:pos="720"/>
        </w:tabs>
        <w:ind w:firstLine="0"/>
      </w:pPr>
    </w:p>
    <w:p w:rsidR="005C2E8F" w:rsidRPr="000D4C45" w:rsidRDefault="005C2E8F">
      <w:r w:rsidRPr="000D4C45">
        <w:tab/>
      </w:r>
      <w:r w:rsidRPr="000D4C45">
        <w:tab/>
      </w:r>
      <w:r w:rsidRPr="000D4C45">
        <w:tab/>
      </w:r>
      <w:r w:rsidRPr="000D4C45">
        <w:tab/>
      </w:r>
      <w:r w:rsidRPr="000D4C45">
        <w:tab/>
      </w:r>
      <w:r w:rsidR="0047463A">
        <w:tab/>
      </w:r>
      <w:r w:rsidRPr="000D4C45">
        <w:t>FEDERAL COMMUNICATIONS COMMISSION</w:t>
      </w:r>
    </w:p>
    <w:p w:rsidR="005C2E8F" w:rsidRPr="004553BC" w:rsidRDefault="005C2E8F">
      <w:pPr>
        <w:rPr>
          <w:highlight w:val="cyan"/>
        </w:rPr>
      </w:pPr>
    </w:p>
    <w:p w:rsidR="005C2E8F" w:rsidRDefault="005C2E8F">
      <w:pPr>
        <w:rPr>
          <w:highlight w:val="cyan"/>
        </w:rPr>
      </w:pPr>
    </w:p>
    <w:p w:rsidR="00F33DED" w:rsidRPr="004553BC" w:rsidRDefault="00F33DED">
      <w:pPr>
        <w:rPr>
          <w:highlight w:val="cyan"/>
        </w:rPr>
      </w:pPr>
    </w:p>
    <w:p w:rsidR="005C2E8F" w:rsidRPr="004553BC" w:rsidRDefault="005C2E8F">
      <w:pPr>
        <w:rPr>
          <w:highlight w:val="cyan"/>
        </w:rPr>
      </w:pPr>
    </w:p>
    <w:p w:rsidR="005C2E8F" w:rsidRPr="009C2E24" w:rsidRDefault="005C2E8F">
      <w:r w:rsidRPr="009C2E24">
        <w:tab/>
      </w:r>
      <w:r w:rsidRPr="009C2E24">
        <w:tab/>
      </w:r>
      <w:r w:rsidRPr="009C2E24">
        <w:tab/>
      </w:r>
      <w:r w:rsidRPr="009C2E24">
        <w:tab/>
      </w:r>
      <w:r w:rsidRPr="009C2E24">
        <w:tab/>
      </w:r>
      <w:r w:rsidR="0047463A">
        <w:tab/>
      </w:r>
      <w:r w:rsidR="002C6A8C" w:rsidRPr="009C2E24">
        <w:t xml:space="preserve">Matthew </w:t>
      </w:r>
      <w:r w:rsidR="00471554">
        <w:t xml:space="preserve">S. </w:t>
      </w:r>
      <w:r w:rsidR="002C6A8C" w:rsidRPr="009C2E24">
        <w:t>DelNero</w:t>
      </w:r>
      <w:r w:rsidRPr="009C2E24">
        <w:t xml:space="preserve"> </w:t>
      </w:r>
    </w:p>
    <w:p w:rsidR="005C2E8F" w:rsidRPr="009C2E24" w:rsidRDefault="005C2E8F">
      <w:r w:rsidRPr="009C2E24">
        <w:tab/>
      </w:r>
      <w:r w:rsidRPr="009C2E24">
        <w:tab/>
      </w:r>
      <w:r w:rsidRPr="009C2E24">
        <w:tab/>
      </w:r>
      <w:r w:rsidRPr="009C2E24">
        <w:tab/>
      </w:r>
      <w:r w:rsidRPr="009C2E24">
        <w:tab/>
      </w:r>
      <w:r w:rsidR="0047463A">
        <w:tab/>
      </w:r>
      <w:r w:rsidRPr="009C2E24">
        <w:t>Chief</w:t>
      </w:r>
    </w:p>
    <w:p w:rsidR="005C2E8F" w:rsidRDefault="005C2E8F">
      <w:r w:rsidRPr="009C2E24">
        <w:tab/>
      </w:r>
      <w:r w:rsidRPr="009C2E24">
        <w:tab/>
      </w:r>
      <w:r w:rsidRPr="009C2E24">
        <w:tab/>
      </w:r>
      <w:r w:rsidRPr="009C2E24">
        <w:tab/>
      </w:r>
      <w:r w:rsidRPr="009C2E24">
        <w:tab/>
      </w:r>
      <w:r w:rsidR="0047463A">
        <w:tab/>
      </w:r>
      <w:r w:rsidR="002C6A8C" w:rsidRPr="009C2E24">
        <w:t xml:space="preserve">Wireline Competition </w:t>
      </w:r>
      <w:r w:rsidRPr="009C2E24">
        <w:t>Bureau</w:t>
      </w:r>
    </w:p>
    <w:p w:rsidR="005C2E8F" w:rsidRDefault="005C2E8F">
      <w:pPr>
        <w:pStyle w:val="ParaNum"/>
        <w:numPr>
          <w:ilvl w:val="0"/>
          <w:numId w:val="0"/>
        </w:numPr>
      </w:pPr>
    </w:p>
    <w:p w:rsidR="005C2E8F" w:rsidRDefault="005C2E8F">
      <w:pPr>
        <w:pStyle w:val="ParaNum"/>
        <w:numPr>
          <w:ilvl w:val="0"/>
          <w:numId w:val="0"/>
        </w:numPr>
      </w:pPr>
    </w:p>
    <w:sectPr w:rsidR="005C2E8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4" w:right="1440" w:bottom="1440" w:left="1440" w:header="720" w:footer="4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DA" w:rsidRDefault="00C433DA">
      <w:pPr>
        <w:spacing w:line="20" w:lineRule="exact"/>
      </w:pPr>
    </w:p>
  </w:endnote>
  <w:endnote w:type="continuationSeparator" w:id="0">
    <w:p w:rsidR="00C433DA" w:rsidRDefault="00C433DA">
      <w:r>
        <w:t xml:space="preserve"> </w:t>
      </w:r>
    </w:p>
  </w:endnote>
  <w:endnote w:type="continuationNotice" w:id="1">
    <w:p w:rsidR="00C433DA" w:rsidRDefault="00C433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F" w:rsidRDefault="005C2E8F">
    <w:pPr>
      <w:pStyle w:val="Footer"/>
      <w:framePr w:wrap="around" w:vAnchor="text" w:hAnchor="margin" w:xAlign="center" w:y="1"/>
    </w:pPr>
    <w:r>
      <w:fldChar w:fldCharType="begin"/>
    </w:r>
    <w:r>
      <w:instrText xml:space="preserve">PAGE  </w:instrText>
    </w:r>
    <w:r>
      <w:fldChar w:fldCharType="end"/>
    </w:r>
  </w:p>
  <w:p w:rsidR="005C2E8F" w:rsidRDefault="005C2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F" w:rsidRDefault="005C2E8F">
    <w:pPr>
      <w:spacing w:before="140" w:line="100" w:lineRule="exact"/>
      <w:rPr>
        <w:sz w:val="10"/>
      </w:rPr>
    </w:pPr>
  </w:p>
  <w:p w:rsidR="005C2E8F" w:rsidRDefault="005C2E8F">
    <w:pPr>
      <w:pStyle w:val="Footer"/>
      <w:framePr w:w="118" w:h="426" w:hRule="exact" w:wrap="around" w:vAnchor="text" w:hAnchor="page" w:x="6193" w:y="205"/>
    </w:pPr>
    <w:r>
      <w:fldChar w:fldCharType="begin"/>
    </w:r>
    <w:r>
      <w:instrText xml:space="preserve">PAGE  </w:instrText>
    </w:r>
    <w:r>
      <w:fldChar w:fldCharType="separate"/>
    </w:r>
    <w:r w:rsidR="00FF7F3B">
      <w:rPr>
        <w:noProof/>
      </w:rPr>
      <w:t>4</w:t>
    </w:r>
    <w:r>
      <w:fldChar w:fldCharType="end"/>
    </w:r>
  </w:p>
  <w:p w:rsidR="005C2E8F" w:rsidRDefault="005C2E8F">
    <w:pPr>
      <w:suppressAutoHyphens/>
      <w:spacing w:line="227" w:lineRule="auto"/>
    </w:pPr>
  </w:p>
  <w:p w:rsidR="005C2E8F" w:rsidRDefault="005C2E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F" w:rsidRDefault="005C2E8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DA" w:rsidRDefault="00C433DA">
      <w:r>
        <w:separator/>
      </w:r>
    </w:p>
  </w:footnote>
  <w:footnote w:type="continuationSeparator" w:id="0">
    <w:p w:rsidR="00C433DA" w:rsidRDefault="00C433DA">
      <w:pPr>
        <w:pStyle w:val="Footer"/>
      </w:pPr>
      <w:r>
        <w:separator/>
      </w:r>
    </w:p>
    <w:p w:rsidR="00C433DA" w:rsidRDefault="00C433DA">
      <w:pPr>
        <w:pStyle w:val="Footer"/>
      </w:pPr>
      <w:r>
        <w:t>(…continued from previous page)</w:t>
      </w:r>
    </w:p>
  </w:footnote>
  <w:footnote w:type="continuationNotice" w:id="1">
    <w:p w:rsidR="00C433DA" w:rsidRDefault="00C433DA">
      <w:pPr>
        <w:jc w:val="right"/>
        <w:rPr>
          <w:sz w:val="20"/>
        </w:rPr>
      </w:pPr>
      <w:r>
        <w:rPr>
          <w:sz w:val="20"/>
        </w:rPr>
        <w:t>(continued…)</w:t>
      </w:r>
    </w:p>
  </w:footnote>
  <w:footnote w:id="2">
    <w:p w:rsidR="00C30325" w:rsidRPr="0024101B" w:rsidRDefault="00C30325">
      <w:pPr>
        <w:pStyle w:val="FootnoteText"/>
      </w:pPr>
      <w:r>
        <w:rPr>
          <w:rStyle w:val="FootnoteReference"/>
        </w:rPr>
        <w:footnoteRef/>
      </w:r>
      <w:r>
        <w:t xml:space="preserve"> </w:t>
      </w:r>
      <w:r>
        <w:rPr>
          <w:i/>
        </w:rPr>
        <w:t>Rates for Interstate Inmate Calling Services</w:t>
      </w:r>
      <w:r>
        <w:t>, WC Docket No. 12-375, Protective Order</w:t>
      </w:r>
      <w:r w:rsidR="00825A72">
        <w:t>, 28 FCC Rcd 16954</w:t>
      </w:r>
      <w:r w:rsidR="00F33DED">
        <w:t xml:space="preserve"> at </w:t>
      </w:r>
      <w:r w:rsidR="00AC147A">
        <w:t xml:space="preserve">para. </w:t>
      </w:r>
      <w:r w:rsidR="00F33DED">
        <w:t>1</w:t>
      </w:r>
      <w:r>
        <w:t xml:space="preserve"> (Wireline Comp. Bur. 2013) (</w:t>
      </w:r>
      <w:r>
        <w:rPr>
          <w:i/>
        </w:rPr>
        <w:t>Protective Order</w:t>
      </w:r>
      <w:r>
        <w:t>).</w:t>
      </w:r>
      <w:r w:rsidR="0024101B">
        <w:t xml:space="preserve">  The </w:t>
      </w:r>
      <w:r w:rsidR="0024101B">
        <w:rPr>
          <w:i/>
        </w:rPr>
        <w:t xml:space="preserve">Protective Order </w:t>
      </w:r>
      <w:r w:rsidR="0024101B">
        <w:t>defines a “Participant” as “a person or entity that has filed, or has a good faith intention to file, material comments in this proceeding.</w:t>
      </w:r>
      <w:r w:rsidR="00BF42CB">
        <w:t>”</w:t>
      </w:r>
      <w:r w:rsidR="0024101B">
        <w:t xml:space="preserve">  </w:t>
      </w:r>
      <w:r w:rsidR="0024101B">
        <w:rPr>
          <w:i/>
        </w:rPr>
        <w:t>Id.</w:t>
      </w:r>
      <w:r w:rsidR="0024101B">
        <w:t xml:space="preserve"> at 16955, para. 2.</w:t>
      </w:r>
    </w:p>
  </w:footnote>
  <w:footnote w:id="3">
    <w:p w:rsidR="00857074" w:rsidRPr="00857074" w:rsidRDefault="00857074">
      <w:pPr>
        <w:pStyle w:val="FootnoteText"/>
      </w:pPr>
      <w:r>
        <w:rPr>
          <w:rStyle w:val="FootnoteReference"/>
        </w:rPr>
        <w:footnoteRef/>
      </w:r>
      <w:r>
        <w:t xml:space="preserve"> </w:t>
      </w:r>
      <w:r w:rsidR="00D4246D">
        <w:rPr>
          <w:i/>
        </w:rPr>
        <w:t>Id.</w:t>
      </w:r>
      <w:r w:rsidR="002F651A">
        <w:t xml:space="preserve"> at 16958, </w:t>
      </w:r>
      <w:r>
        <w:t>para. 11.</w:t>
      </w:r>
    </w:p>
  </w:footnote>
  <w:footnote w:id="4">
    <w:p w:rsidR="006146BF" w:rsidRDefault="006146BF" w:rsidP="006146BF">
      <w:pPr>
        <w:pStyle w:val="FootnoteText"/>
      </w:pPr>
      <w:r>
        <w:rPr>
          <w:rStyle w:val="FootnoteReference"/>
        </w:rPr>
        <w:footnoteRef/>
      </w:r>
      <w:r>
        <w:t xml:space="preserve"> </w:t>
      </w:r>
      <w:r w:rsidR="00D4246D">
        <w:rPr>
          <w:i/>
        </w:rPr>
        <w:t>Id.</w:t>
      </w:r>
      <w:r w:rsidR="00D22663">
        <w:t xml:space="preserve"> at para. 16</w:t>
      </w:r>
      <w:r>
        <w:t>.</w:t>
      </w:r>
    </w:p>
  </w:footnote>
  <w:footnote w:id="5">
    <w:p w:rsidR="006146BF" w:rsidRDefault="006146BF" w:rsidP="006146BF">
      <w:pPr>
        <w:pStyle w:val="FootnoteText"/>
      </w:pPr>
      <w:r>
        <w:rPr>
          <w:rStyle w:val="FootnoteReference"/>
        </w:rPr>
        <w:footnoteRef/>
      </w:r>
      <w:r>
        <w:t xml:space="preserve"> </w:t>
      </w:r>
      <w:r w:rsidR="00AC147A">
        <w:rPr>
          <w:i/>
        </w:rPr>
        <w:t>Id</w:t>
      </w:r>
      <w:r>
        <w:t>.</w:t>
      </w:r>
    </w:p>
  </w:footnote>
  <w:footnote w:id="6">
    <w:p w:rsidR="006146BF" w:rsidRDefault="006146BF">
      <w:pPr>
        <w:pStyle w:val="FootnoteText"/>
      </w:pPr>
      <w:r>
        <w:rPr>
          <w:rStyle w:val="FootnoteReference"/>
        </w:rPr>
        <w:footnoteRef/>
      </w:r>
      <w:r>
        <w:t xml:space="preserve"> Letter from Dar</w:t>
      </w:r>
      <w:r w:rsidR="00437829">
        <w:t>r</w:t>
      </w:r>
      <w:r>
        <w:t>ell A. Baker</w:t>
      </w:r>
      <w:r w:rsidR="00F33DED">
        <w:t>, Dir. Utility Services Division, AL PSC,</w:t>
      </w:r>
      <w:r>
        <w:t xml:space="preserve"> to Marlene H. Dortch, </w:t>
      </w:r>
      <w:r w:rsidR="00F33DED">
        <w:t xml:space="preserve">Secretary, FCC, </w:t>
      </w:r>
      <w:r>
        <w:t>WC Docket No. 12-375 (filed Dec. 5, 2014).</w:t>
      </w:r>
      <w:r w:rsidR="00734FB2">
        <w:t xml:space="preserve">  </w:t>
      </w:r>
    </w:p>
  </w:footnote>
  <w:footnote w:id="7">
    <w:p w:rsidR="00DA2E35" w:rsidRPr="00DA2E35" w:rsidRDefault="00DA2E35">
      <w:pPr>
        <w:pStyle w:val="FootnoteText"/>
      </w:pPr>
      <w:r>
        <w:rPr>
          <w:rStyle w:val="FootnoteReference"/>
        </w:rPr>
        <w:footnoteRef/>
      </w:r>
      <w:r>
        <w:t xml:space="preserve"> Letter from Darrell A. Baker to Marlene H. Dortch, Secretary, FCC, WC Docket No. 12-375 (filed July 8, 2015).  All of the filings the AL PSC has made in this proceeding have been signed by Mr. Baker.  In addition, Mr. Baker has made several filings in this docket which were not filed on AL PSC letterhead, did not list his title with the AL PSC and included a disclaimer indicating that Mr. Baker’s “comments do not necessarily reflect the views of the Alabama Public Service Commission.”  </w:t>
      </w:r>
      <w:r>
        <w:rPr>
          <w:i/>
        </w:rPr>
        <w:t>See</w:t>
      </w:r>
      <w:r w:rsidR="00A47105">
        <w:rPr>
          <w:i/>
        </w:rPr>
        <w:t>, e.g.,</w:t>
      </w:r>
      <w:r>
        <w:rPr>
          <w:i/>
        </w:rPr>
        <w:t xml:space="preserve"> id</w:t>
      </w:r>
      <w:r>
        <w:t>. at n.1.</w:t>
      </w:r>
    </w:p>
  </w:footnote>
  <w:footnote w:id="8">
    <w:p w:rsidR="00984A85" w:rsidRPr="00984A85" w:rsidRDefault="00984A85">
      <w:pPr>
        <w:pStyle w:val="FootnoteText"/>
      </w:pPr>
      <w:r>
        <w:rPr>
          <w:rStyle w:val="FootnoteReference"/>
        </w:rPr>
        <w:footnoteRef/>
      </w:r>
      <w:r>
        <w:t xml:space="preserve"> </w:t>
      </w:r>
      <w:r>
        <w:rPr>
          <w:i/>
        </w:rPr>
        <w:t>Protective Order</w:t>
      </w:r>
      <w:r>
        <w:t xml:space="preserve">, 28 FCC Rcd at 16956, para. 4. </w:t>
      </w:r>
    </w:p>
  </w:footnote>
  <w:footnote w:id="9">
    <w:p w:rsidR="009C2E24" w:rsidRDefault="009C2E24">
      <w:pPr>
        <w:pStyle w:val="FootnoteText"/>
      </w:pPr>
      <w:r>
        <w:rPr>
          <w:rStyle w:val="FootnoteReference"/>
        </w:rPr>
        <w:footnoteRef/>
      </w:r>
      <w:r>
        <w:t xml:space="preserve"> </w:t>
      </w:r>
      <w:r>
        <w:rPr>
          <w:i/>
        </w:rPr>
        <w:t xml:space="preserve">See </w:t>
      </w:r>
      <w:r>
        <w:t>Lette</w:t>
      </w:r>
      <w:r w:rsidR="00AC147A">
        <w:t xml:space="preserve">r from John A. Garner, Exec. Dir. </w:t>
      </w:r>
      <w:r w:rsidR="005E1402">
        <w:t>a</w:t>
      </w:r>
      <w:r w:rsidR="00AC147A">
        <w:t>nd Chief Administrative Law Judge</w:t>
      </w:r>
      <w:r>
        <w:t>, AL PSC, to Marlene H. Dortch, Secretary, FCC, WC Docket No. 12-375</w:t>
      </w:r>
      <w:r w:rsidR="005E1402">
        <w:t>,</w:t>
      </w:r>
      <w:r>
        <w:t xml:space="preserve"> </w:t>
      </w:r>
      <w:r w:rsidR="00AC147A">
        <w:t xml:space="preserve">at 1 </w:t>
      </w:r>
      <w:r>
        <w:t>(filed July 29, 2015) (AL PSC Letter).</w:t>
      </w:r>
    </w:p>
  </w:footnote>
  <w:footnote w:id="10">
    <w:p w:rsidR="00F147CD" w:rsidRPr="00F147CD" w:rsidRDefault="00F147CD">
      <w:pPr>
        <w:pStyle w:val="FootnoteText"/>
      </w:pPr>
      <w:r>
        <w:rPr>
          <w:rStyle w:val="FootnoteReference"/>
        </w:rPr>
        <w:footnoteRef/>
      </w:r>
      <w:r>
        <w:t xml:space="preserve"> Global Tel*Link Corporation’s Motion for Sanctions, WC Docket No. 12-375</w:t>
      </w:r>
      <w:r w:rsidR="005E1402">
        <w:t>,</w:t>
      </w:r>
      <w:r>
        <w:t xml:space="preserve"> at 5 (filed July 16, 2015) (GTL Motion).</w:t>
      </w:r>
    </w:p>
  </w:footnote>
  <w:footnote w:id="11">
    <w:p w:rsidR="00040BE9" w:rsidRPr="00040BE9" w:rsidRDefault="00040BE9">
      <w:pPr>
        <w:pStyle w:val="FootnoteText"/>
      </w:pPr>
      <w:r>
        <w:rPr>
          <w:rStyle w:val="FootnoteReference"/>
        </w:rPr>
        <w:footnoteRef/>
      </w:r>
      <w:r>
        <w:t xml:space="preserve"> </w:t>
      </w:r>
      <w:r>
        <w:rPr>
          <w:i/>
        </w:rPr>
        <w:t>See id</w:t>
      </w:r>
      <w:r>
        <w:t>.</w:t>
      </w:r>
    </w:p>
  </w:footnote>
  <w:footnote w:id="12">
    <w:p w:rsidR="00AD6EF9" w:rsidRPr="007427A0" w:rsidRDefault="00AD6EF9" w:rsidP="00AD6EF9">
      <w:pPr>
        <w:pStyle w:val="FootnoteText"/>
      </w:pPr>
      <w:r>
        <w:rPr>
          <w:rStyle w:val="FootnoteReference"/>
        </w:rPr>
        <w:footnoteRef/>
      </w:r>
      <w:r>
        <w:t xml:space="preserve"> </w:t>
      </w:r>
      <w:r>
        <w:rPr>
          <w:i/>
        </w:rPr>
        <w:t>See</w:t>
      </w:r>
      <w:r>
        <w:t xml:space="preserve"> </w:t>
      </w:r>
      <w:r w:rsidR="00040BE9">
        <w:rPr>
          <w:i/>
        </w:rPr>
        <w:t>id</w:t>
      </w:r>
      <w:r w:rsidR="00040BE9">
        <w:t>.</w:t>
      </w:r>
      <w:r>
        <w:t xml:space="preserve"> and </w:t>
      </w:r>
      <w:r w:rsidR="00F147CD">
        <w:t>Attach.</w:t>
      </w:r>
      <w:r w:rsidR="005E1402">
        <w:t>,</w:t>
      </w:r>
      <w:r w:rsidR="00F147CD">
        <w:t xml:space="preserve"> </w:t>
      </w:r>
      <w:r>
        <w:t xml:space="preserve">Declaration of Angela F. Collins at para. 8 (Collins Declaration).  </w:t>
      </w:r>
    </w:p>
  </w:footnote>
  <w:footnote w:id="13">
    <w:p w:rsidR="00AD6EF9" w:rsidRDefault="00AD6EF9" w:rsidP="00AD6EF9">
      <w:pPr>
        <w:pStyle w:val="FootnoteText"/>
      </w:pPr>
      <w:r>
        <w:rPr>
          <w:rStyle w:val="FootnoteReference"/>
        </w:rPr>
        <w:footnoteRef/>
      </w:r>
      <w:r>
        <w:t xml:space="preserve"> </w:t>
      </w:r>
      <w:r w:rsidR="00AC147A">
        <w:rPr>
          <w:i/>
        </w:rPr>
        <w:t xml:space="preserve">See generally </w:t>
      </w:r>
      <w:r>
        <w:t>GTL Motion at 1.</w:t>
      </w:r>
    </w:p>
  </w:footnote>
  <w:footnote w:id="14">
    <w:p w:rsidR="00AD6EF9" w:rsidRDefault="00AD6EF9" w:rsidP="00AD6EF9">
      <w:pPr>
        <w:pStyle w:val="FootnoteText"/>
      </w:pPr>
      <w:r>
        <w:rPr>
          <w:rStyle w:val="FootnoteReference"/>
        </w:rPr>
        <w:footnoteRef/>
      </w:r>
      <w:r>
        <w:t xml:space="preserve"> </w:t>
      </w:r>
      <w:r w:rsidR="00040BE9">
        <w:rPr>
          <w:i/>
        </w:rPr>
        <w:t xml:space="preserve">See </w:t>
      </w:r>
      <w:r w:rsidR="00040BE9">
        <w:t>Letter from Darrell A. Baker to Marlene H. Dortch, Secretary, FCC, WC Docket No. 12-375</w:t>
      </w:r>
      <w:r w:rsidR="005E1402">
        <w:t>,</w:t>
      </w:r>
      <w:r w:rsidR="00040BE9">
        <w:t xml:space="preserve"> </w:t>
      </w:r>
      <w:r w:rsidR="00AC147A">
        <w:t xml:space="preserve">at 1 </w:t>
      </w:r>
      <w:r w:rsidR="00040BE9">
        <w:t>(filed July 17, 2015) (not contesting the accuracy of GTL’s filing and explaining</w:t>
      </w:r>
      <w:r w:rsidR="00AC147A">
        <w:t xml:space="preserve"> that</w:t>
      </w:r>
      <w:r>
        <w:t xml:space="preserve"> “[m]y presumption was that the Commission would only post the redacted (for public view) version of the Ex Parte Presentation to the ECFS webpage”).</w:t>
      </w:r>
    </w:p>
  </w:footnote>
  <w:footnote w:id="15">
    <w:p w:rsidR="00AD6EF9" w:rsidRDefault="00AD6EF9" w:rsidP="00AD6EF9">
      <w:pPr>
        <w:pStyle w:val="FootnoteText"/>
      </w:pPr>
      <w:r>
        <w:rPr>
          <w:rStyle w:val="FootnoteReference"/>
        </w:rPr>
        <w:footnoteRef/>
      </w:r>
      <w:r>
        <w:t xml:space="preserve"> </w:t>
      </w:r>
      <w:r w:rsidR="005E1402">
        <w:rPr>
          <w:i/>
        </w:rPr>
        <w:t>Id</w:t>
      </w:r>
      <w:r w:rsidR="005E1402">
        <w:t>.</w:t>
      </w:r>
      <w:r>
        <w:t xml:space="preserve"> at 1.</w:t>
      </w:r>
    </w:p>
  </w:footnote>
  <w:footnote w:id="16">
    <w:p w:rsidR="00AD6EF9" w:rsidRPr="00F96E87" w:rsidRDefault="00AD6EF9" w:rsidP="00AD6EF9">
      <w:pPr>
        <w:pStyle w:val="FootnoteText"/>
      </w:pPr>
      <w:r>
        <w:rPr>
          <w:rStyle w:val="FootnoteReference"/>
        </w:rPr>
        <w:footnoteRef/>
      </w:r>
      <w:r>
        <w:t xml:space="preserve"> </w:t>
      </w:r>
      <w:r w:rsidR="00AC147A" w:rsidRPr="00AC147A">
        <w:rPr>
          <w:i/>
        </w:rPr>
        <w:t>Id</w:t>
      </w:r>
      <w:r w:rsidR="00AC147A">
        <w:t xml:space="preserve">.  </w:t>
      </w:r>
      <w:r w:rsidRPr="00AC147A">
        <w:t>Mr</w:t>
      </w:r>
      <w:r>
        <w:t>. Baker’s response to GTL’s Motion was consistent with an earlier response he emailed to GTL indicating that he did not realize he had submitted the confidential informati</w:t>
      </w:r>
      <w:r w:rsidR="00CA2167">
        <w:t xml:space="preserve">on incorrectly and noting that </w:t>
      </w:r>
      <w:r>
        <w:t xml:space="preserve">he “clearly identified” the confidential version of the filing.  </w:t>
      </w:r>
      <w:r>
        <w:rPr>
          <w:i/>
        </w:rPr>
        <w:t xml:space="preserve">See </w:t>
      </w:r>
      <w:r w:rsidR="00AC147A">
        <w:t>GTL Motion at 5</w:t>
      </w:r>
      <w:r>
        <w:t xml:space="preserve"> </w:t>
      </w:r>
      <w:r w:rsidR="00AC147A">
        <w:t>(</w:t>
      </w:r>
      <w:r>
        <w:t>quoting email from Darrell Baker to Angela</w:t>
      </w:r>
      <w:r w:rsidR="00AC147A">
        <w:t xml:space="preserve"> Collins, sent July 9, 2015</w:t>
      </w:r>
      <w:r>
        <w:t>, attached as Exhibit 9 to the Collins Declaration</w:t>
      </w:r>
      <w:r w:rsidR="00AC147A">
        <w:t>)</w:t>
      </w:r>
      <w:r>
        <w:t>.</w:t>
      </w:r>
    </w:p>
  </w:footnote>
  <w:footnote w:id="17">
    <w:p w:rsidR="005F4266" w:rsidRDefault="005F4266">
      <w:pPr>
        <w:pStyle w:val="FootnoteText"/>
      </w:pPr>
      <w:r>
        <w:rPr>
          <w:rStyle w:val="FootnoteReference"/>
        </w:rPr>
        <w:footnoteRef/>
      </w:r>
      <w:r>
        <w:t xml:space="preserve"> </w:t>
      </w:r>
      <w:r>
        <w:rPr>
          <w:i/>
        </w:rPr>
        <w:t xml:space="preserve">See </w:t>
      </w:r>
      <w:r w:rsidR="00B4610E">
        <w:rPr>
          <w:i/>
        </w:rPr>
        <w:t>generally</w:t>
      </w:r>
      <w:r w:rsidR="00AC147A">
        <w:rPr>
          <w:i/>
        </w:rPr>
        <w:t xml:space="preserve"> </w:t>
      </w:r>
      <w:r>
        <w:t>AL PSC Letter</w:t>
      </w:r>
      <w:r w:rsidR="00AC147A">
        <w:t xml:space="preserve"> (describing</w:t>
      </w:r>
      <w:r>
        <w:t xml:space="preserve"> July 27, 2015 conference call between FCC staff and representatives of the AL PSC).</w:t>
      </w:r>
    </w:p>
  </w:footnote>
  <w:footnote w:id="18">
    <w:p w:rsidR="00CA2167" w:rsidRPr="00C85EB3" w:rsidRDefault="00CA2167">
      <w:pPr>
        <w:pStyle w:val="FootnoteText"/>
      </w:pPr>
      <w:r>
        <w:rPr>
          <w:rStyle w:val="FootnoteReference"/>
        </w:rPr>
        <w:footnoteRef/>
      </w:r>
      <w:r>
        <w:t xml:space="preserve"> </w:t>
      </w:r>
      <w:r w:rsidR="00C85EB3">
        <w:rPr>
          <w:i/>
        </w:rPr>
        <w:t>See</w:t>
      </w:r>
      <w:r w:rsidR="00AC147A">
        <w:rPr>
          <w:i/>
        </w:rPr>
        <w:t xml:space="preserve"> generally</w:t>
      </w:r>
      <w:r w:rsidR="00C85EB3">
        <w:rPr>
          <w:i/>
        </w:rPr>
        <w:t xml:space="preserve"> </w:t>
      </w:r>
      <w:r w:rsidR="00C85EB3">
        <w:t>Letter from Ch</w:t>
      </w:r>
      <w:r w:rsidR="00037399">
        <w:t>é</w:t>
      </w:r>
      <w:r w:rsidR="00C85EB3">
        <w:t xml:space="preserve">rie </w:t>
      </w:r>
      <w:r w:rsidR="00AC147A">
        <w:t xml:space="preserve">R. </w:t>
      </w:r>
      <w:r w:rsidR="00C85EB3">
        <w:t>Kiser</w:t>
      </w:r>
      <w:r w:rsidR="00BC6081">
        <w:t xml:space="preserve">, Counsel </w:t>
      </w:r>
      <w:r w:rsidR="005E1402">
        <w:t>to GTL</w:t>
      </w:r>
      <w:r w:rsidR="00BC6081">
        <w:t>, to Marlene H. Dortch, Secretary, FCC, WC Docket No. 12-375 (filed July 31, 2015).</w:t>
      </w:r>
    </w:p>
  </w:footnote>
  <w:footnote w:id="19">
    <w:p w:rsidR="00A20133" w:rsidRDefault="00A20133">
      <w:pPr>
        <w:pStyle w:val="FootnoteText"/>
      </w:pPr>
      <w:r>
        <w:rPr>
          <w:rStyle w:val="FootnoteReference"/>
        </w:rPr>
        <w:footnoteRef/>
      </w:r>
      <w:r>
        <w:t xml:space="preserve"> GTL Motion at 5.</w:t>
      </w:r>
    </w:p>
  </w:footnote>
  <w:footnote w:id="20">
    <w:p w:rsidR="00AC0380" w:rsidRDefault="00AC0380" w:rsidP="00AC0380">
      <w:pPr>
        <w:pStyle w:val="FootnoteText"/>
      </w:pPr>
      <w:r>
        <w:rPr>
          <w:rStyle w:val="FootnoteReference"/>
        </w:rPr>
        <w:footnoteRef/>
      </w:r>
      <w:r>
        <w:t xml:space="preserve"> </w:t>
      </w:r>
      <w:r w:rsidR="00BE78A9" w:rsidRPr="00EF1DD8">
        <w:rPr>
          <w:i/>
        </w:rPr>
        <w:t>Applications of America Online, Inc. and Time Warner Inc.</w:t>
      </w:r>
      <w:r w:rsidR="005E1402" w:rsidRPr="00EF1DD8">
        <w:rPr>
          <w:i/>
        </w:rPr>
        <w:t xml:space="preserve"> for Transfers of Control</w:t>
      </w:r>
      <w:r w:rsidR="00BE78A9" w:rsidRPr="00BE78A9">
        <w:t xml:space="preserve">, </w:t>
      </w:r>
      <w:r w:rsidR="005E1402">
        <w:t xml:space="preserve">CS Docket No. </w:t>
      </w:r>
      <w:r w:rsidR="00E656B8">
        <w:t xml:space="preserve">00-30, </w:t>
      </w:r>
      <w:r w:rsidR="00BE78A9" w:rsidRPr="00EF1DD8">
        <w:rPr>
          <w:iCs/>
        </w:rPr>
        <w:t>Memorandum Opinion and Order</w:t>
      </w:r>
      <w:r w:rsidR="00BE78A9" w:rsidRPr="00BE78A9">
        <w:rPr>
          <w:i/>
          <w:iCs/>
        </w:rPr>
        <w:t>,</w:t>
      </w:r>
      <w:r w:rsidR="00BE78A9" w:rsidRPr="00BE78A9">
        <w:t xml:space="preserve"> 16 FCC Rcd 2400, 2406 (Cable Serv. Bur. 2001)</w:t>
      </w:r>
      <w:r w:rsidR="00BE78A9">
        <w:t xml:space="preserve"> (quoting </w:t>
      </w:r>
      <w:r w:rsidRPr="000D63D8">
        <w:rPr>
          <w:i/>
        </w:rPr>
        <w:t>Applications of Craig O. McCaw, Transferor</w:t>
      </w:r>
      <w:r w:rsidR="00E656B8">
        <w:rPr>
          <w:i/>
        </w:rPr>
        <w:t>,</w:t>
      </w:r>
      <w:r w:rsidRPr="000D63D8">
        <w:rPr>
          <w:i/>
        </w:rPr>
        <w:t xml:space="preserve"> and American Telephone and Telegraph Company, Transferee</w:t>
      </w:r>
      <w:r>
        <w:t xml:space="preserve">, </w:t>
      </w:r>
      <w:r w:rsidR="00E656B8">
        <w:t xml:space="preserve">Memorandum Opinion and Order, </w:t>
      </w:r>
      <w:r>
        <w:t>9 FCC Rcd 5836, 5923-24</w:t>
      </w:r>
      <w:r w:rsidR="00E656B8">
        <w:t>,</w:t>
      </w:r>
      <w:r>
        <w:t xml:space="preserve"> </w:t>
      </w:r>
      <w:r w:rsidR="00AC147A">
        <w:t xml:space="preserve">para. 163 </w:t>
      </w:r>
      <w:r>
        <w:t>(1994)</w:t>
      </w:r>
      <w:r w:rsidR="00BE78A9">
        <w:t>)</w:t>
      </w:r>
      <w:r>
        <w:t>.</w:t>
      </w:r>
    </w:p>
  </w:footnote>
  <w:footnote w:id="21">
    <w:p w:rsidR="00405CE5" w:rsidRDefault="00405CE5">
      <w:pPr>
        <w:pStyle w:val="FootnoteText"/>
      </w:pPr>
      <w:r>
        <w:rPr>
          <w:rStyle w:val="FootnoteReference"/>
        </w:rPr>
        <w:footnoteRef/>
      </w:r>
      <w:r>
        <w:t xml:space="preserve"> AL PSC Letter at 2, and attached certification.</w:t>
      </w:r>
    </w:p>
  </w:footnote>
  <w:footnote w:id="22">
    <w:p w:rsidR="00014FC2" w:rsidRDefault="00014FC2">
      <w:pPr>
        <w:pStyle w:val="FootnoteText"/>
      </w:pPr>
      <w:r>
        <w:rPr>
          <w:rStyle w:val="FootnoteReference"/>
        </w:rPr>
        <w:footnoteRef/>
      </w:r>
      <w:r>
        <w:t xml:space="preserve"> AL PSC Letter at 2.</w:t>
      </w:r>
    </w:p>
  </w:footnote>
  <w:footnote w:id="23">
    <w:p w:rsidR="00014FC2" w:rsidRPr="00014FC2" w:rsidRDefault="00014FC2">
      <w:pPr>
        <w:pStyle w:val="FootnoteText"/>
      </w:pPr>
      <w:r>
        <w:rPr>
          <w:rStyle w:val="FootnoteReference"/>
        </w:rPr>
        <w:footnoteRef/>
      </w:r>
      <w:r>
        <w:t xml:space="preserve"> </w:t>
      </w:r>
      <w:r>
        <w:rPr>
          <w:i/>
        </w:rPr>
        <w:t>Id.</w:t>
      </w:r>
    </w:p>
  </w:footnote>
  <w:footnote w:id="24">
    <w:p w:rsidR="00014FC2" w:rsidRPr="00014FC2" w:rsidRDefault="00014FC2">
      <w:pPr>
        <w:pStyle w:val="FootnoteText"/>
      </w:pPr>
      <w:r>
        <w:rPr>
          <w:rStyle w:val="FootnoteReference"/>
        </w:rPr>
        <w:footnoteRef/>
      </w:r>
      <w:r>
        <w:t xml:space="preserve"> </w:t>
      </w:r>
      <w:r>
        <w:rPr>
          <w:i/>
        </w:rPr>
        <w:t>Id.</w:t>
      </w:r>
    </w:p>
  </w:footnote>
  <w:footnote w:id="25">
    <w:p w:rsidR="00636B2B" w:rsidRPr="00636B2B" w:rsidRDefault="00636B2B">
      <w:pPr>
        <w:pStyle w:val="FootnoteText"/>
        <w:rPr>
          <w:i/>
        </w:rPr>
      </w:pPr>
      <w:r>
        <w:rPr>
          <w:rStyle w:val="FootnoteReference"/>
        </w:rPr>
        <w:footnoteRef/>
      </w:r>
      <w:r>
        <w:t xml:space="preserve"> </w:t>
      </w:r>
      <w:r w:rsidRPr="00636B2B">
        <w:rPr>
          <w:i/>
        </w:rPr>
        <w:t xml:space="preserve">See </w:t>
      </w:r>
      <w:r w:rsidRPr="00636B2B">
        <w:t>Applications of America Online, Inc. and Time Warner</w:t>
      </w:r>
      <w:r w:rsidR="0047463A">
        <w:t>,</w:t>
      </w:r>
      <w:r w:rsidRPr="00636B2B">
        <w:t xml:space="preserve"> Inc.</w:t>
      </w:r>
      <w:r w:rsidR="0047463A">
        <w:t xml:space="preserve"> for Transfers of Control, CS Docket No. 00-30, </w:t>
      </w:r>
      <w:r w:rsidRPr="00636B2B">
        <w:t xml:space="preserve"> </w:t>
      </w:r>
      <w:r w:rsidRPr="00EF1DD8">
        <w:rPr>
          <w:iCs/>
        </w:rPr>
        <w:t>Order,</w:t>
      </w:r>
      <w:r w:rsidRPr="00636B2B">
        <w:t xml:space="preserve"> 15 FCC Rcd 19668 (Cable Serv. Bur. 2000)</w:t>
      </w:r>
      <w:r w:rsidR="00E656B8">
        <w:t xml:space="preserve"> (commencing investigation of protective order violation notwithstanding voluntary remedial measures already having </w:t>
      </w:r>
      <w:r w:rsidR="004D4D53">
        <w:t>been taken by violator)</w:t>
      </w:r>
      <w:r w:rsidRPr="00636B2B">
        <w:t>.</w:t>
      </w:r>
    </w:p>
  </w:footnote>
  <w:footnote w:id="26">
    <w:p w:rsidR="00A42B32" w:rsidRPr="004B6776" w:rsidRDefault="00A42B32">
      <w:pPr>
        <w:pStyle w:val="FootnoteText"/>
      </w:pPr>
      <w:r>
        <w:rPr>
          <w:rStyle w:val="FootnoteReference"/>
        </w:rPr>
        <w:footnoteRef/>
      </w:r>
      <w:r>
        <w:t xml:space="preserve"> These procedures should include the safeguard that the AL PSC has imposed on itself already, requiring that an attorney sign all future confidential filings made pursuant to the </w:t>
      </w:r>
      <w:r w:rsidRPr="00B94C45">
        <w:rPr>
          <w:i/>
        </w:rPr>
        <w:t>Protective Order</w:t>
      </w:r>
      <w:r>
        <w:t xml:space="preserve">.  </w:t>
      </w:r>
      <w:r w:rsidR="004B6776">
        <w:rPr>
          <w:i/>
        </w:rPr>
        <w:t xml:space="preserve">See </w:t>
      </w:r>
      <w:r w:rsidR="004B6776">
        <w:t>AL PSC Letter at 2.</w:t>
      </w:r>
    </w:p>
  </w:footnote>
  <w:footnote w:id="27">
    <w:p w:rsidR="00FF1F7B" w:rsidRDefault="00FF1F7B">
      <w:pPr>
        <w:pStyle w:val="FootnoteText"/>
      </w:pPr>
      <w:r>
        <w:rPr>
          <w:rStyle w:val="FootnoteReference"/>
        </w:rPr>
        <w:footnoteRef/>
      </w:r>
      <w:r>
        <w:t xml:space="preserve"> We recognize that the AL PSC has already </w:t>
      </w:r>
      <w:r w:rsidR="003B5A56">
        <w:t>prohibited M</w:t>
      </w:r>
      <w:r>
        <w:t>r. Baker</w:t>
      </w:r>
      <w:r w:rsidR="003B5A56">
        <w:t xml:space="preserve"> from submitting future filings in this proceeding</w:t>
      </w:r>
      <w:r>
        <w:t xml:space="preserve">, but find that an FCC-based prohibition is necessary in the event that the AL PSC chooses to lift its prohibition before the FCC is ready to </w:t>
      </w:r>
      <w:r w:rsidR="00D648D7">
        <w:t xml:space="preserve">permit </w:t>
      </w:r>
      <w:r>
        <w:t xml:space="preserve">Mr. Baker </w:t>
      </w:r>
      <w:r w:rsidR="00D648D7">
        <w:t>to resume participation</w:t>
      </w:r>
      <w:r>
        <w:t xml:space="preserve"> in this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61F" w:rsidRDefault="00B41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F" w:rsidRDefault="005C2E8F">
    <w:pPr>
      <w:tabs>
        <w:tab w:val="center" w:pos="4680"/>
        <w:tab w:val="right" w:pos="9360"/>
      </w:tabs>
      <w:suppressAutoHyphens/>
      <w:spacing w:line="227" w:lineRule="auto"/>
      <w:rPr>
        <w:spacing w:val="-2"/>
      </w:rPr>
    </w:pPr>
    <w:r>
      <w:rPr>
        <w:b/>
        <w:spacing w:val="-2"/>
      </w:rPr>
      <w:tab/>
      <w:t>Federal Communications Commission</w:t>
    </w:r>
    <w:r>
      <w:rPr>
        <w:spacing w:val="-2"/>
      </w:rPr>
      <w:tab/>
    </w:r>
    <w:r w:rsidR="002E164B">
      <w:rPr>
        <w:b/>
      </w:rPr>
      <w:t xml:space="preserve">DA </w:t>
    </w:r>
    <w:r>
      <w:rPr>
        <w:b/>
      </w:rPr>
      <w:t>1</w:t>
    </w:r>
    <w:r w:rsidR="002E164B">
      <w:rPr>
        <w:b/>
      </w:rPr>
      <w:t>5</w:t>
    </w:r>
    <w:r>
      <w:rPr>
        <w:b/>
      </w:rPr>
      <w:t>-</w:t>
    </w:r>
    <w:r w:rsidR="00A40179">
      <w:rPr>
        <w:b/>
      </w:rPr>
      <w:t>1052</w:t>
    </w:r>
  </w:p>
  <w:p w:rsidR="005C2E8F" w:rsidRDefault="00DA2E3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8CFDB32" wp14:editId="4918C61C">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3104B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C2E8F" w:rsidRDefault="005C2E8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E8F" w:rsidRDefault="005C2E8F">
    <w:pPr>
      <w:tabs>
        <w:tab w:val="center" w:pos="4680"/>
        <w:tab w:val="right" w:pos="9360"/>
      </w:tabs>
      <w:suppressAutoHyphens/>
      <w:spacing w:line="227" w:lineRule="auto"/>
      <w:rPr>
        <w:spacing w:val="-2"/>
      </w:rPr>
    </w:pPr>
    <w:r>
      <w:rPr>
        <w:b/>
        <w:spacing w:val="-2"/>
      </w:rPr>
      <w:tab/>
      <w:t>Federal Communications Commission</w:t>
    </w:r>
    <w:r>
      <w:rPr>
        <w:spacing w:val="-2"/>
      </w:rPr>
      <w:tab/>
    </w:r>
    <w:r w:rsidR="00BD46F4">
      <w:rPr>
        <w:b/>
      </w:rPr>
      <w:t>DA 15</w:t>
    </w:r>
    <w:r>
      <w:rPr>
        <w:b/>
      </w:rPr>
      <w:t>-</w:t>
    </w:r>
    <w:r w:rsidR="00A40179">
      <w:rPr>
        <w:b/>
      </w:rPr>
      <w:t>1052</w:t>
    </w:r>
  </w:p>
  <w:p w:rsidR="005C2E8F" w:rsidRDefault="00DA2E3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5674FBCF" wp14:editId="60ED13A8">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82148" id="Rectangle 2"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81DC7D04"/>
    <w:lvl w:ilvl="0">
      <w:start w:val="1"/>
      <w:numFmt w:val="decimal"/>
      <w:lvlText w:val="%1."/>
      <w:lvlJc w:val="left"/>
      <w:pPr>
        <w:tabs>
          <w:tab w:val="num" w:pos="1080"/>
        </w:tabs>
        <w:ind w:left="0" w:firstLine="720"/>
      </w:pPr>
      <w:rPr>
        <w:b w:val="0"/>
        <w:i w:val="0"/>
        <w:sz w:val="22"/>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4">
    <w:nsid w:val="43D27EFD"/>
    <w:multiLevelType w:val="singleLevel"/>
    <w:tmpl w:val="42701C86"/>
    <w:lvl w:ilvl="0">
      <w:start w:val="1"/>
      <w:numFmt w:val="decimal"/>
      <w:lvlText w:val="%1."/>
      <w:lvlJc w:val="left"/>
      <w:pPr>
        <w:tabs>
          <w:tab w:val="num" w:pos="1440"/>
        </w:tabs>
        <w:ind w:left="1440" w:hanging="72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7">
    <w:nsid w:val="5FFF125B"/>
    <w:multiLevelType w:val="singleLevel"/>
    <w:tmpl w:val="B1F45678"/>
    <w:lvl w:ilvl="0">
      <w:start w:val="1"/>
      <w:numFmt w:val="decimal"/>
      <w:lvlText w:val="%1."/>
      <w:lvlJc w:val="left"/>
      <w:pPr>
        <w:tabs>
          <w:tab w:val="num" w:pos="1080"/>
        </w:tabs>
        <w:ind w:left="0" w:firstLine="72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8"/>
  </w:num>
  <w:num w:numId="3">
    <w:abstractNumId w:val="3"/>
  </w:num>
  <w:num w:numId="4">
    <w:abstractNumId w:val="17"/>
  </w:num>
  <w:num w:numId="5">
    <w:abstractNumId w:val="21"/>
  </w:num>
  <w:num w:numId="6">
    <w:abstractNumId w:val="11"/>
  </w:num>
  <w:num w:numId="7">
    <w:abstractNumId w:val="12"/>
  </w:num>
  <w:num w:numId="8">
    <w:abstractNumId w:val="14"/>
  </w:num>
  <w:num w:numId="9">
    <w:abstractNumId w:val="1"/>
  </w:num>
  <w:num w:numId="10">
    <w:abstractNumId w:val="0"/>
  </w:num>
  <w:num w:numId="11">
    <w:abstractNumId w:val="4"/>
  </w:num>
  <w:num w:numId="12">
    <w:abstractNumId w:val="10"/>
  </w:num>
  <w:num w:numId="13">
    <w:abstractNumId w:val="3"/>
  </w:num>
  <w:num w:numId="14">
    <w:abstractNumId w:val="16"/>
  </w:num>
  <w:num w:numId="15">
    <w:abstractNumId w:val="5"/>
  </w:num>
  <w:num w:numId="16">
    <w:abstractNumId w:val="13"/>
  </w:num>
  <w:num w:numId="17">
    <w:abstractNumId w:val="6"/>
  </w:num>
  <w:num w:numId="18">
    <w:abstractNumId w:val="22"/>
  </w:num>
  <w:num w:numId="19">
    <w:abstractNumId w:val="2"/>
  </w:num>
  <w:num w:numId="20">
    <w:abstractNumId w:val="19"/>
  </w:num>
  <w:num w:numId="21">
    <w:abstractNumId w:val="9"/>
  </w:num>
  <w:num w:numId="22">
    <w:abstractNumId w:val="2"/>
  </w:num>
  <w:num w:numId="23">
    <w:abstractNumId w:val="19"/>
  </w:num>
  <w:num w:numId="24">
    <w:abstractNumId w:val="19"/>
  </w:num>
  <w:num w:numId="25">
    <w:abstractNumId w:val="19"/>
  </w:num>
  <w:num w:numId="26">
    <w:abstractNumId w:val="23"/>
  </w:num>
  <w:num w:numId="27">
    <w:abstractNumId w:val="7"/>
  </w:num>
  <w:num w:numId="28">
    <w:abstractNumId w:val="9"/>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D4"/>
    <w:rsid w:val="00014FC2"/>
    <w:rsid w:val="00015FDE"/>
    <w:rsid w:val="00037399"/>
    <w:rsid w:val="00040BE9"/>
    <w:rsid w:val="00055311"/>
    <w:rsid w:val="000554B7"/>
    <w:rsid w:val="00075F0B"/>
    <w:rsid w:val="00083F5B"/>
    <w:rsid w:val="000A0D42"/>
    <w:rsid w:val="000A7155"/>
    <w:rsid w:val="000B78F1"/>
    <w:rsid w:val="000D149D"/>
    <w:rsid w:val="000D4C45"/>
    <w:rsid w:val="000D63D8"/>
    <w:rsid w:val="000E443A"/>
    <w:rsid w:val="000E5E63"/>
    <w:rsid w:val="000F4C24"/>
    <w:rsid w:val="000F5CD9"/>
    <w:rsid w:val="00106AA3"/>
    <w:rsid w:val="00123258"/>
    <w:rsid w:val="00130736"/>
    <w:rsid w:val="00134669"/>
    <w:rsid w:val="0014240D"/>
    <w:rsid w:val="00180FD5"/>
    <w:rsid w:val="001B4839"/>
    <w:rsid w:val="001D2A8F"/>
    <w:rsid w:val="001E65D8"/>
    <w:rsid w:val="001F132D"/>
    <w:rsid w:val="001F7EA1"/>
    <w:rsid w:val="0022337A"/>
    <w:rsid w:val="0024101B"/>
    <w:rsid w:val="002420BD"/>
    <w:rsid w:val="0024232E"/>
    <w:rsid w:val="00252E83"/>
    <w:rsid w:val="00270A75"/>
    <w:rsid w:val="002C6A8C"/>
    <w:rsid w:val="002E164B"/>
    <w:rsid w:val="002F651A"/>
    <w:rsid w:val="00325F92"/>
    <w:rsid w:val="003557C9"/>
    <w:rsid w:val="00357C6C"/>
    <w:rsid w:val="003703E5"/>
    <w:rsid w:val="00376B1D"/>
    <w:rsid w:val="00384272"/>
    <w:rsid w:val="003857EF"/>
    <w:rsid w:val="00395BD2"/>
    <w:rsid w:val="003B0DDA"/>
    <w:rsid w:val="003B5A56"/>
    <w:rsid w:val="003C0795"/>
    <w:rsid w:val="003D3DD4"/>
    <w:rsid w:val="003D602A"/>
    <w:rsid w:val="003D64FD"/>
    <w:rsid w:val="003F5133"/>
    <w:rsid w:val="00405CE5"/>
    <w:rsid w:val="00417D0C"/>
    <w:rsid w:val="00432C86"/>
    <w:rsid w:val="00435167"/>
    <w:rsid w:val="00437829"/>
    <w:rsid w:val="004553BC"/>
    <w:rsid w:val="00467608"/>
    <w:rsid w:val="00470B8A"/>
    <w:rsid w:val="00471554"/>
    <w:rsid w:val="0047463A"/>
    <w:rsid w:val="00480E5E"/>
    <w:rsid w:val="0049638C"/>
    <w:rsid w:val="004A7F78"/>
    <w:rsid w:val="004B6776"/>
    <w:rsid w:val="004D4D53"/>
    <w:rsid w:val="004F47A3"/>
    <w:rsid w:val="0051152F"/>
    <w:rsid w:val="00523101"/>
    <w:rsid w:val="0053140D"/>
    <w:rsid w:val="00540AE6"/>
    <w:rsid w:val="00546143"/>
    <w:rsid w:val="00574B6E"/>
    <w:rsid w:val="00595E2A"/>
    <w:rsid w:val="00596634"/>
    <w:rsid w:val="005A6D46"/>
    <w:rsid w:val="005A7D32"/>
    <w:rsid w:val="005C2E8F"/>
    <w:rsid w:val="005D6B77"/>
    <w:rsid w:val="005E1402"/>
    <w:rsid w:val="005F4266"/>
    <w:rsid w:val="00602769"/>
    <w:rsid w:val="006104C3"/>
    <w:rsid w:val="006146BF"/>
    <w:rsid w:val="00636B2B"/>
    <w:rsid w:val="006418DD"/>
    <w:rsid w:val="0066720F"/>
    <w:rsid w:val="006769B3"/>
    <w:rsid w:val="00685A3E"/>
    <w:rsid w:val="006B1A8E"/>
    <w:rsid w:val="006E75E5"/>
    <w:rsid w:val="006F2878"/>
    <w:rsid w:val="00734FB2"/>
    <w:rsid w:val="007427A0"/>
    <w:rsid w:val="00764C2F"/>
    <w:rsid w:val="00774818"/>
    <w:rsid w:val="007B3C34"/>
    <w:rsid w:val="007B4790"/>
    <w:rsid w:val="007C4C40"/>
    <w:rsid w:val="007C5C2F"/>
    <w:rsid w:val="007D50FD"/>
    <w:rsid w:val="0081627E"/>
    <w:rsid w:val="00825A72"/>
    <w:rsid w:val="00833281"/>
    <w:rsid w:val="00857074"/>
    <w:rsid w:val="00857CB8"/>
    <w:rsid w:val="00867D0B"/>
    <w:rsid w:val="00886EAC"/>
    <w:rsid w:val="00891BC3"/>
    <w:rsid w:val="008B000E"/>
    <w:rsid w:val="008B0496"/>
    <w:rsid w:val="008E0067"/>
    <w:rsid w:val="00943D2E"/>
    <w:rsid w:val="00984A85"/>
    <w:rsid w:val="0099171F"/>
    <w:rsid w:val="00992312"/>
    <w:rsid w:val="009B1E5D"/>
    <w:rsid w:val="009C2E24"/>
    <w:rsid w:val="009D5305"/>
    <w:rsid w:val="00A20133"/>
    <w:rsid w:val="00A20D46"/>
    <w:rsid w:val="00A35F31"/>
    <w:rsid w:val="00A40179"/>
    <w:rsid w:val="00A42B32"/>
    <w:rsid w:val="00A44B9F"/>
    <w:rsid w:val="00A47105"/>
    <w:rsid w:val="00A567A1"/>
    <w:rsid w:val="00AA3C0E"/>
    <w:rsid w:val="00AB116E"/>
    <w:rsid w:val="00AC0380"/>
    <w:rsid w:val="00AC147A"/>
    <w:rsid w:val="00AD6EF9"/>
    <w:rsid w:val="00B16376"/>
    <w:rsid w:val="00B268F1"/>
    <w:rsid w:val="00B35839"/>
    <w:rsid w:val="00B36E92"/>
    <w:rsid w:val="00B37F61"/>
    <w:rsid w:val="00B4161F"/>
    <w:rsid w:val="00B4610E"/>
    <w:rsid w:val="00B738C3"/>
    <w:rsid w:val="00B738E9"/>
    <w:rsid w:val="00B94C45"/>
    <w:rsid w:val="00BA2A23"/>
    <w:rsid w:val="00BB1758"/>
    <w:rsid w:val="00BB6BAA"/>
    <w:rsid w:val="00BC6081"/>
    <w:rsid w:val="00BD2BE3"/>
    <w:rsid w:val="00BD46F4"/>
    <w:rsid w:val="00BE24EB"/>
    <w:rsid w:val="00BE78A9"/>
    <w:rsid w:val="00BF42CB"/>
    <w:rsid w:val="00C021AA"/>
    <w:rsid w:val="00C1489B"/>
    <w:rsid w:val="00C225C1"/>
    <w:rsid w:val="00C30325"/>
    <w:rsid w:val="00C337C9"/>
    <w:rsid w:val="00C433DA"/>
    <w:rsid w:val="00C75885"/>
    <w:rsid w:val="00C85EB3"/>
    <w:rsid w:val="00C87DD5"/>
    <w:rsid w:val="00CA2167"/>
    <w:rsid w:val="00CA3074"/>
    <w:rsid w:val="00CA7F20"/>
    <w:rsid w:val="00CC1AC6"/>
    <w:rsid w:val="00CD5FF1"/>
    <w:rsid w:val="00D22663"/>
    <w:rsid w:val="00D269B2"/>
    <w:rsid w:val="00D369C6"/>
    <w:rsid w:val="00D37DD3"/>
    <w:rsid w:val="00D4246D"/>
    <w:rsid w:val="00D47C88"/>
    <w:rsid w:val="00D648D7"/>
    <w:rsid w:val="00D87A18"/>
    <w:rsid w:val="00D87B68"/>
    <w:rsid w:val="00DA0098"/>
    <w:rsid w:val="00DA2E35"/>
    <w:rsid w:val="00DB6D9D"/>
    <w:rsid w:val="00DE4FC0"/>
    <w:rsid w:val="00E23893"/>
    <w:rsid w:val="00E519EA"/>
    <w:rsid w:val="00E656B8"/>
    <w:rsid w:val="00E657F0"/>
    <w:rsid w:val="00E85B62"/>
    <w:rsid w:val="00EB7F39"/>
    <w:rsid w:val="00EF1DD8"/>
    <w:rsid w:val="00EF4CDC"/>
    <w:rsid w:val="00F147CD"/>
    <w:rsid w:val="00F33DED"/>
    <w:rsid w:val="00F412D9"/>
    <w:rsid w:val="00F436DD"/>
    <w:rsid w:val="00F515D4"/>
    <w:rsid w:val="00F81506"/>
    <w:rsid w:val="00F815AF"/>
    <w:rsid w:val="00F96E87"/>
    <w:rsid w:val="00FD5766"/>
    <w:rsid w:val="00FF1F7B"/>
    <w:rsid w:val="00FF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3B"/>
    <w:pPr>
      <w:widowControl w:val="0"/>
    </w:pPr>
    <w:rPr>
      <w:snapToGrid w:val="0"/>
      <w:kern w:val="28"/>
      <w:sz w:val="22"/>
    </w:rPr>
  </w:style>
  <w:style w:type="paragraph" w:styleId="Heading1">
    <w:name w:val="heading 1"/>
    <w:basedOn w:val="Normal"/>
    <w:next w:val="ParaNum"/>
    <w:qFormat/>
    <w:rsid w:val="00FF7F3B"/>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7F3B"/>
    <w:pPr>
      <w:keepNext/>
      <w:numPr>
        <w:ilvl w:val="1"/>
        <w:numId w:val="21"/>
      </w:numPr>
      <w:spacing w:after="120"/>
      <w:outlineLvl w:val="1"/>
    </w:pPr>
    <w:rPr>
      <w:b/>
    </w:rPr>
  </w:style>
  <w:style w:type="paragraph" w:styleId="Heading3">
    <w:name w:val="heading 3"/>
    <w:basedOn w:val="Normal"/>
    <w:next w:val="ParaNum"/>
    <w:qFormat/>
    <w:rsid w:val="00FF7F3B"/>
    <w:pPr>
      <w:keepNext/>
      <w:numPr>
        <w:ilvl w:val="2"/>
        <w:numId w:val="21"/>
      </w:numPr>
      <w:tabs>
        <w:tab w:val="left" w:pos="2160"/>
      </w:tabs>
      <w:spacing w:after="120"/>
      <w:outlineLvl w:val="2"/>
    </w:pPr>
    <w:rPr>
      <w:b/>
    </w:rPr>
  </w:style>
  <w:style w:type="paragraph" w:styleId="Heading4">
    <w:name w:val="heading 4"/>
    <w:basedOn w:val="Normal"/>
    <w:next w:val="ParaNum"/>
    <w:qFormat/>
    <w:rsid w:val="00FF7F3B"/>
    <w:pPr>
      <w:keepNext/>
      <w:numPr>
        <w:ilvl w:val="3"/>
        <w:numId w:val="21"/>
      </w:numPr>
      <w:tabs>
        <w:tab w:val="left" w:pos="2880"/>
      </w:tabs>
      <w:spacing w:after="120"/>
      <w:outlineLvl w:val="3"/>
    </w:pPr>
    <w:rPr>
      <w:b/>
    </w:rPr>
  </w:style>
  <w:style w:type="paragraph" w:styleId="Heading5">
    <w:name w:val="heading 5"/>
    <w:basedOn w:val="Normal"/>
    <w:next w:val="ParaNum"/>
    <w:qFormat/>
    <w:rsid w:val="00FF7F3B"/>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FF7F3B"/>
    <w:pPr>
      <w:numPr>
        <w:ilvl w:val="5"/>
        <w:numId w:val="21"/>
      </w:numPr>
      <w:tabs>
        <w:tab w:val="left" w:pos="4320"/>
      </w:tabs>
      <w:spacing w:after="120"/>
      <w:outlineLvl w:val="5"/>
    </w:pPr>
    <w:rPr>
      <w:b/>
    </w:rPr>
  </w:style>
  <w:style w:type="paragraph" w:styleId="Heading7">
    <w:name w:val="heading 7"/>
    <w:basedOn w:val="Normal"/>
    <w:next w:val="ParaNum"/>
    <w:qFormat/>
    <w:rsid w:val="00FF7F3B"/>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FF7F3B"/>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FF7F3B"/>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7F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F3B"/>
  </w:style>
  <w:style w:type="paragraph" w:customStyle="1" w:styleId="ParaNum">
    <w:name w:val="ParaNum"/>
    <w:basedOn w:val="Normal"/>
    <w:rsid w:val="00FF7F3B"/>
    <w:pPr>
      <w:numPr>
        <w:numId w:val="29"/>
      </w:numPr>
      <w:tabs>
        <w:tab w:val="clear" w:pos="1080"/>
        <w:tab w:val="num" w:pos="1440"/>
      </w:tabs>
      <w:spacing w:after="120"/>
    </w:pPr>
  </w:style>
  <w:style w:type="paragraph" w:styleId="EndnoteText">
    <w:name w:val="endnote text"/>
    <w:basedOn w:val="Normal"/>
    <w:semiHidden/>
    <w:rsid w:val="00FF7F3B"/>
    <w:rPr>
      <w:sz w:val="20"/>
    </w:rPr>
  </w:style>
  <w:style w:type="character" w:styleId="EndnoteReference">
    <w:name w:val="endnote reference"/>
    <w:semiHidden/>
    <w:rsid w:val="00FF7F3B"/>
    <w:rPr>
      <w:vertAlign w:val="superscript"/>
    </w:rPr>
  </w:style>
  <w:style w:type="paragraph" w:styleId="FootnoteText">
    <w:name w:val="footnote text"/>
    <w:rsid w:val="00FF7F3B"/>
    <w:pPr>
      <w:spacing w:after="120"/>
    </w:pPr>
  </w:style>
  <w:style w:type="character" w:styleId="FootnoteReference">
    <w:name w:val="footnote reference"/>
    <w:rsid w:val="00FF7F3B"/>
    <w:rPr>
      <w:rFonts w:ascii="Times New Roman" w:hAnsi="Times New Roman"/>
      <w:dstrike w:val="0"/>
      <w:color w:val="auto"/>
      <w:sz w:val="20"/>
      <w:vertAlign w:val="superscript"/>
    </w:rPr>
  </w:style>
  <w:style w:type="paragraph" w:styleId="TOC1">
    <w:name w:val="toc 1"/>
    <w:basedOn w:val="Normal"/>
    <w:next w:val="Normal"/>
    <w:semiHidden/>
    <w:rsid w:val="00FF7F3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7F3B"/>
    <w:pPr>
      <w:tabs>
        <w:tab w:val="left" w:pos="720"/>
        <w:tab w:val="right" w:leader="dot" w:pos="9360"/>
      </w:tabs>
      <w:suppressAutoHyphens/>
      <w:ind w:left="720" w:right="720" w:hanging="360"/>
    </w:pPr>
    <w:rPr>
      <w:noProof/>
    </w:rPr>
  </w:style>
  <w:style w:type="paragraph" w:styleId="TOC3">
    <w:name w:val="toc 3"/>
    <w:basedOn w:val="Normal"/>
    <w:next w:val="Normal"/>
    <w:semiHidden/>
    <w:rsid w:val="00FF7F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7F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7F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7F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7F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7F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7F3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7F3B"/>
    <w:pPr>
      <w:tabs>
        <w:tab w:val="right" w:pos="9360"/>
      </w:tabs>
      <w:suppressAutoHyphens/>
    </w:pPr>
  </w:style>
  <w:style w:type="character" w:customStyle="1" w:styleId="EquationCaption">
    <w:name w:val="_Equation Caption"/>
    <w:rsid w:val="00FF7F3B"/>
  </w:style>
  <w:style w:type="paragraph" w:styleId="Header">
    <w:name w:val="header"/>
    <w:basedOn w:val="Normal"/>
    <w:autoRedefine/>
    <w:rsid w:val="00FF7F3B"/>
    <w:pPr>
      <w:tabs>
        <w:tab w:val="center" w:pos="4680"/>
        <w:tab w:val="right" w:pos="9360"/>
      </w:tabs>
    </w:pPr>
    <w:rPr>
      <w:b/>
    </w:rPr>
  </w:style>
  <w:style w:type="paragraph" w:styleId="Footer">
    <w:name w:val="footer"/>
    <w:basedOn w:val="Normal"/>
    <w:rsid w:val="00FF7F3B"/>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FF7F3B"/>
    <w:pPr>
      <w:spacing w:after="240"/>
      <w:ind w:left="1440" w:right="1440"/>
    </w:pPr>
  </w:style>
  <w:style w:type="paragraph" w:styleId="BodyTextIndent2">
    <w:name w:val="Body Text Indent 2"/>
    <w:basedOn w:val="Normal"/>
    <w:pPr>
      <w:tabs>
        <w:tab w:val="num" w:pos="720"/>
      </w:tabs>
      <w:ind w:left="720" w:hanging="720"/>
    </w:pPr>
    <w:rPr>
      <w:spacing w:val="-2"/>
      <w:sz w:val="24"/>
    </w:rPr>
  </w:style>
  <w:style w:type="paragraph" w:customStyle="1" w:styleId="Bullet">
    <w:name w:val="Bullet"/>
    <w:basedOn w:val="Normal"/>
    <w:rsid w:val="00FF7F3B"/>
    <w:pPr>
      <w:tabs>
        <w:tab w:val="left" w:pos="2160"/>
      </w:tabs>
      <w:spacing w:after="220"/>
      <w:ind w:left="2160" w:hanging="720"/>
    </w:pPr>
  </w:style>
  <w:style w:type="paragraph" w:customStyle="1" w:styleId="TableFormat">
    <w:name w:val="TableFormat"/>
    <w:basedOn w:val="Bullet"/>
    <w:rsid w:val="00FF7F3B"/>
    <w:pPr>
      <w:tabs>
        <w:tab w:val="clear" w:pos="2160"/>
        <w:tab w:val="left" w:pos="5040"/>
      </w:tabs>
      <w:ind w:left="5040" w:hanging="3600"/>
    </w:pPr>
  </w:style>
  <w:style w:type="paragraph" w:styleId="BalloonText">
    <w:name w:val="Balloon Text"/>
    <w:basedOn w:val="Normal"/>
    <w:link w:val="BalloonTextChar"/>
    <w:uiPriority w:val="99"/>
    <w:semiHidden/>
    <w:unhideWhenUsed/>
    <w:rsid w:val="003B0DDA"/>
    <w:rPr>
      <w:rFonts w:ascii="Segoe UI" w:hAnsi="Segoe UI" w:cs="Segoe UI"/>
      <w:sz w:val="18"/>
      <w:szCs w:val="18"/>
    </w:rPr>
  </w:style>
  <w:style w:type="character" w:customStyle="1" w:styleId="BalloonTextChar">
    <w:name w:val="Balloon Text Char"/>
    <w:link w:val="BalloonText"/>
    <w:uiPriority w:val="99"/>
    <w:semiHidden/>
    <w:rsid w:val="003B0DDA"/>
    <w:rPr>
      <w:rFonts w:ascii="Segoe UI" w:hAnsi="Segoe UI" w:cs="Segoe UI"/>
      <w:snapToGrid w:val="0"/>
      <w:kern w:val="28"/>
      <w:sz w:val="18"/>
      <w:szCs w:val="18"/>
    </w:rPr>
  </w:style>
  <w:style w:type="character" w:styleId="PageNumber">
    <w:name w:val="page number"/>
    <w:basedOn w:val="DefaultParagraphFont"/>
    <w:rsid w:val="00FF7F3B"/>
  </w:style>
  <w:style w:type="paragraph" w:customStyle="1" w:styleId="Paratitle">
    <w:name w:val="Para title"/>
    <w:basedOn w:val="Normal"/>
    <w:rsid w:val="00FF7F3B"/>
    <w:pPr>
      <w:tabs>
        <w:tab w:val="center" w:pos="9270"/>
      </w:tabs>
      <w:spacing w:after="240"/>
    </w:pPr>
    <w:rPr>
      <w:spacing w:val="-2"/>
    </w:rPr>
  </w:style>
  <w:style w:type="paragraph" w:customStyle="1" w:styleId="TOCTitle">
    <w:name w:val="TOC Title"/>
    <w:basedOn w:val="Normal"/>
    <w:rsid w:val="00FF7F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7F3B"/>
    <w:pPr>
      <w:jc w:val="center"/>
    </w:pPr>
    <w:rPr>
      <w:rFonts w:ascii="Times New Roman Bold" w:hAnsi="Times New Roman Bold"/>
      <w:b/>
      <w:bCs/>
      <w:caps/>
      <w:szCs w:val="22"/>
    </w:rPr>
  </w:style>
  <w:style w:type="character" w:styleId="Hyperlink">
    <w:name w:val="Hyperlink"/>
    <w:rsid w:val="00FF7F3B"/>
    <w:rPr>
      <w:color w:val="0000FF"/>
      <w:u w:val="single"/>
    </w:rPr>
  </w:style>
  <w:style w:type="character" w:styleId="CommentReference">
    <w:name w:val="annotation reference"/>
    <w:basedOn w:val="DefaultParagraphFont"/>
    <w:uiPriority w:val="99"/>
    <w:semiHidden/>
    <w:unhideWhenUsed/>
    <w:rsid w:val="00F33DED"/>
    <w:rPr>
      <w:sz w:val="16"/>
      <w:szCs w:val="16"/>
    </w:rPr>
  </w:style>
  <w:style w:type="paragraph" w:styleId="CommentText">
    <w:name w:val="annotation text"/>
    <w:basedOn w:val="Normal"/>
    <w:link w:val="CommentTextChar"/>
    <w:uiPriority w:val="99"/>
    <w:semiHidden/>
    <w:unhideWhenUsed/>
    <w:rsid w:val="00F33DED"/>
    <w:rPr>
      <w:sz w:val="20"/>
    </w:rPr>
  </w:style>
  <w:style w:type="character" w:customStyle="1" w:styleId="CommentTextChar">
    <w:name w:val="Comment Text Char"/>
    <w:basedOn w:val="DefaultParagraphFont"/>
    <w:link w:val="CommentText"/>
    <w:uiPriority w:val="99"/>
    <w:semiHidden/>
    <w:rsid w:val="00F33DED"/>
    <w:rPr>
      <w:snapToGrid w:val="0"/>
      <w:kern w:val="28"/>
    </w:rPr>
  </w:style>
  <w:style w:type="paragraph" w:styleId="CommentSubject">
    <w:name w:val="annotation subject"/>
    <w:basedOn w:val="CommentText"/>
    <w:next w:val="CommentText"/>
    <w:link w:val="CommentSubjectChar"/>
    <w:uiPriority w:val="99"/>
    <w:semiHidden/>
    <w:unhideWhenUsed/>
    <w:rsid w:val="00F33DED"/>
    <w:rPr>
      <w:b/>
      <w:bCs/>
    </w:rPr>
  </w:style>
  <w:style w:type="character" w:customStyle="1" w:styleId="CommentSubjectChar">
    <w:name w:val="Comment Subject Char"/>
    <w:basedOn w:val="CommentTextChar"/>
    <w:link w:val="CommentSubject"/>
    <w:uiPriority w:val="99"/>
    <w:semiHidden/>
    <w:rsid w:val="00F33DED"/>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3B"/>
    <w:pPr>
      <w:widowControl w:val="0"/>
    </w:pPr>
    <w:rPr>
      <w:snapToGrid w:val="0"/>
      <w:kern w:val="28"/>
      <w:sz w:val="22"/>
    </w:rPr>
  </w:style>
  <w:style w:type="paragraph" w:styleId="Heading1">
    <w:name w:val="heading 1"/>
    <w:basedOn w:val="Normal"/>
    <w:next w:val="ParaNum"/>
    <w:qFormat/>
    <w:rsid w:val="00FF7F3B"/>
    <w:pPr>
      <w:keepNext/>
      <w:numPr>
        <w:numId w:val="2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7F3B"/>
    <w:pPr>
      <w:keepNext/>
      <w:numPr>
        <w:ilvl w:val="1"/>
        <w:numId w:val="21"/>
      </w:numPr>
      <w:spacing w:after="120"/>
      <w:outlineLvl w:val="1"/>
    </w:pPr>
    <w:rPr>
      <w:b/>
    </w:rPr>
  </w:style>
  <w:style w:type="paragraph" w:styleId="Heading3">
    <w:name w:val="heading 3"/>
    <w:basedOn w:val="Normal"/>
    <w:next w:val="ParaNum"/>
    <w:qFormat/>
    <w:rsid w:val="00FF7F3B"/>
    <w:pPr>
      <w:keepNext/>
      <w:numPr>
        <w:ilvl w:val="2"/>
        <w:numId w:val="21"/>
      </w:numPr>
      <w:tabs>
        <w:tab w:val="left" w:pos="2160"/>
      </w:tabs>
      <w:spacing w:after="120"/>
      <w:outlineLvl w:val="2"/>
    </w:pPr>
    <w:rPr>
      <w:b/>
    </w:rPr>
  </w:style>
  <w:style w:type="paragraph" w:styleId="Heading4">
    <w:name w:val="heading 4"/>
    <w:basedOn w:val="Normal"/>
    <w:next w:val="ParaNum"/>
    <w:qFormat/>
    <w:rsid w:val="00FF7F3B"/>
    <w:pPr>
      <w:keepNext/>
      <w:numPr>
        <w:ilvl w:val="3"/>
        <w:numId w:val="21"/>
      </w:numPr>
      <w:tabs>
        <w:tab w:val="left" w:pos="2880"/>
      </w:tabs>
      <w:spacing w:after="120"/>
      <w:outlineLvl w:val="3"/>
    </w:pPr>
    <w:rPr>
      <w:b/>
    </w:rPr>
  </w:style>
  <w:style w:type="paragraph" w:styleId="Heading5">
    <w:name w:val="heading 5"/>
    <w:basedOn w:val="Normal"/>
    <w:next w:val="ParaNum"/>
    <w:qFormat/>
    <w:rsid w:val="00FF7F3B"/>
    <w:pPr>
      <w:keepNext/>
      <w:numPr>
        <w:ilvl w:val="4"/>
        <w:numId w:val="21"/>
      </w:numPr>
      <w:tabs>
        <w:tab w:val="left" w:pos="3600"/>
      </w:tabs>
      <w:suppressAutoHyphens/>
      <w:spacing w:after="120"/>
      <w:outlineLvl w:val="4"/>
    </w:pPr>
    <w:rPr>
      <w:b/>
    </w:rPr>
  </w:style>
  <w:style w:type="paragraph" w:styleId="Heading6">
    <w:name w:val="heading 6"/>
    <w:basedOn w:val="Normal"/>
    <w:next w:val="ParaNum"/>
    <w:qFormat/>
    <w:rsid w:val="00FF7F3B"/>
    <w:pPr>
      <w:numPr>
        <w:ilvl w:val="5"/>
        <w:numId w:val="21"/>
      </w:numPr>
      <w:tabs>
        <w:tab w:val="left" w:pos="4320"/>
      </w:tabs>
      <w:spacing w:after="120"/>
      <w:outlineLvl w:val="5"/>
    </w:pPr>
    <w:rPr>
      <w:b/>
    </w:rPr>
  </w:style>
  <w:style w:type="paragraph" w:styleId="Heading7">
    <w:name w:val="heading 7"/>
    <w:basedOn w:val="Normal"/>
    <w:next w:val="ParaNum"/>
    <w:qFormat/>
    <w:rsid w:val="00FF7F3B"/>
    <w:pPr>
      <w:numPr>
        <w:ilvl w:val="6"/>
        <w:numId w:val="21"/>
      </w:numPr>
      <w:tabs>
        <w:tab w:val="left" w:pos="5040"/>
      </w:tabs>
      <w:spacing w:after="120"/>
      <w:ind w:left="5040" w:hanging="720"/>
      <w:outlineLvl w:val="6"/>
    </w:pPr>
    <w:rPr>
      <w:b/>
    </w:rPr>
  </w:style>
  <w:style w:type="paragraph" w:styleId="Heading8">
    <w:name w:val="heading 8"/>
    <w:basedOn w:val="Normal"/>
    <w:next w:val="ParaNum"/>
    <w:qFormat/>
    <w:rsid w:val="00FF7F3B"/>
    <w:pPr>
      <w:numPr>
        <w:ilvl w:val="7"/>
        <w:numId w:val="21"/>
      </w:numPr>
      <w:tabs>
        <w:tab w:val="clear" w:pos="5400"/>
        <w:tab w:val="left" w:pos="5760"/>
      </w:tabs>
      <w:spacing w:after="120"/>
      <w:ind w:left="5760" w:hanging="720"/>
      <w:outlineLvl w:val="7"/>
    </w:pPr>
    <w:rPr>
      <w:b/>
    </w:rPr>
  </w:style>
  <w:style w:type="paragraph" w:styleId="Heading9">
    <w:name w:val="heading 9"/>
    <w:basedOn w:val="Normal"/>
    <w:next w:val="ParaNum"/>
    <w:qFormat/>
    <w:rsid w:val="00FF7F3B"/>
    <w:pPr>
      <w:numPr>
        <w:ilvl w:val="8"/>
        <w:numId w:val="2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7F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F3B"/>
  </w:style>
  <w:style w:type="paragraph" w:customStyle="1" w:styleId="ParaNum">
    <w:name w:val="ParaNum"/>
    <w:basedOn w:val="Normal"/>
    <w:rsid w:val="00FF7F3B"/>
    <w:pPr>
      <w:numPr>
        <w:numId w:val="29"/>
      </w:numPr>
      <w:tabs>
        <w:tab w:val="clear" w:pos="1080"/>
        <w:tab w:val="num" w:pos="1440"/>
      </w:tabs>
      <w:spacing w:after="120"/>
    </w:pPr>
  </w:style>
  <w:style w:type="paragraph" w:styleId="EndnoteText">
    <w:name w:val="endnote text"/>
    <w:basedOn w:val="Normal"/>
    <w:semiHidden/>
    <w:rsid w:val="00FF7F3B"/>
    <w:rPr>
      <w:sz w:val="20"/>
    </w:rPr>
  </w:style>
  <w:style w:type="character" w:styleId="EndnoteReference">
    <w:name w:val="endnote reference"/>
    <w:semiHidden/>
    <w:rsid w:val="00FF7F3B"/>
    <w:rPr>
      <w:vertAlign w:val="superscript"/>
    </w:rPr>
  </w:style>
  <w:style w:type="paragraph" w:styleId="FootnoteText">
    <w:name w:val="footnote text"/>
    <w:rsid w:val="00FF7F3B"/>
    <w:pPr>
      <w:spacing w:after="120"/>
    </w:pPr>
  </w:style>
  <w:style w:type="character" w:styleId="FootnoteReference">
    <w:name w:val="footnote reference"/>
    <w:rsid w:val="00FF7F3B"/>
    <w:rPr>
      <w:rFonts w:ascii="Times New Roman" w:hAnsi="Times New Roman"/>
      <w:dstrike w:val="0"/>
      <w:color w:val="auto"/>
      <w:sz w:val="20"/>
      <w:vertAlign w:val="superscript"/>
    </w:rPr>
  </w:style>
  <w:style w:type="paragraph" w:styleId="TOC1">
    <w:name w:val="toc 1"/>
    <w:basedOn w:val="Normal"/>
    <w:next w:val="Normal"/>
    <w:semiHidden/>
    <w:rsid w:val="00FF7F3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7F3B"/>
    <w:pPr>
      <w:tabs>
        <w:tab w:val="left" w:pos="720"/>
        <w:tab w:val="right" w:leader="dot" w:pos="9360"/>
      </w:tabs>
      <w:suppressAutoHyphens/>
      <w:ind w:left="720" w:right="720" w:hanging="360"/>
    </w:pPr>
    <w:rPr>
      <w:noProof/>
    </w:rPr>
  </w:style>
  <w:style w:type="paragraph" w:styleId="TOC3">
    <w:name w:val="toc 3"/>
    <w:basedOn w:val="Normal"/>
    <w:next w:val="Normal"/>
    <w:semiHidden/>
    <w:rsid w:val="00FF7F3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7F3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7F3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7F3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7F3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7F3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7F3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7F3B"/>
    <w:pPr>
      <w:tabs>
        <w:tab w:val="right" w:pos="9360"/>
      </w:tabs>
      <w:suppressAutoHyphens/>
    </w:pPr>
  </w:style>
  <w:style w:type="character" w:customStyle="1" w:styleId="EquationCaption">
    <w:name w:val="_Equation Caption"/>
    <w:rsid w:val="00FF7F3B"/>
  </w:style>
  <w:style w:type="paragraph" w:styleId="Header">
    <w:name w:val="header"/>
    <w:basedOn w:val="Normal"/>
    <w:autoRedefine/>
    <w:rsid w:val="00FF7F3B"/>
    <w:pPr>
      <w:tabs>
        <w:tab w:val="center" w:pos="4680"/>
        <w:tab w:val="right" w:pos="9360"/>
      </w:tabs>
    </w:pPr>
    <w:rPr>
      <w:b/>
    </w:rPr>
  </w:style>
  <w:style w:type="paragraph" w:styleId="Footer">
    <w:name w:val="footer"/>
    <w:basedOn w:val="Normal"/>
    <w:rsid w:val="00FF7F3B"/>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rsid w:val="00FF7F3B"/>
    <w:pPr>
      <w:spacing w:after="240"/>
      <w:ind w:left="1440" w:right="1440"/>
    </w:pPr>
  </w:style>
  <w:style w:type="paragraph" w:styleId="BodyTextIndent2">
    <w:name w:val="Body Text Indent 2"/>
    <w:basedOn w:val="Normal"/>
    <w:pPr>
      <w:tabs>
        <w:tab w:val="num" w:pos="720"/>
      </w:tabs>
      <w:ind w:left="720" w:hanging="720"/>
    </w:pPr>
    <w:rPr>
      <w:spacing w:val="-2"/>
      <w:sz w:val="24"/>
    </w:rPr>
  </w:style>
  <w:style w:type="paragraph" w:customStyle="1" w:styleId="Bullet">
    <w:name w:val="Bullet"/>
    <w:basedOn w:val="Normal"/>
    <w:rsid w:val="00FF7F3B"/>
    <w:pPr>
      <w:tabs>
        <w:tab w:val="left" w:pos="2160"/>
      </w:tabs>
      <w:spacing w:after="220"/>
      <w:ind w:left="2160" w:hanging="720"/>
    </w:pPr>
  </w:style>
  <w:style w:type="paragraph" w:customStyle="1" w:styleId="TableFormat">
    <w:name w:val="TableFormat"/>
    <w:basedOn w:val="Bullet"/>
    <w:rsid w:val="00FF7F3B"/>
    <w:pPr>
      <w:tabs>
        <w:tab w:val="clear" w:pos="2160"/>
        <w:tab w:val="left" w:pos="5040"/>
      </w:tabs>
      <w:ind w:left="5040" w:hanging="3600"/>
    </w:pPr>
  </w:style>
  <w:style w:type="paragraph" w:styleId="BalloonText">
    <w:name w:val="Balloon Text"/>
    <w:basedOn w:val="Normal"/>
    <w:link w:val="BalloonTextChar"/>
    <w:uiPriority w:val="99"/>
    <w:semiHidden/>
    <w:unhideWhenUsed/>
    <w:rsid w:val="003B0DDA"/>
    <w:rPr>
      <w:rFonts w:ascii="Segoe UI" w:hAnsi="Segoe UI" w:cs="Segoe UI"/>
      <w:sz w:val="18"/>
      <w:szCs w:val="18"/>
    </w:rPr>
  </w:style>
  <w:style w:type="character" w:customStyle="1" w:styleId="BalloonTextChar">
    <w:name w:val="Balloon Text Char"/>
    <w:link w:val="BalloonText"/>
    <w:uiPriority w:val="99"/>
    <w:semiHidden/>
    <w:rsid w:val="003B0DDA"/>
    <w:rPr>
      <w:rFonts w:ascii="Segoe UI" w:hAnsi="Segoe UI" w:cs="Segoe UI"/>
      <w:snapToGrid w:val="0"/>
      <w:kern w:val="28"/>
      <w:sz w:val="18"/>
      <w:szCs w:val="18"/>
    </w:rPr>
  </w:style>
  <w:style w:type="character" w:styleId="PageNumber">
    <w:name w:val="page number"/>
    <w:basedOn w:val="DefaultParagraphFont"/>
    <w:rsid w:val="00FF7F3B"/>
  </w:style>
  <w:style w:type="paragraph" w:customStyle="1" w:styleId="Paratitle">
    <w:name w:val="Para title"/>
    <w:basedOn w:val="Normal"/>
    <w:rsid w:val="00FF7F3B"/>
    <w:pPr>
      <w:tabs>
        <w:tab w:val="center" w:pos="9270"/>
      </w:tabs>
      <w:spacing w:after="240"/>
    </w:pPr>
    <w:rPr>
      <w:spacing w:val="-2"/>
    </w:rPr>
  </w:style>
  <w:style w:type="paragraph" w:customStyle="1" w:styleId="TOCTitle">
    <w:name w:val="TOC Title"/>
    <w:basedOn w:val="Normal"/>
    <w:rsid w:val="00FF7F3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7F3B"/>
    <w:pPr>
      <w:jc w:val="center"/>
    </w:pPr>
    <w:rPr>
      <w:rFonts w:ascii="Times New Roman Bold" w:hAnsi="Times New Roman Bold"/>
      <w:b/>
      <w:bCs/>
      <w:caps/>
      <w:szCs w:val="22"/>
    </w:rPr>
  </w:style>
  <w:style w:type="character" w:styleId="Hyperlink">
    <w:name w:val="Hyperlink"/>
    <w:rsid w:val="00FF7F3B"/>
    <w:rPr>
      <w:color w:val="0000FF"/>
      <w:u w:val="single"/>
    </w:rPr>
  </w:style>
  <w:style w:type="character" w:styleId="CommentReference">
    <w:name w:val="annotation reference"/>
    <w:basedOn w:val="DefaultParagraphFont"/>
    <w:uiPriority w:val="99"/>
    <w:semiHidden/>
    <w:unhideWhenUsed/>
    <w:rsid w:val="00F33DED"/>
    <w:rPr>
      <w:sz w:val="16"/>
      <w:szCs w:val="16"/>
    </w:rPr>
  </w:style>
  <w:style w:type="paragraph" w:styleId="CommentText">
    <w:name w:val="annotation text"/>
    <w:basedOn w:val="Normal"/>
    <w:link w:val="CommentTextChar"/>
    <w:uiPriority w:val="99"/>
    <w:semiHidden/>
    <w:unhideWhenUsed/>
    <w:rsid w:val="00F33DED"/>
    <w:rPr>
      <w:sz w:val="20"/>
    </w:rPr>
  </w:style>
  <w:style w:type="character" w:customStyle="1" w:styleId="CommentTextChar">
    <w:name w:val="Comment Text Char"/>
    <w:basedOn w:val="DefaultParagraphFont"/>
    <w:link w:val="CommentText"/>
    <w:uiPriority w:val="99"/>
    <w:semiHidden/>
    <w:rsid w:val="00F33DED"/>
    <w:rPr>
      <w:snapToGrid w:val="0"/>
      <w:kern w:val="28"/>
    </w:rPr>
  </w:style>
  <w:style w:type="paragraph" w:styleId="CommentSubject">
    <w:name w:val="annotation subject"/>
    <w:basedOn w:val="CommentText"/>
    <w:next w:val="CommentText"/>
    <w:link w:val="CommentSubjectChar"/>
    <w:uiPriority w:val="99"/>
    <w:semiHidden/>
    <w:unhideWhenUsed/>
    <w:rsid w:val="00F33DED"/>
    <w:rPr>
      <w:b/>
      <w:bCs/>
    </w:rPr>
  </w:style>
  <w:style w:type="character" w:customStyle="1" w:styleId="CommentSubjectChar">
    <w:name w:val="Comment Subject Char"/>
    <w:basedOn w:val="CommentTextChar"/>
    <w:link w:val="CommentSubject"/>
    <w:uiPriority w:val="99"/>
    <w:semiHidden/>
    <w:rsid w:val="00F33DE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1392</Words>
  <Characters>7541</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8976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2015-09-17T13:47:00Z</cp:lastPrinted>
  <dcterms:created xsi:type="dcterms:W3CDTF">2015-09-21T18:33:00Z</dcterms:created>
  <dcterms:modified xsi:type="dcterms:W3CDTF">2015-09-21T18:33:00Z</dcterms:modified>
  <cp:category> </cp:category>
  <cp:contentStatus> </cp:contentStatus>
</cp:coreProperties>
</file>