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4E" w:rsidRDefault="00F9224E">
      <w:pPr>
        <w:pStyle w:val="Title"/>
        <w:jc w:val="left"/>
      </w:pPr>
      <w:bookmarkStart w:id="0" w:name="_GoBack"/>
      <w:bookmarkEnd w:id="0"/>
    </w:p>
    <w:p w:rsidR="00F9224E" w:rsidRDefault="00F9224E">
      <w:pPr>
        <w:pStyle w:val="Title"/>
      </w:pPr>
      <w:r>
        <w:t>Before the</w:t>
      </w:r>
    </w:p>
    <w:p w:rsidR="00F9224E" w:rsidRDefault="00F9224E">
      <w:pPr>
        <w:jc w:val="center"/>
        <w:rPr>
          <w:b/>
        </w:rPr>
      </w:pPr>
      <w:r>
        <w:rPr>
          <w:b/>
        </w:rPr>
        <w:t>Federal Communications Commission</w:t>
      </w:r>
    </w:p>
    <w:p w:rsidR="00F9224E" w:rsidRDefault="00F9224E">
      <w:pPr>
        <w:jc w:val="center"/>
      </w:pPr>
      <w:r>
        <w:rPr>
          <w:b/>
        </w:rPr>
        <w:t>Washington, D.C. 20554</w:t>
      </w:r>
    </w:p>
    <w:p w:rsidR="00F9224E" w:rsidRDefault="00F9224E">
      <w:pPr>
        <w:rPr>
          <w:spacing w:val="-2"/>
          <w:sz w:val="24"/>
        </w:rPr>
      </w:pPr>
    </w:p>
    <w:tbl>
      <w:tblPr>
        <w:tblW w:w="0" w:type="auto"/>
        <w:tblLayout w:type="fixed"/>
        <w:tblLook w:val="0000" w:firstRow="0" w:lastRow="0" w:firstColumn="0" w:lastColumn="0" w:noHBand="0" w:noVBand="0"/>
      </w:tblPr>
      <w:tblGrid>
        <w:gridCol w:w="4698"/>
        <w:gridCol w:w="630"/>
        <w:gridCol w:w="4248"/>
      </w:tblGrid>
      <w:tr w:rsidR="00F9224E">
        <w:tc>
          <w:tcPr>
            <w:tcW w:w="4698" w:type="dxa"/>
          </w:tcPr>
          <w:p w:rsidR="00F9224E" w:rsidRDefault="00F9224E">
            <w:pPr>
              <w:rPr>
                <w:spacing w:val="-2"/>
              </w:rPr>
            </w:pPr>
            <w:r>
              <w:rPr>
                <w:spacing w:val="-2"/>
              </w:rPr>
              <w:t>In the Matter of</w:t>
            </w:r>
          </w:p>
          <w:p w:rsidR="00F9224E" w:rsidRDefault="00E74D4F">
            <w:pPr>
              <w:rPr>
                <w:spacing w:val="-2"/>
              </w:rPr>
            </w:pPr>
            <w:r>
              <w:rPr>
                <w:spacing w:val="-2"/>
              </w:rPr>
              <w:t xml:space="preserve"> </w:t>
            </w:r>
          </w:p>
          <w:p w:rsidR="00F9224E" w:rsidRDefault="00EB1BED">
            <w:pPr>
              <w:rPr>
                <w:spacing w:val="-2"/>
              </w:rPr>
            </w:pPr>
            <w:r>
              <w:rPr>
                <w:spacing w:val="-2"/>
              </w:rPr>
              <w:t>MOBILE RELAY ASSOCIATES</w:t>
            </w:r>
          </w:p>
          <w:p w:rsidR="00F9224E" w:rsidRDefault="00F9224E">
            <w:pPr>
              <w:rPr>
                <w:spacing w:val="-2"/>
              </w:rPr>
            </w:pPr>
          </w:p>
          <w:p w:rsidR="00F9224E" w:rsidRDefault="00EB1BED">
            <w:pPr>
              <w:rPr>
                <w:spacing w:val="-2"/>
              </w:rPr>
            </w:pPr>
            <w:r>
              <w:rPr>
                <w:spacing w:val="-2"/>
              </w:rPr>
              <w:t>HIGHLAND WIRELESS SERVICES, LLC</w:t>
            </w:r>
          </w:p>
          <w:p w:rsidR="00F9224E" w:rsidRDefault="00F9224E">
            <w:pPr>
              <w:rPr>
                <w:spacing w:val="-2"/>
              </w:rPr>
            </w:pPr>
          </w:p>
          <w:p w:rsidR="00F9224E" w:rsidRDefault="00EB1BED">
            <w:pPr>
              <w:rPr>
                <w:spacing w:val="-2"/>
              </w:rPr>
            </w:pPr>
            <w:r>
              <w:rPr>
                <w:spacing w:val="-2"/>
              </w:rPr>
              <w:t>TERRY CAMERON</w:t>
            </w:r>
            <w:r w:rsidR="0073209D">
              <w:rPr>
                <w:spacing w:val="-2"/>
              </w:rPr>
              <w:t xml:space="preserve"> </w:t>
            </w:r>
          </w:p>
          <w:p w:rsidR="006A4840" w:rsidRDefault="006A4840">
            <w:pPr>
              <w:rPr>
                <w:spacing w:val="-2"/>
              </w:rPr>
            </w:pPr>
          </w:p>
          <w:p w:rsidR="006A4840" w:rsidRDefault="00EB1BED">
            <w:pPr>
              <w:rPr>
                <w:spacing w:val="-2"/>
              </w:rPr>
            </w:pPr>
            <w:r>
              <w:rPr>
                <w:spacing w:val="-2"/>
              </w:rPr>
              <w:t>RADIO MAINTENANCE, INC.</w:t>
            </w:r>
          </w:p>
          <w:p w:rsidR="0022323C" w:rsidRDefault="0022323C">
            <w:pPr>
              <w:rPr>
                <w:spacing w:val="-2"/>
              </w:rPr>
            </w:pPr>
          </w:p>
          <w:p w:rsidR="0022323C" w:rsidRDefault="00EB1BED">
            <w:pPr>
              <w:rPr>
                <w:spacing w:val="-2"/>
              </w:rPr>
            </w:pPr>
            <w:r>
              <w:rPr>
                <w:spacing w:val="-2"/>
              </w:rPr>
              <w:t>A BEEP, LLC</w:t>
            </w:r>
          </w:p>
          <w:p w:rsidR="00023EB9" w:rsidRDefault="00023EB9">
            <w:pPr>
              <w:rPr>
                <w:spacing w:val="-2"/>
              </w:rPr>
            </w:pPr>
          </w:p>
          <w:p w:rsidR="00023EB9" w:rsidRDefault="00023EB9" w:rsidP="00EB1BED">
            <w:pPr>
              <w:rPr>
                <w:spacing w:val="-2"/>
              </w:rPr>
            </w:pPr>
            <w:r>
              <w:rPr>
                <w:spacing w:val="-2"/>
              </w:rPr>
              <w:t xml:space="preserve">Requests for Waivers to Permit Part 90 Use of Channels Between </w:t>
            </w:r>
            <w:r w:rsidR="00EB1BED">
              <w:rPr>
                <w:spacing w:val="-2"/>
              </w:rPr>
              <w:t>Spectrum Designated for V</w:t>
            </w:r>
            <w:r>
              <w:rPr>
                <w:spacing w:val="-2"/>
              </w:rPr>
              <w:t xml:space="preserve">arious </w:t>
            </w:r>
            <w:r w:rsidR="00EB1BED">
              <w:rPr>
                <w:spacing w:val="-2"/>
              </w:rPr>
              <w:t>Services</w:t>
            </w:r>
          </w:p>
        </w:tc>
        <w:tc>
          <w:tcPr>
            <w:tcW w:w="630" w:type="dxa"/>
          </w:tcPr>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6A4840" w:rsidRDefault="006A4840">
            <w:pPr>
              <w:rPr>
                <w:spacing w:val="-2"/>
              </w:rPr>
            </w:pPr>
            <w:r>
              <w:rPr>
                <w:spacing w:val="-2"/>
              </w:rPr>
              <w:t>)</w:t>
            </w:r>
          </w:p>
          <w:p w:rsidR="006A4840" w:rsidRDefault="006A4840">
            <w:pPr>
              <w:rPr>
                <w:spacing w:val="-2"/>
              </w:rPr>
            </w:pPr>
            <w:r>
              <w:rPr>
                <w:spacing w:val="-2"/>
              </w:rPr>
              <w:t>)</w:t>
            </w:r>
          </w:p>
          <w:p w:rsidR="00023EB9" w:rsidRDefault="00023EB9">
            <w:pPr>
              <w:rPr>
                <w:spacing w:val="-2"/>
              </w:rPr>
            </w:pPr>
            <w:r>
              <w:rPr>
                <w:spacing w:val="-2"/>
              </w:rPr>
              <w:t>)</w:t>
            </w:r>
          </w:p>
          <w:p w:rsidR="00023EB9" w:rsidRDefault="00023EB9">
            <w:pPr>
              <w:rPr>
                <w:spacing w:val="-2"/>
              </w:rPr>
            </w:pPr>
            <w:r>
              <w:rPr>
                <w:spacing w:val="-2"/>
              </w:rPr>
              <w:t>)</w:t>
            </w:r>
          </w:p>
          <w:p w:rsidR="00023EB9" w:rsidRDefault="00023EB9">
            <w:pPr>
              <w:rPr>
                <w:spacing w:val="-2"/>
              </w:rPr>
            </w:pPr>
            <w:r>
              <w:rPr>
                <w:spacing w:val="-2"/>
              </w:rPr>
              <w:t>)</w:t>
            </w:r>
          </w:p>
          <w:p w:rsidR="0022323C" w:rsidRDefault="0022323C">
            <w:pPr>
              <w:rPr>
                <w:spacing w:val="-2"/>
              </w:rPr>
            </w:pPr>
            <w:r>
              <w:rPr>
                <w:spacing w:val="-2"/>
              </w:rPr>
              <w:t>)</w:t>
            </w:r>
          </w:p>
          <w:p w:rsidR="0022323C" w:rsidRDefault="0022323C">
            <w:pPr>
              <w:rPr>
                <w:spacing w:val="-2"/>
              </w:rPr>
            </w:pPr>
            <w:r>
              <w:rPr>
                <w:spacing w:val="-2"/>
              </w:rPr>
              <w:t>)</w:t>
            </w:r>
          </w:p>
          <w:p w:rsidR="00EB1BED" w:rsidRDefault="00EB1BED">
            <w:pPr>
              <w:rPr>
                <w:spacing w:val="-2"/>
              </w:rPr>
            </w:pPr>
            <w:r>
              <w:rPr>
                <w:spacing w:val="-2"/>
              </w:rPr>
              <w:t>)</w:t>
            </w:r>
          </w:p>
          <w:p w:rsidR="00FE10B5" w:rsidRDefault="00FE10B5">
            <w:pPr>
              <w:rPr>
                <w:spacing w:val="-2"/>
              </w:rPr>
            </w:pPr>
          </w:p>
        </w:tc>
        <w:tc>
          <w:tcPr>
            <w:tcW w:w="4248" w:type="dxa"/>
          </w:tcPr>
          <w:p w:rsidR="00F9224E" w:rsidRDefault="00F9224E">
            <w:pPr>
              <w:rPr>
                <w:spacing w:val="-2"/>
                <w:szCs w:val="22"/>
              </w:rPr>
            </w:pPr>
          </w:p>
          <w:p w:rsidR="00F9224E" w:rsidRDefault="00F9224E">
            <w:pPr>
              <w:rPr>
                <w:spacing w:val="-2"/>
                <w:szCs w:val="22"/>
              </w:rPr>
            </w:pPr>
          </w:p>
          <w:p w:rsidR="00F9224E" w:rsidRDefault="00F9224E">
            <w:pPr>
              <w:rPr>
                <w:spacing w:val="-2"/>
                <w:szCs w:val="22"/>
              </w:rPr>
            </w:pPr>
            <w:r>
              <w:rPr>
                <w:spacing w:val="-2"/>
                <w:szCs w:val="22"/>
              </w:rPr>
              <w:t>FCC File No. 0006691596</w:t>
            </w:r>
          </w:p>
          <w:p w:rsidR="00F9224E" w:rsidRDefault="00F9224E">
            <w:pPr>
              <w:rPr>
                <w:szCs w:val="22"/>
              </w:rPr>
            </w:pPr>
          </w:p>
          <w:p w:rsidR="00F9224E" w:rsidRDefault="00F9224E">
            <w:pPr>
              <w:rPr>
                <w:spacing w:val="-2"/>
                <w:szCs w:val="22"/>
              </w:rPr>
            </w:pPr>
            <w:r>
              <w:rPr>
                <w:spacing w:val="-2"/>
                <w:szCs w:val="22"/>
              </w:rPr>
              <w:t>FCC File No. 0006701591</w:t>
            </w:r>
          </w:p>
          <w:p w:rsidR="00F9224E" w:rsidRDefault="00F9224E">
            <w:pPr>
              <w:rPr>
                <w:spacing w:val="-2"/>
                <w:szCs w:val="22"/>
              </w:rPr>
            </w:pPr>
          </w:p>
          <w:p w:rsidR="00F9224E" w:rsidRDefault="00F9224E" w:rsidP="00F9224E">
            <w:pPr>
              <w:rPr>
                <w:spacing w:val="-2"/>
                <w:szCs w:val="22"/>
              </w:rPr>
            </w:pPr>
            <w:r>
              <w:rPr>
                <w:spacing w:val="-2"/>
                <w:szCs w:val="22"/>
              </w:rPr>
              <w:t>FCC File No. 0006800635</w:t>
            </w:r>
          </w:p>
          <w:p w:rsidR="006A4840" w:rsidRDefault="006A4840" w:rsidP="00F9224E">
            <w:pPr>
              <w:rPr>
                <w:spacing w:val="-2"/>
                <w:szCs w:val="22"/>
              </w:rPr>
            </w:pPr>
          </w:p>
          <w:p w:rsidR="006A4840" w:rsidRDefault="006A4840" w:rsidP="00F9224E">
            <w:pPr>
              <w:rPr>
                <w:spacing w:val="-2"/>
                <w:szCs w:val="22"/>
              </w:rPr>
            </w:pPr>
            <w:r w:rsidRPr="006A4840">
              <w:rPr>
                <w:spacing w:val="-2"/>
                <w:szCs w:val="22"/>
              </w:rPr>
              <w:t>FCC File No. 000680</w:t>
            </w:r>
            <w:r>
              <w:rPr>
                <w:spacing w:val="-2"/>
                <w:szCs w:val="22"/>
              </w:rPr>
              <w:t>2714</w:t>
            </w:r>
          </w:p>
          <w:p w:rsidR="0022323C" w:rsidRDefault="0022323C" w:rsidP="00F9224E">
            <w:pPr>
              <w:rPr>
                <w:spacing w:val="-2"/>
                <w:szCs w:val="22"/>
              </w:rPr>
            </w:pPr>
          </w:p>
          <w:p w:rsidR="0022323C" w:rsidRDefault="0022323C" w:rsidP="00F9224E">
            <w:pPr>
              <w:rPr>
                <w:spacing w:val="-2"/>
                <w:szCs w:val="22"/>
              </w:rPr>
            </w:pPr>
            <w:r>
              <w:rPr>
                <w:spacing w:val="-2"/>
                <w:szCs w:val="22"/>
              </w:rPr>
              <w:t>FCC File No. 0006841323</w:t>
            </w:r>
          </w:p>
          <w:p w:rsidR="00F9224E" w:rsidRDefault="00F9224E">
            <w:pPr>
              <w:rPr>
                <w:spacing w:val="-2"/>
                <w:szCs w:val="22"/>
              </w:rPr>
            </w:pPr>
          </w:p>
        </w:tc>
      </w:tr>
    </w:tbl>
    <w:p w:rsidR="00F9224E" w:rsidRDefault="00F9224E">
      <w:pPr>
        <w:spacing w:before="120"/>
        <w:jc w:val="center"/>
        <w:rPr>
          <w:b/>
          <w:spacing w:val="-2"/>
        </w:rPr>
      </w:pPr>
      <w:r>
        <w:rPr>
          <w:b/>
          <w:spacing w:val="-2"/>
        </w:rPr>
        <w:t>ORDER</w:t>
      </w:r>
    </w:p>
    <w:p w:rsidR="00F9224E" w:rsidRDefault="00F9224E">
      <w:pPr>
        <w:tabs>
          <w:tab w:val="left" w:pos="5760"/>
        </w:tabs>
        <w:rPr>
          <w:b/>
        </w:rPr>
      </w:pPr>
      <w:r>
        <w:rPr>
          <w:b/>
        </w:rPr>
        <w:t xml:space="preserve">  Adopted:  </w:t>
      </w:r>
      <w:r w:rsidR="0061717D">
        <w:rPr>
          <w:b/>
        </w:rPr>
        <w:t>September 23, 2015</w:t>
      </w:r>
      <w:r w:rsidR="0061717D">
        <w:rPr>
          <w:b/>
        </w:rPr>
        <w:tab/>
        <w:t>Released:  September 23, 2015</w:t>
      </w:r>
    </w:p>
    <w:p w:rsidR="00F9224E" w:rsidRDefault="00F9224E">
      <w:pPr>
        <w:tabs>
          <w:tab w:val="left" w:pos="5760"/>
        </w:tabs>
        <w:rPr>
          <w:b/>
        </w:rPr>
      </w:pPr>
    </w:p>
    <w:p w:rsidR="00F9224E" w:rsidRDefault="00F9224E">
      <w:pPr>
        <w:autoSpaceDE w:val="0"/>
        <w:autoSpaceDN w:val="0"/>
        <w:adjustRightInd w:val="0"/>
        <w:rPr>
          <w:color w:val="010101"/>
          <w:szCs w:val="22"/>
        </w:rPr>
      </w:pPr>
      <w:r>
        <w:rPr>
          <w:color w:val="010101"/>
          <w:szCs w:val="22"/>
        </w:rPr>
        <w:t>By the Deputy Chief, Mobility Division, Wireless Telecommunications Bureau:</w:t>
      </w:r>
    </w:p>
    <w:p w:rsidR="00F9224E" w:rsidRDefault="00F9224E">
      <w:pPr>
        <w:autoSpaceDE w:val="0"/>
        <w:autoSpaceDN w:val="0"/>
        <w:adjustRightInd w:val="0"/>
        <w:rPr>
          <w:color w:val="010101"/>
          <w:szCs w:val="22"/>
        </w:rPr>
      </w:pPr>
    </w:p>
    <w:p w:rsidR="00CD6C74" w:rsidRPr="00CD6C74" w:rsidRDefault="00F9224E" w:rsidP="00CD6C74">
      <w:pPr>
        <w:pStyle w:val="ParaNum"/>
        <w:ind w:left="0"/>
        <w:jc w:val="left"/>
      </w:pPr>
      <w:r>
        <w:rPr>
          <w:i/>
        </w:rPr>
        <w:t>Introduction.</w:t>
      </w:r>
      <w:r w:rsidR="00D22B6B">
        <w:t xml:space="preserve">  We have before us an application and a request</w:t>
      </w:r>
      <w:r>
        <w:t xml:space="preserve"> filed by Mobile Relay Associates (MRA) for waiver</w:t>
      </w:r>
      <w:r w:rsidR="00D83D86">
        <w:rPr>
          <w:szCs w:val="22"/>
        </w:rPr>
        <w:t xml:space="preserve"> </w:t>
      </w:r>
      <w:r>
        <w:t xml:space="preserve">of Sections 2.106 and 90.35 of the Commission’s Rules to permit </w:t>
      </w:r>
      <w:r>
        <w:rPr>
          <w:szCs w:val="22"/>
        </w:rPr>
        <w:t>MRA to operate on frequency pairs 45</w:t>
      </w:r>
      <w:r w:rsidR="00ED6E5D">
        <w:rPr>
          <w:szCs w:val="22"/>
        </w:rPr>
        <w:t>4</w:t>
      </w:r>
      <w:r>
        <w:rPr>
          <w:szCs w:val="22"/>
        </w:rPr>
        <w:t>/45</w:t>
      </w:r>
      <w:r w:rsidR="00ED6E5D">
        <w:rPr>
          <w:szCs w:val="22"/>
        </w:rPr>
        <w:t>9</w:t>
      </w:r>
      <w:r>
        <w:rPr>
          <w:szCs w:val="22"/>
        </w:rPr>
        <w:t>.</w:t>
      </w:r>
      <w:r w:rsidR="00ED6E5D">
        <w:rPr>
          <w:szCs w:val="22"/>
        </w:rPr>
        <w:t>009375</w:t>
      </w:r>
      <w:r>
        <w:rPr>
          <w:szCs w:val="22"/>
        </w:rPr>
        <w:t xml:space="preserve"> MHz, </w:t>
      </w:r>
      <w:r w:rsidR="00ED6E5D">
        <w:rPr>
          <w:szCs w:val="22"/>
        </w:rPr>
        <w:t>454/459.990625 MHz,</w:t>
      </w:r>
      <w:r w:rsidR="00ED6E5D" w:rsidRPr="00ED6E5D">
        <w:rPr>
          <w:szCs w:val="22"/>
        </w:rPr>
        <w:t xml:space="preserve"> </w:t>
      </w:r>
      <w:r w:rsidR="00ED6E5D">
        <w:rPr>
          <w:szCs w:val="22"/>
        </w:rPr>
        <w:t>and 454/459.996875 MHz</w:t>
      </w:r>
      <w:r>
        <w:rPr>
          <w:szCs w:val="22"/>
        </w:rPr>
        <w:t xml:space="preserve"> </w:t>
      </w:r>
      <w:r w:rsidR="00973262">
        <w:rPr>
          <w:szCs w:val="22"/>
        </w:rPr>
        <w:t>at four locations in Clark County, N</w:t>
      </w:r>
      <w:r w:rsidR="00EB1BED">
        <w:rPr>
          <w:szCs w:val="22"/>
        </w:rPr>
        <w:t>evada</w:t>
      </w:r>
      <w:r>
        <w:rPr>
          <w:szCs w:val="22"/>
        </w:rPr>
        <w:t>.</w:t>
      </w:r>
      <w:r>
        <w:rPr>
          <w:rStyle w:val="FootnoteReference"/>
          <w:szCs w:val="22"/>
        </w:rPr>
        <w:footnoteReference w:id="2"/>
      </w:r>
      <w:r w:rsidR="00D22B6B">
        <w:rPr>
          <w:szCs w:val="22"/>
        </w:rPr>
        <w:t xml:space="preserve">  While MRA’s request was</w:t>
      </w:r>
      <w:r>
        <w:rPr>
          <w:szCs w:val="22"/>
        </w:rPr>
        <w:t xml:space="preserve"> pending, other entities submitted the above-captioned applications with similar waiver requests for use of the same frequency pairs in various areas.</w:t>
      </w:r>
      <w:r>
        <w:rPr>
          <w:rStyle w:val="FootnoteReference"/>
          <w:szCs w:val="22"/>
        </w:rPr>
        <w:footnoteReference w:id="3"/>
      </w:r>
      <w:r>
        <w:rPr>
          <w:szCs w:val="22"/>
        </w:rPr>
        <w:t xml:space="preserve">  </w:t>
      </w:r>
      <w:r>
        <w:rPr>
          <w:lang w:val="en"/>
        </w:rPr>
        <w:t xml:space="preserve">For the reasons set forth below, we </w:t>
      </w:r>
      <w:r w:rsidR="00973262">
        <w:rPr>
          <w:lang w:val="en"/>
        </w:rPr>
        <w:t>deny</w:t>
      </w:r>
      <w:r>
        <w:rPr>
          <w:lang w:val="en"/>
        </w:rPr>
        <w:t xml:space="preserve"> the waiver requests </w:t>
      </w:r>
      <w:r w:rsidR="00973262">
        <w:rPr>
          <w:lang w:val="en"/>
        </w:rPr>
        <w:t xml:space="preserve">and </w:t>
      </w:r>
      <w:r w:rsidR="00F707C5">
        <w:rPr>
          <w:lang w:val="en"/>
        </w:rPr>
        <w:t xml:space="preserve">will </w:t>
      </w:r>
      <w:r w:rsidR="00973262">
        <w:rPr>
          <w:lang w:val="en"/>
        </w:rPr>
        <w:t>dismiss the</w:t>
      </w:r>
      <w:r>
        <w:rPr>
          <w:lang w:val="en"/>
        </w:rPr>
        <w:t xml:space="preserve"> applications</w:t>
      </w:r>
      <w:r>
        <w:rPr>
          <w:szCs w:val="22"/>
        </w:rPr>
        <w:t>.</w:t>
      </w:r>
    </w:p>
    <w:p w:rsidR="00CD6C74" w:rsidRPr="00CD6C74" w:rsidRDefault="00F9224E" w:rsidP="00CD6C74">
      <w:pPr>
        <w:pStyle w:val="ParaNum"/>
        <w:ind w:left="0"/>
        <w:jc w:val="left"/>
      </w:pPr>
      <w:r w:rsidRPr="00CD6C74">
        <w:rPr>
          <w:i/>
        </w:rPr>
        <w:t>Background.</w:t>
      </w:r>
      <w:r>
        <w:t xml:space="preserve">  Frequencies </w:t>
      </w:r>
      <w:r w:rsidR="00B3100B" w:rsidRPr="00CD6C74">
        <w:rPr>
          <w:szCs w:val="22"/>
        </w:rPr>
        <w:t>454.009375 MHz</w:t>
      </w:r>
      <w:r>
        <w:t xml:space="preserve">, </w:t>
      </w:r>
      <w:r w:rsidR="00B3100B" w:rsidRPr="00B3100B">
        <w:t>45</w:t>
      </w:r>
      <w:r w:rsidR="00B3100B">
        <w:t>4</w:t>
      </w:r>
      <w:r w:rsidR="00B3100B" w:rsidRPr="00B3100B">
        <w:t>.990625</w:t>
      </w:r>
      <w:r w:rsidR="00B3100B">
        <w:t xml:space="preserve"> MHz,</w:t>
      </w:r>
      <w:r w:rsidR="00B3100B" w:rsidRPr="00B3100B">
        <w:t xml:space="preserve"> 45</w:t>
      </w:r>
      <w:r w:rsidR="00B3100B">
        <w:t>4</w:t>
      </w:r>
      <w:r w:rsidR="00B3100B" w:rsidRPr="00B3100B">
        <w:t xml:space="preserve">.996875 </w:t>
      </w:r>
      <w:r w:rsidR="00B3100B">
        <w:t xml:space="preserve">MHz, </w:t>
      </w:r>
      <w:r w:rsidR="00B3100B" w:rsidRPr="00B3100B">
        <w:t>459.009375 MHz</w:t>
      </w:r>
      <w:r w:rsidR="00B3100B">
        <w:t xml:space="preserve">, </w:t>
      </w:r>
      <w:r w:rsidR="00B3100B" w:rsidRPr="00B3100B">
        <w:t xml:space="preserve">459.990625 </w:t>
      </w:r>
      <w:r w:rsidR="00B3100B">
        <w:t xml:space="preserve">MHz, and </w:t>
      </w:r>
      <w:r w:rsidR="00B3100B" w:rsidRPr="00B3100B">
        <w:t xml:space="preserve">459.996875 </w:t>
      </w:r>
      <w:r w:rsidR="00B3100B">
        <w:t xml:space="preserve">MHz </w:t>
      </w:r>
      <w:r>
        <w:t>are allocated for land mobile operations,</w:t>
      </w:r>
      <w:r>
        <w:rPr>
          <w:rStyle w:val="FootnoteReference"/>
          <w:szCs w:val="22"/>
        </w:rPr>
        <w:footnoteReference w:id="4"/>
      </w:r>
      <w:r>
        <w:t xml:space="preserve"> but currently are not designated for use on a primary basis by the Industrial/Business Pool </w:t>
      </w:r>
      <w:r w:rsidR="007833FD">
        <w:t xml:space="preserve">(I/B) </w:t>
      </w:r>
      <w:r>
        <w:t>or any other Commission service.</w:t>
      </w:r>
      <w:r>
        <w:rPr>
          <w:rStyle w:val="FootnoteReference"/>
          <w:szCs w:val="22"/>
        </w:rPr>
        <w:footnoteReference w:id="5"/>
      </w:r>
      <w:r>
        <w:t xml:space="preserve">  </w:t>
      </w:r>
      <w:r w:rsidR="00323627">
        <w:t xml:space="preserve">Frequencies </w:t>
      </w:r>
      <w:r w:rsidR="00323627" w:rsidRPr="00CD6C74">
        <w:rPr>
          <w:szCs w:val="22"/>
        </w:rPr>
        <w:t xml:space="preserve">454.009375 MHz and 459.009375 MHz are </w:t>
      </w:r>
      <w:r w:rsidR="00323627">
        <w:rPr>
          <w:szCs w:val="22"/>
        </w:rPr>
        <w:t>between I/B</w:t>
      </w:r>
      <w:r w:rsidR="00323627" w:rsidRPr="00CD6C74">
        <w:rPr>
          <w:szCs w:val="22"/>
        </w:rPr>
        <w:t xml:space="preserve"> frequencies</w:t>
      </w:r>
      <w:r w:rsidR="00323627">
        <w:rPr>
          <w:rStyle w:val="FootnoteReference"/>
          <w:szCs w:val="22"/>
        </w:rPr>
        <w:footnoteReference w:id="6"/>
      </w:r>
      <w:r w:rsidR="00323627" w:rsidRPr="00CD6C74">
        <w:rPr>
          <w:szCs w:val="22"/>
        </w:rPr>
        <w:t xml:space="preserve"> </w:t>
      </w:r>
      <w:r w:rsidR="00323627">
        <w:rPr>
          <w:szCs w:val="22"/>
        </w:rPr>
        <w:lastRenderedPageBreak/>
        <w:t>and</w:t>
      </w:r>
      <w:r w:rsidR="00323627" w:rsidRPr="00CD6C74">
        <w:rPr>
          <w:szCs w:val="22"/>
        </w:rPr>
        <w:t xml:space="preserve"> Part 22 </w:t>
      </w:r>
      <w:r w:rsidR="002A7A89">
        <w:rPr>
          <w:szCs w:val="22"/>
        </w:rPr>
        <w:t xml:space="preserve">Paging and Radiotelephone Service (PARS) and </w:t>
      </w:r>
      <w:r w:rsidR="00323627" w:rsidRPr="00CD6C74">
        <w:rPr>
          <w:szCs w:val="22"/>
        </w:rPr>
        <w:t>Rural Radiotelephone Service (</w:t>
      </w:r>
      <w:r w:rsidR="00323627">
        <w:rPr>
          <w:szCs w:val="22"/>
        </w:rPr>
        <w:t>RRS</w:t>
      </w:r>
      <w:r w:rsidR="00323627" w:rsidRPr="00CD6C74">
        <w:rPr>
          <w:szCs w:val="22"/>
        </w:rPr>
        <w:t xml:space="preserve">) </w:t>
      </w:r>
      <w:r w:rsidR="00323627">
        <w:rPr>
          <w:szCs w:val="22"/>
        </w:rPr>
        <w:t>frequencies</w:t>
      </w:r>
      <w:r w:rsidR="00323627" w:rsidRPr="00CD6C74">
        <w:rPr>
          <w:szCs w:val="22"/>
        </w:rPr>
        <w:t>.</w:t>
      </w:r>
      <w:r w:rsidR="00323627">
        <w:rPr>
          <w:rStyle w:val="FootnoteReference"/>
          <w:szCs w:val="22"/>
        </w:rPr>
        <w:footnoteReference w:id="7"/>
      </w:r>
      <w:r w:rsidR="00323627" w:rsidRPr="00CD6C74">
        <w:rPr>
          <w:szCs w:val="22"/>
        </w:rPr>
        <w:t xml:space="preserve"> </w:t>
      </w:r>
      <w:r w:rsidR="00323627">
        <w:rPr>
          <w:szCs w:val="22"/>
        </w:rPr>
        <w:t xml:space="preserve"> </w:t>
      </w:r>
      <w:r w:rsidR="008D4BEC">
        <w:t xml:space="preserve">Frequencies 454.990625 MHz and </w:t>
      </w:r>
      <w:r w:rsidR="008D4BEC" w:rsidRPr="008D4BEC">
        <w:t>454.996875 MHz</w:t>
      </w:r>
      <w:r w:rsidR="008D4BEC">
        <w:t xml:space="preserve"> are between Part 22 General Aviation Air-ground Radiotelephone Service (</w:t>
      </w:r>
      <w:r w:rsidR="007833FD">
        <w:t>GAARS</w:t>
      </w:r>
      <w:r w:rsidR="008D4BEC">
        <w:t xml:space="preserve">) </w:t>
      </w:r>
      <w:r w:rsidR="00323627">
        <w:t>frequencies</w:t>
      </w:r>
      <w:r w:rsidR="00D7561C">
        <w:rPr>
          <w:rStyle w:val="FootnoteReference"/>
        </w:rPr>
        <w:footnoteReference w:id="8"/>
      </w:r>
      <w:r w:rsidR="008D4BEC">
        <w:t xml:space="preserve"> and Part 74 </w:t>
      </w:r>
      <w:r w:rsidR="007833FD">
        <w:t>Broadcast Auxiliary Service</w:t>
      </w:r>
      <w:r w:rsidR="008D4BEC">
        <w:t xml:space="preserve"> (</w:t>
      </w:r>
      <w:r w:rsidR="007833FD">
        <w:t>BAS</w:t>
      </w:r>
      <w:r w:rsidR="008D4BEC">
        <w:t>)</w:t>
      </w:r>
      <w:r w:rsidR="00323627">
        <w:t xml:space="preserve"> frequencies</w:t>
      </w:r>
      <w:r w:rsidR="008D4BEC">
        <w:t>.</w:t>
      </w:r>
      <w:r w:rsidR="00D7561C">
        <w:rPr>
          <w:rStyle w:val="FootnoteReference"/>
        </w:rPr>
        <w:footnoteReference w:id="9"/>
      </w:r>
      <w:r w:rsidR="008D4BEC">
        <w:t xml:space="preserve">  Frequencies 459.990625 MHz</w:t>
      </w:r>
      <w:r w:rsidR="008D4BEC" w:rsidRPr="008D4BEC">
        <w:t xml:space="preserve"> and 459.996875 MHz between Part 22 </w:t>
      </w:r>
      <w:r w:rsidR="007833FD">
        <w:t>GAARS</w:t>
      </w:r>
      <w:r w:rsidR="008D4BEC" w:rsidRPr="008D4BEC">
        <w:t xml:space="preserve"> spectrum</w:t>
      </w:r>
      <w:r w:rsidR="00D7561C">
        <w:rPr>
          <w:rStyle w:val="FootnoteReference"/>
        </w:rPr>
        <w:footnoteReference w:id="10"/>
      </w:r>
      <w:r w:rsidR="008D4BEC" w:rsidRPr="008D4BEC">
        <w:t xml:space="preserve"> and Part </w:t>
      </w:r>
      <w:r w:rsidR="008D4BEC">
        <w:t>90 Public Safety</w:t>
      </w:r>
      <w:r w:rsidR="007833FD">
        <w:t xml:space="preserve"> Pool (PS</w:t>
      </w:r>
      <w:r w:rsidR="0049725D">
        <w:t>)</w:t>
      </w:r>
      <w:r w:rsidR="0012474B">
        <w:t xml:space="preserve"> </w:t>
      </w:r>
      <w:r w:rsidR="00323627">
        <w:t>freq</w:t>
      </w:r>
      <w:r w:rsidR="00884E90">
        <w:t>u</w:t>
      </w:r>
      <w:r w:rsidR="00323627">
        <w:t>encies</w:t>
      </w:r>
      <w:r w:rsidR="008D4BEC">
        <w:t>.</w:t>
      </w:r>
      <w:r w:rsidR="00D7561C">
        <w:rPr>
          <w:rStyle w:val="FootnoteReference"/>
        </w:rPr>
        <w:footnoteReference w:id="11"/>
      </w:r>
      <w:r w:rsidR="00291066">
        <w:t xml:space="preserve">  </w:t>
      </w:r>
    </w:p>
    <w:p w:rsidR="00F9224E" w:rsidRDefault="00F9224E" w:rsidP="001D2BC7">
      <w:pPr>
        <w:pStyle w:val="ParaNum"/>
        <w:ind w:left="0"/>
        <w:jc w:val="left"/>
      </w:pPr>
      <w:r>
        <w:t>MRA and the other applicants seek assignment of these frequencies with a 4 kilohertz emission designator, which they contend will present no risk of harmful interference because the requested channels will not overlap any designated frequencies on either side, in light of the implementation of narrowband</w:t>
      </w:r>
      <w:r w:rsidR="001C6880">
        <w:t xml:space="preserve"> technology</w:t>
      </w:r>
      <w:r>
        <w:t>.</w:t>
      </w:r>
      <w:r>
        <w:rPr>
          <w:rStyle w:val="FootnoteReference"/>
          <w:szCs w:val="22"/>
        </w:rPr>
        <w:footnoteReference w:id="12"/>
      </w:r>
      <w:r w:rsidR="001D2BC7">
        <w:t xml:space="preserve">  </w:t>
      </w:r>
      <w:r>
        <w:t xml:space="preserve">Further, MRA </w:t>
      </w:r>
      <w:r w:rsidR="001D2BC7">
        <w:t>and other applicants contend</w:t>
      </w:r>
      <w:r>
        <w:t xml:space="preserve"> that there is widespread and increasing </w:t>
      </w:r>
      <w:r w:rsidR="001C6880">
        <w:t>private land mobile radio</w:t>
      </w:r>
      <w:r>
        <w:t xml:space="preserve"> congestion in the areas in which </w:t>
      </w:r>
      <w:r w:rsidR="001D2BC7">
        <w:t>they</w:t>
      </w:r>
      <w:r>
        <w:t xml:space="preserve"> seek relief.</w:t>
      </w:r>
      <w:r>
        <w:rPr>
          <w:rStyle w:val="FootnoteReference"/>
          <w:szCs w:val="22"/>
        </w:rPr>
        <w:footnoteReference w:id="13"/>
      </w:r>
      <w:r>
        <w:t xml:space="preserve">  </w:t>
      </w:r>
    </w:p>
    <w:p w:rsidR="00F9224E" w:rsidRPr="00DD770C" w:rsidRDefault="00F9224E">
      <w:pPr>
        <w:pStyle w:val="ParaNum"/>
        <w:ind w:left="0"/>
        <w:jc w:val="left"/>
      </w:pPr>
      <w:r>
        <w:rPr>
          <w:i/>
        </w:rPr>
        <w:t>Discussion</w:t>
      </w:r>
      <w:r>
        <w:t>.  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rPr>
        <w:footnoteReference w:id="14"/>
      </w:r>
      <w:r>
        <w:t xml:space="preserve"> or (ii) in view of unique or unusual </w:t>
      </w:r>
      <w:r w:rsidRPr="00DD770C">
        <w:t>factual circumstances of the instant case, application of the rule(s) would be inequitable, unduly burdensome, or contrary to the public interest or the applicant has no reasonable alternative</w:t>
      </w:r>
      <w:r w:rsidRPr="00DD770C">
        <w:rPr>
          <w:szCs w:val="22"/>
        </w:rPr>
        <w:t>.</w:t>
      </w:r>
      <w:r w:rsidRPr="00DD770C">
        <w:rPr>
          <w:rStyle w:val="FootnoteReference"/>
          <w:bCs/>
          <w:szCs w:val="22"/>
        </w:rPr>
        <w:footnoteReference w:id="15"/>
      </w:r>
      <w:r w:rsidRPr="00DD770C">
        <w:rPr>
          <w:szCs w:val="22"/>
        </w:rPr>
        <w:t xml:space="preserve">  Based on the record before us, we conclude that </w:t>
      </w:r>
      <w:r w:rsidR="002A7A89">
        <w:rPr>
          <w:szCs w:val="22"/>
        </w:rPr>
        <w:t>the parties have</w:t>
      </w:r>
      <w:r w:rsidR="003D6CC7" w:rsidRPr="00DD770C">
        <w:rPr>
          <w:rStyle w:val="documentbody"/>
        </w:rPr>
        <w:t xml:space="preserve"> not p</w:t>
      </w:r>
      <w:r w:rsidRPr="00DD770C">
        <w:rPr>
          <w:rStyle w:val="documentbody"/>
        </w:rPr>
        <w:t xml:space="preserve">resented sufficient facts to meet the standard for </w:t>
      </w:r>
      <w:r w:rsidRPr="00DD770C">
        <w:rPr>
          <w:szCs w:val="22"/>
        </w:rPr>
        <w:t>grant of the requested waivers.</w:t>
      </w:r>
    </w:p>
    <w:p w:rsidR="00074C9D" w:rsidRPr="00DD770C" w:rsidRDefault="00155176" w:rsidP="00074C9D">
      <w:pPr>
        <w:pStyle w:val="ParaNum"/>
        <w:ind w:left="0"/>
        <w:jc w:val="left"/>
      </w:pPr>
      <w:r w:rsidRPr="00DD770C">
        <w:t xml:space="preserve">The </w:t>
      </w:r>
      <w:r w:rsidR="00E043F7">
        <w:t>Wireless Telecommunications Bureau’s Mobility Division (</w:t>
      </w:r>
      <w:r w:rsidRPr="00DD770C">
        <w:t>Division</w:t>
      </w:r>
      <w:r w:rsidR="00E043F7">
        <w:t>)</w:t>
      </w:r>
      <w:r w:rsidRPr="00DD770C">
        <w:t xml:space="preserve"> granted </w:t>
      </w:r>
      <w:r w:rsidR="00F9224E" w:rsidRPr="00DD770C">
        <w:t>similar request</w:t>
      </w:r>
      <w:r w:rsidR="003D6CC7" w:rsidRPr="00DD770C">
        <w:t>s</w:t>
      </w:r>
      <w:r w:rsidR="00F9224E" w:rsidRPr="00DD770C">
        <w:t xml:space="preserve"> </w:t>
      </w:r>
      <w:r w:rsidR="00E043F7">
        <w:t>last</w:t>
      </w:r>
      <w:r w:rsidR="00F9224E" w:rsidRPr="00DD770C">
        <w:t xml:space="preserve"> year.</w:t>
      </w:r>
      <w:r w:rsidR="00F9224E" w:rsidRPr="00DD770C">
        <w:rPr>
          <w:rStyle w:val="FootnoteReference"/>
          <w:szCs w:val="22"/>
        </w:rPr>
        <w:footnoteReference w:id="16"/>
      </w:r>
      <w:r w:rsidR="0003563F" w:rsidRPr="00DD770C">
        <w:t xml:space="preserve">  MRA </w:t>
      </w:r>
      <w:r w:rsidR="001C6880">
        <w:t xml:space="preserve">and others </w:t>
      </w:r>
      <w:r w:rsidR="0003563F" w:rsidRPr="00DD770C">
        <w:t xml:space="preserve">requested </w:t>
      </w:r>
      <w:r w:rsidR="00F9224E" w:rsidRPr="00DD770C">
        <w:t>waiver</w:t>
      </w:r>
      <w:r w:rsidR="0003563F" w:rsidRPr="00DD770C">
        <w:t>s</w:t>
      </w:r>
      <w:r w:rsidR="00F9224E" w:rsidRPr="00DD770C">
        <w:t xml:space="preserve"> to operate with a 4 kHz emission designator on frequency pairs on the band edges between </w:t>
      </w:r>
      <w:r w:rsidR="001B12CC" w:rsidRPr="00DD770C">
        <w:t>I/B</w:t>
      </w:r>
      <w:r w:rsidR="00F9224E" w:rsidRPr="00DD770C">
        <w:t xml:space="preserve"> spectrum and General Mobile Radio Service spectrum</w:t>
      </w:r>
      <w:r w:rsidR="00E043F7">
        <w:t>,</w:t>
      </w:r>
      <w:r w:rsidR="0003563F" w:rsidRPr="00DD770C">
        <w:rPr>
          <w:rStyle w:val="FootnoteReference"/>
        </w:rPr>
        <w:footnoteReference w:id="17"/>
      </w:r>
      <w:r w:rsidR="0003563F" w:rsidRPr="00DD770C">
        <w:t xml:space="preserve"> and </w:t>
      </w:r>
      <w:r w:rsidR="0003563F" w:rsidRPr="00DD770C">
        <w:rPr>
          <w:szCs w:val="22"/>
        </w:rPr>
        <w:t xml:space="preserve">between </w:t>
      </w:r>
      <w:r w:rsidR="001B12CC" w:rsidRPr="00DD770C">
        <w:rPr>
          <w:szCs w:val="22"/>
        </w:rPr>
        <w:t>I/B</w:t>
      </w:r>
      <w:r w:rsidR="0003563F" w:rsidRPr="00DD770C">
        <w:rPr>
          <w:szCs w:val="22"/>
        </w:rPr>
        <w:t xml:space="preserve"> spectrum and </w:t>
      </w:r>
      <w:r w:rsidR="001B12CC" w:rsidRPr="00DD770C">
        <w:t>BAS</w:t>
      </w:r>
      <w:r w:rsidR="0003563F" w:rsidRPr="00DD770C">
        <w:t xml:space="preserve"> spectrum</w:t>
      </w:r>
      <w:r w:rsidR="00F9224E" w:rsidRPr="00DD770C">
        <w:t>.</w:t>
      </w:r>
      <w:r w:rsidR="0003563F" w:rsidRPr="00DD770C">
        <w:rPr>
          <w:rStyle w:val="FootnoteReference"/>
        </w:rPr>
        <w:footnoteReference w:id="18"/>
      </w:r>
      <w:r w:rsidR="00F9224E" w:rsidRPr="00DD770C">
        <w:t xml:space="preserve">  The Division concluded that the underlying purpose of the rules would not be served by application of the rules because MRA’s proposed operations would not spectrally overlap the occupied bandwidth of any currently assignable frequency, and the public interest would be served by permitting the assignment of the requested frequency pairs to alleviate PLMR congestion at the requested locations.</w:t>
      </w:r>
      <w:r w:rsidR="00F9224E" w:rsidRPr="00DD770C">
        <w:rPr>
          <w:rStyle w:val="FootnoteReference"/>
          <w:szCs w:val="22"/>
        </w:rPr>
        <w:footnoteReference w:id="19"/>
      </w:r>
    </w:p>
    <w:p w:rsidR="00DD770C" w:rsidRPr="00DD770C" w:rsidRDefault="00BE69C9" w:rsidP="00DD770C">
      <w:pPr>
        <w:pStyle w:val="ParaNum"/>
        <w:ind w:left="0"/>
        <w:jc w:val="left"/>
      </w:pPr>
      <w:r>
        <w:t>The</w:t>
      </w:r>
      <w:r w:rsidR="0075621E" w:rsidRPr="00DD770C">
        <w:t xml:space="preserve"> </w:t>
      </w:r>
      <w:r w:rsidR="00D22B6B">
        <w:t>applicants</w:t>
      </w:r>
      <w:r>
        <w:t xml:space="preserve"> are correct</w:t>
      </w:r>
      <w:r w:rsidR="0075621E" w:rsidRPr="00DD770C">
        <w:t xml:space="preserve"> that </w:t>
      </w:r>
      <w:r w:rsidR="000161FC">
        <w:t xml:space="preserve">the requested frequency pairs do not </w:t>
      </w:r>
      <w:r w:rsidR="0075621E" w:rsidRPr="00DD770C">
        <w:t xml:space="preserve">overlap any </w:t>
      </w:r>
      <w:r w:rsidR="00E043F7">
        <w:t>frequencies already designated for another use</w:t>
      </w:r>
      <w:r w:rsidR="0075621E" w:rsidRPr="00DD770C">
        <w:t xml:space="preserve">.  </w:t>
      </w:r>
      <w:r w:rsidR="00E043F7">
        <w:t>We note, h</w:t>
      </w:r>
      <w:r w:rsidR="00074C9D" w:rsidRPr="00DD770C">
        <w:t xml:space="preserve">owever, </w:t>
      </w:r>
      <w:r w:rsidR="00E043F7">
        <w:t xml:space="preserve">that </w:t>
      </w:r>
      <w:r w:rsidR="0012665C" w:rsidRPr="00DD770C">
        <w:t>the previous waiver</w:t>
      </w:r>
      <w:r w:rsidR="00074C9D" w:rsidRPr="00DD770C">
        <w:t xml:space="preserve"> requests </w:t>
      </w:r>
      <w:r w:rsidR="00E043F7">
        <w:lastRenderedPageBreak/>
        <w:t>sought frequencies located in gaps between a block of I/B frequencies and a block of frequencies designated for another use, so grant of the waivers merely effected a slight expansion of the I/B blocks to permit I/B operations on previously unusable frequencies.  The present requests, in contrast</w:t>
      </w:r>
      <w:r w:rsidR="00074C9D" w:rsidRPr="00DD770C">
        <w:t xml:space="preserve">, </w:t>
      </w:r>
      <w:r w:rsidR="00E043F7">
        <w:t xml:space="preserve">seek </w:t>
      </w:r>
      <w:r w:rsidR="00277E34">
        <w:t xml:space="preserve">frequencies in gaps between two non-I/B services (in the case of </w:t>
      </w:r>
      <w:r w:rsidR="00074C9D" w:rsidRPr="00DD770C">
        <w:t xml:space="preserve">frequency pairs </w:t>
      </w:r>
      <w:r w:rsidR="0012665C" w:rsidRPr="00DD770C">
        <w:t>454/459.990625 MHz</w:t>
      </w:r>
      <w:r w:rsidR="00074C9D" w:rsidRPr="00DD770C">
        <w:t xml:space="preserve"> and 454/459.996875 MHz</w:t>
      </w:r>
      <w:r w:rsidR="00277E34">
        <w:t>) or between</w:t>
      </w:r>
      <w:r w:rsidR="00074C9D" w:rsidRPr="00DD770C">
        <w:t xml:space="preserve"> </w:t>
      </w:r>
      <w:r w:rsidR="00277E34">
        <w:t>an isolated I/B frequency and a non-I/B block.</w:t>
      </w:r>
      <w:r w:rsidR="00277E34">
        <w:rPr>
          <w:rStyle w:val="FootnoteReference"/>
        </w:rPr>
        <w:footnoteReference w:id="20"/>
      </w:r>
      <w:r w:rsidR="00277E34">
        <w:t xml:space="preserve">  </w:t>
      </w:r>
    </w:p>
    <w:p w:rsidR="000161FC" w:rsidRDefault="00DD770C" w:rsidP="00077799">
      <w:pPr>
        <w:pStyle w:val="ParaNum"/>
        <w:ind w:left="0"/>
        <w:jc w:val="left"/>
      </w:pPr>
      <w:r w:rsidRPr="00DD770C">
        <w:t>The</w:t>
      </w:r>
      <w:r w:rsidR="005839B1">
        <w:t xml:space="preserve"> Commission designates different</w:t>
      </w:r>
      <w:r w:rsidRPr="00DD770C">
        <w:t xml:space="preserve"> frequency bands </w:t>
      </w:r>
      <w:r w:rsidR="005839B1">
        <w:t xml:space="preserve">for different </w:t>
      </w:r>
      <w:r>
        <w:t>radio services</w:t>
      </w:r>
      <w:r w:rsidR="005839B1">
        <w:t xml:space="preserve"> in order to consolidate similar uses and separate incompatible operations</w:t>
      </w:r>
      <w:r>
        <w:t>.</w:t>
      </w:r>
      <w:r w:rsidR="005839B1">
        <w:rPr>
          <w:rStyle w:val="FootnoteReference"/>
        </w:rPr>
        <w:footnoteReference w:id="21"/>
      </w:r>
      <w:r>
        <w:t xml:space="preserve">  </w:t>
      </w:r>
      <w:r w:rsidR="00D401BF">
        <w:t>Inserting</w:t>
      </w:r>
      <w:r w:rsidR="005839B1">
        <w:t xml:space="preserve"> I/B operations between blocks </w:t>
      </w:r>
      <w:r w:rsidR="00D401BF">
        <w:t>of non-I/B spectrum c</w:t>
      </w:r>
      <w:r w:rsidR="005839B1">
        <w:t xml:space="preserve">ould </w:t>
      </w:r>
      <w:r>
        <w:t>frustrate the purpose of the Commission’s spectr</w:t>
      </w:r>
      <w:r w:rsidR="005839B1">
        <w:t>um</w:t>
      </w:r>
      <w:r>
        <w:t xml:space="preserve"> management policy and practices. </w:t>
      </w:r>
      <w:r w:rsidR="005839B1">
        <w:t xml:space="preserve"> </w:t>
      </w:r>
      <w:r>
        <w:t>Therefore, we deny the waiver requests.</w:t>
      </w:r>
    </w:p>
    <w:p w:rsidR="000161FC" w:rsidRDefault="00F9224E" w:rsidP="000161FC">
      <w:pPr>
        <w:pStyle w:val="ParaNum"/>
        <w:ind w:left="0"/>
        <w:jc w:val="left"/>
      </w:pPr>
      <w:r>
        <w:t>Accordingly, IT IS ORDERED pursuant to Sections 4(i), 303(g), and 303(r) of the Communications Act of 1934, as amended, 47 U.S.C. §§ 154(i), 303(g), and 303(r), and Section 1.925 of the Commission’s Rules, 47 C</w:t>
      </w:r>
      <w:r w:rsidR="000161FC">
        <w:t>.F.R. § 1.925, that the Request</w:t>
      </w:r>
      <w:r>
        <w:t xml:space="preserve"> for Waiver filed by Mobile Relay Associates on </w:t>
      </w:r>
      <w:r w:rsidR="000161FC">
        <w:t>March 3, 2015</w:t>
      </w:r>
      <w:r>
        <w:t xml:space="preserve">, </w:t>
      </w:r>
      <w:r w:rsidR="000161FC">
        <w:t>in conjunction with application FCC File No</w:t>
      </w:r>
      <w:r>
        <w:t xml:space="preserve">. </w:t>
      </w:r>
      <w:r w:rsidR="000161FC" w:rsidRPr="000161FC">
        <w:t>0006691596</w:t>
      </w:r>
      <w:r>
        <w:t xml:space="preserve"> </w:t>
      </w:r>
      <w:r w:rsidR="000161FC">
        <w:t xml:space="preserve">IS DENIED, and the application </w:t>
      </w:r>
      <w:r>
        <w:t xml:space="preserve">SHALL BE </w:t>
      </w:r>
      <w:r w:rsidR="000161FC">
        <w:t>DISMISSED</w:t>
      </w:r>
      <w:r>
        <w:t xml:space="preserve">.  </w:t>
      </w:r>
    </w:p>
    <w:p w:rsidR="000161FC" w:rsidRDefault="00F9224E" w:rsidP="000161FC">
      <w:pPr>
        <w:pStyle w:val="ParaNum"/>
        <w:ind w:left="0"/>
        <w:jc w:val="left"/>
      </w:pPr>
      <w:r>
        <w:t xml:space="preserve">IT IS FURTHER ORDERED that the Request for Waiver filed by </w:t>
      </w:r>
      <w:r w:rsidR="000161FC">
        <w:t>Highland</w:t>
      </w:r>
      <w:r>
        <w:t xml:space="preserve"> Wireless Services, Inc.</w:t>
      </w:r>
      <w:r w:rsidR="000161FC">
        <w:t xml:space="preserve"> on March 10, 2015</w:t>
      </w:r>
      <w:r>
        <w:t xml:space="preserve"> in conjunction with application FCC File No. 0</w:t>
      </w:r>
      <w:r w:rsidR="000161FC" w:rsidRPr="000161FC">
        <w:t>0006701591</w:t>
      </w:r>
      <w:r>
        <w:t xml:space="preserve"> IS </w:t>
      </w:r>
      <w:r w:rsidR="000161FC">
        <w:t>DENIED</w:t>
      </w:r>
      <w:r>
        <w:t xml:space="preserve">, and the application SHALL BE </w:t>
      </w:r>
      <w:r w:rsidR="000161FC">
        <w:t>DISMISSED.</w:t>
      </w:r>
    </w:p>
    <w:p w:rsidR="000161FC" w:rsidRDefault="000161FC" w:rsidP="000161FC">
      <w:pPr>
        <w:pStyle w:val="ParaNum"/>
        <w:ind w:left="0"/>
        <w:jc w:val="left"/>
      </w:pPr>
      <w:r>
        <w:t xml:space="preserve">IT IS FURTHER ORDERED that the Request for Waiver filed by Terry Cameron on May 12, 2015 in conjunction with application FCC File No. </w:t>
      </w:r>
      <w:r w:rsidRPr="000161FC">
        <w:t>0006800635</w:t>
      </w:r>
      <w:r>
        <w:t xml:space="preserve"> IS DENIED, and the application SHALL BE DISMISSED.</w:t>
      </w:r>
    </w:p>
    <w:p w:rsidR="000161FC" w:rsidRDefault="000161FC" w:rsidP="000161FC">
      <w:pPr>
        <w:pStyle w:val="ParaNum"/>
        <w:ind w:left="0"/>
        <w:jc w:val="left"/>
      </w:pPr>
      <w:r>
        <w:t>IT IS FURTHER ORDERED that the Request for Waiver filed by Radio Maintenance, Inc. on May 14, 2015 in conjunction with application FCC File No</w:t>
      </w:r>
      <w:r w:rsidRPr="000161FC">
        <w:t>. 0006802714</w:t>
      </w:r>
      <w:r>
        <w:t xml:space="preserve"> IS DENIED, and the application SHALL BE DISMISSED.</w:t>
      </w:r>
    </w:p>
    <w:p w:rsidR="000161FC" w:rsidRDefault="000161FC" w:rsidP="000161FC">
      <w:pPr>
        <w:pStyle w:val="ParaNum"/>
        <w:ind w:left="0"/>
        <w:jc w:val="left"/>
      </w:pPr>
      <w:r>
        <w:t xml:space="preserve">IT IS FURTHER ORDERED that the Request for Waiver filed by A Beep, LLC on June 15, 2015 in conjunction with application FCC File No. </w:t>
      </w:r>
      <w:r w:rsidRPr="000161FC">
        <w:t>0006841323</w:t>
      </w:r>
      <w:r>
        <w:t xml:space="preserve"> IS DENIED, and the application SHALL BE DISMISSED.</w:t>
      </w:r>
    </w:p>
    <w:p w:rsidR="00F9224E" w:rsidRDefault="00F9224E" w:rsidP="000161FC">
      <w:pPr>
        <w:pStyle w:val="ParaNum"/>
        <w:ind w:left="0"/>
        <w:jc w:val="left"/>
      </w:pPr>
      <w:r>
        <w:t>This action is taken under delegated authority pursuant to Sections 0.131 and 0.331 of the Commission’s Rules, 47 C.F.R. §§ 0.131, 0.331.</w:t>
      </w:r>
    </w:p>
    <w:p w:rsidR="00F9224E" w:rsidRDefault="00F9224E">
      <w:pPr>
        <w:pStyle w:val="Numberedparagraph"/>
        <w:numPr>
          <w:ilvl w:val="0"/>
          <w:numId w:val="0"/>
        </w:numPr>
      </w:pPr>
      <w:r>
        <w:t xml:space="preserve">                                                                              FEDERAL COMMUNICATIONS COMMISSION</w:t>
      </w:r>
    </w:p>
    <w:p w:rsidR="00F9224E" w:rsidRDefault="00F9224E">
      <w:pPr>
        <w:tabs>
          <w:tab w:val="left" w:pos="720"/>
          <w:tab w:val="left" w:pos="1440"/>
          <w:tab w:val="left" w:pos="2160"/>
          <w:tab w:val="left" w:pos="2880"/>
          <w:tab w:val="left" w:pos="3600"/>
        </w:tabs>
        <w:ind w:firstLine="720"/>
      </w:pPr>
    </w:p>
    <w:p w:rsidR="00F9224E" w:rsidRDefault="00F9224E">
      <w:pPr>
        <w:tabs>
          <w:tab w:val="left" w:pos="720"/>
          <w:tab w:val="left" w:pos="1440"/>
          <w:tab w:val="left" w:pos="2160"/>
          <w:tab w:val="left" w:pos="2880"/>
          <w:tab w:val="left" w:pos="3600"/>
        </w:tabs>
        <w:ind w:firstLine="720"/>
      </w:pPr>
    </w:p>
    <w:p w:rsidR="00F9224E" w:rsidRDefault="00F9224E">
      <w:pPr>
        <w:autoSpaceDE w:val="0"/>
        <w:autoSpaceDN w:val="0"/>
        <w:adjustRightInd w:val="0"/>
        <w:rPr>
          <w:color w:val="010101"/>
          <w:szCs w:val="22"/>
        </w:rPr>
      </w:pPr>
      <w:r>
        <w:tab/>
      </w:r>
      <w:r>
        <w:tab/>
      </w:r>
      <w:r>
        <w:tab/>
      </w:r>
      <w:r>
        <w:tab/>
      </w:r>
      <w:r>
        <w:tab/>
      </w:r>
      <w:r>
        <w:tab/>
      </w:r>
    </w:p>
    <w:p w:rsidR="00F9224E" w:rsidRDefault="00F9224E">
      <w:pPr>
        <w:autoSpaceDE w:val="0"/>
        <w:autoSpaceDN w:val="0"/>
        <w:adjustRightInd w:val="0"/>
        <w:ind w:left="3600" w:firstLine="720"/>
        <w:rPr>
          <w:color w:val="010101"/>
          <w:szCs w:val="22"/>
        </w:rPr>
      </w:pPr>
      <w:r>
        <w:rPr>
          <w:color w:val="010101"/>
          <w:szCs w:val="22"/>
        </w:rPr>
        <w:t>Scot Stone</w:t>
      </w:r>
    </w:p>
    <w:p w:rsidR="00F9224E" w:rsidRDefault="00F9224E">
      <w:pPr>
        <w:autoSpaceDE w:val="0"/>
        <w:autoSpaceDN w:val="0"/>
        <w:adjustRightInd w:val="0"/>
        <w:ind w:left="3600" w:firstLine="720"/>
        <w:rPr>
          <w:color w:val="010101"/>
          <w:szCs w:val="22"/>
        </w:rPr>
      </w:pPr>
      <w:r>
        <w:rPr>
          <w:color w:val="010101"/>
          <w:szCs w:val="22"/>
        </w:rPr>
        <w:t>Deputy Chief, Mobility Division</w:t>
      </w:r>
    </w:p>
    <w:p w:rsidR="00F9224E" w:rsidRDefault="00F9224E">
      <w:pPr>
        <w:autoSpaceDE w:val="0"/>
        <w:autoSpaceDN w:val="0"/>
        <w:adjustRightInd w:val="0"/>
        <w:ind w:left="3600" w:firstLine="720"/>
        <w:rPr>
          <w:color w:val="010101"/>
          <w:szCs w:val="22"/>
        </w:rPr>
      </w:pPr>
      <w:r>
        <w:rPr>
          <w:color w:val="010101"/>
          <w:szCs w:val="22"/>
        </w:rPr>
        <w:t>Wireless Telecommunications Bureau</w:t>
      </w:r>
    </w:p>
    <w:sectPr w:rsidR="00F9224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93" w:rsidRDefault="00B04393">
      <w:r>
        <w:separator/>
      </w:r>
    </w:p>
  </w:endnote>
  <w:endnote w:type="continuationSeparator" w:id="0">
    <w:p w:rsidR="00B04393" w:rsidRDefault="00B0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224E" w:rsidRDefault="00F92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368">
      <w:rPr>
        <w:rStyle w:val="PageNumber"/>
        <w:noProof/>
      </w:rPr>
      <w:t>2</w:t>
    </w:r>
    <w:r>
      <w:rPr>
        <w:rStyle w:val="PageNumber"/>
      </w:rPr>
      <w:fldChar w:fldCharType="end"/>
    </w:r>
  </w:p>
  <w:p w:rsidR="00F9224E" w:rsidRDefault="00F92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F2" w:rsidRDefault="002E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93" w:rsidRDefault="00B04393">
      <w:pPr>
        <w:rPr>
          <w:sz w:val="20"/>
        </w:rPr>
      </w:pPr>
      <w:r>
        <w:rPr>
          <w:sz w:val="20"/>
        </w:rPr>
        <w:separator/>
      </w:r>
    </w:p>
  </w:footnote>
  <w:footnote w:type="continuationSeparator" w:id="0">
    <w:p w:rsidR="00B04393" w:rsidRDefault="00B04393">
      <w:pPr>
        <w:rPr>
          <w:sz w:val="20"/>
        </w:rPr>
      </w:pPr>
      <w:r>
        <w:rPr>
          <w:sz w:val="20"/>
        </w:rPr>
        <w:separator/>
      </w:r>
    </w:p>
    <w:p w:rsidR="00B04393" w:rsidRDefault="00B04393">
      <w:pPr>
        <w:rPr>
          <w:sz w:val="20"/>
        </w:rPr>
      </w:pPr>
      <w:r>
        <w:rPr>
          <w:sz w:val="20"/>
        </w:rPr>
        <w:t>(...continued from previous page)</w:t>
      </w:r>
    </w:p>
  </w:footnote>
  <w:footnote w:type="continuationNotice" w:id="1">
    <w:p w:rsidR="00B04393" w:rsidRDefault="00B04393">
      <w:pPr>
        <w:jc w:val="right"/>
        <w:rPr>
          <w:sz w:val="20"/>
        </w:rPr>
      </w:pPr>
      <w:r>
        <w:rPr>
          <w:sz w:val="20"/>
        </w:rPr>
        <w:t>(continued....)</w:t>
      </w:r>
    </w:p>
  </w:footnote>
  <w:footnote w:id="2">
    <w:p w:rsidR="00F9224E" w:rsidRDefault="00F9224E">
      <w:pPr>
        <w:pStyle w:val="FootnoteText"/>
        <w:jc w:val="left"/>
      </w:pPr>
      <w:r>
        <w:rPr>
          <w:rStyle w:val="FootnoteReference"/>
        </w:rPr>
        <w:footnoteRef/>
      </w:r>
      <w:r>
        <w:t xml:space="preserve"> </w:t>
      </w:r>
      <w:r>
        <w:rPr>
          <w:i/>
        </w:rPr>
        <w:t xml:space="preserve">See </w:t>
      </w:r>
      <w:r>
        <w:t xml:space="preserve">FCC File No. </w:t>
      </w:r>
      <w:r w:rsidR="00973262">
        <w:t>0006691596</w:t>
      </w:r>
      <w:r>
        <w:t xml:space="preserve"> (filed </w:t>
      </w:r>
      <w:r w:rsidR="00973262">
        <w:t>March 3, 2015 and amended March 4, 2015 and May 1, 2015</w:t>
      </w:r>
      <w:r>
        <w:t>)</w:t>
      </w:r>
      <w:r w:rsidR="001D2BC7">
        <w:t>, Public Interest; Request for Waiver (filed March 3, 2015) (Waiver Request)</w:t>
      </w:r>
      <w:r>
        <w:t>.</w:t>
      </w:r>
    </w:p>
  </w:footnote>
  <w:footnote w:id="3">
    <w:p w:rsidR="00F9224E" w:rsidRDefault="00F9224E">
      <w:pPr>
        <w:pStyle w:val="FootnoteText"/>
        <w:jc w:val="left"/>
      </w:pPr>
      <w:r>
        <w:rPr>
          <w:rStyle w:val="FootnoteReference"/>
        </w:rPr>
        <w:footnoteRef/>
      </w:r>
      <w:r>
        <w:rPr>
          <w:i/>
        </w:rPr>
        <w:t xml:space="preserve"> See</w:t>
      </w:r>
      <w:r>
        <w:t xml:space="preserve"> FCC File No. </w:t>
      </w:r>
      <w:r w:rsidR="00973262" w:rsidRPr="00973262">
        <w:t>0006701591</w:t>
      </w:r>
      <w:r>
        <w:t xml:space="preserve"> (filed </w:t>
      </w:r>
      <w:r w:rsidR="00973262">
        <w:t>March 10</w:t>
      </w:r>
      <w:r>
        <w:t>, 201</w:t>
      </w:r>
      <w:r w:rsidR="00DD7358">
        <w:t>5</w:t>
      </w:r>
      <w:r>
        <w:t xml:space="preserve"> </w:t>
      </w:r>
      <w:r w:rsidR="00973262" w:rsidRPr="00973262">
        <w:t xml:space="preserve">and amended March </w:t>
      </w:r>
      <w:r w:rsidR="00973262">
        <w:t>2</w:t>
      </w:r>
      <w:r w:rsidR="00973262" w:rsidRPr="00973262">
        <w:t xml:space="preserve">4, 2015 and May </w:t>
      </w:r>
      <w:r w:rsidR="00973262">
        <w:t>1</w:t>
      </w:r>
      <w:r w:rsidR="00973262" w:rsidRPr="00973262">
        <w:t>, 2015</w:t>
      </w:r>
      <w:r>
        <w:t>) (</w:t>
      </w:r>
      <w:r w:rsidR="00973262">
        <w:t>Highland Wireless Services, LLC</w:t>
      </w:r>
      <w:r>
        <w:t xml:space="preserve">; </w:t>
      </w:r>
      <w:r w:rsidR="00973262">
        <w:t xml:space="preserve">six locations </w:t>
      </w:r>
      <w:r w:rsidR="00E043F7">
        <w:t>in</w:t>
      </w:r>
      <w:r w:rsidR="00973262">
        <w:t xml:space="preserve"> Broward, Miami-Dade, and Palm Beach counties, F</w:t>
      </w:r>
      <w:r w:rsidR="00EB1BED">
        <w:t>lorida</w:t>
      </w:r>
      <w:r w:rsidR="00B3100B">
        <w:t>); FCC File No</w:t>
      </w:r>
      <w:r>
        <w:t xml:space="preserve">. </w:t>
      </w:r>
      <w:r w:rsidR="00B3100B" w:rsidRPr="00B3100B">
        <w:t xml:space="preserve">0006800635 </w:t>
      </w:r>
      <w:r>
        <w:t xml:space="preserve">(filed </w:t>
      </w:r>
      <w:r w:rsidR="00B3100B">
        <w:t>May 12, 2015</w:t>
      </w:r>
      <w:r>
        <w:t>) (</w:t>
      </w:r>
      <w:r w:rsidR="00B3100B">
        <w:t>Terry Cameron</w:t>
      </w:r>
      <w:r>
        <w:t xml:space="preserve">; </w:t>
      </w:r>
      <w:r w:rsidR="00B3100B">
        <w:t>one location in Houston, T</w:t>
      </w:r>
      <w:r w:rsidR="00EB1BED">
        <w:t>exas</w:t>
      </w:r>
      <w:r w:rsidR="00B3100B">
        <w:t xml:space="preserve">); FCC File No. </w:t>
      </w:r>
      <w:r w:rsidR="00B3100B" w:rsidRPr="00B3100B">
        <w:t>0006802714</w:t>
      </w:r>
      <w:r>
        <w:t xml:space="preserve"> (filed </w:t>
      </w:r>
      <w:r w:rsidR="00B3100B">
        <w:t>May 14, 2015</w:t>
      </w:r>
      <w:r>
        <w:t>) (</w:t>
      </w:r>
      <w:r w:rsidR="00B3100B">
        <w:t>Radio Maintenance, Inc.</w:t>
      </w:r>
      <w:r>
        <w:t xml:space="preserve">; </w:t>
      </w:r>
      <w:r w:rsidR="00B3100B">
        <w:t>one location in Reading, P</w:t>
      </w:r>
      <w:r w:rsidR="00EB1BED">
        <w:t>ennsylvania</w:t>
      </w:r>
      <w:r w:rsidR="00B3100B">
        <w:t>)</w:t>
      </w:r>
      <w:r w:rsidR="0022323C">
        <w:t xml:space="preserve">; </w:t>
      </w:r>
      <w:r w:rsidR="0022323C" w:rsidRPr="0022323C">
        <w:t>FCC File No. 00068</w:t>
      </w:r>
      <w:r w:rsidR="0022323C">
        <w:t>41323</w:t>
      </w:r>
      <w:r w:rsidR="0022323C" w:rsidRPr="0022323C">
        <w:t xml:space="preserve"> (filed </w:t>
      </w:r>
      <w:r w:rsidR="0022323C">
        <w:t>June 15</w:t>
      </w:r>
      <w:r w:rsidR="0022323C" w:rsidRPr="0022323C">
        <w:t>, 2015) (</w:t>
      </w:r>
      <w:r w:rsidR="0022323C">
        <w:t>A Beep, LLC</w:t>
      </w:r>
      <w:r w:rsidR="0022323C" w:rsidRPr="0022323C">
        <w:t xml:space="preserve">; </w:t>
      </w:r>
      <w:r w:rsidR="0022323C">
        <w:t>three locations</w:t>
      </w:r>
      <w:r w:rsidR="0022323C" w:rsidRPr="0022323C">
        <w:t xml:space="preserve"> in </w:t>
      </w:r>
      <w:r w:rsidR="00E043F7">
        <w:t>Cook and Will counties</w:t>
      </w:r>
      <w:r w:rsidR="0022323C" w:rsidRPr="0022323C">
        <w:t xml:space="preserve">, </w:t>
      </w:r>
      <w:r w:rsidR="0022323C">
        <w:t>I</w:t>
      </w:r>
      <w:r w:rsidR="00EB1BED">
        <w:t>llinois</w:t>
      </w:r>
      <w:r w:rsidR="0022323C" w:rsidRPr="0022323C">
        <w:t>)</w:t>
      </w:r>
      <w:r w:rsidR="0022323C">
        <w:t>.</w:t>
      </w:r>
    </w:p>
  </w:footnote>
  <w:footnote w:id="4">
    <w:p w:rsidR="00F9224E" w:rsidRDefault="00F9224E">
      <w:pPr>
        <w:pStyle w:val="FootnoteText"/>
        <w:jc w:val="left"/>
      </w:pPr>
      <w:r>
        <w:rPr>
          <w:rStyle w:val="FootnoteReference"/>
        </w:rPr>
        <w:footnoteRef/>
      </w:r>
      <w:r>
        <w:t xml:space="preserve"> </w:t>
      </w:r>
      <w:r>
        <w:rPr>
          <w:i/>
        </w:rPr>
        <w:t>See</w:t>
      </w:r>
      <w:r>
        <w:t xml:space="preserve"> 47 C.F.R. § 2.106 (</w:t>
      </w:r>
      <w:r>
        <w:rPr>
          <w:szCs w:val="22"/>
        </w:rPr>
        <w:t>United States Table of Frequency Allocations</w:t>
      </w:r>
      <w:r>
        <w:t xml:space="preserve">).  Consequently, we conclude that no waiver of Section 2.106 is required.  </w:t>
      </w:r>
      <w:r>
        <w:rPr>
          <w:i/>
        </w:rPr>
        <w:t>See</w:t>
      </w:r>
      <w:r>
        <w:t xml:space="preserve"> Mobile Relay Associates, </w:t>
      </w:r>
      <w:r>
        <w:rPr>
          <w:i/>
        </w:rPr>
        <w:t>Order</w:t>
      </w:r>
      <w:r>
        <w:t>, 29 FCC Rcd 660, 660 n.6 (WTB MD 2014) (</w:t>
      </w:r>
      <w:r>
        <w:rPr>
          <w:i/>
        </w:rPr>
        <w:t>MRA GMRS Order</w:t>
      </w:r>
      <w:r>
        <w:t>).</w:t>
      </w:r>
    </w:p>
  </w:footnote>
  <w:footnote w:id="5">
    <w:p w:rsidR="00F9224E" w:rsidRDefault="00F9224E">
      <w:pPr>
        <w:pStyle w:val="FootnoteText"/>
        <w:jc w:val="left"/>
      </w:pPr>
      <w:r>
        <w:rPr>
          <w:rStyle w:val="FootnoteReference"/>
        </w:rPr>
        <w:footnoteRef/>
      </w:r>
      <w:r>
        <w:t xml:space="preserve"> Medical Micropower Networks operate on a secondary basis in the 451-457 MHz band.  </w:t>
      </w:r>
      <w:r>
        <w:rPr>
          <w:i/>
        </w:rPr>
        <w:t>See</w:t>
      </w:r>
      <w:r>
        <w:t xml:space="preserve"> 47 C.F.R. §§ </w:t>
      </w:r>
      <w:bookmarkStart w:id="1" w:name="SR;2227"/>
      <w:bookmarkStart w:id="2" w:name="SR;2237"/>
      <w:bookmarkEnd w:id="1"/>
      <w:bookmarkEnd w:id="2"/>
      <w:r>
        <w:t xml:space="preserve">2.106 note US64, 95.628(b). </w:t>
      </w:r>
    </w:p>
  </w:footnote>
  <w:footnote w:id="6">
    <w:p w:rsidR="00323627" w:rsidRDefault="00323627" w:rsidP="00323627">
      <w:pPr>
        <w:pStyle w:val="FootnoteText"/>
      </w:pPr>
      <w:r>
        <w:rPr>
          <w:rStyle w:val="FootnoteReference"/>
        </w:rPr>
        <w:footnoteRef/>
      </w:r>
      <w:r>
        <w:t xml:space="preserve"> </w:t>
      </w:r>
      <w:r>
        <w:rPr>
          <w:i/>
        </w:rPr>
        <w:t xml:space="preserve">See </w:t>
      </w:r>
      <w:r>
        <w:t>47 C.F.R. § 90.35(b)(3) (designating frequencies 454.000 and 459.000 MHz as assignable I/B frequencies).</w:t>
      </w:r>
    </w:p>
  </w:footnote>
  <w:footnote w:id="7">
    <w:p w:rsidR="00323627" w:rsidRDefault="00323627" w:rsidP="00323627">
      <w:pPr>
        <w:pStyle w:val="FootnoteText"/>
      </w:pPr>
      <w:r>
        <w:rPr>
          <w:rStyle w:val="FootnoteReference"/>
        </w:rPr>
        <w:footnoteRef/>
      </w:r>
      <w:r>
        <w:t xml:space="preserve"> </w:t>
      </w:r>
      <w:r>
        <w:rPr>
          <w:i/>
        </w:rPr>
        <w:t xml:space="preserve">See </w:t>
      </w:r>
      <w:r>
        <w:t>47 C.F.R. §</w:t>
      </w:r>
      <w:r w:rsidR="002A7A89">
        <w:t>§ 22.561 (designating assignable 454/459 PARS frequencies beginning with 454/459.025 MHz),</w:t>
      </w:r>
      <w:r>
        <w:t xml:space="preserve"> 22.725 (designating assignable 454/459 RRS frequencies beginning with 454/459.025 MHz).</w:t>
      </w:r>
    </w:p>
  </w:footnote>
  <w:footnote w:id="8">
    <w:p w:rsidR="00D7561C" w:rsidRDefault="00D7561C">
      <w:pPr>
        <w:pStyle w:val="FootnoteText"/>
      </w:pPr>
      <w:r>
        <w:rPr>
          <w:rStyle w:val="FootnoteReference"/>
        </w:rPr>
        <w:footnoteRef/>
      </w:r>
      <w:r>
        <w:t xml:space="preserve"> </w:t>
      </w:r>
      <w:r>
        <w:rPr>
          <w:i/>
        </w:rPr>
        <w:t>See</w:t>
      </w:r>
      <w:r>
        <w:t xml:space="preserve"> 47 C.F.R. § 22.805</w:t>
      </w:r>
      <w:r w:rsidR="00CD4450">
        <w:t xml:space="preserve"> (designating assignable 454/459 MHz GAARS frequencies ending with 454/459.975 MHz)</w:t>
      </w:r>
      <w:r>
        <w:t>.</w:t>
      </w:r>
    </w:p>
  </w:footnote>
  <w:footnote w:id="9">
    <w:p w:rsidR="00D7561C" w:rsidRDefault="00D7561C">
      <w:pPr>
        <w:pStyle w:val="FootnoteText"/>
      </w:pPr>
      <w:r>
        <w:rPr>
          <w:rStyle w:val="FootnoteReference"/>
        </w:rPr>
        <w:footnoteRef/>
      </w:r>
      <w:r>
        <w:t xml:space="preserve"> </w:t>
      </w:r>
      <w:r w:rsidRPr="00D7561C">
        <w:rPr>
          <w:i/>
        </w:rPr>
        <w:t>See</w:t>
      </w:r>
      <w:r w:rsidRPr="00D7561C">
        <w:t xml:space="preserve"> 47 C.F.R. § </w:t>
      </w:r>
      <w:r>
        <w:t>74.402(a)(4</w:t>
      </w:r>
      <w:r w:rsidR="00CD4450">
        <w:t>) (designating assignable 455 MHz BAS frequencies beginning with 455.00625 MHz</w:t>
      </w:r>
      <w:r>
        <w:t>)</w:t>
      </w:r>
      <w:r w:rsidRPr="00D7561C">
        <w:t>.</w:t>
      </w:r>
    </w:p>
  </w:footnote>
  <w:footnote w:id="10">
    <w:p w:rsidR="00D7561C" w:rsidRDefault="00D7561C">
      <w:pPr>
        <w:pStyle w:val="FootnoteText"/>
      </w:pPr>
      <w:r>
        <w:rPr>
          <w:rStyle w:val="FootnoteReference"/>
        </w:rPr>
        <w:footnoteRef/>
      </w:r>
      <w:r>
        <w:t xml:space="preserve"> </w:t>
      </w:r>
      <w:r w:rsidRPr="00D7561C">
        <w:rPr>
          <w:i/>
        </w:rPr>
        <w:t>See</w:t>
      </w:r>
      <w:r w:rsidRPr="00D7561C">
        <w:t xml:space="preserve"> 47 C.F.R. § 22.805.</w:t>
      </w:r>
    </w:p>
  </w:footnote>
  <w:footnote w:id="11">
    <w:p w:rsidR="00D7561C" w:rsidRDefault="00D7561C">
      <w:pPr>
        <w:pStyle w:val="FootnoteText"/>
      </w:pPr>
      <w:r>
        <w:rPr>
          <w:rStyle w:val="FootnoteReference"/>
        </w:rPr>
        <w:footnoteRef/>
      </w:r>
      <w:r>
        <w:t xml:space="preserve"> </w:t>
      </w:r>
      <w:r w:rsidRPr="00D7561C">
        <w:rPr>
          <w:i/>
        </w:rPr>
        <w:t>See</w:t>
      </w:r>
      <w:r w:rsidRPr="00D7561C">
        <w:t xml:space="preserve"> 47 C.F.R. § </w:t>
      </w:r>
      <w:r>
        <w:t>90.20</w:t>
      </w:r>
      <w:r w:rsidR="009F4643">
        <w:t>(c)(3) (designating assignable 460 MHz PS frequencies beginning with 460.0125 MHz)</w:t>
      </w:r>
      <w:r w:rsidRPr="00D7561C">
        <w:t>.</w:t>
      </w:r>
    </w:p>
  </w:footnote>
  <w:footnote w:id="12">
    <w:p w:rsidR="00F9224E" w:rsidRDefault="00F9224E">
      <w:pPr>
        <w:pStyle w:val="FootnoteText"/>
        <w:jc w:val="left"/>
      </w:pPr>
      <w:r>
        <w:rPr>
          <w:rStyle w:val="FootnoteReference"/>
        </w:rPr>
        <w:footnoteRef/>
      </w:r>
      <w:r>
        <w:t xml:space="preserve"> </w:t>
      </w:r>
      <w:r>
        <w:rPr>
          <w:i/>
        </w:rPr>
        <w:t>See</w:t>
      </w:r>
      <w:r>
        <w:t xml:space="preserve"> Waiver Request at </w:t>
      </w:r>
      <w:r w:rsidR="001D2BC7">
        <w:t>1-2</w:t>
      </w:r>
      <w:r>
        <w:t xml:space="preserve">.  </w:t>
      </w:r>
    </w:p>
  </w:footnote>
  <w:footnote w:id="13">
    <w:p w:rsidR="00F9224E" w:rsidRPr="003D6CC7" w:rsidRDefault="00F9224E">
      <w:pPr>
        <w:pStyle w:val="FootnoteText"/>
        <w:jc w:val="left"/>
        <w:rPr>
          <w:i/>
        </w:rPr>
      </w:pPr>
      <w:r>
        <w:rPr>
          <w:rStyle w:val="FootnoteReference"/>
        </w:rPr>
        <w:footnoteRef/>
      </w:r>
      <w:r>
        <w:t xml:space="preserve"> </w:t>
      </w:r>
      <w:r>
        <w:rPr>
          <w:i/>
        </w:rPr>
        <w:t>See</w:t>
      </w:r>
      <w:r w:rsidR="001D2BC7">
        <w:rPr>
          <w:i/>
        </w:rPr>
        <w:t>, e.g.,</w:t>
      </w:r>
      <w:r>
        <w:t xml:space="preserve"> </w:t>
      </w:r>
      <w:r>
        <w:rPr>
          <w:i/>
        </w:rPr>
        <w:t>id</w:t>
      </w:r>
      <w:r w:rsidR="001D2BC7">
        <w:t xml:space="preserve">. at 2-3. </w:t>
      </w:r>
    </w:p>
  </w:footnote>
  <w:footnote w:id="14">
    <w:p w:rsidR="00F9224E" w:rsidRDefault="00F9224E">
      <w:pPr>
        <w:pStyle w:val="FootnoteText"/>
        <w:jc w:val="left"/>
      </w:pPr>
      <w:r>
        <w:rPr>
          <w:rStyle w:val="FootnoteReference"/>
        </w:rPr>
        <w:footnoteRef/>
      </w:r>
      <w:r>
        <w:t xml:space="preserve"> 47 C.F.R. § 1.925(b)(3)(i).</w:t>
      </w:r>
    </w:p>
  </w:footnote>
  <w:footnote w:id="15">
    <w:p w:rsidR="00F9224E" w:rsidRDefault="00F9224E">
      <w:pPr>
        <w:pStyle w:val="FootnoteText"/>
        <w:jc w:val="left"/>
      </w:pPr>
      <w:r>
        <w:rPr>
          <w:rStyle w:val="FootnoteReference"/>
        </w:rPr>
        <w:footnoteRef/>
      </w:r>
      <w:r>
        <w:t xml:space="preserve"> 47 C.F.R. § 1.925(b)(3)(ii).</w:t>
      </w:r>
    </w:p>
  </w:footnote>
  <w:footnote w:id="16">
    <w:p w:rsidR="00F9224E" w:rsidRDefault="00F9224E">
      <w:pPr>
        <w:pStyle w:val="FootnoteText"/>
        <w:jc w:val="left"/>
      </w:pPr>
      <w:r>
        <w:rPr>
          <w:rStyle w:val="FootnoteReference"/>
        </w:rPr>
        <w:footnoteRef/>
      </w:r>
      <w:r>
        <w:t xml:space="preserve"> </w:t>
      </w:r>
      <w:r>
        <w:rPr>
          <w:i/>
        </w:rPr>
        <w:t xml:space="preserve">See </w:t>
      </w:r>
      <w:r w:rsidR="00155176">
        <w:t xml:space="preserve">Mobile Relay Associates, </w:t>
      </w:r>
      <w:r w:rsidR="00155176">
        <w:rPr>
          <w:i/>
        </w:rPr>
        <w:t>Order</w:t>
      </w:r>
      <w:r w:rsidR="00155176">
        <w:t xml:space="preserve">, 29 FCC Rcd 7292, 7295-96 </w:t>
      </w:r>
      <w:r w:rsidR="00155176" w:rsidRPr="00155176">
        <w:t>¶¶ 10-1</w:t>
      </w:r>
      <w:r w:rsidR="00155176">
        <w:t>8</w:t>
      </w:r>
      <w:r w:rsidR="00155176" w:rsidRPr="00155176">
        <w:t xml:space="preserve"> </w:t>
      </w:r>
      <w:r w:rsidR="00155176">
        <w:t>(WTB MD 2014) (</w:t>
      </w:r>
      <w:r w:rsidR="00155176">
        <w:rPr>
          <w:i/>
        </w:rPr>
        <w:t>MRA BAS Order</w:t>
      </w:r>
      <w:r w:rsidR="00155176">
        <w:t xml:space="preserve">); </w:t>
      </w:r>
      <w:r>
        <w:rPr>
          <w:i/>
        </w:rPr>
        <w:t>MRA GMRS Order</w:t>
      </w:r>
      <w:r>
        <w:t>, 29 FCC Rcd at 662-63 ¶¶ 10-11.</w:t>
      </w:r>
    </w:p>
  </w:footnote>
  <w:footnote w:id="17">
    <w:p w:rsidR="0003563F" w:rsidRPr="0003563F" w:rsidRDefault="0003563F">
      <w:pPr>
        <w:pStyle w:val="FootnoteText"/>
        <w:rPr>
          <w:i/>
        </w:rPr>
      </w:pPr>
      <w:r>
        <w:rPr>
          <w:rStyle w:val="FootnoteReference"/>
        </w:rPr>
        <w:footnoteRef/>
      </w:r>
      <w:r>
        <w:t xml:space="preserve"> </w:t>
      </w:r>
      <w:r>
        <w:rPr>
          <w:i/>
        </w:rPr>
        <w:t>See generally MRA GMRS Order</w:t>
      </w:r>
      <w:r>
        <w:t>.</w:t>
      </w:r>
    </w:p>
  </w:footnote>
  <w:footnote w:id="18">
    <w:p w:rsidR="0003563F" w:rsidRDefault="0003563F">
      <w:pPr>
        <w:pStyle w:val="FootnoteText"/>
      </w:pPr>
      <w:r>
        <w:rPr>
          <w:rStyle w:val="FootnoteReference"/>
        </w:rPr>
        <w:footnoteRef/>
      </w:r>
      <w:r>
        <w:t xml:space="preserve"> </w:t>
      </w:r>
      <w:r>
        <w:rPr>
          <w:i/>
        </w:rPr>
        <w:t>See generally MRA BAS Order</w:t>
      </w:r>
      <w:r>
        <w:t>.</w:t>
      </w:r>
    </w:p>
  </w:footnote>
  <w:footnote w:id="19">
    <w:p w:rsidR="00F9224E" w:rsidRDefault="00F9224E">
      <w:pPr>
        <w:pStyle w:val="FootnoteText"/>
        <w:jc w:val="left"/>
      </w:pPr>
      <w:r>
        <w:rPr>
          <w:rStyle w:val="FootnoteReference"/>
        </w:rPr>
        <w:footnoteRef/>
      </w:r>
      <w:r>
        <w:t xml:space="preserve"> </w:t>
      </w:r>
      <w:r>
        <w:rPr>
          <w:i/>
        </w:rPr>
        <w:t xml:space="preserve">See </w:t>
      </w:r>
      <w:r w:rsidR="0003563F">
        <w:rPr>
          <w:i/>
        </w:rPr>
        <w:t>MRA BAS Order</w:t>
      </w:r>
      <w:r w:rsidR="0003563F">
        <w:t xml:space="preserve">, 29 FCC Rcd at 7294 ¶ 7; </w:t>
      </w:r>
      <w:r w:rsidR="0003563F">
        <w:rPr>
          <w:i/>
        </w:rPr>
        <w:t>MRA GMRS Order</w:t>
      </w:r>
      <w:r w:rsidR="0003563F">
        <w:t xml:space="preserve">, 29 FCC Rcd </w:t>
      </w:r>
      <w:r>
        <w:t>at 661-62 ¶¶ 6-7.</w:t>
      </w:r>
    </w:p>
  </w:footnote>
  <w:footnote w:id="20">
    <w:p w:rsidR="00277E34" w:rsidRPr="00BE69C9" w:rsidRDefault="00277E34" w:rsidP="00BE69C9">
      <w:pPr>
        <w:pStyle w:val="FootnoteText"/>
        <w:jc w:val="left"/>
        <w:rPr>
          <w:i/>
        </w:rPr>
      </w:pPr>
      <w:r>
        <w:rPr>
          <w:rStyle w:val="FootnoteReference"/>
        </w:rPr>
        <w:footnoteRef/>
      </w:r>
      <w:r>
        <w:t xml:space="preserve"> Specifically, frequencies 454.000 and 459.000 MHz are upper-adjacent to </w:t>
      </w:r>
      <w:r w:rsidR="00F85A16">
        <w:t xml:space="preserve">453/458 MHz PS Pool frequencies.  </w:t>
      </w:r>
      <w:r w:rsidR="00F85A16">
        <w:rPr>
          <w:i/>
        </w:rPr>
        <w:t xml:space="preserve">See </w:t>
      </w:r>
      <w:r w:rsidR="00F85A16" w:rsidRPr="00D7561C">
        <w:t xml:space="preserve">47 C.F.R. § </w:t>
      </w:r>
      <w:r w:rsidR="00F85A16">
        <w:t>90.20(c)(3).</w:t>
      </w:r>
      <w:r w:rsidR="00BE69C9">
        <w:t xml:space="preserve">  Frequencies 454.000 and 459.000 MHz </w:t>
      </w:r>
      <w:r w:rsidR="00BE69C9" w:rsidRPr="00DD770C">
        <w:t xml:space="preserve">designated </w:t>
      </w:r>
      <w:r w:rsidR="00BE69C9">
        <w:t xml:space="preserve">on a primary basis for </w:t>
      </w:r>
      <w:r w:rsidR="00BE69C9" w:rsidRPr="00DD770C">
        <w:t>oil spill containment and cleanup operations</w:t>
      </w:r>
      <w:r w:rsidR="00BE69C9">
        <w:t xml:space="preserve">.  </w:t>
      </w:r>
      <w:r w:rsidR="00BE69C9">
        <w:rPr>
          <w:i/>
        </w:rPr>
        <w:t xml:space="preserve">See </w:t>
      </w:r>
      <w:r w:rsidR="00BE69C9" w:rsidRPr="00D7561C">
        <w:t xml:space="preserve">47 C.F.R. § </w:t>
      </w:r>
      <w:r w:rsidR="00BE69C9">
        <w:t>90.35(c)(8).</w:t>
      </w:r>
    </w:p>
  </w:footnote>
  <w:footnote w:id="21">
    <w:p w:rsidR="005839B1" w:rsidRPr="00162734" w:rsidRDefault="005839B1" w:rsidP="00162734">
      <w:pPr>
        <w:pStyle w:val="FootnoteText"/>
        <w:jc w:val="left"/>
      </w:pPr>
      <w:r>
        <w:rPr>
          <w:rStyle w:val="FootnoteReference"/>
        </w:rPr>
        <w:footnoteRef/>
      </w:r>
      <w:r>
        <w:t xml:space="preserve"> </w:t>
      </w:r>
      <w:r w:rsidR="00162734">
        <w:rPr>
          <w:i/>
        </w:rPr>
        <w:t xml:space="preserve">Cf. </w:t>
      </w:r>
      <w:r w:rsidR="00162734">
        <w:t xml:space="preserve">Use of Spectrum Bands above 24 GHz for Mobile Radio Services, </w:t>
      </w:r>
      <w:r w:rsidR="00162734">
        <w:rPr>
          <w:i/>
        </w:rPr>
        <w:t>Notice of Inquiry</w:t>
      </w:r>
      <w:r w:rsidR="00162734">
        <w:t>, 29 FCC Rcd 13020, 13027 ¶ 17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F2" w:rsidRDefault="002E6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Header"/>
      <w:tabs>
        <w:tab w:val="clear" w:pos="4320"/>
        <w:tab w:val="clear" w:pos="8640"/>
        <w:tab w:val="center" w:pos="4680"/>
        <w:tab w:val="right" w:pos="9360"/>
      </w:tabs>
      <w:rPr>
        <w:b/>
      </w:rPr>
    </w:pPr>
    <w:r>
      <w:rPr>
        <w:b/>
      </w:rPr>
      <w:tab/>
      <w:t>Federal Communications Commission</w:t>
    </w:r>
    <w:r>
      <w:rPr>
        <w:b/>
      </w:rPr>
      <w:tab/>
    </w:r>
    <w:r w:rsidR="00DC0AA2">
      <w:rPr>
        <w:b/>
      </w:rPr>
      <w:t>DA 15-1070</w:t>
    </w:r>
  </w:p>
  <w:p w:rsidR="00F9224E" w:rsidRDefault="00FD652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F74F74" wp14:editId="4A284CE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5B10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Header"/>
      <w:tabs>
        <w:tab w:val="clear" w:pos="4320"/>
        <w:tab w:val="clear" w:pos="8640"/>
        <w:tab w:val="center" w:pos="4680"/>
        <w:tab w:val="right" w:pos="9360"/>
      </w:tabs>
      <w:rPr>
        <w:b/>
      </w:rPr>
    </w:pPr>
    <w:r>
      <w:rPr>
        <w:b/>
      </w:rPr>
      <w:tab/>
      <w:t>Federal Communications Commission</w:t>
    </w:r>
    <w:r>
      <w:rPr>
        <w:b/>
      </w:rPr>
      <w:tab/>
    </w:r>
    <w:r w:rsidR="00DC0AA2">
      <w:rPr>
        <w:b/>
      </w:rPr>
      <w:t>DA 15-1070</w:t>
    </w:r>
  </w:p>
  <w:p w:rsidR="00F9224E" w:rsidRDefault="00FD652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0AFFC2B" wp14:editId="1772B92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639E3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A8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D34E4"/>
    <w:multiLevelType w:val="multilevel"/>
    <w:tmpl w:val="E258D1C8"/>
    <w:lvl w:ilvl="0">
      <w:start w:val="2"/>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0A4C16"/>
    <w:multiLevelType w:val="hybridMultilevel"/>
    <w:tmpl w:val="E258D1C8"/>
    <w:lvl w:ilvl="0" w:tplc="F300FE86">
      <w:start w:val="2"/>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9AF7BE6"/>
    <w:multiLevelType w:val="singleLevel"/>
    <w:tmpl w:val="D0DAFB0E"/>
    <w:lvl w:ilvl="0">
      <w:start w:val="1"/>
      <w:numFmt w:val="decimal"/>
      <w:pStyle w:val="Docutechnumbering"/>
      <w:lvlText w:val="%1."/>
      <w:lvlJc w:val="left"/>
      <w:pPr>
        <w:tabs>
          <w:tab w:val="num" w:pos="1080"/>
        </w:tabs>
        <w:ind w:left="0" w:firstLine="720"/>
      </w:pPr>
      <w:rPr>
        <w:b w:val="0"/>
        <w:i w:val="0"/>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530"/>
        </w:tabs>
        <w:ind w:left="153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2970"/>
        </w:tabs>
        <w:ind w:left="2970" w:hanging="720"/>
      </w:pPr>
    </w:lvl>
    <w:lvl w:ilvl="4">
      <w:start w:val="1"/>
      <w:numFmt w:val="lowerRoman"/>
      <w:pStyle w:val="Heading5"/>
      <w:lvlText w:val="(%5)"/>
      <w:lvlJc w:val="left"/>
      <w:pPr>
        <w:tabs>
          <w:tab w:val="num" w:pos="4050"/>
        </w:tabs>
        <w:ind w:left="369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410"/>
        </w:tabs>
        <w:ind w:left="4410" w:hanging="720"/>
      </w:pPr>
    </w:lvl>
    <w:lvl w:ilvl="6">
      <w:start w:val="1"/>
      <w:numFmt w:val="lowerRoman"/>
      <w:pStyle w:val="Heading7"/>
      <w:lvlText w:val="(%7)"/>
      <w:lvlJc w:val="left"/>
      <w:pPr>
        <w:tabs>
          <w:tab w:val="num" w:pos="5130"/>
        </w:tabs>
        <w:ind w:left="4410" w:firstLine="0"/>
      </w:pPr>
    </w:lvl>
    <w:lvl w:ilvl="7">
      <w:start w:val="1"/>
      <w:numFmt w:val="lowerLetter"/>
      <w:pStyle w:val="Heading8"/>
      <w:lvlText w:val="(%8)"/>
      <w:lvlJc w:val="left"/>
      <w:pPr>
        <w:tabs>
          <w:tab w:val="num" w:pos="5490"/>
        </w:tabs>
        <w:ind w:left="5130" w:firstLine="0"/>
      </w:pPr>
    </w:lvl>
    <w:lvl w:ilvl="8">
      <w:start w:val="1"/>
      <w:numFmt w:val="lowerRoman"/>
      <w:pStyle w:val="Heading9"/>
      <w:lvlText w:val="(%9)"/>
      <w:lvlJc w:val="left"/>
      <w:pPr>
        <w:tabs>
          <w:tab w:val="num" w:pos="6570"/>
        </w:tabs>
        <w:ind w:left="5850" w:firstLine="0"/>
      </w:pPr>
      <w:rPr>
        <w:b/>
        <w:i w:val="0"/>
        <w:sz w:val="22"/>
      </w:rPr>
    </w:lvl>
  </w:abstractNum>
  <w:abstractNum w:abstractNumId="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94A038F"/>
    <w:multiLevelType w:val="singleLevel"/>
    <w:tmpl w:val="D94CF5CA"/>
    <w:lvl w:ilvl="0">
      <w:start w:val="1"/>
      <w:numFmt w:val="decimal"/>
      <w:pStyle w:val="Numberedparagraph"/>
      <w:lvlText w:val="%1."/>
      <w:lvlJc w:val="left"/>
      <w:pPr>
        <w:tabs>
          <w:tab w:val="num" w:pos="1080"/>
        </w:tabs>
        <w:ind w:left="0" w:firstLine="720"/>
      </w:pPr>
    </w:lvl>
  </w:abstractNum>
  <w:num w:numId="1">
    <w:abstractNumId w:val="6"/>
  </w:num>
  <w:num w:numId="2">
    <w:abstractNumId w:val="7"/>
  </w:num>
  <w:num w:numId="3">
    <w:abstractNumId w:val="3"/>
  </w:num>
  <w:num w:numId="4">
    <w:abstractNumId w:val="5"/>
  </w:num>
  <w:num w:numId="5">
    <w:abstractNumId w:val="4"/>
  </w:num>
  <w:num w:numId="6">
    <w:abstractNumId w:val="8"/>
  </w:num>
  <w:num w:numId="7">
    <w:abstractNumId w:val="2"/>
  </w:num>
  <w:num w:numId="8">
    <w:abstractNumId w:val="1"/>
  </w:num>
  <w:num w:numId="9">
    <w:abstractNumId w:val="3"/>
    <w:lvlOverride w:ilvl="0">
      <w:startOverride w:val="1"/>
    </w:lvlOverride>
  </w:num>
  <w:num w:numId="10">
    <w:abstractNumId w:val="3"/>
    <w:lvlOverride w:ilvl="0">
      <w:startOverride w:val="1"/>
    </w:lvlOverride>
  </w:num>
  <w:num w:numId="11">
    <w:abstractNumId w:val="0"/>
  </w:num>
  <w:num w:numId="12">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A6"/>
    <w:rsid w:val="000104A6"/>
    <w:rsid w:val="000161FC"/>
    <w:rsid w:val="00023EB9"/>
    <w:rsid w:val="0003563F"/>
    <w:rsid w:val="00074C9D"/>
    <w:rsid w:val="0012474B"/>
    <w:rsid w:val="0012665C"/>
    <w:rsid w:val="00155176"/>
    <w:rsid w:val="00162734"/>
    <w:rsid w:val="001B12CC"/>
    <w:rsid w:val="001C6880"/>
    <w:rsid w:val="001D0EA9"/>
    <w:rsid w:val="001D2BC7"/>
    <w:rsid w:val="0022323C"/>
    <w:rsid w:val="002573D5"/>
    <w:rsid w:val="00277E34"/>
    <w:rsid w:val="00291066"/>
    <w:rsid w:val="002A7A89"/>
    <w:rsid w:val="002E63F2"/>
    <w:rsid w:val="00323627"/>
    <w:rsid w:val="003D6CC7"/>
    <w:rsid w:val="00430A56"/>
    <w:rsid w:val="0049725D"/>
    <w:rsid w:val="004C50C9"/>
    <w:rsid w:val="00555368"/>
    <w:rsid w:val="005839B1"/>
    <w:rsid w:val="0061717D"/>
    <w:rsid w:val="00653C5B"/>
    <w:rsid w:val="006A4840"/>
    <w:rsid w:val="0073209D"/>
    <w:rsid w:val="0075621E"/>
    <w:rsid w:val="007833FD"/>
    <w:rsid w:val="00884E90"/>
    <w:rsid w:val="008877B9"/>
    <w:rsid w:val="008D4BEC"/>
    <w:rsid w:val="00973262"/>
    <w:rsid w:val="009B5CD3"/>
    <w:rsid w:val="009D4C43"/>
    <w:rsid w:val="009F4643"/>
    <w:rsid w:val="00A44DD1"/>
    <w:rsid w:val="00AA7965"/>
    <w:rsid w:val="00B04393"/>
    <w:rsid w:val="00B21535"/>
    <w:rsid w:val="00B3100B"/>
    <w:rsid w:val="00BE69C9"/>
    <w:rsid w:val="00C51B3E"/>
    <w:rsid w:val="00CD4450"/>
    <w:rsid w:val="00CD6C74"/>
    <w:rsid w:val="00D22B6B"/>
    <w:rsid w:val="00D401BF"/>
    <w:rsid w:val="00D7561C"/>
    <w:rsid w:val="00D83D86"/>
    <w:rsid w:val="00DC0AA2"/>
    <w:rsid w:val="00DD7358"/>
    <w:rsid w:val="00DD770C"/>
    <w:rsid w:val="00E043F7"/>
    <w:rsid w:val="00E31B37"/>
    <w:rsid w:val="00E74D4F"/>
    <w:rsid w:val="00EB1BED"/>
    <w:rsid w:val="00ED6E5D"/>
    <w:rsid w:val="00EF11F1"/>
    <w:rsid w:val="00F707C5"/>
    <w:rsid w:val="00F85A16"/>
    <w:rsid w:val="00F9224E"/>
    <w:rsid w:val="00FD6526"/>
    <w:rsid w:val="00FE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548">
      <w:bodyDiv w:val="1"/>
      <w:marLeft w:val="0"/>
      <w:marRight w:val="0"/>
      <w:marTop w:val="0"/>
      <w:marBottom w:val="0"/>
      <w:divBdr>
        <w:top w:val="none" w:sz="0" w:space="0" w:color="auto"/>
        <w:left w:val="none" w:sz="0" w:space="0" w:color="auto"/>
        <w:bottom w:val="none" w:sz="0" w:space="0" w:color="auto"/>
        <w:right w:val="none" w:sz="0" w:space="0" w:color="auto"/>
      </w:divBdr>
    </w:div>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672142950">
      <w:bodyDiv w:val="1"/>
      <w:marLeft w:val="0"/>
      <w:marRight w:val="0"/>
      <w:marTop w:val="0"/>
      <w:marBottom w:val="0"/>
      <w:divBdr>
        <w:top w:val="none" w:sz="0" w:space="0" w:color="auto"/>
        <w:left w:val="none" w:sz="0" w:space="0" w:color="auto"/>
        <w:bottom w:val="none" w:sz="0" w:space="0" w:color="auto"/>
        <w:right w:val="none" w:sz="0" w:space="0" w:color="auto"/>
      </w:divBdr>
    </w:div>
    <w:div w:id="1176647652">
      <w:bodyDiv w:val="1"/>
      <w:marLeft w:val="0"/>
      <w:marRight w:val="0"/>
      <w:marTop w:val="0"/>
      <w:marBottom w:val="0"/>
      <w:divBdr>
        <w:top w:val="none" w:sz="0" w:space="0" w:color="auto"/>
        <w:left w:val="none" w:sz="0" w:space="0" w:color="auto"/>
        <w:bottom w:val="none" w:sz="0" w:space="0" w:color="auto"/>
        <w:right w:val="none" w:sz="0" w:space="0" w:color="auto"/>
      </w:divBdr>
    </w:div>
    <w:div w:id="1952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5401</Characters>
  <Application>Microsoft Office Word</Application>
  <DocSecurity>0</DocSecurity>
  <Lines>125</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2010-01-11T18:38:00Z</cp:lastPrinted>
  <dcterms:created xsi:type="dcterms:W3CDTF">2015-09-23T19:01:00Z</dcterms:created>
  <dcterms:modified xsi:type="dcterms:W3CDTF">2015-09-23T19:01:00Z</dcterms:modified>
  <cp:category> </cp:category>
  <cp:contentStatus> </cp:contentStatus>
</cp:coreProperties>
</file>