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3BBDD" w14:textId="77777777" w:rsidR="004C2EE3" w:rsidRPr="00AA026B" w:rsidRDefault="004C2EE3">
      <w:pPr>
        <w:jc w:val="center"/>
        <w:rPr>
          <w:b/>
        </w:rPr>
      </w:pPr>
      <w:bookmarkStart w:id="0" w:name="_GoBack"/>
      <w:bookmarkEnd w:id="0"/>
      <w:r w:rsidRPr="00AA026B">
        <w:rPr>
          <w:rFonts w:ascii="Times New Roman Bold" w:hAnsi="Times New Roman Bold"/>
          <w:b/>
          <w:kern w:val="0"/>
          <w:szCs w:val="22"/>
        </w:rPr>
        <w:t>Before</w:t>
      </w:r>
      <w:r w:rsidRPr="00AA026B">
        <w:rPr>
          <w:b/>
        </w:rPr>
        <w:t xml:space="preserve"> the</w:t>
      </w:r>
    </w:p>
    <w:p w14:paraId="4D7AC63B" w14:textId="77777777" w:rsidR="00921803" w:rsidRPr="00AA026B" w:rsidRDefault="00921803" w:rsidP="00921803">
      <w:pPr>
        <w:pStyle w:val="StyleBoldCentered"/>
      </w:pPr>
      <w:r w:rsidRPr="00AA026B">
        <w:t>F</w:t>
      </w:r>
      <w:r w:rsidRPr="00AA026B">
        <w:rPr>
          <w:caps w:val="0"/>
        </w:rPr>
        <w:t>ederal Communications Commission</w:t>
      </w:r>
    </w:p>
    <w:p w14:paraId="7A13A111" w14:textId="77777777" w:rsidR="004C2EE3" w:rsidRPr="00AA026B" w:rsidRDefault="00810B6F" w:rsidP="00096D8C">
      <w:pPr>
        <w:pStyle w:val="StyleBoldCentered"/>
      </w:pPr>
      <w:r w:rsidRPr="00AA026B">
        <w:rPr>
          <w:caps w:val="0"/>
        </w:rPr>
        <w:t>Washington, D.C. 20554</w:t>
      </w:r>
    </w:p>
    <w:p w14:paraId="5E170EFF" w14:textId="77777777" w:rsidR="004C2EE3" w:rsidRPr="00AD1095" w:rsidRDefault="004C2EE3" w:rsidP="0070224F">
      <w:pPr>
        <w:rPr>
          <w:highlight w:val="yellow"/>
        </w:rPr>
      </w:pPr>
    </w:p>
    <w:p w14:paraId="35A73636" w14:textId="77777777" w:rsidR="004C2EE3" w:rsidRPr="00AD1095" w:rsidRDefault="004C2EE3" w:rsidP="0070224F">
      <w:pPr>
        <w:rPr>
          <w:highlight w:val="yellow"/>
        </w:rPr>
      </w:pPr>
    </w:p>
    <w:tbl>
      <w:tblPr>
        <w:tblW w:w="0" w:type="auto"/>
        <w:tblLayout w:type="fixed"/>
        <w:tblLook w:val="0000" w:firstRow="0" w:lastRow="0" w:firstColumn="0" w:lastColumn="0" w:noHBand="0" w:noVBand="0"/>
      </w:tblPr>
      <w:tblGrid>
        <w:gridCol w:w="4698"/>
        <w:gridCol w:w="630"/>
        <w:gridCol w:w="4248"/>
      </w:tblGrid>
      <w:tr w:rsidR="004C2EE3" w:rsidRPr="00AD1095" w14:paraId="0188EAF2" w14:textId="77777777">
        <w:tc>
          <w:tcPr>
            <w:tcW w:w="4698" w:type="dxa"/>
          </w:tcPr>
          <w:p w14:paraId="6AD78CD5" w14:textId="77777777" w:rsidR="004C2EE3" w:rsidRPr="00AA026B" w:rsidRDefault="004C2EE3" w:rsidP="00017307">
            <w:pPr>
              <w:tabs>
                <w:tab w:val="center" w:pos="4680"/>
              </w:tabs>
              <w:suppressAutoHyphens/>
              <w:ind w:left="-108"/>
              <w:rPr>
                <w:spacing w:val="-2"/>
              </w:rPr>
            </w:pPr>
            <w:r w:rsidRPr="00AA026B">
              <w:rPr>
                <w:spacing w:val="-2"/>
              </w:rPr>
              <w:t>In the Matter of</w:t>
            </w:r>
          </w:p>
          <w:p w14:paraId="6A42B1B3" w14:textId="77777777" w:rsidR="004C2EE3" w:rsidRPr="00AA026B" w:rsidRDefault="004C2EE3" w:rsidP="00017307">
            <w:pPr>
              <w:tabs>
                <w:tab w:val="center" w:pos="4680"/>
              </w:tabs>
              <w:suppressAutoHyphens/>
              <w:ind w:left="-108"/>
              <w:rPr>
                <w:spacing w:val="-2"/>
              </w:rPr>
            </w:pPr>
          </w:p>
          <w:p w14:paraId="681CDACC" w14:textId="7FD50441" w:rsidR="00E33193" w:rsidRPr="00AA026B" w:rsidRDefault="00D71F53" w:rsidP="00017307">
            <w:pPr>
              <w:tabs>
                <w:tab w:val="center" w:pos="4680"/>
              </w:tabs>
              <w:suppressAutoHyphens/>
              <w:ind w:left="-108"/>
              <w:rPr>
                <w:spacing w:val="-2"/>
              </w:rPr>
            </w:pPr>
            <w:r w:rsidRPr="00055252">
              <w:t>Application of TeleGuam Holdings, LLC and Club 42 CM Limited Partnership</w:t>
            </w:r>
          </w:p>
          <w:p w14:paraId="3602ACA3" w14:textId="77777777" w:rsidR="00E33193" w:rsidRPr="00AA026B" w:rsidRDefault="00E33193" w:rsidP="00017307">
            <w:pPr>
              <w:tabs>
                <w:tab w:val="center" w:pos="4680"/>
              </w:tabs>
              <w:suppressAutoHyphens/>
              <w:ind w:left="-108"/>
              <w:rPr>
                <w:spacing w:val="-2"/>
              </w:rPr>
            </w:pPr>
          </w:p>
          <w:p w14:paraId="31B50A3D" w14:textId="1F898791" w:rsidR="000F251F" w:rsidRPr="00AD1095" w:rsidRDefault="00E33193" w:rsidP="00017307">
            <w:pPr>
              <w:tabs>
                <w:tab w:val="center" w:pos="4680"/>
              </w:tabs>
              <w:suppressAutoHyphens/>
              <w:ind w:left="-108"/>
              <w:rPr>
                <w:spacing w:val="-2"/>
                <w:highlight w:val="yellow"/>
              </w:rPr>
            </w:pPr>
            <w:r w:rsidRPr="00AA026B">
              <w:rPr>
                <w:spacing w:val="-2"/>
              </w:rPr>
              <w:t>F</w:t>
            </w:r>
            <w:r w:rsidR="00D51A01" w:rsidRPr="00AA026B">
              <w:rPr>
                <w:spacing w:val="-2"/>
              </w:rPr>
              <w:t>or Consent T</w:t>
            </w:r>
            <w:r w:rsidR="000F251F" w:rsidRPr="00AA026B">
              <w:rPr>
                <w:spacing w:val="-2"/>
              </w:rPr>
              <w:t>o</w:t>
            </w:r>
            <w:r w:rsidR="005D6C62">
              <w:rPr>
                <w:spacing w:val="-2"/>
              </w:rPr>
              <w:t xml:space="preserve"> Assign License</w:t>
            </w:r>
            <w:r w:rsidR="007108A6">
              <w:rPr>
                <w:spacing w:val="-2"/>
              </w:rPr>
              <w:t>s</w:t>
            </w:r>
          </w:p>
        </w:tc>
        <w:tc>
          <w:tcPr>
            <w:tcW w:w="630" w:type="dxa"/>
          </w:tcPr>
          <w:p w14:paraId="09569118" w14:textId="77777777" w:rsidR="004C2EE3" w:rsidRPr="00AA026B" w:rsidRDefault="004C2EE3">
            <w:pPr>
              <w:tabs>
                <w:tab w:val="center" w:pos="4680"/>
              </w:tabs>
              <w:suppressAutoHyphens/>
              <w:rPr>
                <w:b/>
                <w:spacing w:val="-2"/>
              </w:rPr>
            </w:pPr>
            <w:r w:rsidRPr="00AA026B">
              <w:rPr>
                <w:b/>
                <w:spacing w:val="-2"/>
              </w:rPr>
              <w:t>)</w:t>
            </w:r>
          </w:p>
          <w:p w14:paraId="5908EB68" w14:textId="77777777" w:rsidR="004C2EE3" w:rsidRPr="00AA026B" w:rsidRDefault="004C2EE3">
            <w:pPr>
              <w:tabs>
                <w:tab w:val="center" w:pos="4680"/>
              </w:tabs>
              <w:suppressAutoHyphens/>
              <w:rPr>
                <w:b/>
                <w:spacing w:val="-2"/>
              </w:rPr>
            </w:pPr>
            <w:r w:rsidRPr="00AA026B">
              <w:rPr>
                <w:b/>
                <w:spacing w:val="-2"/>
              </w:rPr>
              <w:t>)</w:t>
            </w:r>
          </w:p>
          <w:p w14:paraId="463BDCA2" w14:textId="77777777" w:rsidR="004C2EE3" w:rsidRPr="00AA026B" w:rsidRDefault="004C2EE3">
            <w:pPr>
              <w:tabs>
                <w:tab w:val="center" w:pos="4680"/>
              </w:tabs>
              <w:suppressAutoHyphens/>
              <w:rPr>
                <w:b/>
                <w:spacing w:val="-2"/>
              </w:rPr>
            </w:pPr>
            <w:r w:rsidRPr="00AA026B">
              <w:rPr>
                <w:b/>
                <w:spacing w:val="-2"/>
              </w:rPr>
              <w:t>)</w:t>
            </w:r>
          </w:p>
          <w:p w14:paraId="018C0341" w14:textId="77777777" w:rsidR="004C2EE3" w:rsidRPr="00AA026B" w:rsidRDefault="004C2EE3">
            <w:pPr>
              <w:tabs>
                <w:tab w:val="center" w:pos="4680"/>
              </w:tabs>
              <w:suppressAutoHyphens/>
              <w:rPr>
                <w:b/>
                <w:spacing w:val="-2"/>
              </w:rPr>
            </w:pPr>
            <w:r w:rsidRPr="00AA026B">
              <w:rPr>
                <w:b/>
                <w:spacing w:val="-2"/>
              </w:rPr>
              <w:t>)</w:t>
            </w:r>
          </w:p>
          <w:p w14:paraId="73658444" w14:textId="77777777" w:rsidR="004C2EE3" w:rsidRPr="00AA026B" w:rsidRDefault="004C2EE3">
            <w:pPr>
              <w:tabs>
                <w:tab w:val="center" w:pos="4680"/>
              </w:tabs>
              <w:suppressAutoHyphens/>
              <w:rPr>
                <w:b/>
                <w:spacing w:val="-2"/>
              </w:rPr>
            </w:pPr>
            <w:r w:rsidRPr="00AA026B">
              <w:rPr>
                <w:b/>
                <w:spacing w:val="-2"/>
              </w:rPr>
              <w:t>)</w:t>
            </w:r>
          </w:p>
          <w:p w14:paraId="189012A0" w14:textId="77777777" w:rsidR="004C2EE3" w:rsidRPr="00AA026B" w:rsidRDefault="004C2EE3">
            <w:pPr>
              <w:tabs>
                <w:tab w:val="center" w:pos="4680"/>
              </w:tabs>
              <w:suppressAutoHyphens/>
              <w:rPr>
                <w:b/>
                <w:spacing w:val="-2"/>
              </w:rPr>
            </w:pPr>
            <w:r w:rsidRPr="00AA026B">
              <w:rPr>
                <w:b/>
                <w:spacing w:val="-2"/>
              </w:rPr>
              <w:t>)</w:t>
            </w:r>
          </w:p>
          <w:p w14:paraId="252A7119" w14:textId="77777777" w:rsidR="00CC5EB6" w:rsidRPr="00AA026B" w:rsidRDefault="00CC5EB6" w:rsidP="0017121B">
            <w:pPr>
              <w:tabs>
                <w:tab w:val="center" w:pos="4680"/>
              </w:tabs>
              <w:suppressAutoHyphens/>
              <w:rPr>
                <w:b/>
                <w:spacing w:val="-2"/>
              </w:rPr>
            </w:pPr>
          </w:p>
        </w:tc>
        <w:tc>
          <w:tcPr>
            <w:tcW w:w="4248" w:type="dxa"/>
          </w:tcPr>
          <w:p w14:paraId="35319254" w14:textId="77777777" w:rsidR="004C2EE3" w:rsidRDefault="004C2EE3">
            <w:pPr>
              <w:pStyle w:val="TOAHeading"/>
              <w:tabs>
                <w:tab w:val="clear" w:pos="9360"/>
                <w:tab w:val="center" w:pos="4680"/>
              </w:tabs>
              <w:rPr>
                <w:spacing w:val="-2"/>
              </w:rPr>
            </w:pPr>
          </w:p>
          <w:p w14:paraId="4FF2DAC4" w14:textId="77777777" w:rsidR="00017307" w:rsidRPr="00017307" w:rsidRDefault="00017307" w:rsidP="00017307"/>
          <w:p w14:paraId="49C76560" w14:textId="718966E2" w:rsidR="008C6999" w:rsidRDefault="00AA026B" w:rsidP="005D6C62">
            <w:pPr>
              <w:tabs>
                <w:tab w:val="center" w:pos="4680"/>
              </w:tabs>
              <w:suppressAutoHyphens/>
              <w:rPr>
                <w:spacing w:val="-2"/>
              </w:rPr>
            </w:pPr>
            <w:r w:rsidRPr="00AA026B">
              <w:rPr>
                <w:spacing w:val="-2"/>
              </w:rPr>
              <w:t xml:space="preserve">WT Docket No. </w:t>
            </w:r>
            <w:r w:rsidR="005D6C62">
              <w:rPr>
                <w:spacing w:val="-2"/>
              </w:rPr>
              <w:t>1</w:t>
            </w:r>
            <w:r w:rsidR="00492484">
              <w:rPr>
                <w:spacing w:val="-2"/>
              </w:rPr>
              <w:t>5-7</w:t>
            </w:r>
          </w:p>
          <w:p w14:paraId="3F3CD4ED" w14:textId="77777777" w:rsidR="004C2EE3" w:rsidRPr="008C6999" w:rsidRDefault="004C2EE3" w:rsidP="008C6999">
            <w:pPr>
              <w:jc w:val="right"/>
            </w:pPr>
          </w:p>
        </w:tc>
      </w:tr>
    </w:tbl>
    <w:p w14:paraId="7CA9FBEF" w14:textId="77777777" w:rsidR="004C2EE3" w:rsidRPr="00AD1095" w:rsidRDefault="004C2EE3" w:rsidP="0070224F">
      <w:pPr>
        <w:rPr>
          <w:highlight w:val="yellow"/>
        </w:rPr>
      </w:pPr>
    </w:p>
    <w:p w14:paraId="2032FE9B" w14:textId="77777777" w:rsidR="00841AB1" w:rsidRPr="00AA026B" w:rsidRDefault="00DC12FC" w:rsidP="00F021FA">
      <w:pPr>
        <w:pStyle w:val="StyleBoldCentered"/>
      </w:pPr>
      <w:r w:rsidRPr="00AA026B">
        <w:t>Memorandum opinion and order</w:t>
      </w:r>
    </w:p>
    <w:p w14:paraId="5F5E4C36" w14:textId="77777777" w:rsidR="004C2EE3" w:rsidRPr="00AA026B" w:rsidRDefault="004C2EE3">
      <w:pPr>
        <w:tabs>
          <w:tab w:val="left" w:pos="-720"/>
        </w:tabs>
        <w:suppressAutoHyphens/>
        <w:spacing w:line="227" w:lineRule="auto"/>
        <w:rPr>
          <w:spacing w:val="-2"/>
        </w:rPr>
      </w:pPr>
    </w:p>
    <w:p w14:paraId="3F9E8D88" w14:textId="0D30BFA9" w:rsidR="004C2EE3" w:rsidRPr="00AA026B" w:rsidRDefault="004C2EE3" w:rsidP="00133F79">
      <w:pPr>
        <w:tabs>
          <w:tab w:val="left" w:pos="720"/>
          <w:tab w:val="right" w:pos="9360"/>
        </w:tabs>
        <w:suppressAutoHyphens/>
        <w:spacing w:line="227" w:lineRule="auto"/>
        <w:rPr>
          <w:spacing w:val="-2"/>
        </w:rPr>
      </w:pPr>
      <w:r w:rsidRPr="00AA026B">
        <w:rPr>
          <w:b/>
          <w:spacing w:val="-2"/>
        </w:rPr>
        <w:t xml:space="preserve">Adopted:  </w:t>
      </w:r>
      <w:r w:rsidR="00D80347">
        <w:rPr>
          <w:b/>
          <w:spacing w:val="-2"/>
        </w:rPr>
        <w:t>September 25, 2015</w:t>
      </w:r>
      <w:r w:rsidRPr="00AA026B">
        <w:rPr>
          <w:b/>
          <w:spacing w:val="-2"/>
        </w:rPr>
        <w:tab/>
      </w:r>
      <w:r w:rsidR="00822CE0" w:rsidRPr="00AA026B">
        <w:rPr>
          <w:b/>
          <w:spacing w:val="-2"/>
        </w:rPr>
        <w:t>Released</w:t>
      </w:r>
      <w:r w:rsidRPr="00AA026B">
        <w:rPr>
          <w:b/>
          <w:spacing w:val="-2"/>
        </w:rPr>
        <w:t>:</w:t>
      </w:r>
      <w:r w:rsidR="00822CE0" w:rsidRPr="00AA026B">
        <w:rPr>
          <w:b/>
          <w:spacing w:val="-2"/>
        </w:rPr>
        <w:t xml:space="preserve"> </w:t>
      </w:r>
      <w:r w:rsidRPr="00AA026B">
        <w:rPr>
          <w:b/>
          <w:spacing w:val="-2"/>
        </w:rPr>
        <w:t xml:space="preserve"> </w:t>
      </w:r>
      <w:r w:rsidR="00D80347">
        <w:rPr>
          <w:b/>
          <w:spacing w:val="-2"/>
        </w:rPr>
        <w:t>September 25, 2015</w:t>
      </w:r>
    </w:p>
    <w:p w14:paraId="40A8730C" w14:textId="77777777" w:rsidR="00822CE0" w:rsidRPr="00AA026B" w:rsidRDefault="00822CE0"/>
    <w:p w14:paraId="195268A1" w14:textId="7802FC18" w:rsidR="00EC2969" w:rsidRPr="00D64FF0" w:rsidRDefault="004C2EE3" w:rsidP="00B76058">
      <w:pPr>
        <w:spacing w:after="240"/>
        <w:rPr>
          <w:spacing w:val="-2"/>
        </w:rPr>
      </w:pPr>
      <w:r w:rsidRPr="00AA026B">
        <w:t xml:space="preserve">By </w:t>
      </w:r>
      <w:r w:rsidR="004E4A22" w:rsidRPr="00AA026B">
        <w:t>the</w:t>
      </w:r>
      <w:r w:rsidR="002A2D2E" w:rsidRPr="00AA026B">
        <w:t xml:space="preserve"> </w:t>
      </w:r>
      <w:r w:rsidR="00647747">
        <w:rPr>
          <w:spacing w:val="-2"/>
        </w:rPr>
        <w:t xml:space="preserve">Chief, Wireless </w:t>
      </w:r>
      <w:r w:rsidR="00647747" w:rsidRPr="00D64FF0">
        <w:rPr>
          <w:spacing w:val="-2"/>
        </w:rPr>
        <w:t>Telecommunications Bureau</w:t>
      </w:r>
      <w:r w:rsidRPr="00D64FF0">
        <w:rPr>
          <w:spacing w:val="-2"/>
        </w:rPr>
        <w:t>:</w:t>
      </w:r>
    </w:p>
    <w:p w14:paraId="6284F581" w14:textId="1C06B878" w:rsidR="007023E8" w:rsidRDefault="00F97A8B" w:rsidP="00F97A8B">
      <w:pPr>
        <w:pStyle w:val="TOCTitle"/>
        <w:rPr>
          <w:rFonts w:eastAsiaTheme="minorEastAsia"/>
        </w:rPr>
      </w:pPr>
      <w:bookmarkStart w:id="1" w:name="TOChere"/>
      <w:r>
        <w:rPr>
          <w:rFonts w:eastAsiaTheme="minorEastAsia"/>
        </w:rPr>
        <w:t>Table of Contents</w:t>
      </w:r>
    </w:p>
    <w:p w14:paraId="48DFA2A5" w14:textId="309F6A2F" w:rsidR="00F97A8B" w:rsidRDefault="00F97A8B" w:rsidP="00F97A8B">
      <w:pPr>
        <w:pStyle w:val="Paratitle"/>
        <w:rPr>
          <w:rFonts w:eastAsiaTheme="minorEastAsia"/>
        </w:rPr>
      </w:pPr>
      <w:r>
        <w:rPr>
          <w:rFonts w:eastAsiaTheme="minorEastAsia"/>
        </w:rPr>
        <w:t>Heading</w:t>
      </w:r>
      <w:r>
        <w:rPr>
          <w:rFonts w:eastAsiaTheme="minorEastAsia"/>
        </w:rPr>
        <w:tab/>
        <w:t>Paragraph #</w:t>
      </w:r>
      <w:bookmarkStart w:id="2" w:name="start_here"/>
      <w:bookmarkEnd w:id="2"/>
    </w:p>
    <w:p w14:paraId="63460A3B" w14:textId="1961F2D7" w:rsidR="00F97A8B" w:rsidRDefault="00F97A8B" w:rsidP="00F97A8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11035EE4" w14:textId="2878368D" w:rsidR="00F97A8B" w:rsidRDefault="00F97A8B" w:rsidP="00F97A8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 AND PUBLIC INTEREST FRAMEWORK</w:t>
      </w:r>
      <w:r>
        <w:tab/>
        <w:t>2</w:t>
      </w:r>
    </w:p>
    <w:p w14:paraId="495C020E" w14:textId="137BA8B8" w:rsidR="00F97A8B" w:rsidRDefault="00F97A8B" w:rsidP="00F97A8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potential public interest harms</w:t>
      </w:r>
      <w:r>
        <w:tab/>
        <w:t>9</w:t>
      </w:r>
    </w:p>
    <w:p w14:paraId="69C7B9E3" w14:textId="3D21D79D" w:rsidR="00F97A8B" w:rsidRDefault="00F97A8B" w:rsidP="00F97A8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Market Definitions</w:t>
      </w:r>
      <w:r>
        <w:tab/>
        <w:t>11</w:t>
      </w:r>
    </w:p>
    <w:p w14:paraId="2E331B66" w14:textId="6575267D" w:rsidR="00F97A8B" w:rsidRDefault="00F97A8B" w:rsidP="00F97A8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t>14</w:t>
      </w:r>
    </w:p>
    <w:p w14:paraId="79AEDB0A" w14:textId="4455C6D7" w:rsidR="00F97A8B" w:rsidRDefault="00F97A8B" w:rsidP="00F97A8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potential public interest benefits</w:t>
      </w:r>
      <w:r>
        <w:tab/>
        <w:t>20</w:t>
      </w:r>
    </w:p>
    <w:p w14:paraId="4415F74F" w14:textId="223BF65A" w:rsidR="00F97A8B" w:rsidRDefault="00F97A8B" w:rsidP="00F97A8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Balancing The potential BeNEFITS and the potential HArms</w:t>
      </w:r>
      <w:r>
        <w:tab/>
        <w:t>23</w:t>
      </w:r>
    </w:p>
    <w:p w14:paraId="19BD621A" w14:textId="749748CE" w:rsidR="00F97A8B" w:rsidRDefault="00F97A8B" w:rsidP="00F97A8B">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24</w:t>
      </w:r>
    </w:p>
    <w:bookmarkEnd w:id="1"/>
    <w:p w14:paraId="66D0D857" w14:textId="77777777" w:rsidR="00F97A8B" w:rsidRPr="00D64FF0" w:rsidRDefault="00F97A8B" w:rsidP="007C28FE">
      <w:pPr>
        <w:rPr>
          <w:rFonts w:eastAsiaTheme="minorEastAsia"/>
        </w:rPr>
      </w:pPr>
    </w:p>
    <w:p w14:paraId="30769845" w14:textId="77777777" w:rsidR="002C00E8" w:rsidRPr="00D64FF0" w:rsidRDefault="002475A2" w:rsidP="002C00E8">
      <w:pPr>
        <w:pStyle w:val="Heading1"/>
      </w:pPr>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666068"/>
      <w:bookmarkStart w:id="14" w:name="_Toc406684856"/>
      <w:bookmarkStart w:id="15" w:name="_Toc408223989"/>
      <w:bookmarkStart w:id="16" w:name="_Toc408580987"/>
      <w:bookmarkStart w:id="17" w:name="_Toc410028410"/>
      <w:bookmarkStart w:id="18" w:name="_Toc410116634"/>
      <w:bookmarkStart w:id="19" w:name="_Toc410119616"/>
      <w:bookmarkStart w:id="20" w:name="_Toc410121757"/>
      <w:bookmarkStart w:id="21" w:name="_Toc410339616"/>
      <w:bookmarkStart w:id="22" w:name="_Toc411607345"/>
      <w:bookmarkStart w:id="23" w:name="_Toc412112235"/>
      <w:bookmarkStart w:id="24" w:name="_Toc412557578"/>
      <w:bookmarkStart w:id="25" w:name="_Toc412795153"/>
      <w:bookmarkStart w:id="26" w:name="_Toc412804063"/>
      <w:bookmarkStart w:id="27" w:name="_Toc413055723"/>
      <w:bookmarkStart w:id="28" w:name="_Toc413162322"/>
      <w:bookmarkStart w:id="29" w:name="_Toc413246194"/>
      <w:bookmarkStart w:id="30" w:name="_Toc413392955"/>
      <w:bookmarkStart w:id="31" w:name="_Toc413687478"/>
      <w:bookmarkStart w:id="32" w:name="_Toc414366742"/>
      <w:bookmarkStart w:id="33" w:name="_Toc414537571"/>
      <w:bookmarkStart w:id="34" w:name="_Toc415215757"/>
      <w:bookmarkStart w:id="35" w:name="_Toc415573182"/>
      <w:bookmarkStart w:id="36" w:name="_Toc425866210"/>
      <w:bookmarkStart w:id="37" w:name="_Toc426362203"/>
      <w:bookmarkStart w:id="38" w:name="_Toc429993868"/>
      <w:r w:rsidRPr="00D64FF0">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7CC358B" w14:textId="43176873" w:rsidR="00F166D0" w:rsidRPr="0085617B" w:rsidRDefault="00727839" w:rsidP="00D81688">
      <w:pPr>
        <w:pStyle w:val="ParaNum"/>
        <w:widowControl/>
        <w:tabs>
          <w:tab w:val="left" w:pos="2520"/>
        </w:tabs>
      </w:pPr>
      <w:r w:rsidRPr="00D64FF0">
        <w:rPr>
          <w:kern w:val="0"/>
          <w:szCs w:val="22"/>
        </w:rPr>
        <w:t xml:space="preserve">In this </w:t>
      </w:r>
      <w:r w:rsidR="008149AF" w:rsidRPr="00D64FF0">
        <w:rPr>
          <w:kern w:val="0"/>
          <w:szCs w:val="22"/>
        </w:rPr>
        <w:t xml:space="preserve">Memorandum Opinion and </w:t>
      </w:r>
      <w:r w:rsidRPr="00D64FF0">
        <w:rPr>
          <w:kern w:val="0"/>
          <w:szCs w:val="22"/>
        </w:rPr>
        <w:t xml:space="preserve">Order, we </w:t>
      </w:r>
      <w:r w:rsidR="00020633" w:rsidRPr="00D64FF0">
        <w:rPr>
          <w:kern w:val="0"/>
          <w:szCs w:val="22"/>
        </w:rPr>
        <w:t xml:space="preserve">consider </w:t>
      </w:r>
      <w:r w:rsidR="00ED77A5" w:rsidRPr="00D64FF0">
        <w:rPr>
          <w:kern w:val="0"/>
          <w:szCs w:val="22"/>
        </w:rPr>
        <w:t>the application</w:t>
      </w:r>
      <w:r w:rsidR="00AA026B" w:rsidRPr="00D64FF0">
        <w:rPr>
          <w:kern w:val="0"/>
          <w:szCs w:val="22"/>
        </w:rPr>
        <w:t xml:space="preserve"> of</w:t>
      </w:r>
      <w:r w:rsidR="00ED77A5" w:rsidRPr="00D64FF0">
        <w:rPr>
          <w:kern w:val="0"/>
          <w:szCs w:val="22"/>
        </w:rPr>
        <w:t xml:space="preserve"> </w:t>
      </w:r>
      <w:r w:rsidR="004005C0" w:rsidRPr="00D64FF0">
        <w:rPr>
          <w:kern w:val="0"/>
          <w:szCs w:val="22"/>
        </w:rPr>
        <w:t xml:space="preserve">TeleGuam and Club 42 </w:t>
      </w:r>
      <w:r w:rsidRPr="00D64FF0">
        <w:rPr>
          <w:szCs w:val="22"/>
        </w:rPr>
        <w:t xml:space="preserve">for </w:t>
      </w:r>
      <w:r w:rsidR="004B406A" w:rsidRPr="00D64FF0">
        <w:rPr>
          <w:szCs w:val="22"/>
        </w:rPr>
        <w:t>Commission consent to the</w:t>
      </w:r>
      <w:r w:rsidR="00AA026B" w:rsidRPr="00D64FF0">
        <w:rPr>
          <w:szCs w:val="22"/>
        </w:rPr>
        <w:t xml:space="preserve"> assignment of </w:t>
      </w:r>
      <w:r w:rsidR="00116CA0" w:rsidRPr="00D64FF0">
        <w:rPr>
          <w:szCs w:val="22"/>
        </w:rPr>
        <w:t xml:space="preserve">an Upper 700 MHz C Block license and two </w:t>
      </w:r>
      <w:r w:rsidR="00FF0AD1" w:rsidRPr="00D64FF0">
        <w:rPr>
          <w:szCs w:val="22"/>
        </w:rPr>
        <w:t>AWS-1</w:t>
      </w:r>
      <w:r w:rsidR="00116CA0" w:rsidRPr="00D64FF0">
        <w:rPr>
          <w:szCs w:val="22"/>
        </w:rPr>
        <w:t xml:space="preserve"> licenses from Club 42 to TeleGuam</w:t>
      </w:r>
      <w:r w:rsidR="00AA026B" w:rsidRPr="00D64FF0">
        <w:rPr>
          <w:szCs w:val="22"/>
        </w:rPr>
        <w:t xml:space="preserve">.  </w:t>
      </w:r>
      <w:r w:rsidR="003D218F" w:rsidRPr="00D64FF0">
        <w:rPr>
          <w:szCs w:val="22"/>
        </w:rPr>
        <w:t xml:space="preserve">The subject licenses cover Guam and the Commonwealth of the Northern Mariana Islands.  </w:t>
      </w:r>
      <w:r w:rsidR="00447919" w:rsidRPr="00D64FF0">
        <w:rPr>
          <w:kern w:val="0"/>
        </w:rPr>
        <w:t>The Com</w:t>
      </w:r>
      <w:r w:rsidR="00447919" w:rsidRPr="00D64FF0">
        <w:rPr>
          <w:kern w:val="0"/>
          <w:szCs w:val="22"/>
        </w:rPr>
        <w:t xml:space="preserve">mission </w:t>
      </w:r>
      <w:r w:rsidR="00604EA5" w:rsidRPr="00D64FF0">
        <w:rPr>
          <w:kern w:val="0"/>
          <w:szCs w:val="22"/>
        </w:rPr>
        <w:t>determined</w:t>
      </w:r>
      <w:r w:rsidR="00091CC5" w:rsidRPr="00D64FF0">
        <w:rPr>
          <w:kern w:val="0"/>
          <w:szCs w:val="22"/>
        </w:rPr>
        <w:t xml:space="preserve"> </w:t>
      </w:r>
      <w:r w:rsidR="00091CC5" w:rsidRPr="00D64FF0">
        <w:rPr>
          <w:bCs/>
        </w:rPr>
        <w:t>i</w:t>
      </w:r>
      <w:r w:rsidR="00091CC5" w:rsidRPr="00D64FF0">
        <w:rPr>
          <w:szCs w:val="22"/>
        </w:rPr>
        <w:t xml:space="preserve">n </w:t>
      </w:r>
      <w:r w:rsidR="00091CC5" w:rsidRPr="00D64FF0">
        <w:t xml:space="preserve">the </w:t>
      </w:r>
      <w:r w:rsidR="00091CC5" w:rsidRPr="00D64FF0">
        <w:rPr>
          <w:rStyle w:val="StyleParaNumTimesNewRoman11ptChar"/>
          <w:i/>
          <w:szCs w:val="22"/>
          <w:lang w:eastAsia="x-none"/>
        </w:rPr>
        <w:t xml:space="preserve">Mobile Spectrum Holdings Report and Order </w:t>
      </w:r>
      <w:r w:rsidR="00091CC5" w:rsidRPr="00D64FF0">
        <w:rPr>
          <w:rStyle w:val="StyleParaNumTimesNewRoman11ptChar"/>
          <w:szCs w:val="22"/>
          <w:lang w:eastAsia="x-none"/>
        </w:rPr>
        <w:t xml:space="preserve">that increased aggregation of </w:t>
      </w:r>
      <w:r w:rsidR="00091CC5" w:rsidRPr="00D64FF0">
        <w:t>below-1-GHz</w:t>
      </w:r>
      <w:r w:rsidR="00091CC5" w:rsidRPr="00D64FF0">
        <w:rPr>
          <w:rStyle w:val="StyleParaNumTimesNewRoman11ptChar"/>
          <w:szCs w:val="22"/>
          <w:lang w:eastAsia="x-none"/>
        </w:rPr>
        <w:t xml:space="preserve"> spectrum would be treated as an “enhanced factor” under its case-by-case review </w:t>
      </w:r>
      <w:r w:rsidR="0015153F" w:rsidRPr="00D64FF0">
        <w:rPr>
          <w:rStyle w:val="StyleParaNumTimesNewRoman11ptChar"/>
          <w:szCs w:val="22"/>
          <w:lang w:eastAsia="x-none"/>
        </w:rPr>
        <w:t xml:space="preserve">of license transfers </w:t>
      </w:r>
      <w:r w:rsidR="00091CC5" w:rsidRPr="00D64FF0">
        <w:t>if post-transaction the acquiring entity would hold approximately one-third or more of the suitable and available spectrum below 1 GHz.</w:t>
      </w:r>
      <w:r w:rsidR="00FA1516" w:rsidRPr="00D64FF0">
        <w:rPr>
          <w:rStyle w:val="FootnoteReference"/>
        </w:rPr>
        <w:footnoteReference w:id="2"/>
      </w:r>
      <w:r w:rsidR="00091CC5" w:rsidRPr="00D64FF0">
        <w:t xml:space="preserve">  </w:t>
      </w:r>
      <w:r w:rsidR="00A8773D" w:rsidRPr="009D50D9">
        <w:rPr>
          <w:kern w:val="0"/>
          <w:szCs w:val="22"/>
        </w:rPr>
        <w:t xml:space="preserve">In the proposed transaction, </w:t>
      </w:r>
      <w:r w:rsidR="00A8773D">
        <w:rPr>
          <w:kern w:val="0"/>
          <w:szCs w:val="22"/>
        </w:rPr>
        <w:t>TeleGuam</w:t>
      </w:r>
      <w:r w:rsidR="00A8773D" w:rsidRPr="009D50D9">
        <w:rPr>
          <w:kern w:val="0"/>
          <w:szCs w:val="22"/>
        </w:rPr>
        <w:t xml:space="preserve"> would increase its </w:t>
      </w:r>
      <w:r w:rsidR="00A8773D">
        <w:rPr>
          <w:kern w:val="0"/>
          <w:szCs w:val="22"/>
        </w:rPr>
        <w:t xml:space="preserve">low-band </w:t>
      </w:r>
      <w:r w:rsidR="00A8773D" w:rsidRPr="009D50D9">
        <w:rPr>
          <w:kern w:val="0"/>
          <w:szCs w:val="22"/>
        </w:rPr>
        <w:t>spectrum holdings</w:t>
      </w:r>
      <w:r w:rsidR="00A8773D">
        <w:rPr>
          <w:kern w:val="0"/>
          <w:szCs w:val="22"/>
        </w:rPr>
        <w:t xml:space="preserve"> in these two local market areas, and in particular, would hold post-transaction more than one-third of the currently suitable and available below-1-GHz spectrum in Guam.  </w:t>
      </w:r>
      <w:r w:rsidR="00F166D0" w:rsidRPr="00D64FF0">
        <w:t>After carefully evaluating the likely competitive eff</w:t>
      </w:r>
      <w:r w:rsidR="00863DBE" w:rsidRPr="00D64FF0">
        <w:t>ects of TeleGuam</w:t>
      </w:r>
      <w:r w:rsidR="00FA1516" w:rsidRPr="00D64FF0">
        <w:t xml:space="preserve">’s </w:t>
      </w:r>
      <w:r w:rsidR="00604EA5" w:rsidRPr="00D64FF0">
        <w:t xml:space="preserve">increased aggregation of </w:t>
      </w:r>
      <w:r w:rsidR="00F166D0" w:rsidRPr="00D64FF0">
        <w:t>below-1-GHz spectrum</w:t>
      </w:r>
      <w:r w:rsidR="008F07AF" w:rsidRPr="00D64FF0">
        <w:t xml:space="preserve"> in these </w:t>
      </w:r>
      <w:r w:rsidR="00FA1516" w:rsidRPr="00D64FF0">
        <w:t>local market areas</w:t>
      </w:r>
      <w:r w:rsidR="00604EA5" w:rsidRPr="00D64FF0">
        <w:t xml:space="preserve">, </w:t>
      </w:r>
      <w:r w:rsidR="00A863EA" w:rsidRPr="00D64FF0">
        <w:t xml:space="preserve">as well as the other factors ordinarily considered in a case-by-case review, </w:t>
      </w:r>
      <w:r w:rsidR="00F166D0" w:rsidRPr="00D64FF0">
        <w:rPr>
          <w:kern w:val="0"/>
          <w:szCs w:val="22"/>
        </w:rPr>
        <w:t xml:space="preserve">we </w:t>
      </w:r>
      <w:r w:rsidR="00D87DF9" w:rsidRPr="00D64FF0">
        <w:rPr>
          <w:kern w:val="0"/>
          <w:szCs w:val="22"/>
        </w:rPr>
        <w:t xml:space="preserve">find that </w:t>
      </w:r>
      <w:r w:rsidR="00601EAA" w:rsidRPr="00D64FF0">
        <w:rPr>
          <w:kern w:val="0"/>
          <w:szCs w:val="22"/>
        </w:rPr>
        <w:t>the likelihood of com</w:t>
      </w:r>
      <w:r w:rsidR="00601EAA" w:rsidRPr="00FA1516">
        <w:rPr>
          <w:kern w:val="0"/>
          <w:szCs w:val="22"/>
        </w:rPr>
        <w:t>petitive harm is low</w:t>
      </w:r>
      <w:r w:rsidR="00020633" w:rsidRPr="00FA1516">
        <w:rPr>
          <w:kern w:val="0"/>
          <w:szCs w:val="22"/>
        </w:rPr>
        <w:t xml:space="preserve">.  </w:t>
      </w:r>
      <w:r w:rsidR="00BF0710" w:rsidRPr="00FA1516">
        <w:rPr>
          <w:kern w:val="0"/>
          <w:szCs w:val="22"/>
        </w:rPr>
        <w:lastRenderedPageBreak/>
        <w:t xml:space="preserve">Further, </w:t>
      </w:r>
      <w:r w:rsidR="00601EAA" w:rsidRPr="00FA1516">
        <w:rPr>
          <w:kern w:val="0"/>
          <w:szCs w:val="22"/>
        </w:rPr>
        <w:t xml:space="preserve">we find </w:t>
      </w:r>
      <w:r w:rsidR="00D40E2C">
        <w:rPr>
          <w:kern w:val="0"/>
          <w:szCs w:val="22"/>
        </w:rPr>
        <w:t xml:space="preserve">that </w:t>
      </w:r>
      <w:r w:rsidR="00601EAA" w:rsidRPr="00FA1516">
        <w:rPr>
          <w:kern w:val="0"/>
          <w:szCs w:val="22"/>
        </w:rPr>
        <w:t xml:space="preserve">some public interest benefits are likely, such as </w:t>
      </w:r>
      <w:r w:rsidR="0085617B" w:rsidRPr="006038B7">
        <w:rPr>
          <w:kern w:val="0"/>
          <w:szCs w:val="22"/>
        </w:rPr>
        <w:t xml:space="preserve">the deployment of a competitive LTE network and </w:t>
      </w:r>
      <w:r w:rsidR="00354FC2">
        <w:rPr>
          <w:kern w:val="0"/>
          <w:szCs w:val="22"/>
        </w:rPr>
        <w:t>improvement</w:t>
      </w:r>
      <w:r w:rsidR="0085617B" w:rsidRPr="006038B7">
        <w:rPr>
          <w:kern w:val="0"/>
          <w:szCs w:val="22"/>
        </w:rPr>
        <w:t xml:space="preserve"> </w:t>
      </w:r>
      <w:r w:rsidR="00354FC2">
        <w:rPr>
          <w:kern w:val="0"/>
          <w:szCs w:val="22"/>
        </w:rPr>
        <w:t>in in-</w:t>
      </w:r>
      <w:r w:rsidR="006038B7">
        <w:rPr>
          <w:kern w:val="0"/>
          <w:szCs w:val="22"/>
        </w:rPr>
        <w:t>building signal penetration</w:t>
      </w:r>
      <w:r w:rsidR="00BF0710" w:rsidRPr="00FA1516">
        <w:rPr>
          <w:kern w:val="0"/>
          <w:szCs w:val="22"/>
        </w:rPr>
        <w:t xml:space="preserve">.  </w:t>
      </w:r>
      <w:r w:rsidR="00196DBF" w:rsidRPr="00FA1516">
        <w:rPr>
          <w:color w:val="000000"/>
          <w:szCs w:val="22"/>
        </w:rPr>
        <w:t xml:space="preserve">Thus, </w:t>
      </w:r>
      <w:r w:rsidR="00196DBF" w:rsidRPr="00FA1516">
        <w:rPr>
          <w:kern w:val="0"/>
          <w:szCs w:val="22"/>
        </w:rPr>
        <w:t xml:space="preserve">based on the record before us and our competitive review, we </w:t>
      </w:r>
      <w:r w:rsidR="00196DBF" w:rsidRPr="00FA1516">
        <w:rPr>
          <w:kern w:val="0"/>
        </w:rPr>
        <w:t xml:space="preserve">find that </w:t>
      </w:r>
      <w:r w:rsidR="00196DBF" w:rsidRPr="0085617B">
        <w:t xml:space="preserve">the proposed </w:t>
      </w:r>
      <w:r w:rsidR="001A5DC2" w:rsidRPr="0085617B">
        <w:t xml:space="preserve">assignment </w:t>
      </w:r>
      <w:r w:rsidR="006742BB" w:rsidRPr="0085617B">
        <w:t>of license</w:t>
      </w:r>
      <w:r w:rsidR="00E520F6">
        <w:t>s</w:t>
      </w:r>
      <w:r w:rsidR="00196DBF" w:rsidRPr="0085617B">
        <w:t xml:space="preserve"> would serve the public inter</w:t>
      </w:r>
      <w:r w:rsidR="00FA1516">
        <w:t>est, convenience, and necessity, and</w:t>
      </w:r>
      <w:r w:rsidR="00E51D46" w:rsidRPr="0085617B">
        <w:t xml:space="preserve"> therefore </w:t>
      </w:r>
      <w:r w:rsidR="00FA1516">
        <w:t xml:space="preserve">we </w:t>
      </w:r>
      <w:r w:rsidR="0012075C">
        <w:t>approve</w:t>
      </w:r>
      <w:r w:rsidR="00D40E2C">
        <w:t xml:space="preserve"> </w:t>
      </w:r>
      <w:r w:rsidR="00E51D46" w:rsidRPr="0085617B">
        <w:t>the proposed transaction.</w:t>
      </w:r>
    </w:p>
    <w:p w14:paraId="202F15ED" w14:textId="6F319D5A" w:rsidR="002475A2" w:rsidRPr="00B754B6" w:rsidRDefault="006831D7" w:rsidP="006831D7">
      <w:pPr>
        <w:pStyle w:val="Heading1"/>
      </w:pPr>
      <w:bookmarkStart w:id="39" w:name="_Toc403981888"/>
      <w:bookmarkStart w:id="40" w:name="_Toc403998340"/>
      <w:bookmarkStart w:id="41" w:name="_Toc403998427"/>
      <w:bookmarkStart w:id="42" w:name="_Toc404003253"/>
      <w:bookmarkStart w:id="43" w:name="_Toc404003531"/>
      <w:bookmarkStart w:id="44" w:name="_Toc404152152"/>
      <w:bookmarkStart w:id="45" w:name="_Toc405185082"/>
      <w:bookmarkStart w:id="46" w:name="_Toc405799101"/>
      <w:bookmarkStart w:id="47" w:name="_Toc405799328"/>
      <w:bookmarkStart w:id="48" w:name="_Toc405801043"/>
      <w:bookmarkStart w:id="49" w:name="_Toc406666069"/>
      <w:bookmarkStart w:id="50" w:name="_Toc406684857"/>
      <w:bookmarkStart w:id="51" w:name="_Toc408223990"/>
      <w:bookmarkStart w:id="52" w:name="_Toc408580988"/>
      <w:bookmarkStart w:id="53" w:name="_Toc410028411"/>
      <w:bookmarkStart w:id="54" w:name="_Toc410116635"/>
      <w:bookmarkStart w:id="55" w:name="_Toc410119617"/>
      <w:bookmarkStart w:id="56" w:name="_Toc410121758"/>
      <w:bookmarkStart w:id="57" w:name="_Toc410339617"/>
      <w:bookmarkStart w:id="58" w:name="_Toc411607346"/>
      <w:bookmarkStart w:id="59" w:name="_Toc412112236"/>
      <w:bookmarkStart w:id="60" w:name="_Toc412557579"/>
      <w:bookmarkStart w:id="61" w:name="_Toc412795154"/>
      <w:bookmarkStart w:id="62" w:name="_Toc412804064"/>
      <w:bookmarkStart w:id="63" w:name="_Toc413055724"/>
      <w:bookmarkStart w:id="64" w:name="_Toc413162323"/>
      <w:bookmarkStart w:id="65" w:name="_Toc413246195"/>
      <w:bookmarkStart w:id="66" w:name="_Toc413392956"/>
      <w:bookmarkStart w:id="67" w:name="_Toc413687479"/>
      <w:bookmarkStart w:id="68" w:name="_Toc414366743"/>
      <w:bookmarkStart w:id="69" w:name="_Toc414537572"/>
      <w:bookmarkStart w:id="70" w:name="_Toc415215758"/>
      <w:bookmarkStart w:id="71" w:name="_Toc415573183"/>
      <w:bookmarkStart w:id="72" w:name="_Toc425866211"/>
      <w:bookmarkStart w:id="73" w:name="_Toc426362204"/>
      <w:bookmarkStart w:id="74" w:name="_Toc429993869"/>
      <w:r w:rsidRPr="00B754B6">
        <w:t>background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FA1516">
        <w:t xml:space="preserve"> AND PUBLIC INTEREST FRAMEWORK</w:t>
      </w:r>
      <w:bookmarkEnd w:id="72"/>
      <w:bookmarkEnd w:id="73"/>
      <w:bookmarkEnd w:id="74"/>
      <w:r w:rsidR="007867D4">
        <w:t xml:space="preserve"> </w:t>
      </w:r>
    </w:p>
    <w:p w14:paraId="57C9C3E5" w14:textId="4FD5B9C9" w:rsidR="004A3B94" w:rsidRDefault="00FA1516" w:rsidP="00721844">
      <w:pPr>
        <w:pStyle w:val="ParaNum"/>
        <w:widowControl/>
      </w:pPr>
      <w:r w:rsidRPr="00081921">
        <w:rPr>
          <w:i/>
        </w:rPr>
        <w:t>Description of the Applicants</w:t>
      </w:r>
      <w:r w:rsidRPr="00081921">
        <w:t xml:space="preserve">.  </w:t>
      </w:r>
      <w:r w:rsidR="00E95B9E">
        <w:t xml:space="preserve">TeleGuam Holdings, LLC </w:t>
      </w:r>
      <w:r w:rsidR="004A3B94">
        <w:t xml:space="preserve">d/b/a GTA TeleGuam </w:t>
      </w:r>
      <w:r w:rsidR="00E95B9E">
        <w:t>(“TeleGuam”)</w:t>
      </w:r>
      <w:r w:rsidR="004A3B94">
        <w:t xml:space="preserve">, </w:t>
      </w:r>
      <w:r w:rsidR="00B0600B">
        <w:t xml:space="preserve">headquartered in Tamuning, Guam, </w:t>
      </w:r>
      <w:r w:rsidR="004A3B94">
        <w:t>provides telephone, wireless, internet, and television service in Guam</w:t>
      </w:r>
      <w:r w:rsidR="00F241BC">
        <w:t>.</w:t>
      </w:r>
      <w:r w:rsidR="00B0600B">
        <w:rPr>
          <w:rStyle w:val="FootnoteReference"/>
        </w:rPr>
        <w:footnoteReference w:id="3"/>
      </w:r>
      <w:r w:rsidR="00F241BC">
        <w:t xml:space="preserve">  </w:t>
      </w:r>
      <w:r w:rsidR="00F241BC">
        <w:rPr>
          <w:kern w:val="0"/>
          <w:szCs w:val="22"/>
        </w:rPr>
        <w:t>Club 42 CM Limited Partnership</w:t>
      </w:r>
      <w:r w:rsidR="00F241BC" w:rsidRPr="001E4CFA">
        <w:rPr>
          <w:szCs w:val="22"/>
        </w:rPr>
        <w:t xml:space="preserve"> </w:t>
      </w:r>
      <w:r w:rsidR="00F241BC">
        <w:rPr>
          <w:szCs w:val="22"/>
        </w:rPr>
        <w:t xml:space="preserve">(“Club 42,” and together with TeleGuam, the “Applicants”) </w:t>
      </w:r>
      <w:r w:rsidR="00F241BC" w:rsidRPr="00081921">
        <w:rPr>
          <w:szCs w:val="22"/>
        </w:rPr>
        <w:t xml:space="preserve">is </w:t>
      </w:r>
      <w:r w:rsidR="00F241BC">
        <w:rPr>
          <w:szCs w:val="22"/>
        </w:rPr>
        <w:t>a</w:t>
      </w:r>
      <w:r w:rsidR="00F241BC" w:rsidRPr="00081921">
        <w:rPr>
          <w:szCs w:val="22"/>
        </w:rPr>
        <w:t xml:space="preserve"> </w:t>
      </w:r>
      <w:r w:rsidR="00D40E2C">
        <w:rPr>
          <w:szCs w:val="22"/>
        </w:rPr>
        <w:t xml:space="preserve">Commission </w:t>
      </w:r>
      <w:r w:rsidR="00F241BC" w:rsidRPr="00081921">
        <w:rPr>
          <w:szCs w:val="22"/>
        </w:rPr>
        <w:t>licensee</w:t>
      </w:r>
      <w:r w:rsidR="00F241BC">
        <w:rPr>
          <w:szCs w:val="22"/>
        </w:rPr>
        <w:t xml:space="preserve"> </w:t>
      </w:r>
      <w:r w:rsidR="00877A7E">
        <w:rPr>
          <w:szCs w:val="22"/>
        </w:rPr>
        <w:t>that, while holding wireless licenses in Guam and the Northern Mariana Islands, currently does not provide mobile wireless services in either location</w:t>
      </w:r>
      <w:r w:rsidR="00F241BC">
        <w:rPr>
          <w:szCs w:val="22"/>
        </w:rPr>
        <w:t>.</w:t>
      </w:r>
    </w:p>
    <w:p w14:paraId="09FE7FF9" w14:textId="6BDCAE3E" w:rsidR="00902ED2" w:rsidRDefault="00FA1516" w:rsidP="00902ED2">
      <w:pPr>
        <w:pStyle w:val="ParaNum"/>
        <w:widowControl/>
      </w:pPr>
      <w:r>
        <w:rPr>
          <w:i/>
        </w:rPr>
        <w:t xml:space="preserve">Description of the Transaction.  </w:t>
      </w:r>
      <w:r w:rsidR="00902ED2" w:rsidRPr="00082052">
        <w:t xml:space="preserve">On </w:t>
      </w:r>
      <w:r w:rsidR="003E19FD">
        <w:t>October 6</w:t>
      </w:r>
      <w:r w:rsidR="00902ED2" w:rsidRPr="00082052">
        <w:t xml:space="preserve">, 2014, </w:t>
      </w:r>
      <w:r w:rsidR="003E19FD">
        <w:t xml:space="preserve">TeleGuam </w:t>
      </w:r>
      <w:r w:rsidR="00902ED2" w:rsidRPr="00082052">
        <w:t xml:space="preserve">and </w:t>
      </w:r>
      <w:r w:rsidR="003E19FD">
        <w:t>Club 42</w:t>
      </w:r>
      <w:r w:rsidR="00902ED2" w:rsidRPr="00082052">
        <w:t xml:space="preserve"> filed </w:t>
      </w:r>
      <w:r w:rsidR="00D40E2C">
        <w:t>an a</w:t>
      </w:r>
      <w:r w:rsidR="00902ED2" w:rsidRPr="00082052">
        <w:t>pplication pursuant to section 310(d) of the Communications Act of 1934, as amended (the “Act”),</w:t>
      </w:r>
      <w:r w:rsidR="00902ED2" w:rsidRPr="00082052">
        <w:rPr>
          <w:rStyle w:val="FootnoteReference"/>
        </w:rPr>
        <w:footnoteReference w:id="4"/>
      </w:r>
      <w:r w:rsidR="00902ED2" w:rsidRPr="00082052">
        <w:t xml:space="preserve"> seeking </w:t>
      </w:r>
      <w:r w:rsidR="00923F10">
        <w:t xml:space="preserve">Commission consent </w:t>
      </w:r>
      <w:r w:rsidR="00902ED2">
        <w:t xml:space="preserve">to </w:t>
      </w:r>
      <w:r w:rsidR="00902ED2" w:rsidRPr="00082052">
        <w:t xml:space="preserve">assign </w:t>
      </w:r>
      <w:r w:rsidR="00902ED2" w:rsidRPr="00D9341F">
        <w:t xml:space="preserve">one </w:t>
      </w:r>
      <w:r w:rsidR="003E19FD">
        <w:t>Upper</w:t>
      </w:r>
      <w:r w:rsidR="00E33CA2">
        <w:t xml:space="preserve"> 700 </w:t>
      </w:r>
      <w:r w:rsidR="003E19FD">
        <w:t>MHz C</w:t>
      </w:r>
      <w:r w:rsidR="00902ED2" w:rsidRPr="00D9341F">
        <w:t xml:space="preserve"> Block license</w:t>
      </w:r>
      <w:r w:rsidR="003E19FD">
        <w:t xml:space="preserve"> and two Advanced Wireless Service (“AWS-1”) licenses</w:t>
      </w:r>
      <w:r w:rsidR="00902ED2" w:rsidRPr="00D9341F">
        <w:t xml:space="preserve"> to </w:t>
      </w:r>
      <w:r w:rsidR="003E19FD">
        <w:t>TeleGuam</w:t>
      </w:r>
      <w:r w:rsidR="00902ED2" w:rsidRPr="00D9341F">
        <w:t>.</w:t>
      </w:r>
      <w:r w:rsidR="00902ED2" w:rsidRPr="00D9341F">
        <w:rPr>
          <w:rStyle w:val="FootnoteReference"/>
        </w:rPr>
        <w:footnoteReference w:id="5"/>
      </w:r>
      <w:r w:rsidR="00902ED2" w:rsidRPr="00D9341F">
        <w:t xml:space="preserve">  </w:t>
      </w:r>
      <w:r w:rsidR="003E19FD">
        <w:t>Through these</w:t>
      </w:r>
      <w:r w:rsidR="00923F10">
        <w:t xml:space="preserve"> license</w:t>
      </w:r>
      <w:r w:rsidR="003E19FD">
        <w:t>s</w:t>
      </w:r>
      <w:r w:rsidR="00923F10">
        <w:t xml:space="preserve">, </w:t>
      </w:r>
      <w:r w:rsidR="003E19FD">
        <w:t>TeleGuam</w:t>
      </w:r>
      <w:r w:rsidR="00923F10">
        <w:t xml:space="preserve"> would</w:t>
      </w:r>
      <w:r w:rsidR="00902ED2" w:rsidRPr="002E4024">
        <w:t xml:space="preserve"> acquire </w:t>
      </w:r>
      <w:r w:rsidR="00203DE3">
        <w:t>42 to 62</w:t>
      </w:r>
      <w:r w:rsidR="00902ED2" w:rsidRPr="002E4024">
        <w:t xml:space="preserve"> megahertz of spectrum in </w:t>
      </w:r>
      <w:r w:rsidR="00203DE3">
        <w:t>two</w:t>
      </w:r>
      <w:r w:rsidR="00902ED2" w:rsidRPr="002E4024">
        <w:t xml:space="preserve"> Cellular Market Areas (“CMAs”) in </w:t>
      </w:r>
      <w:r w:rsidR="00203DE3">
        <w:t>the South Pacific</w:t>
      </w:r>
      <w:r w:rsidR="00902ED2" w:rsidRPr="00BC5CCD">
        <w:t>.</w:t>
      </w:r>
      <w:r w:rsidR="00902ED2" w:rsidRPr="00BC5CCD">
        <w:rPr>
          <w:rStyle w:val="FootnoteReference"/>
        </w:rPr>
        <w:footnoteReference w:id="6"/>
      </w:r>
      <w:r w:rsidR="00902ED2" w:rsidRPr="00BC5CCD">
        <w:t xml:space="preserve">  </w:t>
      </w:r>
      <w:r w:rsidR="00902ED2" w:rsidRPr="001B5AA3">
        <w:rPr>
          <w:szCs w:val="22"/>
        </w:rPr>
        <w:t xml:space="preserve">Post-transaction, </w:t>
      </w:r>
      <w:r w:rsidR="003E19FD">
        <w:rPr>
          <w:szCs w:val="22"/>
        </w:rPr>
        <w:t>TeleGuam</w:t>
      </w:r>
      <w:r w:rsidR="00902ED2" w:rsidRPr="001B5AA3">
        <w:rPr>
          <w:szCs w:val="22"/>
        </w:rPr>
        <w:t xml:space="preserve"> would hold </w:t>
      </w:r>
      <w:r w:rsidR="00203DE3">
        <w:rPr>
          <w:szCs w:val="22"/>
        </w:rPr>
        <w:t>82</w:t>
      </w:r>
      <w:r w:rsidR="00902ED2" w:rsidRPr="001B5AA3">
        <w:rPr>
          <w:szCs w:val="22"/>
        </w:rPr>
        <w:t xml:space="preserve"> to </w:t>
      </w:r>
      <w:r w:rsidR="00203DE3">
        <w:rPr>
          <w:szCs w:val="22"/>
        </w:rPr>
        <w:t>97</w:t>
      </w:r>
      <w:r w:rsidR="00902ED2" w:rsidRPr="001B5AA3">
        <w:rPr>
          <w:szCs w:val="22"/>
        </w:rPr>
        <w:t xml:space="preserve"> megahertz of spectrum in total</w:t>
      </w:r>
      <w:r w:rsidR="00902ED2">
        <w:rPr>
          <w:szCs w:val="22"/>
        </w:rPr>
        <w:t xml:space="preserve"> in these </w:t>
      </w:r>
      <w:r w:rsidR="00203DE3">
        <w:rPr>
          <w:szCs w:val="22"/>
        </w:rPr>
        <w:t>two</w:t>
      </w:r>
      <w:r w:rsidR="00902ED2">
        <w:rPr>
          <w:szCs w:val="22"/>
        </w:rPr>
        <w:t xml:space="preserve"> </w:t>
      </w:r>
      <w:r w:rsidR="00902ED2" w:rsidRPr="001B5AA3">
        <w:rPr>
          <w:szCs w:val="22"/>
        </w:rPr>
        <w:t xml:space="preserve">CMAs, including </w:t>
      </w:r>
      <w:r w:rsidR="00203DE3">
        <w:t>47</w:t>
      </w:r>
      <w:r w:rsidR="00902ED2" w:rsidRPr="00DB35A8">
        <w:t xml:space="preserve"> megahertz of below-1-GHz spectrum in </w:t>
      </w:r>
      <w:r w:rsidR="005D33F2">
        <w:t>Guam</w:t>
      </w:r>
      <w:r w:rsidR="00902ED2" w:rsidRPr="009A206D">
        <w:t>.</w:t>
      </w:r>
      <w:r w:rsidR="00902ED2" w:rsidRPr="009A206D">
        <w:rPr>
          <w:rStyle w:val="FootnoteReference"/>
        </w:rPr>
        <w:footnoteReference w:id="7"/>
      </w:r>
    </w:p>
    <w:p w14:paraId="6D4AD730" w14:textId="11F4FF7D" w:rsidR="00765A2E" w:rsidRPr="00902ED2" w:rsidRDefault="00902ED2" w:rsidP="00032635">
      <w:pPr>
        <w:pStyle w:val="ParaNum"/>
        <w:widowControl/>
        <w:rPr>
          <w:szCs w:val="22"/>
        </w:rPr>
      </w:pPr>
      <w:r w:rsidRPr="00902ED2">
        <w:rPr>
          <w:szCs w:val="22"/>
        </w:rPr>
        <w:t>The Applicants assert that</w:t>
      </w:r>
      <w:r w:rsidR="00923F10">
        <w:rPr>
          <w:szCs w:val="22"/>
        </w:rPr>
        <w:t>, as a result of</w:t>
      </w:r>
      <w:r w:rsidRPr="00902ED2">
        <w:rPr>
          <w:szCs w:val="22"/>
        </w:rPr>
        <w:t xml:space="preserve"> the proposed transaction</w:t>
      </w:r>
      <w:r w:rsidR="00923F10">
        <w:rPr>
          <w:szCs w:val="22"/>
        </w:rPr>
        <w:t>,</w:t>
      </w:r>
      <w:r w:rsidRPr="00902ED2">
        <w:rPr>
          <w:szCs w:val="22"/>
        </w:rPr>
        <w:t xml:space="preserve"> </w:t>
      </w:r>
      <w:r w:rsidR="00923F10">
        <w:rPr>
          <w:szCs w:val="22"/>
        </w:rPr>
        <w:t xml:space="preserve">the </w:t>
      </w:r>
      <w:r w:rsidRPr="00902ED2">
        <w:rPr>
          <w:szCs w:val="22"/>
        </w:rPr>
        <w:t>additional spectrum would</w:t>
      </w:r>
      <w:r w:rsidR="00923F10">
        <w:rPr>
          <w:szCs w:val="22"/>
        </w:rPr>
        <w:t xml:space="preserve"> enable </w:t>
      </w:r>
      <w:r w:rsidR="003E19FD">
        <w:rPr>
          <w:szCs w:val="22"/>
        </w:rPr>
        <w:t>TeleGuam</w:t>
      </w:r>
      <w:r w:rsidRPr="00902ED2">
        <w:rPr>
          <w:szCs w:val="22"/>
        </w:rPr>
        <w:t xml:space="preserve"> to </w:t>
      </w:r>
      <w:r w:rsidR="00A41DC4">
        <w:rPr>
          <w:szCs w:val="22"/>
        </w:rPr>
        <w:t>deploy spectrum currently not in use and improve the scope and depth of services</w:t>
      </w:r>
      <w:r w:rsidRPr="00902ED2">
        <w:rPr>
          <w:szCs w:val="22"/>
        </w:rPr>
        <w:t xml:space="preserve"> in the geographic area</w:t>
      </w:r>
      <w:r w:rsidR="00A41DC4">
        <w:rPr>
          <w:szCs w:val="22"/>
        </w:rPr>
        <w:t>s</w:t>
      </w:r>
      <w:r w:rsidRPr="00902ED2">
        <w:rPr>
          <w:szCs w:val="22"/>
        </w:rPr>
        <w:t xml:space="preserve"> authorized </w:t>
      </w:r>
      <w:r w:rsidR="00923F10">
        <w:rPr>
          <w:szCs w:val="22"/>
        </w:rPr>
        <w:t>under</w:t>
      </w:r>
      <w:r w:rsidRPr="00902ED2">
        <w:rPr>
          <w:szCs w:val="22"/>
        </w:rPr>
        <w:t xml:space="preserve"> the </w:t>
      </w:r>
      <w:r w:rsidR="003E19FD">
        <w:rPr>
          <w:szCs w:val="22"/>
        </w:rPr>
        <w:t>Club 42</w:t>
      </w:r>
      <w:r w:rsidRPr="00902ED2">
        <w:rPr>
          <w:szCs w:val="22"/>
        </w:rPr>
        <w:t xml:space="preserve"> license</w:t>
      </w:r>
      <w:r w:rsidR="00A41DC4">
        <w:rPr>
          <w:szCs w:val="22"/>
        </w:rPr>
        <w:t>s</w:t>
      </w:r>
      <w:r w:rsidRPr="00902ED2">
        <w:rPr>
          <w:szCs w:val="22"/>
        </w:rPr>
        <w:t>.</w:t>
      </w:r>
      <w:r>
        <w:rPr>
          <w:rStyle w:val="FootnoteReference"/>
          <w:szCs w:val="22"/>
        </w:rPr>
        <w:footnoteReference w:id="8"/>
      </w:r>
      <w:r w:rsidRPr="00902ED2">
        <w:rPr>
          <w:szCs w:val="22"/>
        </w:rPr>
        <w:t xml:space="preserve">  </w:t>
      </w:r>
      <w:r w:rsidR="00A41DC4">
        <w:rPr>
          <w:szCs w:val="22"/>
        </w:rPr>
        <w:t>TeleGuam</w:t>
      </w:r>
      <w:r w:rsidRPr="00902ED2">
        <w:rPr>
          <w:szCs w:val="22"/>
        </w:rPr>
        <w:t xml:space="preserve"> </w:t>
      </w:r>
      <w:r w:rsidR="00923F10">
        <w:rPr>
          <w:szCs w:val="22"/>
        </w:rPr>
        <w:t>further contend</w:t>
      </w:r>
      <w:r w:rsidR="00A41DC4">
        <w:rPr>
          <w:szCs w:val="22"/>
        </w:rPr>
        <w:t>s</w:t>
      </w:r>
      <w:r w:rsidR="00923F10">
        <w:rPr>
          <w:szCs w:val="22"/>
        </w:rPr>
        <w:t xml:space="preserve"> that the acquisition of this spectrum</w:t>
      </w:r>
      <w:r w:rsidR="00BD61A2">
        <w:rPr>
          <w:szCs w:val="22"/>
        </w:rPr>
        <w:t xml:space="preserve"> </w:t>
      </w:r>
      <w:r w:rsidR="00DD2308">
        <w:rPr>
          <w:szCs w:val="22"/>
        </w:rPr>
        <w:t xml:space="preserve">is necessary to remain competitive </w:t>
      </w:r>
      <w:r w:rsidR="00B021ED">
        <w:rPr>
          <w:szCs w:val="22"/>
        </w:rPr>
        <w:t>through the deployment of</w:t>
      </w:r>
      <w:r w:rsidRPr="00902ED2">
        <w:rPr>
          <w:szCs w:val="22"/>
        </w:rPr>
        <w:t xml:space="preserve"> </w:t>
      </w:r>
      <w:r w:rsidR="00C93D1A">
        <w:rPr>
          <w:szCs w:val="22"/>
        </w:rPr>
        <w:t>Long-</w:t>
      </w:r>
      <w:r w:rsidR="007D4703">
        <w:rPr>
          <w:szCs w:val="22"/>
        </w:rPr>
        <w:t>Term Evolution (“</w:t>
      </w:r>
      <w:r w:rsidRPr="00902ED2">
        <w:rPr>
          <w:szCs w:val="22"/>
        </w:rPr>
        <w:t>LTE</w:t>
      </w:r>
      <w:r w:rsidR="007D4703">
        <w:rPr>
          <w:szCs w:val="22"/>
        </w:rPr>
        <w:t>”)</w:t>
      </w:r>
      <w:r w:rsidRPr="00902ED2">
        <w:rPr>
          <w:szCs w:val="22"/>
        </w:rPr>
        <w:t>.</w:t>
      </w:r>
      <w:r>
        <w:rPr>
          <w:rStyle w:val="FootnoteReference"/>
          <w:szCs w:val="22"/>
        </w:rPr>
        <w:footnoteReference w:id="9"/>
      </w:r>
    </w:p>
    <w:p w14:paraId="55857A73" w14:textId="630DE23A" w:rsidR="00F35C54" w:rsidRPr="00BB7F1F" w:rsidRDefault="00BD61A2" w:rsidP="007A5852">
      <w:pPr>
        <w:pStyle w:val="ParaNum"/>
        <w:widowControl/>
      </w:pPr>
      <w:r w:rsidRPr="00BD61A2">
        <w:rPr>
          <w:i/>
        </w:rPr>
        <w:lastRenderedPageBreak/>
        <w:t>Transaction Review Process</w:t>
      </w:r>
      <w:r>
        <w:t xml:space="preserve">.  </w:t>
      </w:r>
      <w:r w:rsidR="002F612F" w:rsidRPr="007F4895">
        <w:t xml:space="preserve">On </w:t>
      </w:r>
      <w:r w:rsidR="00E33CA2">
        <w:t>January 21</w:t>
      </w:r>
      <w:r w:rsidR="006566F5" w:rsidRPr="007F4895">
        <w:t>,</w:t>
      </w:r>
      <w:r w:rsidR="00E33CA2">
        <w:t xml:space="preserve"> 2015</w:t>
      </w:r>
      <w:r w:rsidR="00F35C54" w:rsidRPr="007F4895">
        <w:t>,</w:t>
      </w:r>
      <w:r w:rsidR="006566F5" w:rsidRPr="007F4895">
        <w:t xml:space="preserve"> the Commission </w:t>
      </w:r>
      <w:r>
        <w:t>accepted the Application</w:t>
      </w:r>
      <w:r w:rsidR="00682A17" w:rsidRPr="007F4895">
        <w:t xml:space="preserve"> for filing and establi</w:t>
      </w:r>
      <w:r>
        <w:t>shed</w:t>
      </w:r>
      <w:r w:rsidR="00F35C54" w:rsidRPr="007F4895">
        <w:t xml:space="preserve"> a pleading cycle.</w:t>
      </w:r>
      <w:r w:rsidR="00A44141" w:rsidRPr="007F4895">
        <w:rPr>
          <w:rStyle w:val="FootnoteReference"/>
        </w:rPr>
        <w:footnoteReference w:id="10"/>
      </w:r>
      <w:r w:rsidR="00F35C54" w:rsidRPr="007F4895">
        <w:t xml:space="preserve">  </w:t>
      </w:r>
      <w:r w:rsidR="00216609">
        <w:t xml:space="preserve">The Commission received no filings in response to the </w:t>
      </w:r>
      <w:r w:rsidR="0066254A">
        <w:rPr>
          <w:i/>
        </w:rPr>
        <w:t xml:space="preserve">Accepted for Filing Public Notice.  </w:t>
      </w:r>
      <w:r w:rsidR="00004BAA" w:rsidRPr="00D83C21">
        <w:t xml:space="preserve">On </w:t>
      </w:r>
      <w:r w:rsidR="00F65123">
        <w:t>January 21, 2015</w:t>
      </w:r>
      <w:r w:rsidR="00004BAA" w:rsidRPr="00D83C21">
        <w:t xml:space="preserve">, the </w:t>
      </w:r>
      <w:r>
        <w:t xml:space="preserve">Wireless Telecommunications </w:t>
      </w:r>
      <w:r w:rsidR="00004BAA" w:rsidRPr="00D83C21">
        <w:t xml:space="preserve">Bureau </w:t>
      </w:r>
      <w:r>
        <w:t xml:space="preserve">(“WTB” or “the Bureau”) </w:t>
      </w:r>
      <w:r w:rsidR="00004BAA" w:rsidRPr="00D83C21">
        <w:t>released a public notice</w:t>
      </w:r>
      <w:r w:rsidR="00CC38B2" w:rsidRPr="00D83C21">
        <w:t xml:space="preserve"> </w:t>
      </w:r>
      <w:r w:rsidR="008C6539" w:rsidRPr="00D83C21">
        <w:t>announcing</w:t>
      </w:r>
      <w:r w:rsidR="00004BAA" w:rsidRPr="00D83C21">
        <w:t xml:space="preserve"> that </w:t>
      </w:r>
      <w:r w:rsidR="001A57DA" w:rsidRPr="00D83C21">
        <w:t xml:space="preserve">Numbering Resource Utilization </w:t>
      </w:r>
      <w:r w:rsidR="00004BAA" w:rsidRPr="00D83C21">
        <w:t xml:space="preserve">and </w:t>
      </w:r>
      <w:r w:rsidR="00964684" w:rsidRPr="00D83C21">
        <w:t xml:space="preserve">Forecast </w:t>
      </w:r>
      <w:r w:rsidR="00004BAA" w:rsidRPr="00D83C21">
        <w:t xml:space="preserve">(“NRUF”) reports and local number portability (“LNP”) data would be placed into the record and </w:t>
      </w:r>
      <w:r>
        <w:t>adopted</w:t>
      </w:r>
      <w:r w:rsidR="00004BAA" w:rsidRPr="00D83C21">
        <w:t xml:space="preserve"> a protective order pursuant to which the Applicants and third parties would be allowed to review the specific NRUF reports </w:t>
      </w:r>
      <w:r w:rsidR="009F12BA" w:rsidRPr="00D83C21">
        <w:t xml:space="preserve">and </w:t>
      </w:r>
      <w:r w:rsidR="00004BAA" w:rsidRPr="00D83C21">
        <w:t>LNP data.</w:t>
      </w:r>
      <w:r w:rsidR="001A57DA" w:rsidRPr="00D83C21">
        <w:rPr>
          <w:rStyle w:val="FootnoteReference"/>
        </w:rPr>
        <w:footnoteReference w:id="11"/>
      </w:r>
      <w:r w:rsidR="00004BAA" w:rsidRPr="00D83C21">
        <w:t xml:space="preserve">  </w:t>
      </w:r>
      <w:r w:rsidR="00CC38B2" w:rsidRPr="00D83C21">
        <w:t>Also o</w:t>
      </w:r>
      <w:r w:rsidR="00D65D58" w:rsidRPr="00D83C21">
        <w:t xml:space="preserve">n </w:t>
      </w:r>
      <w:r w:rsidR="00E70E29">
        <w:t>January 21, 2015</w:t>
      </w:r>
      <w:r w:rsidR="001B5DF3" w:rsidRPr="00D83C21">
        <w:t>,</w:t>
      </w:r>
      <w:r w:rsidR="006A2591" w:rsidRPr="00D83C21">
        <w:t xml:space="preserve"> pursuant to section 308(b) of the Act</w:t>
      </w:r>
      <w:r w:rsidR="0096052D" w:rsidRPr="00D83C21">
        <w:t>,</w:t>
      </w:r>
      <w:r w:rsidR="000B509B" w:rsidRPr="00D83C21">
        <w:rPr>
          <w:rStyle w:val="FootnoteReference"/>
        </w:rPr>
        <w:footnoteReference w:id="12"/>
      </w:r>
      <w:r w:rsidR="001B5DF3" w:rsidRPr="00D83C21">
        <w:t xml:space="preserve"> </w:t>
      </w:r>
      <w:r w:rsidR="00F35C54" w:rsidRPr="00D83C21">
        <w:t>the Bureau</w:t>
      </w:r>
      <w:r w:rsidR="00D65D58" w:rsidRPr="00D83C21">
        <w:t xml:space="preserve"> sent letters to </w:t>
      </w:r>
      <w:r w:rsidR="003E19FD">
        <w:t>TeleGuam</w:t>
      </w:r>
      <w:r w:rsidR="00D65D58" w:rsidRPr="00D83C21">
        <w:t xml:space="preserve"> and </w:t>
      </w:r>
      <w:r w:rsidR="003E19FD">
        <w:t>Club 42</w:t>
      </w:r>
      <w:r w:rsidR="00D65D58" w:rsidRPr="00D83C21">
        <w:t xml:space="preserve"> requesting the submission of written responses and supporting documentation </w:t>
      </w:r>
      <w:r w:rsidR="00D65D58" w:rsidRPr="00983F0B">
        <w:t xml:space="preserve">by </w:t>
      </w:r>
      <w:r w:rsidR="00E70E29">
        <w:t>February 4</w:t>
      </w:r>
      <w:r w:rsidR="00983F0B" w:rsidRPr="00983F0B">
        <w:t>, 2015</w:t>
      </w:r>
      <w:r w:rsidR="00D65D58" w:rsidRPr="00983F0B">
        <w:t>, to specific inquiries related to the proposed transaction</w:t>
      </w:r>
      <w:r w:rsidR="00D65D58" w:rsidRPr="00BB7F1F">
        <w:t>.</w:t>
      </w:r>
      <w:r w:rsidR="00AA7682" w:rsidRPr="00BB7F1F">
        <w:rPr>
          <w:rStyle w:val="FootnoteReference"/>
        </w:rPr>
        <w:footnoteReference w:id="13"/>
      </w:r>
      <w:r w:rsidR="005057C0">
        <w:t xml:space="preserve">  </w:t>
      </w:r>
      <w:r w:rsidR="005057C0" w:rsidRPr="00C5141E">
        <w:rPr>
          <w:szCs w:val="22"/>
        </w:rPr>
        <w:t>On March 25, 2015, the Bureau requested information from the following service providers:  Choice Phone, DoCoMo Pacific, and PTI Pacifica.</w:t>
      </w:r>
      <w:r w:rsidR="005057C0" w:rsidRPr="00C5141E">
        <w:rPr>
          <w:rStyle w:val="FootnoteReference"/>
        </w:rPr>
        <w:footnoteReference w:id="14"/>
      </w:r>
    </w:p>
    <w:p w14:paraId="16D0BD72" w14:textId="6373766C" w:rsidR="00E520F6" w:rsidRPr="00200848" w:rsidRDefault="00DD0170" w:rsidP="00D371A4">
      <w:pPr>
        <w:pStyle w:val="ParaNum"/>
        <w:widowControl/>
        <w:rPr>
          <w:szCs w:val="22"/>
        </w:rPr>
      </w:pPr>
      <w:r w:rsidRPr="00A04681">
        <w:rPr>
          <w:i/>
        </w:rPr>
        <w:t>Standard of Review</w:t>
      </w:r>
      <w:r>
        <w:t xml:space="preserve">.  </w:t>
      </w:r>
      <w:r w:rsidR="00032635">
        <w:t>Pursuant to section</w:t>
      </w:r>
      <w:r w:rsidR="00FA6F04" w:rsidRPr="00517991">
        <w:t xml:space="preserve"> 310(d) of the Act,</w:t>
      </w:r>
      <w:r w:rsidR="00FA6F04" w:rsidRPr="00517991">
        <w:rPr>
          <w:rFonts w:eastAsia="MS Mincho"/>
          <w:sz w:val="20"/>
          <w:vertAlign w:val="superscript"/>
        </w:rPr>
        <w:footnoteReference w:id="15"/>
      </w:r>
      <w:r w:rsidR="00FA6F04" w:rsidRPr="00A04681">
        <w:rPr>
          <w:b/>
        </w:rPr>
        <w:t xml:space="preserve"> </w:t>
      </w:r>
      <w:r w:rsidR="00FA6F04" w:rsidRPr="00517991">
        <w:t xml:space="preserve">we must determine whether the Applicants have </w:t>
      </w:r>
      <w:r w:rsidR="0084595F" w:rsidRPr="00517991">
        <w:t>demonstrated that the proposed assignment</w:t>
      </w:r>
      <w:r w:rsidR="00FA6F04" w:rsidRPr="00517991">
        <w:t xml:space="preserve"> of license</w:t>
      </w:r>
      <w:r w:rsidR="00C9397D">
        <w:t>s</w:t>
      </w:r>
      <w:r w:rsidR="00FA6F04" w:rsidRPr="00517991">
        <w:t xml:space="preserve"> w</w:t>
      </w:r>
      <w:r w:rsidR="00D96D03" w:rsidRPr="00517991">
        <w:t>ould</w:t>
      </w:r>
      <w:r w:rsidR="00FA6F04" w:rsidRPr="00517991">
        <w:t xml:space="preserve"> serve the public interest, convenience, and necessity.</w:t>
      </w:r>
      <w:r>
        <w:rPr>
          <w:rStyle w:val="FootnoteReference"/>
        </w:rPr>
        <w:footnoteReference w:id="16"/>
      </w:r>
      <w:r w:rsidR="00FA6F04" w:rsidRPr="00517991">
        <w:t xml:space="preserve">  </w:t>
      </w:r>
      <w:r w:rsidR="00E520F6" w:rsidRPr="00316A29">
        <w:t>In making this determination, we first assess whether the proposed transaction complies with the specific provisions of the Act,</w:t>
      </w:r>
      <w:r w:rsidR="00E520F6" w:rsidRPr="006A5E52">
        <w:rPr>
          <w:rFonts w:eastAsia="MS Mincho"/>
          <w:sz w:val="20"/>
          <w:vertAlign w:val="superscript"/>
        </w:rPr>
        <w:footnoteReference w:id="17"/>
      </w:r>
      <w:r w:rsidR="00E520F6" w:rsidRPr="006A5E52">
        <w:rPr>
          <w:sz w:val="20"/>
        </w:rPr>
        <w:t xml:space="preserve"> </w:t>
      </w:r>
      <w:r w:rsidR="00E520F6" w:rsidRPr="00316A29">
        <w:t>other applicable statutes, and the Commission’s rules</w:t>
      </w:r>
      <w:r w:rsidR="00E520F6">
        <w:t>.</w:t>
      </w:r>
      <w:r w:rsidR="00E520F6" w:rsidRPr="006A5E52">
        <w:rPr>
          <w:rFonts w:eastAsia="MS Mincho"/>
          <w:sz w:val="20"/>
          <w:vertAlign w:val="superscript"/>
        </w:rPr>
        <w:footnoteReference w:id="18"/>
      </w:r>
      <w:r w:rsidR="00E520F6" w:rsidRPr="00316A29">
        <w:t xml:space="preserve">  If the </w:t>
      </w:r>
      <w:r w:rsidR="00E520F6">
        <w:t xml:space="preserve">proposed </w:t>
      </w:r>
      <w:r w:rsidR="00E520F6" w:rsidRPr="00316A29">
        <w:t xml:space="preserve">transaction does not violate a statute or rule, we next consider whether the </w:t>
      </w:r>
      <w:r w:rsidR="00E520F6">
        <w:t xml:space="preserve">proposed </w:t>
      </w:r>
      <w:r w:rsidR="00E520F6" w:rsidRPr="00316A29">
        <w:t>transaction could result in public interest harms by substantially frustrating or impairing the objectives or implementation of the Act or related statutes.</w:t>
      </w:r>
      <w:r w:rsidR="00E520F6" w:rsidRPr="006A5E52">
        <w:rPr>
          <w:rFonts w:eastAsia="MS Mincho"/>
          <w:sz w:val="20"/>
          <w:vertAlign w:val="superscript"/>
        </w:rPr>
        <w:footnoteReference w:id="19"/>
      </w:r>
      <w:r w:rsidR="00E520F6" w:rsidRPr="00316A29">
        <w:t xml:space="preserve"> </w:t>
      </w:r>
      <w:r w:rsidR="00E520F6">
        <w:t xml:space="preserve"> </w:t>
      </w:r>
      <w:r w:rsidR="00E520F6" w:rsidRPr="00316A29">
        <w:t xml:space="preserve">We then employ a balancing test weighing any </w:t>
      </w:r>
      <w:r w:rsidR="00E520F6" w:rsidRPr="0070044D">
        <w:rPr>
          <w:snapToGrid/>
        </w:rPr>
        <w:t>potential</w:t>
      </w:r>
      <w:r w:rsidR="00E520F6" w:rsidRPr="00316A29">
        <w:t xml:space="preserve"> public interest harms of the proposed transaction against any potential public interest benefits.</w:t>
      </w:r>
      <w:r w:rsidR="00E520F6" w:rsidRPr="006A5E52">
        <w:rPr>
          <w:rFonts w:eastAsia="MS Mincho"/>
          <w:sz w:val="20"/>
          <w:vertAlign w:val="superscript"/>
        </w:rPr>
        <w:footnoteReference w:id="20"/>
      </w:r>
      <w:r w:rsidR="00E520F6">
        <w:t xml:space="preserve">  The Applicants bear the burden of proving, by a preponderance of the evidence, that the proposed transaction, on balance, would serve the public interest.</w:t>
      </w:r>
      <w:r w:rsidR="00E520F6">
        <w:rPr>
          <w:rFonts w:eastAsia="MS Mincho"/>
          <w:sz w:val="20"/>
          <w:vertAlign w:val="superscript"/>
        </w:rPr>
        <w:footnoteReference w:id="21"/>
      </w:r>
    </w:p>
    <w:p w14:paraId="3371812E" w14:textId="6E1889EC" w:rsidR="006831D7" w:rsidRPr="00A04681" w:rsidRDefault="00FA6F04" w:rsidP="00D371A4">
      <w:pPr>
        <w:pStyle w:val="ParaNum"/>
        <w:widowControl/>
        <w:rPr>
          <w:szCs w:val="22"/>
        </w:rPr>
      </w:pPr>
      <w:r w:rsidRPr="00517991">
        <w:t>Our competitive</w:t>
      </w:r>
      <w:r w:rsidRPr="00A04681">
        <w:rPr>
          <w:szCs w:val="22"/>
        </w:rPr>
        <w:t xml:space="preserve"> analysis, which forms an important part of the public interest evaluation, is informed by, but not limited to, traditional antitrust principles.</w:t>
      </w:r>
      <w:r w:rsidRPr="00517991">
        <w:rPr>
          <w:sz w:val="20"/>
          <w:vertAlign w:val="superscript"/>
        </w:rPr>
        <w:footnoteReference w:id="22"/>
      </w:r>
      <w:r w:rsidRPr="00A04681">
        <w:rPr>
          <w:szCs w:val="22"/>
        </w:rPr>
        <w:t xml:space="preserve">  </w:t>
      </w:r>
      <w:r w:rsidR="00475748" w:rsidRPr="00316A29">
        <w:rPr>
          <w:szCs w:val="22"/>
        </w:rPr>
        <w:t>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sidR="00475748">
        <w:rPr>
          <w:szCs w:val="22"/>
        </w:rPr>
        <w:t>.</w:t>
      </w:r>
      <w:r w:rsidR="00475748" w:rsidRPr="006A5E52">
        <w:rPr>
          <w:sz w:val="20"/>
          <w:vertAlign w:val="superscript"/>
        </w:rPr>
        <w:footnoteReference w:id="23"/>
      </w:r>
      <w:r w:rsidR="00475748" w:rsidRPr="00316A29">
        <w:rPr>
          <w:szCs w:val="22"/>
        </w:rPr>
        <w:t xml:space="preserve">  </w:t>
      </w:r>
      <w:r w:rsidR="00E34D3D">
        <w:rPr>
          <w:szCs w:val="22"/>
        </w:rPr>
        <w:t>T</w:t>
      </w:r>
      <w:r w:rsidR="00E34D3D" w:rsidRPr="007C07DD">
        <w:rPr>
          <w:szCs w:val="22"/>
        </w:rPr>
        <w:t>he Commission’s public interest authority enables us, where appropriate, to impose and enforce narrowly tailored, transaction-specific conditions that ensure that the public interest is served by the transaction.</w:t>
      </w:r>
      <w:r w:rsidR="00E34D3D">
        <w:rPr>
          <w:rStyle w:val="FootnoteReference"/>
          <w:szCs w:val="22"/>
        </w:rPr>
        <w:footnoteReference w:id="24"/>
      </w:r>
      <w:r w:rsidR="00E34D3D">
        <w:rPr>
          <w:szCs w:val="22"/>
        </w:rPr>
        <w:t xml:space="preserve">  </w:t>
      </w:r>
      <w:r w:rsidRPr="00A04681">
        <w:rPr>
          <w:szCs w:val="22"/>
        </w:rPr>
        <w:t>If we are unable to find that the proposed transaction serves the public interest for any reason or if the record presents a substantial and material question of fact, we must designate the application(s) for hearing.</w:t>
      </w:r>
      <w:r w:rsidRPr="00517991">
        <w:rPr>
          <w:sz w:val="20"/>
          <w:vertAlign w:val="superscript"/>
        </w:rPr>
        <w:footnoteReference w:id="25"/>
      </w:r>
    </w:p>
    <w:p w14:paraId="117B1A39" w14:textId="6BAD2C3A" w:rsidR="006831D7" w:rsidRPr="00081921" w:rsidRDefault="00E34D3D" w:rsidP="00555C0B">
      <w:pPr>
        <w:pStyle w:val="ParaNum"/>
        <w:widowControl/>
      </w:pPr>
      <w:r w:rsidRPr="00081921">
        <w:rPr>
          <w:i/>
        </w:rPr>
        <w:t>Qualifications of the Applicants</w:t>
      </w:r>
      <w:r w:rsidRPr="00081921">
        <w:t xml:space="preserve">.  </w:t>
      </w:r>
      <w:r w:rsidR="00AE35F3" w:rsidRPr="00081921">
        <w:t>As</w:t>
      </w:r>
      <w:r w:rsidR="00555C0B" w:rsidRPr="00081921">
        <w:t xml:space="preserve"> a threshold matter, the Commission must determine whether the applicants to the proposed transaction meet the requisite qualifications requirements to hold and transfer licenses under section 310(d) and the Commission’s rules.</w:t>
      </w:r>
      <w:r w:rsidR="00555C0B" w:rsidRPr="00081921">
        <w:rPr>
          <w:rStyle w:val="StyleFootnoteReferenceofrAppelnotedebasdepStyle12NECG"/>
          <w:sz w:val="20"/>
        </w:rPr>
        <w:footnoteReference w:id="26"/>
      </w:r>
      <w:r w:rsidR="00023F00" w:rsidRPr="00081921">
        <w:t xml:space="preserve">  </w:t>
      </w:r>
      <w:r w:rsidR="00E81BBF" w:rsidRPr="00081921">
        <w:t>W</w:t>
      </w:r>
      <w:r w:rsidR="00555C0B" w:rsidRPr="00081921">
        <w:t xml:space="preserve">e note that no parties have raised issues with respect to the basic qualifications of </w:t>
      </w:r>
      <w:r w:rsidR="003E19FD">
        <w:t>TeleGuam</w:t>
      </w:r>
      <w:r w:rsidR="00023F00" w:rsidRPr="00081921">
        <w:t xml:space="preserve"> or </w:t>
      </w:r>
      <w:r w:rsidR="003E19FD">
        <w:t>Club 42</w:t>
      </w:r>
      <w:r w:rsidR="003331A1">
        <w:t>, and,</w:t>
      </w:r>
      <w:r w:rsidR="00555C0B" w:rsidRPr="00081921">
        <w:t xml:space="preserve"> </w:t>
      </w:r>
      <w:r w:rsidR="003331A1">
        <w:t>i</w:t>
      </w:r>
      <w:r w:rsidR="00555C0B" w:rsidRPr="00081921">
        <w:t xml:space="preserve">n addition, </w:t>
      </w:r>
      <w:r w:rsidR="003E19FD">
        <w:t>TeleGuam</w:t>
      </w:r>
      <w:r w:rsidR="00555C0B" w:rsidRPr="00081921">
        <w:t xml:space="preserve"> previously and repeatedly has been found qualified to hold Commission licenses.</w:t>
      </w:r>
      <w:r w:rsidR="00555C0B" w:rsidRPr="00081921">
        <w:rPr>
          <w:rStyle w:val="FootnoteReference"/>
        </w:rPr>
        <w:footnoteReference w:id="27"/>
      </w:r>
      <w:r w:rsidR="00555C0B" w:rsidRPr="00081921">
        <w:t xml:space="preserve">  We find </w:t>
      </w:r>
      <w:r w:rsidR="00D40E2C">
        <w:t xml:space="preserve">that </w:t>
      </w:r>
      <w:r w:rsidR="00555C0B" w:rsidRPr="00081921">
        <w:t>there is no reason to reevaluate the requisite citizenship, character, financial, technical, or other basic qualifications under the Act and our rules, regulations, an</w:t>
      </w:r>
      <w:r w:rsidR="00D63BD8" w:rsidRPr="00081921">
        <w:t xml:space="preserve">d policies, of </w:t>
      </w:r>
      <w:r w:rsidR="003E19FD">
        <w:t>TeleGuam</w:t>
      </w:r>
      <w:r w:rsidR="00023F00" w:rsidRPr="00081921">
        <w:t xml:space="preserve"> or </w:t>
      </w:r>
      <w:r w:rsidR="003E19FD">
        <w:t>Club 42</w:t>
      </w:r>
      <w:r w:rsidR="00555C0B" w:rsidRPr="00081921">
        <w:t>.</w:t>
      </w:r>
      <w:r w:rsidR="00023F00" w:rsidRPr="00081921">
        <w:rPr>
          <w:rStyle w:val="FootnoteReference"/>
        </w:rPr>
        <w:footnoteReference w:id="28"/>
      </w:r>
    </w:p>
    <w:p w14:paraId="3AA9AD56" w14:textId="77777777" w:rsidR="006831D7" w:rsidRPr="00D946A5" w:rsidRDefault="006831D7" w:rsidP="007A5852">
      <w:pPr>
        <w:pStyle w:val="Heading1"/>
        <w:widowControl/>
      </w:pPr>
      <w:bookmarkStart w:id="75" w:name="_Toc403981896"/>
      <w:bookmarkStart w:id="76" w:name="_Toc403998348"/>
      <w:bookmarkStart w:id="77" w:name="_Toc403998435"/>
      <w:bookmarkStart w:id="78" w:name="_Toc404003259"/>
      <w:bookmarkStart w:id="79" w:name="_Toc404003539"/>
      <w:bookmarkStart w:id="80" w:name="_Toc404152160"/>
      <w:bookmarkStart w:id="81" w:name="_Toc405185088"/>
      <w:bookmarkStart w:id="82" w:name="_Toc405799107"/>
      <w:bookmarkStart w:id="83" w:name="_Toc405799334"/>
      <w:bookmarkStart w:id="84" w:name="_Toc405801049"/>
      <w:bookmarkStart w:id="85" w:name="_Toc406666075"/>
      <w:bookmarkStart w:id="86" w:name="_Toc406684863"/>
      <w:bookmarkStart w:id="87" w:name="_Toc408223996"/>
      <w:bookmarkStart w:id="88" w:name="_Toc408580994"/>
      <w:bookmarkStart w:id="89" w:name="_Toc410028417"/>
      <w:bookmarkStart w:id="90" w:name="_Toc410116641"/>
      <w:bookmarkStart w:id="91" w:name="_Toc410119623"/>
      <w:bookmarkStart w:id="92" w:name="_Toc410121764"/>
      <w:bookmarkStart w:id="93" w:name="_Toc410339623"/>
      <w:bookmarkStart w:id="94" w:name="_Toc411607352"/>
      <w:bookmarkStart w:id="95" w:name="_Toc412112242"/>
      <w:bookmarkStart w:id="96" w:name="_Toc412557585"/>
      <w:bookmarkStart w:id="97" w:name="_Toc412795160"/>
      <w:bookmarkStart w:id="98" w:name="_Toc412804070"/>
      <w:bookmarkStart w:id="99" w:name="_Toc413055730"/>
      <w:bookmarkStart w:id="100" w:name="_Toc413162329"/>
      <w:bookmarkStart w:id="101" w:name="_Toc413246201"/>
      <w:bookmarkStart w:id="102" w:name="_Toc413392962"/>
      <w:bookmarkStart w:id="103" w:name="_Toc413687485"/>
      <w:bookmarkStart w:id="104" w:name="_Toc414366749"/>
      <w:bookmarkStart w:id="105" w:name="_Toc414537578"/>
      <w:bookmarkStart w:id="106" w:name="_Toc415215764"/>
      <w:bookmarkStart w:id="107" w:name="_Toc415573189"/>
      <w:bookmarkStart w:id="108" w:name="_Toc425866212"/>
      <w:bookmarkStart w:id="109" w:name="_Toc426362205"/>
      <w:bookmarkStart w:id="110" w:name="_Toc429993870"/>
      <w:r w:rsidRPr="00D946A5">
        <w:t>potential public interest harms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2BBFDCEF" w14:textId="5545472F" w:rsidR="00AA5BF4" w:rsidRPr="00B4452D" w:rsidRDefault="00696963" w:rsidP="00AA5BF4">
      <w:pPr>
        <w:pStyle w:val="ParaNum"/>
        <w:widowControl/>
      </w:pPr>
      <w:r w:rsidRPr="0086095F">
        <w:rPr>
          <w:i/>
        </w:rPr>
        <w:t>Competitive Overview</w:t>
      </w:r>
      <w:r>
        <w:t xml:space="preserve">.  </w:t>
      </w:r>
      <w:r w:rsidR="008B50AE" w:rsidRPr="00D946A5">
        <w:t xml:space="preserve">In </w:t>
      </w:r>
      <w:r>
        <w:t xml:space="preserve">its </w:t>
      </w:r>
      <w:r w:rsidR="00A8773D">
        <w:t>examination</w:t>
      </w:r>
      <w:r>
        <w:t xml:space="preserve"> of a proposed transaction,</w:t>
      </w:r>
      <w:r w:rsidR="008B50AE" w:rsidRPr="00D946A5">
        <w:t xml:space="preserve"> the Commission evaluates the potential public interest harms</w:t>
      </w:r>
      <w:r>
        <w:t xml:space="preserve"> and</w:t>
      </w:r>
      <w:r w:rsidR="008B50AE" w:rsidRPr="00D946A5">
        <w:t xml:space="preserve"> undertakes a case-by-case review of the competitive effects of any increase in market concentration or in spectrum holdings in the relevant markets.</w:t>
      </w:r>
      <w:r w:rsidR="008B50AE" w:rsidRPr="00D946A5">
        <w:rPr>
          <w:rStyle w:val="FootnoteReference"/>
        </w:rPr>
        <w:footnoteReference w:id="29"/>
      </w:r>
      <w:r w:rsidR="008B50AE" w:rsidRPr="00D946A5">
        <w:t xml:space="preserve">  The Commission </w:t>
      </w:r>
      <w:r w:rsidR="00681951">
        <w:t>has used</w:t>
      </w:r>
      <w:r w:rsidR="00681951" w:rsidRPr="00D946A5">
        <w:t xml:space="preserve"> </w:t>
      </w:r>
      <w:r w:rsidR="008B50AE" w:rsidRPr="00D946A5">
        <w:t xml:space="preserve">an initial </w:t>
      </w:r>
      <w:r w:rsidR="00865FE8" w:rsidRPr="00D946A5">
        <w:t xml:space="preserve">two-part </w:t>
      </w:r>
      <w:r w:rsidR="008B50AE" w:rsidRPr="00D946A5">
        <w:t>screen to help identify those markets that provide particular reason for further competitive analysis</w:t>
      </w:r>
      <w:r w:rsidR="00860101">
        <w:t>, but</w:t>
      </w:r>
      <w:r w:rsidR="008B50AE" w:rsidRPr="00D946A5">
        <w:t xml:space="preserve"> has not limited its consideration of potential competitive harms solely to markets identified by its initial screen, if it encounters other factors that may bear on the public inter</w:t>
      </w:r>
      <w:r w:rsidR="008B50AE" w:rsidRPr="00B4452D">
        <w:t>est inquiry.</w:t>
      </w:r>
      <w:r w:rsidR="008B50AE" w:rsidRPr="00B4452D">
        <w:rPr>
          <w:rStyle w:val="FootnoteReference"/>
        </w:rPr>
        <w:footnoteReference w:id="30"/>
      </w:r>
      <w:r w:rsidR="008B50AE" w:rsidRPr="00B4452D">
        <w:t xml:space="preserve"> </w:t>
      </w:r>
      <w:r w:rsidR="0086095F">
        <w:t xml:space="preserve"> </w:t>
      </w:r>
      <w:r w:rsidR="00F9326E" w:rsidRPr="00B4452D">
        <w:t xml:space="preserve">In the </w:t>
      </w:r>
      <w:r w:rsidR="00F9326E" w:rsidRPr="0086095F">
        <w:rPr>
          <w:i/>
        </w:rPr>
        <w:t>Mobile Spectrum Holdings Report and Order</w:t>
      </w:r>
      <w:r w:rsidR="00F9326E" w:rsidRPr="00B4452D">
        <w:t>, the Commission found that it is in the public interest to continue to use its initial spectrum screen and case-by-case review</w:t>
      </w:r>
      <w:r w:rsidR="00F9326E">
        <w:t>,</w:t>
      </w:r>
      <w:r w:rsidR="00F9326E">
        <w:rPr>
          <w:rStyle w:val="FootnoteReference"/>
        </w:rPr>
        <w:footnoteReference w:id="31"/>
      </w:r>
      <w:r w:rsidR="00F9326E">
        <w:t xml:space="preserve"> and, in addition,</w:t>
      </w:r>
      <w:r w:rsidR="00F9326E" w:rsidRPr="00B4452D">
        <w:t xml:space="preserve"> to </w:t>
      </w:r>
      <w:r w:rsidR="00F9326E">
        <w:t>require</w:t>
      </w:r>
      <w:r w:rsidR="00F9326E" w:rsidRPr="00B4452D">
        <w:t xml:space="preserve"> that any increase in spectrum holdings of below 1 GHz be treated as an “enhanced factor” </w:t>
      </w:r>
      <w:r w:rsidR="00F9326E">
        <w:t>in its review</w:t>
      </w:r>
      <w:r w:rsidR="00F9326E" w:rsidRPr="009E592D">
        <w:t xml:space="preserve"> </w:t>
      </w:r>
      <w:r w:rsidR="00F9326E" w:rsidRPr="007C28FE">
        <w:t xml:space="preserve">if post-transaction the acquiring entity would hold approximately one-third or more of </w:t>
      </w:r>
      <w:r w:rsidR="00F9326E">
        <w:t>such spectrum</w:t>
      </w:r>
      <w:r w:rsidR="00F9326E" w:rsidRPr="00607167">
        <w:t>.</w:t>
      </w:r>
      <w:r w:rsidR="00F9326E" w:rsidRPr="00B4452D">
        <w:rPr>
          <w:rStyle w:val="FootnoteReference"/>
        </w:rPr>
        <w:footnoteReference w:id="32"/>
      </w:r>
      <w:r w:rsidR="00F9326E">
        <w:t xml:space="preserve">  </w:t>
      </w:r>
      <w:r w:rsidR="00B64BD2">
        <w:t>The Commission stated that it anticipated “that</w:t>
      </w:r>
      <w:r w:rsidR="00B64BD2" w:rsidRPr="001800E5">
        <w:t xml:space="preserve"> </w:t>
      </w:r>
      <w:r w:rsidR="00B64BD2" w:rsidRPr="006A7868">
        <w:t>any entity that would end up with more than one third of below</w:t>
      </w:r>
      <w:r w:rsidR="00B64BD2">
        <w:t>-</w:t>
      </w:r>
      <w:r w:rsidR="00B64BD2" w:rsidRPr="006A7868">
        <w:t>1</w:t>
      </w:r>
      <w:r w:rsidR="00B64BD2">
        <w:t>-</w:t>
      </w:r>
      <w:r w:rsidR="00B64BD2" w:rsidRPr="006A7868">
        <w:t>GHz spectrum as a result of a proposed transaction would facilitate our case-by-case review with a detailed demonstration</w:t>
      </w:r>
      <w:r w:rsidR="00B64BD2">
        <w:t xml:space="preserve"> </w:t>
      </w:r>
      <w:r w:rsidR="00B64BD2" w:rsidRPr="006A7868">
        <w:t>regarding why the public interest benefits outweigh harms</w:t>
      </w:r>
      <w:r w:rsidR="00B64BD2">
        <w:t>.”</w:t>
      </w:r>
      <w:r w:rsidR="00B64BD2" w:rsidRPr="00894362">
        <w:rPr>
          <w:rStyle w:val="FootnoteReference"/>
          <w:szCs w:val="22"/>
        </w:rPr>
        <w:footnoteReference w:id="33"/>
      </w:r>
      <w:r w:rsidR="00B64BD2" w:rsidRPr="00C13869">
        <w:rPr>
          <w:rStyle w:val="StyleParaNumTimesNewRoman11ptChar"/>
          <w:szCs w:val="22"/>
          <w:lang w:eastAsia="x-none"/>
        </w:rPr>
        <w:t xml:space="preserve">  The Commission </w:t>
      </w:r>
      <w:r w:rsidR="00B64BD2">
        <w:rPr>
          <w:rStyle w:val="StyleParaNumTimesNewRoman11ptChar"/>
          <w:szCs w:val="22"/>
          <w:lang w:eastAsia="x-none"/>
        </w:rPr>
        <w:t xml:space="preserve">further </w:t>
      </w:r>
      <w:r w:rsidR="00B64BD2" w:rsidRPr="00C13869">
        <w:rPr>
          <w:rStyle w:val="StyleParaNumTimesNewRoman11ptChar"/>
          <w:szCs w:val="22"/>
          <w:lang w:eastAsia="x-none"/>
        </w:rPr>
        <w:t>stated, however, that whe</w:t>
      </w:r>
      <w:r w:rsidR="00B64BD2" w:rsidRPr="001800E5">
        <w:t>n the other factors ordinarily consider</w:t>
      </w:r>
      <w:r w:rsidR="00B64BD2">
        <w:t>ed</w:t>
      </w:r>
      <w:r w:rsidR="00B64BD2" w:rsidRPr="001800E5">
        <w:t xml:space="preserve"> indicate a low potential for competitive or other public interest harm, the acquisition of </w:t>
      </w:r>
      <w:r w:rsidR="00B64BD2">
        <w:t>below-1-GHz</w:t>
      </w:r>
      <w:r w:rsidR="00B64BD2" w:rsidRPr="001800E5">
        <w:t xml:space="preserve"> spectrum resulting in holdings of approximately one-third or more </w:t>
      </w:r>
      <w:r w:rsidR="00B64BD2">
        <w:t xml:space="preserve">would </w:t>
      </w:r>
      <w:r w:rsidR="00B64BD2" w:rsidRPr="001800E5">
        <w:t>not preclude a conclusion that a proposed transaction, on balance, furthers the public interest.</w:t>
      </w:r>
      <w:r w:rsidR="00B64BD2" w:rsidRPr="00894362">
        <w:rPr>
          <w:rStyle w:val="FootnoteReference"/>
          <w:szCs w:val="22"/>
        </w:rPr>
        <w:footnoteReference w:id="34"/>
      </w:r>
    </w:p>
    <w:p w14:paraId="7A8B7CCF" w14:textId="42C48708" w:rsidR="006E6DEB" w:rsidRPr="00087428" w:rsidRDefault="00B64BD2" w:rsidP="007A5852">
      <w:pPr>
        <w:pStyle w:val="ParaNum"/>
        <w:widowControl/>
      </w:pPr>
      <w:r w:rsidRPr="00087428">
        <w:t xml:space="preserve">The Commission stated in the </w:t>
      </w:r>
      <w:r w:rsidRPr="00087428">
        <w:rPr>
          <w:i/>
        </w:rPr>
        <w:t>Mobile Spectrum Holdings Report and Order</w:t>
      </w:r>
      <w:r w:rsidRPr="00087428">
        <w:t xml:space="preserve"> that low-band spectrum is </w:t>
      </w:r>
      <w:r w:rsidRPr="00087428">
        <w:rPr>
          <w:snapToGrid/>
        </w:rPr>
        <w:t>less costly to deploy and provides higher quality coverage than higher-band spectrum,</w:t>
      </w:r>
      <w:r w:rsidRPr="00087428">
        <w:rPr>
          <w:rStyle w:val="FootnoteReference"/>
        </w:rPr>
        <w:footnoteReference w:id="35"/>
      </w:r>
      <w:r w:rsidRPr="00087428">
        <w:rPr>
          <w:snapToGrid/>
        </w:rPr>
        <w:t xml:space="preserve"> and </w:t>
      </w:r>
      <w:r w:rsidR="00D40E2C">
        <w:rPr>
          <w:snapToGrid/>
        </w:rPr>
        <w:t xml:space="preserve">that </w:t>
      </w:r>
      <w:r w:rsidRPr="00087428">
        <w:rPr>
          <w:snapToGrid/>
        </w:rPr>
        <w:t xml:space="preserve">the </w:t>
      </w:r>
      <w:r w:rsidR="00570B19">
        <w:rPr>
          <w:snapToGrid/>
        </w:rPr>
        <w:t xml:space="preserve">two </w:t>
      </w:r>
      <w:r w:rsidRPr="00087428">
        <w:rPr>
          <w:snapToGrid/>
        </w:rPr>
        <w:t>leading nationwide providers hold most of the low-band spectrum available today.</w:t>
      </w:r>
      <w:r w:rsidRPr="00087428">
        <w:rPr>
          <w:rStyle w:val="FootnoteReference"/>
        </w:rPr>
        <w:footnoteReference w:id="36"/>
      </w:r>
      <w:r w:rsidRPr="00087428">
        <w:rPr>
          <w:snapToGrid/>
        </w:rPr>
        <w:t xml:space="preserve">  The Commission found that if they were to acquire all, or substantially all, of the remaining low-band spectrum, </w:t>
      </w:r>
      <w:r w:rsidRPr="00087428">
        <w:t>they would benefit, independently of any deployment, to the extent that rival service providers are denied its use.</w:t>
      </w:r>
      <w:r w:rsidRPr="00087428">
        <w:rPr>
          <w:rStyle w:val="FootnoteReference"/>
        </w:rPr>
        <w:footnoteReference w:id="37"/>
      </w:r>
      <w:r w:rsidRPr="00087428">
        <w:t xml:space="preserve">  As the Commission found, without access to this low-band spectrum, rival service providers that may lack a mix of low-band and higher-band spectrum would be less able to provide a robust competitive alternative, and </w:t>
      </w:r>
      <w:r w:rsidRPr="00087428">
        <w:rPr>
          <w:snapToGrid/>
        </w:rPr>
        <w:t>may not be able to quickly expand coverage or provide new services.</w:t>
      </w:r>
      <w:r w:rsidRPr="00087428">
        <w:rPr>
          <w:rStyle w:val="FootnoteReference"/>
        </w:rPr>
        <w:footnoteReference w:id="38"/>
      </w:r>
      <w:r w:rsidRPr="00087428">
        <w:t xml:space="preserve"> </w:t>
      </w:r>
      <w:r w:rsidRPr="00087428">
        <w:rPr>
          <w:snapToGrid/>
        </w:rPr>
        <w:t xml:space="preserve"> </w:t>
      </w:r>
      <w:r w:rsidRPr="00087428">
        <w:rPr>
          <w:szCs w:val="22"/>
        </w:rPr>
        <w:t xml:space="preserve">We consider below whether there would be an increased likelihood </w:t>
      </w:r>
      <w:r w:rsidR="00F9326E">
        <w:rPr>
          <w:szCs w:val="22"/>
        </w:rPr>
        <w:t xml:space="preserve">in these local market areas </w:t>
      </w:r>
      <w:r w:rsidRPr="00087428">
        <w:rPr>
          <w:szCs w:val="22"/>
        </w:rPr>
        <w:t>that rival service providers or potential entrants would be foreclosed from expanding capacity, deploying mobile broadband technologies, or entering the market, and whether rivals’ costs would be increased to the extent that they would be less likely to be able to compete robustly.</w:t>
      </w:r>
      <w:r w:rsidRPr="00087428">
        <w:rPr>
          <w:szCs w:val="22"/>
          <w:vertAlign w:val="superscript"/>
        </w:rPr>
        <w:footnoteReference w:id="39"/>
      </w:r>
    </w:p>
    <w:p w14:paraId="399AA626" w14:textId="6FC70DBB" w:rsidR="006831D7" w:rsidRPr="00CC58F6" w:rsidRDefault="00220725">
      <w:pPr>
        <w:pStyle w:val="Heading2"/>
      </w:pPr>
      <w:bookmarkStart w:id="111" w:name="_Toc403981897"/>
      <w:bookmarkStart w:id="112" w:name="_Toc403998349"/>
      <w:bookmarkStart w:id="113" w:name="_Toc403998436"/>
      <w:bookmarkStart w:id="114" w:name="_Toc404003260"/>
      <w:bookmarkStart w:id="115" w:name="_Toc404003540"/>
      <w:bookmarkStart w:id="116" w:name="_Toc404152161"/>
      <w:bookmarkStart w:id="117" w:name="_Toc405185089"/>
      <w:bookmarkStart w:id="118" w:name="_Toc405799108"/>
      <w:bookmarkStart w:id="119" w:name="_Toc405799335"/>
      <w:bookmarkStart w:id="120" w:name="_Toc405801050"/>
      <w:bookmarkStart w:id="121" w:name="_Toc406666076"/>
      <w:bookmarkStart w:id="122" w:name="_Toc406684864"/>
      <w:bookmarkStart w:id="123" w:name="_Toc408223997"/>
      <w:bookmarkStart w:id="124" w:name="_Toc408580995"/>
      <w:bookmarkStart w:id="125" w:name="_Toc410028418"/>
      <w:bookmarkStart w:id="126" w:name="_Toc410116642"/>
      <w:bookmarkStart w:id="127" w:name="_Toc410119624"/>
      <w:bookmarkStart w:id="128" w:name="_Toc410121765"/>
      <w:bookmarkStart w:id="129" w:name="_Toc410339624"/>
      <w:bookmarkStart w:id="130" w:name="_Toc411607353"/>
      <w:bookmarkStart w:id="131" w:name="_Toc412112243"/>
      <w:bookmarkStart w:id="132" w:name="_Toc412557586"/>
      <w:bookmarkStart w:id="133" w:name="_Toc412795161"/>
      <w:bookmarkStart w:id="134" w:name="_Toc412804071"/>
      <w:bookmarkStart w:id="135" w:name="_Toc413055731"/>
      <w:bookmarkStart w:id="136" w:name="_Toc413162330"/>
      <w:bookmarkStart w:id="137" w:name="_Toc413246202"/>
      <w:bookmarkStart w:id="138" w:name="_Toc413392963"/>
      <w:bookmarkStart w:id="139" w:name="_Toc413687486"/>
      <w:bookmarkStart w:id="140" w:name="_Toc414366750"/>
      <w:bookmarkStart w:id="141" w:name="_Toc414537579"/>
      <w:bookmarkStart w:id="142" w:name="_Toc415215765"/>
      <w:bookmarkStart w:id="143" w:name="_Toc415573190"/>
      <w:bookmarkStart w:id="144" w:name="_Toc425866213"/>
      <w:bookmarkStart w:id="145" w:name="_Toc426362206"/>
      <w:bookmarkStart w:id="146" w:name="_Toc429993871"/>
      <w:r w:rsidRPr="00CC58F6">
        <w:t>Market Definitions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FACE112" w14:textId="64C3E479" w:rsidR="00776FA2" w:rsidRPr="00087428" w:rsidRDefault="00C10D04" w:rsidP="005647FE">
      <w:pPr>
        <w:pStyle w:val="ParaNum"/>
        <w:widowControl/>
      </w:pPr>
      <w:r w:rsidRPr="00087428">
        <w:t>We begin our competitive analysis by determining the appropriate market definitions for the proposed transaction,</w:t>
      </w:r>
      <w:r w:rsidRPr="00087428">
        <w:rPr>
          <w:rStyle w:val="FootnoteReference"/>
        </w:rPr>
        <w:footnoteReference w:id="40"/>
      </w:r>
      <w:r w:rsidRPr="00087428">
        <w:t xml:space="preserve"> including a determination of the product market, the geographic market, the input market for spectrum suitable and available for the provision of mobile wireless services, and the market participants.</w:t>
      </w:r>
    </w:p>
    <w:p w14:paraId="1A8C6257" w14:textId="04C2530F" w:rsidR="00B616D8" w:rsidRPr="005C6BB9" w:rsidRDefault="002A1BA1" w:rsidP="00B616D8">
      <w:pPr>
        <w:pStyle w:val="ParaNum"/>
      </w:pPr>
      <w:r w:rsidRPr="00C42768">
        <w:rPr>
          <w:i/>
        </w:rPr>
        <w:t>Product and Geographic Market</w:t>
      </w:r>
      <w:r w:rsidR="00F9326E">
        <w:rPr>
          <w:i/>
        </w:rPr>
        <w:t>s</w:t>
      </w:r>
      <w:r>
        <w:t>.</w:t>
      </w:r>
      <w:r w:rsidRPr="00C42768">
        <w:rPr>
          <w:i/>
        </w:rPr>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41"/>
      </w:r>
      <w:r>
        <w:t xml:space="preserve">  In addition, </w:t>
      </w:r>
      <w:r w:rsidR="00DE5C3C">
        <w:t>in determining the relevant geographic market for the instant transaction,</w:t>
      </w:r>
      <w:r w:rsidR="00DE5C3C" w:rsidRPr="00C42768">
        <w:rPr>
          <w:color w:val="010101"/>
        </w:rPr>
        <w:t xml:space="preserve"> </w:t>
      </w:r>
      <w:r w:rsidRPr="00C42768">
        <w:rPr>
          <w:color w:val="010101"/>
        </w:rPr>
        <w:t>we find that the relevant geographic market is local</w:t>
      </w:r>
      <w:r w:rsidR="004D2330">
        <w:rPr>
          <w:color w:val="010101"/>
        </w:rPr>
        <w:t>.  The</w:t>
      </w:r>
      <w:r w:rsidRPr="00C42768">
        <w:rPr>
          <w:color w:val="010101"/>
        </w:rPr>
        <w:t xml:space="preserve"> Applicants are seeking Commission approval </w:t>
      </w:r>
      <w:r w:rsidR="00FF3816" w:rsidRPr="00C42768">
        <w:rPr>
          <w:color w:val="010101"/>
        </w:rPr>
        <w:t xml:space="preserve">of </w:t>
      </w:r>
      <w:r w:rsidRPr="00C42768">
        <w:rPr>
          <w:color w:val="010101"/>
        </w:rPr>
        <w:t xml:space="preserve">the proposed assignment of </w:t>
      </w:r>
      <w:r w:rsidR="00F12322" w:rsidRPr="00C42768">
        <w:rPr>
          <w:color w:val="010101"/>
        </w:rPr>
        <w:t>42 to 62</w:t>
      </w:r>
      <w:r w:rsidRPr="00C42768">
        <w:rPr>
          <w:color w:val="010101"/>
        </w:rPr>
        <w:t xml:space="preserve"> megahertz of spectrum</w:t>
      </w:r>
      <w:r w:rsidRPr="004D2330">
        <w:rPr>
          <w:szCs w:val="22"/>
        </w:rPr>
        <w:t xml:space="preserve"> </w:t>
      </w:r>
      <w:r w:rsidR="00FF3816" w:rsidRPr="004D2330">
        <w:rPr>
          <w:szCs w:val="22"/>
        </w:rPr>
        <w:t xml:space="preserve">that </w:t>
      </w:r>
      <w:r w:rsidR="00DE5C3C" w:rsidRPr="00C42768">
        <w:rPr>
          <w:szCs w:val="22"/>
        </w:rPr>
        <w:t xml:space="preserve">covers Guam and the Northern Mariana Islands, two local </w:t>
      </w:r>
      <w:r w:rsidR="0042190D">
        <w:rPr>
          <w:szCs w:val="22"/>
        </w:rPr>
        <w:t xml:space="preserve">non-contiguous </w:t>
      </w:r>
      <w:r w:rsidR="00901ED9">
        <w:rPr>
          <w:szCs w:val="22"/>
        </w:rPr>
        <w:t>CMAs</w:t>
      </w:r>
      <w:r w:rsidR="00DE5C3C" w:rsidRPr="00C42768">
        <w:rPr>
          <w:szCs w:val="22"/>
        </w:rPr>
        <w:t xml:space="preserve"> that account for well under one percent of the population of the United States and its </w:t>
      </w:r>
      <w:r w:rsidR="00C42768" w:rsidRPr="00C42768">
        <w:rPr>
          <w:szCs w:val="22"/>
        </w:rPr>
        <w:t>territories.</w:t>
      </w:r>
      <w:r w:rsidR="000B37F3">
        <w:rPr>
          <w:rStyle w:val="FootnoteReference"/>
        </w:rPr>
        <w:footnoteReference w:id="42"/>
      </w:r>
    </w:p>
    <w:p w14:paraId="2E088185" w14:textId="7DD21AA4" w:rsidR="0017666D" w:rsidRPr="00CF0899" w:rsidRDefault="00130A83" w:rsidP="00F70B27">
      <w:pPr>
        <w:pStyle w:val="ParaNum"/>
        <w:widowControl/>
        <w:tabs>
          <w:tab w:val="num" w:pos="0"/>
        </w:tabs>
      </w:pPr>
      <w:r w:rsidRPr="009076A2">
        <w:rPr>
          <w:i/>
        </w:rPr>
        <w:t xml:space="preserve">Input Market for Spectrum and Market Participants.  </w:t>
      </w:r>
      <w:r>
        <w:t xml:space="preserve">For our analysis, we include the spectrum </w:t>
      </w:r>
      <w:r w:rsidRPr="001800E5">
        <w:t xml:space="preserve">bands, or portions thereof, </w:t>
      </w:r>
      <w:r>
        <w:t>found in recent Commission orders as</w:t>
      </w:r>
      <w:r w:rsidRPr="001800E5">
        <w:t xml:space="preserve"> the </w:t>
      </w:r>
      <w:r>
        <w:t>input market.</w:t>
      </w:r>
      <w:r>
        <w:rPr>
          <w:rStyle w:val="FootnoteReference"/>
        </w:rPr>
        <w:footnoteReference w:id="43"/>
      </w:r>
      <w:r w:rsidRPr="001800E5">
        <w:t xml:space="preserve">  </w:t>
      </w:r>
      <w:r>
        <w:t>Similarly, w</w:t>
      </w:r>
      <w:r w:rsidRPr="009076A2">
        <w:rPr>
          <w:color w:val="010101"/>
        </w:rPr>
        <w:t xml:space="preserve">e </w:t>
      </w:r>
      <w:r>
        <w:rPr>
          <w:color w:val="010101"/>
        </w:rPr>
        <w:t xml:space="preserve">apply recent Commission precedent and </w:t>
      </w:r>
      <w:r w:rsidRPr="009076A2">
        <w:rPr>
          <w:color w:val="010101"/>
        </w:rPr>
        <w:t>consider facilities-based entities providing mobile telephony/broadband services using cellular,</w:t>
      </w:r>
      <w:r w:rsidRPr="0005491A">
        <w:rPr>
          <w:color w:val="010101"/>
        </w:rPr>
        <w:t xml:space="preserve"> PCS, SMR, 700</w:t>
      </w:r>
      <w:r w:rsidR="00E16DEB">
        <w:rPr>
          <w:color w:val="010101"/>
        </w:rPr>
        <w:t xml:space="preserve"> MHz, AWS-1, BRS, WCS, AWS-4, H </w:t>
      </w:r>
      <w:r w:rsidRPr="0005491A">
        <w:rPr>
          <w:color w:val="010101"/>
        </w:rPr>
        <w:t>Block, EBS, and AWS-3 and 600 MHz spectrum (as both the latter become available) to be market participants.</w:t>
      </w:r>
      <w:r>
        <w:rPr>
          <w:rStyle w:val="FootnoteReference"/>
        </w:rPr>
        <w:footnoteReference w:id="44"/>
      </w:r>
    </w:p>
    <w:p w14:paraId="72247CB0" w14:textId="77777777" w:rsidR="005261CA" w:rsidRPr="002F23AE" w:rsidRDefault="0004492D" w:rsidP="0004492D">
      <w:pPr>
        <w:pStyle w:val="Heading2"/>
      </w:pPr>
      <w:bookmarkStart w:id="147" w:name="_Toc403981900"/>
      <w:bookmarkStart w:id="148" w:name="_Toc403998356"/>
      <w:bookmarkStart w:id="149" w:name="_Toc403998443"/>
      <w:bookmarkStart w:id="150" w:name="_Toc404003267"/>
      <w:bookmarkStart w:id="151" w:name="_Toc404003547"/>
      <w:bookmarkStart w:id="152" w:name="_Toc404152168"/>
      <w:bookmarkStart w:id="153" w:name="_Toc405185096"/>
      <w:bookmarkStart w:id="154" w:name="_Toc405799111"/>
      <w:bookmarkStart w:id="155" w:name="_Toc405799338"/>
      <w:bookmarkStart w:id="156" w:name="_Toc405801053"/>
      <w:bookmarkStart w:id="157" w:name="_Toc406666079"/>
      <w:bookmarkStart w:id="158" w:name="_Toc406684867"/>
      <w:bookmarkStart w:id="159" w:name="_Toc408224000"/>
      <w:bookmarkStart w:id="160" w:name="_Toc408580998"/>
      <w:bookmarkStart w:id="161" w:name="_Toc410028421"/>
      <w:bookmarkStart w:id="162" w:name="_Toc410116645"/>
      <w:bookmarkStart w:id="163" w:name="_Toc410119627"/>
      <w:bookmarkStart w:id="164" w:name="_Toc410121768"/>
      <w:bookmarkStart w:id="165" w:name="_Toc410339627"/>
      <w:bookmarkStart w:id="166" w:name="_Toc411607356"/>
      <w:bookmarkStart w:id="167" w:name="_Toc412112246"/>
      <w:bookmarkStart w:id="168" w:name="_Toc412557589"/>
      <w:bookmarkStart w:id="169" w:name="_Toc412795164"/>
      <w:bookmarkStart w:id="170" w:name="_Toc412804074"/>
      <w:bookmarkStart w:id="171" w:name="_Toc413055734"/>
      <w:bookmarkStart w:id="172" w:name="_Toc413162333"/>
      <w:bookmarkStart w:id="173" w:name="_Toc413246205"/>
      <w:bookmarkStart w:id="174" w:name="_Toc413392966"/>
      <w:bookmarkStart w:id="175" w:name="_Toc413687489"/>
      <w:bookmarkStart w:id="176" w:name="_Toc414366753"/>
      <w:bookmarkStart w:id="177" w:name="_Toc414537582"/>
      <w:bookmarkStart w:id="178" w:name="_Toc415215768"/>
      <w:bookmarkStart w:id="179" w:name="_Toc415573193"/>
      <w:bookmarkStart w:id="180" w:name="_Toc425866214"/>
      <w:bookmarkStart w:id="181" w:name="_Toc426362207"/>
      <w:bookmarkStart w:id="182" w:name="_Toc429993872"/>
      <w:r w:rsidRPr="002F23AE">
        <w:t>Competitive Effects of the Proposed Transaction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EF1B372" w14:textId="22209120" w:rsidR="001D2563" w:rsidRPr="001D2563" w:rsidRDefault="001D2563" w:rsidP="00BE3EDA">
      <w:pPr>
        <w:pStyle w:val="ParaNum"/>
        <w:widowControl/>
        <w:rPr>
          <w:szCs w:val="22"/>
        </w:rPr>
      </w:pPr>
      <w:r>
        <w:rPr>
          <w:i/>
          <w:szCs w:val="22"/>
        </w:rPr>
        <w:t>Record.</w:t>
      </w:r>
      <w:r>
        <w:rPr>
          <w:szCs w:val="22"/>
        </w:rPr>
        <w:t xml:space="preserve">  The Applicants maintain that no competitors in the market would be lost since no customers currently are served </w:t>
      </w:r>
      <w:r w:rsidR="00877A7E">
        <w:rPr>
          <w:szCs w:val="22"/>
        </w:rPr>
        <w:t>using the licensed spectrum</w:t>
      </w:r>
      <w:r>
        <w:rPr>
          <w:szCs w:val="22"/>
        </w:rPr>
        <w:t>.</w:t>
      </w:r>
      <w:r>
        <w:rPr>
          <w:rStyle w:val="FootnoteReference"/>
          <w:szCs w:val="22"/>
        </w:rPr>
        <w:footnoteReference w:id="45"/>
      </w:r>
      <w:r>
        <w:rPr>
          <w:szCs w:val="22"/>
        </w:rPr>
        <w:t xml:space="preserve">  TeleGuam also asserts that it is at a competitive disadvantage in LTE deployment and that, to survive as a wireless provider, it </w:t>
      </w:r>
      <w:r w:rsidR="00346C51">
        <w:rPr>
          <w:szCs w:val="22"/>
        </w:rPr>
        <w:t>has to obtain additional spectrum.</w:t>
      </w:r>
      <w:r w:rsidR="00D91671">
        <w:rPr>
          <w:rStyle w:val="FootnoteReference"/>
          <w:szCs w:val="22"/>
        </w:rPr>
        <w:footnoteReference w:id="46"/>
      </w:r>
      <w:r w:rsidR="00470325">
        <w:rPr>
          <w:szCs w:val="22"/>
        </w:rPr>
        <w:t xml:space="preserve">  No petitions to deny or comments were received.</w:t>
      </w:r>
    </w:p>
    <w:p w14:paraId="6338EE2B" w14:textId="1279370E" w:rsidR="00AF650C" w:rsidRPr="006A5C5F" w:rsidRDefault="00BE3EDA" w:rsidP="00BE3EDA">
      <w:pPr>
        <w:pStyle w:val="ParaNum"/>
        <w:widowControl/>
        <w:rPr>
          <w:szCs w:val="22"/>
        </w:rPr>
      </w:pPr>
      <w:r>
        <w:rPr>
          <w:i/>
        </w:rPr>
        <w:t xml:space="preserve">Initial Review.  </w:t>
      </w:r>
      <w:r w:rsidR="00A712F4" w:rsidRPr="007F08C5">
        <w:t xml:space="preserve">As discussed above, </w:t>
      </w:r>
      <w:r w:rsidR="00694FA8">
        <w:t xml:space="preserve">to help identify those local markets in which competitive concerns are more likely, </w:t>
      </w:r>
      <w:r w:rsidR="00A712F4" w:rsidRPr="007F08C5">
        <w:t>we apply a</w:t>
      </w:r>
      <w:r w:rsidR="00373E11" w:rsidRPr="007F08C5">
        <w:t>n initial</w:t>
      </w:r>
      <w:r w:rsidR="00A712F4" w:rsidRPr="007F08C5">
        <w:t xml:space="preserve"> two-part screen</w:t>
      </w:r>
      <w:r w:rsidR="00F55602" w:rsidRPr="007F08C5">
        <w:t>,</w:t>
      </w:r>
      <w:r w:rsidR="00341232">
        <w:t xml:space="preserve"> and if </w:t>
      </w:r>
      <w:r w:rsidR="007F376A" w:rsidRPr="007F08C5">
        <w:t>the acquiring entity would increase its below-1-GHz spectrum holdings</w:t>
      </w:r>
      <w:r w:rsidR="00A712F4" w:rsidRPr="007F08C5">
        <w:t xml:space="preserve"> to </w:t>
      </w:r>
      <w:r w:rsidR="00694FA8">
        <w:t>hold approximately one-third or more of such spectrum post-transaction</w:t>
      </w:r>
      <w:r w:rsidR="00341232">
        <w:t>, we apply enhanced factor review</w:t>
      </w:r>
      <w:r w:rsidR="00A712F4" w:rsidRPr="007F08C5">
        <w:t>.</w:t>
      </w:r>
      <w:r w:rsidR="002D429D" w:rsidRPr="007F08C5">
        <w:rPr>
          <w:rStyle w:val="FootnoteReference"/>
        </w:rPr>
        <w:footnoteReference w:id="47"/>
      </w:r>
      <w:r w:rsidR="00A712F4" w:rsidRPr="007F08C5">
        <w:t xml:space="preserve">  </w:t>
      </w:r>
      <w:r w:rsidR="00744560" w:rsidRPr="005211DB">
        <w:t xml:space="preserve">The first part of the screen is based on the size of the post-transaction </w:t>
      </w:r>
      <w:r w:rsidR="00744560" w:rsidRPr="00D96CD7">
        <w:t>Herfindahl-Hirschman Index (“HHI”)</w:t>
      </w:r>
      <w:r w:rsidR="00744560" w:rsidRPr="005211DB">
        <w:t xml:space="preserve"> and the change in the HHI</w:t>
      </w:r>
      <w:r w:rsidR="00744560">
        <w:t>.</w:t>
      </w:r>
      <w:r w:rsidR="00744560">
        <w:rPr>
          <w:rStyle w:val="FootnoteReference"/>
        </w:rPr>
        <w:footnoteReference w:id="48"/>
      </w:r>
      <w:r w:rsidR="00744560">
        <w:t xml:space="preserve">  The </w:t>
      </w:r>
      <w:r w:rsidR="00744560" w:rsidRPr="005211DB">
        <w:t xml:space="preserve">second part of the </w:t>
      </w:r>
      <w:r w:rsidR="00744560">
        <w:t>screen, which is applied on a county-by-county basis,</w:t>
      </w:r>
      <w:r w:rsidR="00744560" w:rsidRPr="005211DB">
        <w:t xml:space="preserve"> identifies local markets where an entity would </w:t>
      </w:r>
      <w:r w:rsidR="00744560">
        <w:t>hold</w:t>
      </w:r>
      <w:r w:rsidR="00744560" w:rsidRPr="005211DB">
        <w:t xml:space="preserve"> approximately one-third </w:t>
      </w:r>
      <w:r w:rsidR="00744560">
        <w:t xml:space="preserve">or more </w:t>
      </w:r>
      <w:r w:rsidR="00744560" w:rsidRPr="005211DB">
        <w:t>of the total spectrum suitable and available for the provision of mobile telephony/broadband services</w:t>
      </w:r>
      <w:r w:rsidR="00744560">
        <w:t>, post-transaction</w:t>
      </w:r>
      <w:r w:rsidR="00744560" w:rsidRPr="005211DB">
        <w:t>.</w:t>
      </w:r>
      <w:r w:rsidR="00744560" w:rsidRPr="00CB1872">
        <w:rPr>
          <w:sz w:val="20"/>
          <w:vertAlign w:val="superscript"/>
        </w:rPr>
        <w:footnoteReference w:id="49"/>
      </w:r>
      <w:r w:rsidR="00744560" w:rsidRPr="00CB1872">
        <w:rPr>
          <w:sz w:val="20"/>
        </w:rPr>
        <w:t xml:space="preserve"> </w:t>
      </w:r>
      <w:r w:rsidR="00A712F4" w:rsidRPr="00CF3F0A">
        <w:t xml:space="preserve"> </w:t>
      </w:r>
      <w:r w:rsidR="00B33460">
        <w:t>In instances where an applicant</w:t>
      </w:r>
      <w:r w:rsidRPr="005211DB">
        <w:t xml:space="preserve"> is acquiring spectrum below 1 GHz, </w:t>
      </w:r>
      <w:r w:rsidRPr="004A0496">
        <w:rPr>
          <w:bCs/>
        </w:rPr>
        <w:t>we also carefully examine the possible competitive effects resulting from an increase in</w:t>
      </w:r>
      <w:r>
        <w:rPr>
          <w:bCs/>
        </w:rPr>
        <w:t xml:space="preserve"> below-1-GHz </w:t>
      </w:r>
      <w:r w:rsidRPr="004A0496">
        <w:rPr>
          <w:bCs/>
        </w:rPr>
        <w:t xml:space="preserve">spectrum holdings </w:t>
      </w:r>
      <w:r>
        <w:rPr>
          <w:bCs/>
        </w:rPr>
        <w:t xml:space="preserve">that would be </w:t>
      </w:r>
      <w:r>
        <w:t xml:space="preserve">above the threshold identified in the </w:t>
      </w:r>
      <w:r w:rsidRPr="005859B4">
        <w:rPr>
          <w:i/>
        </w:rPr>
        <w:t>Mobile Spectrum Holdings Report and Order</w:t>
      </w:r>
      <w:r w:rsidRPr="004A0496">
        <w:rPr>
          <w:bCs/>
        </w:rPr>
        <w:t>.</w:t>
      </w:r>
      <w:r w:rsidRPr="006A5E52">
        <w:rPr>
          <w:sz w:val="20"/>
          <w:vertAlign w:val="superscript"/>
        </w:rPr>
        <w:footnoteReference w:id="50"/>
      </w:r>
    </w:p>
    <w:p w14:paraId="1A15CD27" w14:textId="578366A7" w:rsidR="000B730D" w:rsidRPr="00F46736" w:rsidRDefault="00635810" w:rsidP="00D258D3">
      <w:pPr>
        <w:pStyle w:val="ParaNum"/>
        <w:widowControl/>
        <w:rPr>
          <w:szCs w:val="22"/>
        </w:rPr>
      </w:pPr>
      <w:r>
        <w:t xml:space="preserve">In the transaction before us, TeleGuam would acquire </w:t>
      </w:r>
      <w:r w:rsidR="00011B60">
        <w:t xml:space="preserve">22 megahertz of low-band spectrum </w:t>
      </w:r>
      <w:r w:rsidR="00C42768">
        <w:t xml:space="preserve">(and 20 to 40 megahertz of AWS-1 spectrum) </w:t>
      </w:r>
      <w:r w:rsidR="00011B60">
        <w:t xml:space="preserve">in two CMAs in the South Pacific.  </w:t>
      </w:r>
      <w:r w:rsidR="00BE3EDA">
        <w:t>As t</w:t>
      </w:r>
      <w:r w:rsidR="00BE3EDA" w:rsidRPr="00D96CD7">
        <w:t>he instant transaction do</w:t>
      </w:r>
      <w:r w:rsidR="00BE3EDA">
        <w:t>es</w:t>
      </w:r>
      <w:r w:rsidR="00BE3EDA" w:rsidRPr="00D96CD7">
        <w:t xml:space="preserve"> not result in the acquisition of wireless business units and customers, we do not apply </w:t>
      </w:r>
      <w:r w:rsidR="00BE3EDA">
        <w:t>the initial HHI</w:t>
      </w:r>
      <w:r w:rsidR="00BE3EDA" w:rsidRPr="00D96CD7">
        <w:t xml:space="preserve"> screen</w:t>
      </w:r>
      <w:r w:rsidR="00BE3EDA">
        <w:t xml:space="preserve">.  </w:t>
      </w:r>
      <w:r w:rsidR="00A8773D">
        <w:t>Next, e</w:t>
      </w:r>
      <w:r w:rsidR="00786046">
        <w:rPr>
          <w:szCs w:val="22"/>
        </w:rPr>
        <w:t xml:space="preserve">xamining the markets </w:t>
      </w:r>
      <w:r w:rsidR="00BE3EDA" w:rsidRPr="00A645E6">
        <w:rPr>
          <w:szCs w:val="22"/>
        </w:rPr>
        <w:t xml:space="preserve">on a county-by-county basis </w:t>
      </w:r>
      <w:r w:rsidR="00BE3EDA">
        <w:rPr>
          <w:szCs w:val="22"/>
        </w:rPr>
        <w:t xml:space="preserve">does </w:t>
      </w:r>
      <w:r w:rsidR="00BE3EDA" w:rsidRPr="00A645E6">
        <w:rPr>
          <w:szCs w:val="22"/>
        </w:rPr>
        <w:t xml:space="preserve">not result in </w:t>
      </w:r>
      <w:r w:rsidR="005830E2">
        <w:rPr>
          <w:szCs w:val="22"/>
        </w:rPr>
        <w:t>either</w:t>
      </w:r>
      <w:r w:rsidR="005830E2" w:rsidRPr="00A645E6">
        <w:rPr>
          <w:szCs w:val="22"/>
        </w:rPr>
        <w:t xml:space="preserve"> </w:t>
      </w:r>
      <w:r w:rsidR="00BE3EDA" w:rsidRPr="00A645E6">
        <w:rPr>
          <w:szCs w:val="22"/>
        </w:rPr>
        <w:t xml:space="preserve">market </w:t>
      </w:r>
      <w:r w:rsidR="00786046">
        <w:rPr>
          <w:szCs w:val="22"/>
        </w:rPr>
        <w:t>triggering the total spectrum screen</w:t>
      </w:r>
      <w:r w:rsidR="00BE3EDA" w:rsidRPr="00A645E6">
        <w:rPr>
          <w:szCs w:val="22"/>
        </w:rPr>
        <w:t xml:space="preserve">.  </w:t>
      </w:r>
      <w:r w:rsidR="00744560">
        <w:rPr>
          <w:szCs w:val="22"/>
        </w:rPr>
        <w:t>W</w:t>
      </w:r>
      <w:r w:rsidR="00BE3EDA">
        <w:rPr>
          <w:szCs w:val="22"/>
        </w:rPr>
        <w:t>e find</w:t>
      </w:r>
      <w:r w:rsidR="00744560">
        <w:rPr>
          <w:szCs w:val="22"/>
        </w:rPr>
        <w:t>, however, after review</w:t>
      </w:r>
      <w:r w:rsidR="00BE3EDA">
        <w:rPr>
          <w:szCs w:val="22"/>
        </w:rPr>
        <w:t xml:space="preserve"> on a county-by-county basis,</w:t>
      </w:r>
      <w:r w:rsidR="00744560">
        <w:rPr>
          <w:rStyle w:val="FootnoteReference"/>
          <w:szCs w:val="22"/>
        </w:rPr>
        <w:footnoteReference w:id="51"/>
      </w:r>
      <w:r w:rsidR="00BE3EDA">
        <w:rPr>
          <w:szCs w:val="22"/>
        </w:rPr>
        <w:t xml:space="preserve"> </w:t>
      </w:r>
      <w:r w:rsidR="00744560">
        <w:rPr>
          <w:szCs w:val="22"/>
        </w:rPr>
        <w:t xml:space="preserve">that </w:t>
      </w:r>
      <w:r w:rsidR="003E19FD">
        <w:rPr>
          <w:szCs w:val="22"/>
        </w:rPr>
        <w:t>TeleGuam</w:t>
      </w:r>
      <w:r w:rsidR="00BE3EDA">
        <w:rPr>
          <w:szCs w:val="22"/>
        </w:rPr>
        <w:t xml:space="preserve"> would hold more than one-third, or more than 45 megahertz, of the currently suitable and available </w:t>
      </w:r>
      <w:r w:rsidR="00BE3EDA">
        <w:t>below-1-GHz</w:t>
      </w:r>
      <w:r w:rsidR="00BE3EDA">
        <w:rPr>
          <w:szCs w:val="22"/>
        </w:rPr>
        <w:t xml:space="preserve"> spectrum </w:t>
      </w:r>
      <w:r w:rsidR="00786046">
        <w:rPr>
          <w:szCs w:val="22"/>
        </w:rPr>
        <w:t xml:space="preserve">post-transaction </w:t>
      </w:r>
      <w:r w:rsidR="00BE3EDA">
        <w:rPr>
          <w:szCs w:val="22"/>
        </w:rPr>
        <w:t xml:space="preserve">in </w:t>
      </w:r>
      <w:r w:rsidR="006C0C98">
        <w:rPr>
          <w:szCs w:val="22"/>
        </w:rPr>
        <w:t>one of the</w:t>
      </w:r>
      <w:r w:rsidR="009A56CE">
        <w:rPr>
          <w:szCs w:val="22"/>
        </w:rPr>
        <w:t xml:space="preserve"> </w:t>
      </w:r>
      <w:r w:rsidR="0058371B">
        <w:rPr>
          <w:szCs w:val="22"/>
        </w:rPr>
        <w:t xml:space="preserve">two </w:t>
      </w:r>
      <w:r w:rsidR="009A56CE">
        <w:rPr>
          <w:szCs w:val="22"/>
        </w:rPr>
        <w:t xml:space="preserve">CMAs </w:t>
      </w:r>
      <w:r w:rsidR="00786046">
        <w:rPr>
          <w:szCs w:val="22"/>
        </w:rPr>
        <w:t>–</w:t>
      </w:r>
      <w:r w:rsidR="009A56CE">
        <w:rPr>
          <w:szCs w:val="22"/>
        </w:rPr>
        <w:t xml:space="preserve"> CMA 732</w:t>
      </w:r>
      <w:r w:rsidR="00BE3EDA">
        <w:rPr>
          <w:szCs w:val="22"/>
        </w:rPr>
        <w:t xml:space="preserve"> (</w:t>
      </w:r>
      <w:r w:rsidR="009A56CE">
        <w:rPr>
          <w:szCs w:val="22"/>
        </w:rPr>
        <w:t>Guam</w:t>
      </w:r>
      <w:r w:rsidR="00BE3EDA">
        <w:rPr>
          <w:szCs w:val="22"/>
        </w:rPr>
        <w:t>)</w:t>
      </w:r>
      <w:r w:rsidR="00786046">
        <w:rPr>
          <w:szCs w:val="22"/>
        </w:rPr>
        <w:t xml:space="preserve"> – and therefore we look more closely at the potential competitive effects </w:t>
      </w:r>
      <w:r w:rsidR="00D40E2C">
        <w:rPr>
          <w:szCs w:val="22"/>
        </w:rPr>
        <w:t xml:space="preserve">of </w:t>
      </w:r>
      <w:r w:rsidR="00B37DFB">
        <w:rPr>
          <w:szCs w:val="22"/>
        </w:rPr>
        <w:t>this</w:t>
      </w:r>
      <w:r w:rsidR="00786046">
        <w:rPr>
          <w:szCs w:val="22"/>
        </w:rPr>
        <w:t xml:space="preserve"> </w:t>
      </w:r>
      <w:r w:rsidR="00387980">
        <w:rPr>
          <w:szCs w:val="22"/>
        </w:rPr>
        <w:t xml:space="preserve">spectrum </w:t>
      </w:r>
      <w:r w:rsidR="00786046">
        <w:rPr>
          <w:szCs w:val="22"/>
        </w:rPr>
        <w:t>holding</w:t>
      </w:r>
      <w:r w:rsidR="00BE3EDA">
        <w:rPr>
          <w:szCs w:val="22"/>
        </w:rPr>
        <w:t>.</w:t>
      </w:r>
      <w:r w:rsidR="00D615D8">
        <w:rPr>
          <w:rStyle w:val="FootnoteReference"/>
          <w:szCs w:val="22"/>
        </w:rPr>
        <w:footnoteReference w:id="52"/>
      </w:r>
    </w:p>
    <w:p w14:paraId="38B01777" w14:textId="478610DB" w:rsidR="00CA618A" w:rsidRDefault="00744560" w:rsidP="001676C3">
      <w:pPr>
        <w:pStyle w:val="ParaNum"/>
        <w:widowControl/>
        <w:rPr>
          <w:szCs w:val="22"/>
          <w:lang w:eastAsia="x-none"/>
        </w:rPr>
      </w:pPr>
      <w:r>
        <w:rPr>
          <w:rStyle w:val="StyleParaNumTimesNewRoman11ptChar"/>
          <w:i/>
          <w:szCs w:val="22"/>
          <w:lang w:eastAsia="x-none"/>
        </w:rPr>
        <w:t>Market</w:t>
      </w:r>
      <w:r w:rsidR="00C42768">
        <w:rPr>
          <w:rStyle w:val="StyleParaNumTimesNewRoman11ptChar"/>
          <w:i/>
          <w:szCs w:val="22"/>
          <w:lang w:eastAsia="x-none"/>
        </w:rPr>
        <w:t>-</w:t>
      </w:r>
      <w:r>
        <w:rPr>
          <w:rStyle w:val="StyleParaNumTimesNewRoman11ptChar"/>
          <w:i/>
          <w:szCs w:val="22"/>
          <w:lang w:eastAsia="x-none"/>
        </w:rPr>
        <w:t xml:space="preserve">Specific </w:t>
      </w:r>
      <w:r w:rsidR="00F02A2E">
        <w:rPr>
          <w:rStyle w:val="StyleParaNumTimesNewRoman11ptChar"/>
          <w:i/>
          <w:szCs w:val="22"/>
          <w:lang w:eastAsia="x-none"/>
        </w:rPr>
        <w:t xml:space="preserve">Review.  </w:t>
      </w:r>
      <w:r w:rsidR="00F02A2E" w:rsidRPr="00B30B1E">
        <w:rPr>
          <w:rStyle w:val="StyleParaNumTimesNewRoman11ptChar"/>
          <w:szCs w:val="22"/>
          <w:lang w:eastAsia="x-none"/>
        </w:rPr>
        <w:t>Generally, i</w:t>
      </w:r>
      <w:r w:rsidR="00F02A2E" w:rsidRPr="00B30B1E">
        <w:rPr>
          <w:szCs w:val="22"/>
        </w:rPr>
        <w:t xml:space="preserve">n undertaking our analysis, we consider various competitive variables that help to predict the likelihood of competitive harm post-transaction.  </w:t>
      </w:r>
      <w:r w:rsidR="00F02A2E" w:rsidRPr="00DA10F3">
        <w:rPr>
          <w:szCs w:val="22"/>
        </w:rPr>
        <w:t xml:space="preserve">These competitive variables include, but are not limited to: </w:t>
      </w:r>
      <w:r w:rsidR="00EF50F6">
        <w:rPr>
          <w:szCs w:val="22"/>
        </w:rPr>
        <w:t xml:space="preserve"> </w:t>
      </w:r>
      <w:r w:rsidR="00F02A2E" w:rsidRPr="00DA10F3">
        <w:rPr>
          <w:szCs w:val="22"/>
        </w:rPr>
        <w:t xml:space="preserve">the total number of rival service providers; </w:t>
      </w:r>
      <w:r w:rsidR="00F02A2E" w:rsidRPr="001800E5">
        <w:t>the number of rival firms that can offer competitive service plans</w:t>
      </w:r>
      <w:r w:rsidR="00F02A2E" w:rsidRPr="00B30B1E">
        <w:rPr>
          <w:szCs w:val="22"/>
        </w:rPr>
        <w:t>; the coverage by technology of the firms’ respective networks; the rival firms’ market shares; the combined entity’s post-transaction ma</w:t>
      </w:r>
      <w:r w:rsidR="00F02A2E" w:rsidRPr="00DA10F3">
        <w:rPr>
          <w:szCs w:val="22"/>
        </w:rPr>
        <w:t>rket share and how that share changes as a result of the transaction; the amount of spectrum suitable for the provision of mobile telephony/broadband services controlled by the combined entity</w:t>
      </w:r>
      <w:r w:rsidR="00F02A2E" w:rsidRPr="00B30B1E">
        <w:rPr>
          <w:szCs w:val="22"/>
        </w:rPr>
        <w:t>; and the spectrum holdings of each of the rival service providers.</w:t>
      </w:r>
      <w:r w:rsidR="00F02A2E">
        <w:rPr>
          <w:rStyle w:val="FootnoteReference"/>
          <w:szCs w:val="22"/>
        </w:rPr>
        <w:footnoteReference w:id="53"/>
      </w:r>
    </w:p>
    <w:p w14:paraId="0460D99F" w14:textId="5571C163" w:rsidR="00F02A2E" w:rsidRDefault="002512EC" w:rsidP="001676C3">
      <w:pPr>
        <w:pStyle w:val="ParaNum"/>
        <w:widowControl/>
        <w:rPr>
          <w:rStyle w:val="StyleParaNumTimesNewRoman11ptChar"/>
          <w:szCs w:val="22"/>
          <w:lang w:eastAsia="x-none"/>
        </w:rPr>
      </w:pPr>
      <w:r>
        <w:rPr>
          <w:kern w:val="0"/>
          <w:szCs w:val="22"/>
        </w:rPr>
        <w:t>Guam</w:t>
      </w:r>
      <w:r w:rsidRPr="00B2724E">
        <w:rPr>
          <w:kern w:val="0"/>
        </w:rPr>
        <w:t xml:space="preserve"> is a </w:t>
      </w:r>
      <w:r>
        <w:rPr>
          <w:kern w:val="0"/>
        </w:rPr>
        <w:t>non-</w:t>
      </w:r>
      <w:r w:rsidRPr="00B2724E">
        <w:rPr>
          <w:kern w:val="0"/>
        </w:rPr>
        <w:t xml:space="preserve">rural </w:t>
      </w:r>
      <w:r w:rsidRPr="001E5D5E">
        <w:t>market</w:t>
      </w:r>
      <w:r>
        <w:t xml:space="preserve"> </w:t>
      </w:r>
      <w:r w:rsidRPr="001E5D5E">
        <w:t xml:space="preserve">of approximately </w:t>
      </w:r>
      <w:r w:rsidR="00423CF3">
        <w:t>159</w:t>
      </w:r>
      <w:r>
        <w:t>,000</w:t>
      </w:r>
      <w:r w:rsidRPr="001E5D5E">
        <w:t xml:space="preserve"> people</w:t>
      </w:r>
      <w:r w:rsidR="002404D4">
        <w:t>, with a population density of 759 people per square mile</w:t>
      </w:r>
      <w:r w:rsidRPr="001E5D5E">
        <w:t>.</w:t>
      </w:r>
      <w:r w:rsidRPr="005211DB">
        <w:rPr>
          <w:rStyle w:val="FootnoteReference"/>
        </w:rPr>
        <w:footnoteReference w:id="54"/>
      </w:r>
      <w:r w:rsidRPr="001E5D5E">
        <w:t xml:space="preserve">  </w:t>
      </w:r>
      <w:r w:rsidR="00D4203B">
        <w:t xml:space="preserve">Four service providers have a significant market share:  </w:t>
      </w:r>
      <w:r w:rsidR="00A8773D">
        <w:t xml:space="preserve">Choice Phone, DoCoMo Pacific, PTI Pacifica, and </w:t>
      </w:r>
      <w:r>
        <w:t>TeleGuam</w:t>
      </w:r>
      <w:r w:rsidRPr="001E5D5E">
        <w:t xml:space="preserve"> </w:t>
      </w:r>
      <w:r w:rsidR="00A8773D">
        <w:t xml:space="preserve">each </w:t>
      </w:r>
      <w:r w:rsidRPr="001E5D5E">
        <w:t>hold approximately</w:t>
      </w:r>
      <w:r w:rsidR="00721844">
        <w:t xml:space="preserve"> </w:t>
      </w:r>
      <w:r w:rsidR="00E87575">
        <w:rPr>
          <w:b/>
        </w:rPr>
        <w:t>[REDACTED]</w:t>
      </w:r>
      <w:r w:rsidR="00332614" w:rsidRPr="00E87575">
        <w:t xml:space="preserve"> </w:t>
      </w:r>
      <w:r w:rsidR="00332614" w:rsidRPr="001E5D5E">
        <w:t>percent</w:t>
      </w:r>
      <w:r w:rsidR="006D0F82">
        <w:t xml:space="preserve"> of the market</w:t>
      </w:r>
      <w:r w:rsidR="00D4203B">
        <w:t>, respectively</w:t>
      </w:r>
      <w:r w:rsidR="00332614">
        <w:t xml:space="preserve">. </w:t>
      </w:r>
      <w:r w:rsidR="00332614" w:rsidRPr="001E5D5E">
        <w:t xml:space="preserve"> </w:t>
      </w:r>
      <w:r w:rsidRPr="001E5D5E">
        <w:t xml:space="preserve">Post-transaction, </w:t>
      </w:r>
      <w:r w:rsidR="00332614">
        <w:t>TeleGuam</w:t>
      </w:r>
      <w:r w:rsidRPr="001E5D5E">
        <w:t xml:space="preserve"> would hold </w:t>
      </w:r>
      <w:r w:rsidR="005F12D1">
        <w:t>97</w:t>
      </w:r>
      <w:r w:rsidRPr="001E5D5E">
        <w:t xml:space="preserve"> megahertz of spectrum in this CMA</w:t>
      </w:r>
      <w:r w:rsidR="005830E2">
        <w:t>,</w:t>
      </w:r>
      <w:r w:rsidR="00FB32BF">
        <w:t xml:space="preserve"> i</w:t>
      </w:r>
      <w:r w:rsidRPr="001E5D5E">
        <w:t xml:space="preserve">ncluding </w:t>
      </w:r>
      <w:r w:rsidR="005830E2">
        <w:t xml:space="preserve">25 </w:t>
      </w:r>
      <w:r w:rsidRPr="001E5D5E">
        <w:t xml:space="preserve">megahertz of </w:t>
      </w:r>
      <w:r w:rsidR="005830E2">
        <w:t xml:space="preserve">cellular </w:t>
      </w:r>
      <w:r w:rsidRPr="001E5D5E">
        <w:t>spectrum</w:t>
      </w:r>
      <w:r w:rsidR="005830E2">
        <w:t xml:space="preserve"> and 22 megahertz of Upper 700 MHz spectrum.  Further, </w:t>
      </w:r>
      <w:r w:rsidR="006D0F82">
        <w:t xml:space="preserve">Choice Phone holds 32 megahertz of spectrum (including </w:t>
      </w:r>
      <w:r w:rsidR="005830E2">
        <w:t xml:space="preserve">12 megahertz of Lower 700 MHz spectrum), </w:t>
      </w:r>
      <w:r w:rsidR="005F12D1">
        <w:t xml:space="preserve">DoCoMo Pacific </w:t>
      </w:r>
      <w:r w:rsidRPr="001E5D5E">
        <w:t>hold</w:t>
      </w:r>
      <w:r w:rsidR="005F12D1">
        <w:t>s</w:t>
      </w:r>
      <w:r w:rsidRPr="001E5D5E">
        <w:t xml:space="preserve"> </w:t>
      </w:r>
      <w:r w:rsidR="00710039">
        <w:t>117</w:t>
      </w:r>
      <w:r w:rsidR="00710039" w:rsidRPr="001E5D5E">
        <w:t xml:space="preserve"> </w:t>
      </w:r>
      <w:r w:rsidRPr="001E5D5E">
        <w:t>megahertz of spectrum</w:t>
      </w:r>
      <w:r w:rsidR="00D4203B">
        <w:t xml:space="preserve"> (including </w:t>
      </w:r>
      <w:r w:rsidR="005830E2">
        <w:t xml:space="preserve">25 </w:t>
      </w:r>
      <w:r w:rsidR="00D4203B">
        <w:t xml:space="preserve">megahertz of </w:t>
      </w:r>
      <w:r w:rsidR="002A4836">
        <w:t>cellular spectrum</w:t>
      </w:r>
      <w:r w:rsidR="005830E2">
        <w:t xml:space="preserve"> and 12 megahertz of Lower 700 MHz spectrum</w:t>
      </w:r>
      <w:r w:rsidR="00D4203B">
        <w:t>),</w:t>
      </w:r>
      <w:r w:rsidR="005F12D1">
        <w:t xml:space="preserve"> </w:t>
      </w:r>
      <w:r w:rsidR="006D0F82">
        <w:t xml:space="preserve">and </w:t>
      </w:r>
      <w:r w:rsidR="00D4203B">
        <w:t>P</w:t>
      </w:r>
      <w:r w:rsidR="005F12D1">
        <w:t xml:space="preserve">TI Pacifica holds </w:t>
      </w:r>
      <w:r w:rsidR="00710039">
        <w:t xml:space="preserve">82 </w:t>
      </w:r>
      <w:r w:rsidR="005F12D1">
        <w:t>megahertz of spectrum</w:t>
      </w:r>
      <w:r w:rsidR="00D4203B">
        <w:t xml:space="preserve"> (including 12 megahertz of </w:t>
      </w:r>
      <w:r w:rsidR="005830E2">
        <w:t xml:space="preserve">Lower 700 MHz </w:t>
      </w:r>
      <w:r w:rsidR="00D4203B">
        <w:t>spectrum</w:t>
      </w:r>
      <w:r w:rsidR="005057C0">
        <w:t>)</w:t>
      </w:r>
      <w:r w:rsidRPr="001E5D5E">
        <w:t>.</w:t>
      </w:r>
      <w:r w:rsidR="00DC0D80">
        <w:rPr>
          <w:rStyle w:val="FootnoteReference"/>
        </w:rPr>
        <w:footnoteReference w:id="55"/>
      </w:r>
      <w:r>
        <w:t xml:space="preserve">  </w:t>
      </w:r>
      <w:r w:rsidRPr="001B4E1D">
        <w:t>In terms of population and land area coverage,</w:t>
      </w:r>
      <w:r>
        <w:t xml:space="preserve"> </w:t>
      </w:r>
      <w:r w:rsidR="00D64B59">
        <w:t xml:space="preserve">TeleGuam, DoCoMo Pacific, and PTI Pacifica </w:t>
      </w:r>
      <w:r>
        <w:t>have significant 3G coverage.</w:t>
      </w:r>
      <w:r>
        <w:rPr>
          <w:rStyle w:val="FootnoteReference"/>
        </w:rPr>
        <w:footnoteReference w:id="56"/>
      </w:r>
      <w:r w:rsidRPr="001B4E1D">
        <w:t xml:space="preserve"> </w:t>
      </w:r>
      <w:r>
        <w:t xml:space="preserve"> </w:t>
      </w:r>
      <w:r w:rsidR="00D64B59">
        <w:t>TeleGuam</w:t>
      </w:r>
      <w:r w:rsidRPr="001B4E1D">
        <w:t xml:space="preserve"> covers </w:t>
      </w:r>
      <w:r w:rsidR="0030139A">
        <w:t>approximately 98</w:t>
      </w:r>
      <w:r w:rsidR="0030139A" w:rsidRPr="001B4E1D">
        <w:t xml:space="preserve"> </w:t>
      </w:r>
      <w:r w:rsidRPr="001B4E1D">
        <w:t xml:space="preserve">percent of the population and </w:t>
      </w:r>
      <w:r w:rsidR="00FB32BF">
        <w:t xml:space="preserve">88 </w:t>
      </w:r>
      <w:r w:rsidR="00D64B59">
        <w:t>percent of the</w:t>
      </w:r>
      <w:r w:rsidRPr="001B4E1D">
        <w:t xml:space="preserve"> land area with its 3G network, while the </w:t>
      </w:r>
      <w:r>
        <w:t xml:space="preserve">comparable </w:t>
      </w:r>
      <w:r w:rsidRPr="001B4E1D">
        <w:t xml:space="preserve">3G </w:t>
      </w:r>
      <w:r>
        <w:t>network</w:t>
      </w:r>
      <w:r w:rsidRPr="001B4E1D">
        <w:t xml:space="preserve"> coverage percentages are approximately </w:t>
      </w:r>
      <w:r w:rsidR="0030139A">
        <w:t xml:space="preserve">99 </w:t>
      </w:r>
      <w:r w:rsidR="00D64B59">
        <w:t xml:space="preserve">percent and </w:t>
      </w:r>
      <w:r w:rsidR="00FB32BF">
        <w:t>79</w:t>
      </w:r>
      <w:r w:rsidR="00FB32BF" w:rsidRPr="001B4E1D">
        <w:t xml:space="preserve"> </w:t>
      </w:r>
      <w:r w:rsidRPr="001B4E1D">
        <w:t xml:space="preserve">percent for </w:t>
      </w:r>
      <w:r w:rsidR="00D64B59">
        <w:t>DoCoMo Pacific</w:t>
      </w:r>
      <w:r w:rsidRPr="001B4E1D">
        <w:t xml:space="preserve">, </w:t>
      </w:r>
      <w:r>
        <w:t xml:space="preserve">and </w:t>
      </w:r>
      <w:r w:rsidRPr="001B4E1D">
        <w:t xml:space="preserve">approximately </w:t>
      </w:r>
      <w:r w:rsidR="0030139A">
        <w:t>100</w:t>
      </w:r>
      <w:r w:rsidR="0030139A" w:rsidRPr="001B4E1D">
        <w:t xml:space="preserve"> </w:t>
      </w:r>
      <w:r w:rsidRPr="001B4E1D">
        <w:t xml:space="preserve">percent and </w:t>
      </w:r>
      <w:r w:rsidR="00FB32BF">
        <w:t>92</w:t>
      </w:r>
      <w:r w:rsidR="00FB32BF" w:rsidRPr="001B4E1D">
        <w:t xml:space="preserve"> </w:t>
      </w:r>
      <w:r w:rsidRPr="001B4E1D">
        <w:t xml:space="preserve">percent for </w:t>
      </w:r>
      <w:r w:rsidR="00D64B59">
        <w:t>PTI Pacifica</w:t>
      </w:r>
      <w:r>
        <w:t>.</w:t>
      </w:r>
      <w:r w:rsidRPr="001B4E1D">
        <w:t xml:space="preserve">  </w:t>
      </w:r>
      <w:r w:rsidRPr="000E5645">
        <w:t xml:space="preserve">In addition, </w:t>
      </w:r>
      <w:r w:rsidR="004D2330">
        <w:t xml:space="preserve">TeleGuam and Choice Phone have significant LTE coverage:  </w:t>
      </w:r>
      <w:r w:rsidR="00484639">
        <w:t xml:space="preserve">TeleGuam covers approximately </w:t>
      </w:r>
      <w:r w:rsidR="00FB32BF">
        <w:t xml:space="preserve">91 </w:t>
      </w:r>
      <w:r w:rsidR="00484639">
        <w:t xml:space="preserve">percent of the population and </w:t>
      </w:r>
      <w:r w:rsidR="00FB32BF">
        <w:t xml:space="preserve">61 </w:t>
      </w:r>
      <w:r w:rsidR="00484639">
        <w:t xml:space="preserve">percent of the land area with LTE, and </w:t>
      </w:r>
      <w:r w:rsidR="000E5645" w:rsidRPr="000E5645">
        <w:rPr>
          <w:szCs w:val="22"/>
        </w:rPr>
        <w:t xml:space="preserve">Choice Phone </w:t>
      </w:r>
      <w:r w:rsidRPr="000E5645">
        <w:rPr>
          <w:szCs w:val="22"/>
        </w:rPr>
        <w:t xml:space="preserve">covers </w:t>
      </w:r>
      <w:r w:rsidR="000E5645" w:rsidRPr="000E5645">
        <w:rPr>
          <w:szCs w:val="22"/>
        </w:rPr>
        <w:t xml:space="preserve">approximately 91 </w:t>
      </w:r>
      <w:r w:rsidRPr="000E5645">
        <w:rPr>
          <w:szCs w:val="22"/>
        </w:rPr>
        <w:t xml:space="preserve">percent of the population and </w:t>
      </w:r>
      <w:r w:rsidR="000E5645" w:rsidRPr="000E5645">
        <w:rPr>
          <w:szCs w:val="22"/>
        </w:rPr>
        <w:t xml:space="preserve">58 percent of </w:t>
      </w:r>
      <w:r w:rsidR="00E16DEB">
        <w:rPr>
          <w:szCs w:val="22"/>
        </w:rPr>
        <w:t>the land area with LTE.</w:t>
      </w:r>
    </w:p>
    <w:p w14:paraId="652DAF6C" w14:textId="64BE7908" w:rsidR="00851031" w:rsidRPr="00057C79" w:rsidRDefault="00142A30" w:rsidP="00142A30">
      <w:pPr>
        <w:pStyle w:val="ParaNum"/>
        <w:widowControl/>
        <w:autoSpaceDE w:val="0"/>
        <w:autoSpaceDN w:val="0"/>
        <w:adjustRightInd w:val="0"/>
        <w:rPr>
          <w:snapToGrid/>
          <w:kern w:val="0"/>
          <w:szCs w:val="22"/>
        </w:rPr>
      </w:pPr>
      <w:r w:rsidRPr="00ED08A4">
        <w:t>We find that</w:t>
      </w:r>
      <w:r w:rsidR="00FB32BF">
        <w:t>,</w:t>
      </w:r>
      <w:r w:rsidRPr="00ED08A4">
        <w:t xml:space="preserve"> </w:t>
      </w:r>
      <w:r w:rsidRPr="00057C79">
        <w:rPr>
          <w:szCs w:val="22"/>
        </w:rPr>
        <w:t xml:space="preserve">notwithstanding the fact that </w:t>
      </w:r>
      <w:r w:rsidR="003E19FD">
        <w:rPr>
          <w:szCs w:val="22"/>
        </w:rPr>
        <w:t>TeleGuam</w:t>
      </w:r>
      <w:r w:rsidRPr="00057C79">
        <w:rPr>
          <w:szCs w:val="22"/>
        </w:rPr>
        <w:t xml:space="preserve"> would hold </w:t>
      </w:r>
      <w:r w:rsidR="00877A7E">
        <w:rPr>
          <w:szCs w:val="22"/>
        </w:rPr>
        <w:t>more than one-third</w:t>
      </w:r>
      <w:r w:rsidRPr="00057C79">
        <w:rPr>
          <w:szCs w:val="22"/>
        </w:rPr>
        <w:t xml:space="preserve"> of </w:t>
      </w:r>
      <w:r w:rsidR="00877A7E">
        <w:rPr>
          <w:szCs w:val="22"/>
        </w:rPr>
        <w:t xml:space="preserve">the </w:t>
      </w:r>
      <w:r w:rsidRPr="00ED08A4">
        <w:t>below-1-GHz</w:t>
      </w:r>
      <w:r w:rsidRPr="00057C79">
        <w:rPr>
          <w:szCs w:val="22"/>
        </w:rPr>
        <w:t xml:space="preserve"> spectrum post-transaction in </w:t>
      </w:r>
      <w:r w:rsidR="00FB32BF">
        <w:rPr>
          <w:szCs w:val="22"/>
        </w:rPr>
        <w:t>Guam</w:t>
      </w:r>
      <w:r w:rsidRPr="00057C79">
        <w:rPr>
          <w:szCs w:val="22"/>
        </w:rPr>
        <w:t>,</w:t>
      </w:r>
      <w:r w:rsidRPr="00ED08A4">
        <w:t xml:space="preserve"> the likelihood of competitive harm is low </w:t>
      </w:r>
      <w:r w:rsidRPr="00057C79">
        <w:rPr>
          <w:szCs w:val="22"/>
        </w:rPr>
        <w:t>when evaluating the particular fact</w:t>
      </w:r>
      <w:r w:rsidR="00D648AA">
        <w:rPr>
          <w:szCs w:val="22"/>
        </w:rPr>
        <w:t>or</w:t>
      </w:r>
      <w:r w:rsidRPr="00057C79">
        <w:rPr>
          <w:szCs w:val="22"/>
        </w:rPr>
        <w:t>s ordinarily considered.</w:t>
      </w:r>
      <w:r w:rsidR="00434721">
        <w:rPr>
          <w:rStyle w:val="FootnoteReference"/>
          <w:szCs w:val="22"/>
        </w:rPr>
        <w:footnoteReference w:id="57"/>
      </w:r>
      <w:r w:rsidRPr="00057C79">
        <w:rPr>
          <w:szCs w:val="22"/>
        </w:rPr>
        <w:t xml:space="preserve">  </w:t>
      </w:r>
      <w:r w:rsidR="00285568" w:rsidRPr="00CE6A10">
        <w:rPr>
          <w:szCs w:val="22"/>
        </w:rPr>
        <w:t>In addition</w:t>
      </w:r>
      <w:r w:rsidR="000F71F8">
        <w:rPr>
          <w:szCs w:val="22"/>
        </w:rPr>
        <w:t xml:space="preserve"> to TeleGuam</w:t>
      </w:r>
      <w:r w:rsidR="00285568" w:rsidRPr="00CE6A10">
        <w:rPr>
          <w:szCs w:val="22"/>
        </w:rPr>
        <w:t xml:space="preserve">, </w:t>
      </w:r>
      <w:r w:rsidR="000F71F8">
        <w:rPr>
          <w:szCs w:val="22"/>
        </w:rPr>
        <w:t xml:space="preserve">there are three other </w:t>
      </w:r>
      <w:r w:rsidR="007023E8">
        <w:rPr>
          <w:szCs w:val="22"/>
        </w:rPr>
        <w:t xml:space="preserve">service </w:t>
      </w:r>
      <w:r w:rsidR="000F71F8">
        <w:rPr>
          <w:szCs w:val="22"/>
        </w:rPr>
        <w:t xml:space="preserve">providers with </w:t>
      </w:r>
      <w:r w:rsidR="00FB32BF">
        <w:rPr>
          <w:szCs w:val="22"/>
        </w:rPr>
        <w:t xml:space="preserve">significant </w:t>
      </w:r>
      <w:r w:rsidR="000F71F8">
        <w:rPr>
          <w:szCs w:val="22"/>
        </w:rPr>
        <w:t>market share</w:t>
      </w:r>
      <w:r w:rsidR="00FB32BF">
        <w:rPr>
          <w:szCs w:val="22"/>
        </w:rPr>
        <w:t>s</w:t>
      </w:r>
      <w:r w:rsidR="000F71F8">
        <w:rPr>
          <w:szCs w:val="22"/>
        </w:rPr>
        <w:t xml:space="preserve">, and </w:t>
      </w:r>
      <w:r w:rsidR="00043B7D">
        <w:rPr>
          <w:szCs w:val="22"/>
        </w:rPr>
        <w:t>all three</w:t>
      </w:r>
      <w:r w:rsidR="00FB32BF">
        <w:rPr>
          <w:szCs w:val="22"/>
        </w:rPr>
        <w:t xml:space="preserve"> service providers </w:t>
      </w:r>
      <w:r w:rsidR="00043B7D">
        <w:rPr>
          <w:szCs w:val="22"/>
        </w:rPr>
        <w:t>hold</w:t>
      </w:r>
      <w:r w:rsidR="00FB32BF">
        <w:rPr>
          <w:szCs w:val="22"/>
        </w:rPr>
        <w:t xml:space="preserve"> low-band </w:t>
      </w:r>
      <w:r w:rsidR="000F71F8" w:rsidRPr="00057C79">
        <w:rPr>
          <w:szCs w:val="22"/>
        </w:rPr>
        <w:t>spectrum</w:t>
      </w:r>
      <w:r w:rsidR="000F71F8">
        <w:rPr>
          <w:szCs w:val="22"/>
        </w:rPr>
        <w:t xml:space="preserve">.  </w:t>
      </w:r>
      <w:r w:rsidR="00043B7D">
        <w:rPr>
          <w:szCs w:val="22"/>
        </w:rPr>
        <w:t>Further</w:t>
      </w:r>
      <w:r w:rsidR="004D2330">
        <w:rPr>
          <w:szCs w:val="22"/>
        </w:rPr>
        <w:t xml:space="preserve">, </w:t>
      </w:r>
      <w:r w:rsidR="00043B7D">
        <w:rPr>
          <w:szCs w:val="22"/>
        </w:rPr>
        <w:t>in addition to TeleGuam, three</w:t>
      </w:r>
      <w:r w:rsidR="004D2330">
        <w:rPr>
          <w:szCs w:val="22"/>
        </w:rPr>
        <w:t xml:space="preserve"> </w:t>
      </w:r>
      <w:r w:rsidR="00043B7D">
        <w:rPr>
          <w:szCs w:val="22"/>
        </w:rPr>
        <w:t xml:space="preserve">other </w:t>
      </w:r>
      <w:r w:rsidR="004D2330">
        <w:rPr>
          <w:szCs w:val="22"/>
        </w:rPr>
        <w:t xml:space="preserve">service providers currently have significant 3G or LTE population and land area coverage in Guam.  </w:t>
      </w:r>
      <w:r w:rsidR="002404D4" w:rsidRPr="009E1183">
        <w:rPr>
          <w:szCs w:val="22"/>
        </w:rPr>
        <w:t xml:space="preserve">Moreover, as the Commission noted in the </w:t>
      </w:r>
      <w:r w:rsidR="002404D4" w:rsidRPr="009E1183">
        <w:rPr>
          <w:i/>
          <w:szCs w:val="22"/>
        </w:rPr>
        <w:t>Mobile Spectrum Holdings R&amp;O</w:t>
      </w:r>
      <w:r w:rsidR="002404D4" w:rsidRPr="009E1183">
        <w:rPr>
          <w:szCs w:val="22"/>
        </w:rPr>
        <w:t>, n</w:t>
      </w:r>
      <w:r w:rsidR="002404D4" w:rsidRPr="001800E5">
        <w:t xml:space="preserve">on-nationwide service providers present a significantly lower risk of effectively denying access </w:t>
      </w:r>
      <w:r w:rsidR="002404D4">
        <w:t>to</w:t>
      </w:r>
      <w:r w:rsidR="002404D4" w:rsidRPr="001800E5">
        <w:t xml:space="preserve"> low</w:t>
      </w:r>
      <w:r w:rsidR="003B1F99">
        <w:t>-</w:t>
      </w:r>
      <w:r w:rsidR="002404D4" w:rsidRPr="001800E5">
        <w:t>band spectrum to competitors because of their relative lack of resources.</w:t>
      </w:r>
      <w:r w:rsidR="002404D4" w:rsidRPr="001800E5">
        <w:rPr>
          <w:vertAlign w:val="superscript"/>
        </w:rPr>
        <w:footnoteReference w:id="58"/>
      </w:r>
      <w:r w:rsidR="002404D4" w:rsidRPr="001800E5">
        <w:t xml:space="preserve"> </w:t>
      </w:r>
      <w:r w:rsidR="002404D4">
        <w:t xml:space="preserve"> </w:t>
      </w:r>
      <w:r w:rsidR="001F704D">
        <w:rPr>
          <w:szCs w:val="22"/>
        </w:rPr>
        <w:t xml:space="preserve">We find that TeleGuam’s acquisition of this spectrum is unlikely to foreclose rival service providers from entering or expanding in </w:t>
      </w:r>
      <w:r w:rsidR="007023E8">
        <w:rPr>
          <w:szCs w:val="22"/>
        </w:rPr>
        <w:t>Guam</w:t>
      </w:r>
      <w:r w:rsidR="001F704D">
        <w:rPr>
          <w:szCs w:val="22"/>
        </w:rPr>
        <w:t>, and is unlikely to raise rivals’ costs.  F</w:t>
      </w:r>
      <w:r w:rsidRPr="00057C79">
        <w:rPr>
          <w:szCs w:val="22"/>
        </w:rPr>
        <w:t xml:space="preserve">or these reasons, we find that the proposed transaction is unlikely to materially lessen the ability of rival service providers to respond to any anticompetitive behavior on the part of </w:t>
      </w:r>
      <w:r w:rsidR="003E19FD">
        <w:rPr>
          <w:szCs w:val="22"/>
        </w:rPr>
        <w:t>TeleGuam</w:t>
      </w:r>
      <w:r w:rsidRPr="00057C79">
        <w:rPr>
          <w:szCs w:val="22"/>
        </w:rPr>
        <w:t xml:space="preserve"> in </w:t>
      </w:r>
      <w:r w:rsidR="00F84CD3">
        <w:rPr>
          <w:szCs w:val="22"/>
        </w:rPr>
        <w:t>this local market</w:t>
      </w:r>
      <w:r w:rsidRPr="00057C79">
        <w:rPr>
          <w:szCs w:val="22"/>
        </w:rPr>
        <w:t>.</w:t>
      </w:r>
    </w:p>
    <w:p w14:paraId="4496D510" w14:textId="77777777" w:rsidR="0004492D" w:rsidRPr="00851031" w:rsidRDefault="00AD74AF" w:rsidP="00AD74AF">
      <w:pPr>
        <w:pStyle w:val="Heading1"/>
      </w:pPr>
      <w:bookmarkStart w:id="183" w:name="_Toc403981904"/>
      <w:bookmarkStart w:id="184" w:name="_Toc403998360"/>
      <w:bookmarkStart w:id="185" w:name="_Toc403998447"/>
      <w:bookmarkStart w:id="186" w:name="_Toc404003271"/>
      <w:bookmarkStart w:id="187" w:name="_Toc404003551"/>
      <w:bookmarkStart w:id="188" w:name="_Toc404152172"/>
      <w:bookmarkStart w:id="189" w:name="_Toc405185100"/>
      <w:bookmarkStart w:id="190" w:name="_Toc405799114"/>
      <w:bookmarkStart w:id="191" w:name="_Toc405799341"/>
      <w:bookmarkStart w:id="192" w:name="_Toc405801056"/>
      <w:bookmarkStart w:id="193" w:name="_Toc406666083"/>
      <w:bookmarkStart w:id="194" w:name="_Toc406684871"/>
      <w:bookmarkStart w:id="195" w:name="_Toc408224004"/>
      <w:bookmarkStart w:id="196" w:name="_Toc408581002"/>
      <w:bookmarkStart w:id="197" w:name="_Toc410028425"/>
      <w:bookmarkStart w:id="198" w:name="_Toc410116649"/>
      <w:bookmarkStart w:id="199" w:name="_Toc410119631"/>
      <w:bookmarkStart w:id="200" w:name="_Toc410121772"/>
      <w:bookmarkStart w:id="201" w:name="_Toc410339631"/>
      <w:bookmarkStart w:id="202" w:name="_Toc411607360"/>
      <w:bookmarkStart w:id="203" w:name="_Toc412112250"/>
      <w:bookmarkStart w:id="204" w:name="_Toc412557593"/>
      <w:bookmarkStart w:id="205" w:name="_Toc412795168"/>
      <w:bookmarkStart w:id="206" w:name="_Toc412804078"/>
      <w:bookmarkStart w:id="207" w:name="_Toc413055738"/>
      <w:bookmarkStart w:id="208" w:name="_Toc413162337"/>
      <w:bookmarkStart w:id="209" w:name="_Toc413246209"/>
      <w:bookmarkStart w:id="210" w:name="_Toc413392970"/>
      <w:bookmarkStart w:id="211" w:name="_Toc413687493"/>
      <w:bookmarkStart w:id="212" w:name="_Toc414366757"/>
      <w:bookmarkStart w:id="213" w:name="_Toc414537586"/>
      <w:bookmarkStart w:id="214" w:name="_Toc415215772"/>
      <w:bookmarkStart w:id="215" w:name="_Toc415573197"/>
      <w:bookmarkStart w:id="216" w:name="_Toc425866215"/>
      <w:bookmarkStart w:id="217" w:name="_Toc426362208"/>
      <w:bookmarkStart w:id="218" w:name="_Toc429993873"/>
      <w:r w:rsidRPr="00851031">
        <w:t>potential public interest benefits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6978A2D2" w14:textId="7A360B55" w:rsidR="00D37BD6" w:rsidRPr="00331EEB" w:rsidRDefault="00795E3D" w:rsidP="009706E5">
      <w:pPr>
        <w:pStyle w:val="ParaNum"/>
        <w:widowControl/>
        <w:rPr>
          <w:snapToGrid/>
          <w:kern w:val="0"/>
          <w:szCs w:val="22"/>
        </w:rPr>
      </w:pPr>
      <w:r>
        <w:rPr>
          <w:snapToGrid/>
        </w:rPr>
        <w:t xml:space="preserve">We next </w:t>
      </w:r>
      <w:r w:rsidR="00D648AA" w:rsidRPr="0060092D">
        <w:rPr>
          <w:snapToGrid/>
        </w:rPr>
        <w:t xml:space="preserve">consider whether the proposed transaction </w:t>
      </w:r>
      <w:r w:rsidR="00D648AA" w:rsidRPr="00CB1872">
        <w:t>is likely to generate verifiable, transaction-specific public interest benefits</w:t>
      </w:r>
      <w:r w:rsidR="00D648AA" w:rsidRPr="0060092D">
        <w:rPr>
          <w:snapToGrid/>
        </w:rPr>
        <w:t>.</w:t>
      </w:r>
      <w:r w:rsidR="00D648AA" w:rsidRPr="00894362">
        <w:rPr>
          <w:rStyle w:val="FootnoteReference"/>
          <w:snapToGrid/>
          <w:szCs w:val="22"/>
        </w:rPr>
        <w:footnoteReference w:id="59"/>
      </w:r>
      <w:r w:rsidR="00D648AA" w:rsidRPr="0060092D">
        <w:rPr>
          <w:snapToGrid/>
        </w:rPr>
        <w:t xml:space="preserve">  </w:t>
      </w:r>
      <w:r w:rsidR="00D648AA" w:rsidRPr="007E00C3">
        <w:rPr>
          <w:szCs w:val="22"/>
        </w:rPr>
        <w:t>The Commission applies several criteria in deciding whether a claimed benefit should be considered and weighed against potential harms</w:t>
      </w:r>
      <w:r w:rsidR="00D648AA">
        <w:rPr>
          <w:szCs w:val="22"/>
        </w:rPr>
        <w:t>,</w:t>
      </w:r>
      <w:r w:rsidR="00D648AA" w:rsidRPr="00894362">
        <w:rPr>
          <w:rStyle w:val="FootnoteReference"/>
          <w:szCs w:val="22"/>
        </w:rPr>
        <w:footnoteReference w:id="60"/>
      </w:r>
      <w:r w:rsidR="00D648AA" w:rsidRPr="007E00C3">
        <w:rPr>
          <w:szCs w:val="22"/>
        </w:rPr>
        <w:t xml:space="preserve"> </w:t>
      </w:r>
      <w:r w:rsidR="00D648AA">
        <w:rPr>
          <w:szCs w:val="22"/>
        </w:rPr>
        <w:t xml:space="preserve">and applies </w:t>
      </w:r>
      <w:r w:rsidR="00D648AA" w:rsidRPr="007E00C3">
        <w:rPr>
          <w:szCs w:val="22"/>
        </w:rPr>
        <w:t>a “sliding scale approach” to evaluating benefit claims.</w:t>
      </w:r>
      <w:r w:rsidR="00D648AA" w:rsidRPr="00CB1872">
        <w:rPr>
          <w:sz w:val="20"/>
          <w:vertAlign w:val="superscript"/>
        </w:rPr>
        <w:footnoteReference w:id="61"/>
      </w:r>
      <w:r w:rsidR="00D648AA" w:rsidRPr="007E00C3">
        <w:rPr>
          <w:szCs w:val="22"/>
        </w:rPr>
        <w:t xml:space="preserve">  Under this sliding scale approach, where potential harms appear “both substantial and likely, a demonstration of claimed benefits also must reveal a higher degree of magnitude and likelihood than we would otherwise demand.”</w:t>
      </w:r>
      <w:r w:rsidR="00D648AA" w:rsidRPr="006A5E52">
        <w:rPr>
          <w:sz w:val="20"/>
          <w:vertAlign w:val="superscript"/>
        </w:rPr>
        <w:footnoteReference w:id="62"/>
      </w:r>
      <w:r w:rsidR="00D648AA">
        <w:rPr>
          <w:szCs w:val="22"/>
        </w:rPr>
        <w:t xml:space="preserve">  </w:t>
      </w:r>
      <w:r w:rsidR="00D648AA">
        <w:t xml:space="preserve">Conversely, where potential harms appear less likely and less substantial, as is the case here, we will accept a lesser showing to </w:t>
      </w:r>
      <w:r w:rsidR="00172340">
        <w:t xml:space="preserve">consent to </w:t>
      </w:r>
      <w:r w:rsidR="00D648AA">
        <w:t>the proposed transaction.</w:t>
      </w:r>
      <w:r w:rsidR="00D648AA">
        <w:rPr>
          <w:rStyle w:val="FootnoteReference"/>
          <w:szCs w:val="22"/>
        </w:rPr>
        <w:footnoteReference w:id="63"/>
      </w:r>
    </w:p>
    <w:p w14:paraId="63648A3B" w14:textId="1EAD0C3E" w:rsidR="00062E43" w:rsidRDefault="00B871ED" w:rsidP="00EB22F1">
      <w:pPr>
        <w:pStyle w:val="ParaNum"/>
        <w:widowControl/>
        <w:rPr>
          <w:szCs w:val="22"/>
        </w:rPr>
      </w:pPr>
      <w:r w:rsidRPr="00E94661">
        <w:rPr>
          <w:i/>
          <w:szCs w:val="22"/>
        </w:rPr>
        <w:t xml:space="preserve">Potential Benefits.  </w:t>
      </w:r>
      <w:r w:rsidR="00A60B03" w:rsidRPr="00E94661">
        <w:rPr>
          <w:szCs w:val="22"/>
        </w:rPr>
        <w:t xml:space="preserve">The Applicants assert that </w:t>
      </w:r>
      <w:r w:rsidR="005F7ED0">
        <w:rPr>
          <w:szCs w:val="22"/>
        </w:rPr>
        <w:t>acquiring</w:t>
      </w:r>
      <w:r w:rsidR="006E25FC" w:rsidRPr="00E94661">
        <w:rPr>
          <w:szCs w:val="22"/>
        </w:rPr>
        <w:t xml:space="preserve"> additional below-1-GHz spectrum </w:t>
      </w:r>
      <w:r w:rsidR="005F7ED0">
        <w:rPr>
          <w:szCs w:val="22"/>
        </w:rPr>
        <w:t>w</w:t>
      </w:r>
      <w:r w:rsidR="006E25FC" w:rsidRPr="00E94661">
        <w:rPr>
          <w:szCs w:val="22"/>
        </w:rPr>
        <w:t xml:space="preserve">ould enable </w:t>
      </w:r>
      <w:r w:rsidR="005F7ED0">
        <w:rPr>
          <w:szCs w:val="22"/>
        </w:rPr>
        <w:t xml:space="preserve">TeleGuam </w:t>
      </w:r>
      <w:r w:rsidR="00A60B03" w:rsidRPr="00E94661">
        <w:rPr>
          <w:szCs w:val="22"/>
        </w:rPr>
        <w:t>to</w:t>
      </w:r>
      <w:r w:rsidR="00A21EAB" w:rsidRPr="00E94661">
        <w:rPr>
          <w:szCs w:val="22"/>
        </w:rPr>
        <w:t xml:space="preserve"> improve the scope and depth of the services it offers</w:t>
      </w:r>
      <w:r w:rsidR="00047B42">
        <w:rPr>
          <w:szCs w:val="22"/>
        </w:rPr>
        <w:t xml:space="preserve">, </w:t>
      </w:r>
      <w:r w:rsidR="00DB3538">
        <w:rPr>
          <w:szCs w:val="22"/>
        </w:rPr>
        <w:t>such that it would result</w:t>
      </w:r>
      <w:r w:rsidR="00047B42">
        <w:rPr>
          <w:szCs w:val="22"/>
        </w:rPr>
        <w:t xml:space="preserve"> in faster, higher quality services over a larger </w:t>
      </w:r>
      <w:r w:rsidR="006D0F82">
        <w:rPr>
          <w:szCs w:val="22"/>
        </w:rPr>
        <w:t>area</w:t>
      </w:r>
      <w:r w:rsidR="00A60B03" w:rsidRPr="00E94661">
        <w:rPr>
          <w:szCs w:val="22"/>
        </w:rPr>
        <w:t>.</w:t>
      </w:r>
      <w:r w:rsidR="00DB4BFD">
        <w:rPr>
          <w:rStyle w:val="FootnoteReference"/>
          <w:szCs w:val="22"/>
        </w:rPr>
        <w:footnoteReference w:id="64"/>
      </w:r>
      <w:r w:rsidR="00A60B03" w:rsidRPr="00E94661">
        <w:rPr>
          <w:szCs w:val="22"/>
        </w:rPr>
        <w:t xml:space="preserve">  </w:t>
      </w:r>
      <w:r w:rsidR="0094507C">
        <w:rPr>
          <w:szCs w:val="22"/>
        </w:rPr>
        <w:t xml:space="preserve">According to </w:t>
      </w:r>
      <w:r w:rsidR="0094507C" w:rsidRPr="00E94661">
        <w:rPr>
          <w:szCs w:val="22"/>
        </w:rPr>
        <w:t>TeleGuam</w:t>
      </w:r>
      <w:r w:rsidR="0094507C">
        <w:rPr>
          <w:szCs w:val="22"/>
        </w:rPr>
        <w:t xml:space="preserve">, </w:t>
      </w:r>
      <w:r w:rsidR="0094507C" w:rsidRPr="00E94661">
        <w:rPr>
          <w:szCs w:val="22"/>
        </w:rPr>
        <w:t xml:space="preserve">it has limited contiguous </w:t>
      </w:r>
      <w:r w:rsidR="0094507C">
        <w:rPr>
          <w:szCs w:val="22"/>
        </w:rPr>
        <w:t>spectrum</w:t>
      </w:r>
      <w:r w:rsidR="0094507C" w:rsidRPr="00E94661">
        <w:rPr>
          <w:szCs w:val="22"/>
        </w:rPr>
        <w:t xml:space="preserve">, which in turn </w:t>
      </w:r>
      <w:r w:rsidR="0094507C">
        <w:rPr>
          <w:szCs w:val="22"/>
        </w:rPr>
        <w:t>restricts</w:t>
      </w:r>
      <w:r w:rsidR="0094507C" w:rsidRPr="00E94661">
        <w:rPr>
          <w:szCs w:val="22"/>
        </w:rPr>
        <w:t xml:space="preserve"> it to </w:t>
      </w:r>
      <w:r w:rsidR="0094507C">
        <w:rPr>
          <w:szCs w:val="22"/>
        </w:rPr>
        <w:t xml:space="preserve">a </w:t>
      </w:r>
      <w:r w:rsidR="0094507C" w:rsidRPr="00E94661">
        <w:rPr>
          <w:szCs w:val="22"/>
        </w:rPr>
        <w:t>5×5</w:t>
      </w:r>
      <w:r w:rsidR="0094507C">
        <w:rPr>
          <w:szCs w:val="22"/>
        </w:rPr>
        <w:t xml:space="preserve"> megahertz LTE</w:t>
      </w:r>
      <w:r w:rsidR="0094507C" w:rsidRPr="00E94661">
        <w:rPr>
          <w:szCs w:val="22"/>
        </w:rPr>
        <w:t xml:space="preserve"> </w:t>
      </w:r>
      <w:r w:rsidR="0094507C">
        <w:rPr>
          <w:szCs w:val="22"/>
        </w:rPr>
        <w:t>deployment.</w:t>
      </w:r>
      <w:r w:rsidR="0094507C">
        <w:rPr>
          <w:rStyle w:val="FootnoteReference"/>
          <w:szCs w:val="22"/>
        </w:rPr>
        <w:footnoteReference w:id="65"/>
      </w:r>
      <w:r w:rsidR="0094507C">
        <w:rPr>
          <w:szCs w:val="22"/>
        </w:rPr>
        <w:t xml:space="preserve">  TeleGuam contends that its </w:t>
      </w:r>
      <w:r w:rsidR="0094507C" w:rsidRPr="00E94661">
        <w:rPr>
          <w:szCs w:val="22"/>
        </w:rPr>
        <w:t>5×5</w:t>
      </w:r>
      <w:r w:rsidR="0094507C">
        <w:rPr>
          <w:szCs w:val="22"/>
        </w:rPr>
        <w:t xml:space="preserve"> megahertz LTE service provides approximately 50 percent of the peak rate of the 10</w:t>
      </w:r>
      <w:r w:rsidR="0094507C" w:rsidRPr="00E94661">
        <w:rPr>
          <w:szCs w:val="22"/>
        </w:rPr>
        <w:t>×</w:t>
      </w:r>
      <w:r w:rsidR="0094507C">
        <w:rPr>
          <w:szCs w:val="22"/>
        </w:rPr>
        <w:t>10 megahertz LTE service.</w:t>
      </w:r>
      <w:r w:rsidR="0094507C">
        <w:rPr>
          <w:rStyle w:val="FootnoteReference"/>
          <w:szCs w:val="22"/>
        </w:rPr>
        <w:footnoteReference w:id="66"/>
      </w:r>
      <w:r w:rsidR="0094507C">
        <w:rPr>
          <w:szCs w:val="22"/>
        </w:rPr>
        <w:t xml:space="preserve">  TeleGuam further claims that a</w:t>
      </w:r>
      <w:r w:rsidR="00AB6AD4">
        <w:rPr>
          <w:szCs w:val="22"/>
        </w:rPr>
        <w:t xml:space="preserve">t the present growth rate in data use by its subscribers, and with one of the highest smartphone subscribership rates, it would exhaust its spectrum resources next year – and allegedly well before the wireless service provider in </w:t>
      </w:r>
      <w:r w:rsidR="00B37627">
        <w:rPr>
          <w:szCs w:val="22"/>
        </w:rPr>
        <w:t>Guam</w:t>
      </w:r>
      <w:r w:rsidR="0094507C">
        <w:rPr>
          <w:szCs w:val="22"/>
        </w:rPr>
        <w:t xml:space="preserve"> that </w:t>
      </w:r>
      <w:r w:rsidR="00AB6AD4">
        <w:rPr>
          <w:szCs w:val="22"/>
        </w:rPr>
        <w:t xml:space="preserve">holds over twice the amount of spectrum </w:t>
      </w:r>
      <w:r w:rsidR="0094507C">
        <w:rPr>
          <w:szCs w:val="22"/>
        </w:rPr>
        <w:t>currently held by TeleGuam</w:t>
      </w:r>
      <w:r w:rsidR="00AB6AD4">
        <w:rPr>
          <w:szCs w:val="22"/>
        </w:rPr>
        <w:t>.</w:t>
      </w:r>
      <w:r w:rsidR="00AB6AD4">
        <w:rPr>
          <w:rStyle w:val="FootnoteReference"/>
          <w:szCs w:val="22"/>
        </w:rPr>
        <w:footnoteReference w:id="67"/>
      </w:r>
      <w:r w:rsidR="00AB6AD4">
        <w:rPr>
          <w:szCs w:val="22"/>
        </w:rPr>
        <w:t xml:space="preserve"> </w:t>
      </w:r>
      <w:r w:rsidR="00AB6AD4" w:rsidRPr="00E94661">
        <w:rPr>
          <w:szCs w:val="22"/>
        </w:rPr>
        <w:t xml:space="preserve"> </w:t>
      </w:r>
      <w:r w:rsidR="00AB6AD4">
        <w:rPr>
          <w:szCs w:val="22"/>
        </w:rPr>
        <w:t xml:space="preserve">TeleGuam also contends that </w:t>
      </w:r>
      <w:r w:rsidR="0094507C">
        <w:rPr>
          <w:szCs w:val="22"/>
        </w:rPr>
        <w:t xml:space="preserve">in Guam, most structures use steel-reinforced concrete due to the potential for typhoons, and the better in-building signal penetration of </w:t>
      </w:r>
      <w:r w:rsidR="00AB6AD4">
        <w:rPr>
          <w:szCs w:val="22"/>
        </w:rPr>
        <w:t xml:space="preserve">below-1-GHz spectrum </w:t>
      </w:r>
      <w:r w:rsidR="0094507C">
        <w:rPr>
          <w:szCs w:val="22"/>
        </w:rPr>
        <w:t>is of particular use.</w:t>
      </w:r>
      <w:r w:rsidR="00AB6AD4">
        <w:rPr>
          <w:rStyle w:val="FootnoteReference"/>
          <w:szCs w:val="22"/>
        </w:rPr>
        <w:footnoteReference w:id="68"/>
      </w:r>
      <w:r w:rsidR="00AB6AD4">
        <w:rPr>
          <w:szCs w:val="22"/>
        </w:rPr>
        <w:t xml:space="preserve">  </w:t>
      </w:r>
      <w:r w:rsidR="00A81537">
        <w:rPr>
          <w:szCs w:val="22"/>
        </w:rPr>
        <w:t xml:space="preserve">TeleGuam </w:t>
      </w:r>
      <w:r w:rsidR="00D00758">
        <w:rPr>
          <w:szCs w:val="22"/>
        </w:rPr>
        <w:t>asserts</w:t>
      </w:r>
      <w:r w:rsidR="00A81537">
        <w:rPr>
          <w:szCs w:val="22"/>
        </w:rPr>
        <w:t xml:space="preserve"> that, </w:t>
      </w:r>
      <w:r w:rsidR="00C3463E">
        <w:rPr>
          <w:szCs w:val="22"/>
        </w:rPr>
        <w:t>if the proposed transaction were approved</w:t>
      </w:r>
      <w:r w:rsidR="00A81537">
        <w:rPr>
          <w:szCs w:val="22"/>
        </w:rPr>
        <w:t xml:space="preserve">, it </w:t>
      </w:r>
      <w:r w:rsidR="00C3463E">
        <w:rPr>
          <w:szCs w:val="22"/>
        </w:rPr>
        <w:t xml:space="preserve">would </w:t>
      </w:r>
      <w:r w:rsidR="004D679E">
        <w:rPr>
          <w:szCs w:val="22"/>
        </w:rPr>
        <w:t xml:space="preserve">immediately </w:t>
      </w:r>
      <w:r w:rsidR="00A81537">
        <w:rPr>
          <w:szCs w:val="22"/>
        </w:rPr>
        <w:t>begin constructing and implementing a 10</w:t>
      </w:r>
      <w:r w:rsidR="00A81537" w:rsidRPr="00E94661">
        <w:rPr>
          <w:szCs w:val="22"/>
        </w:rPr>
        <w:t>×</w:t>
      </w:r>
      <w:r w:rsidR="00A81537">
        <w:rPr>
          <w:szCs w:val="22"/>
        </w:rPr>
        <w:t>10 megahertz LTE channel.</w:t>
      </w:r>
      <w:r w:rsidR="00B14B2B">
        <w:rPr>
          <w:rStyle w:val="FootnoteReference"/>
          <w:szCs w:val="22"/>
        </w:rPr>
        <w:footnoteReference w:id="69"/>
      </w:r>
    </w:p>
    <w:p w14:paraId="7890FC6D" w14:textId="34512ACF" w:rsidR="009D777B" w:rsidRPr="009D777B" w:rsidRDefault="00057C79" w:rsidP="006A5E52">
      <w:pPr>
        <w:pStyle w:val="ParaNum"/>
        <w:widowControl/>
      </w:pPr>
      <w:r w:rsidRPr="009D777B">
        <w:rPr>
          <w:i/>
        </w:rPr>
        <w:t xml:space="preserve">Evaluation.  </w:t>
      </w:r>
      <w:r w:rsidR="00B03CF4" w:rsidRPr="0063240C">
        <w:t>We have reviewed the</w:t>
      </w:r>
      <w:r w:rsidR="00F46AF6">
        <w:t xml:space="preserve"> Applicants’</w:t>
      </w:r>
      <w:r w:rsidR="00B03CF4" w:rsidRPr="0063240C">
        <w:t xml:space="preserve"> </w:t>
      </w:r>
      <w:r w:rsidR="004A7139" w:rsidRPr="0063240C">
        <w:t>assert</w:t>
      </w:r>
      <w:r w:rsidR="00F46AF6">
        <w:t>ed</w:t>
      </w:r>
      <w:r w:rsidR="004A7139" w:rsidRPr="0063240C">
        <w:t xml:space="preserve"> </w:t>
      </w:r>
      <w:r w:rsidR="00B03CF4" w:rsidRPr="0063240C">
        <w:t>benefits</w:t>
      </w:r>
      <w:r w:rsidR="00F46AF6">
        <w:t>,</w:t>
      </w:r>
      <w:r w:rsidR="00B03CF4" w:rsidRPr="0063240C">
        <w:t xml:space="preserve"> as well as their responses to our requests for additional information and documents</w:t>
      </w:r>
      <w:r w:rsidR="0063240C">
        <w:t xml:space="preserve"> </w:t>
      </w:r>
      <w:r w:rsidR="00B37DFB">
        <w:t>regarding the potential benefits of Tel</w:t>
      </w:r>
      <w:r w:rsidR="004D679E">
        <w:t>e</w:t>
      </w:r>
      <w:r w:rsidR="00B37DFB">
        <w:t>Guam acquiring</w:t>
      </w:r>
      <w:r w:rsidR="00CE662D" w:rsidRPr="0063240C">
        <w:t>, in particular, th</w:t>
      </w:r>
      <w:r w:rsidR="004A7139" w:rsidRPr="0063240C">
        <w:t>e</w:t>
      </w:r>
      <w:r w:rsidR="00CE662D" w:rsidRPr="0063240C">
        <w:t xml:space="preserve"> </w:t>
      </w:r>
      <w:r w:rsidR="007023E8">
        <w:t>low-band</w:t>
      </w:r>
      <w:r w:rsidR="00CE662D" w:rsidRPr="0063240C">
        <w:t xml:space="preserve"> spectrum</w:t>
      </w:r>
      <w:r w:rsidR="004A7139" w:rsidRPr="0063240C">
        <w:t xml:space="preserve"> at issue</w:t>
      </w:r>
      <w:r w:rsidR="00B37DFB">
        <w:t xml:space="preserve"> in Guam</w:t>
      </w:r>
      <w:r w:rsidR="00B03CF4" w:rsidRPr="0063240C">
        <w:t xml:space="preserve">.  </w:t>
      </w:r>
      <w:r w:rsidR="00B03CF4" w:rsidRPr="009D777B">
        <w:t>The record provides general support for the Applicants’ contentions that the proposed transaction would result in some public interest benefits.</w:t>
      </w:r>
      <w:r w:rsidR="009D777B">
        <w:t xml:space="preserve">  </w:t>
      </w:r>
      <w:r w:rsidR="009D777B" w:rsidRPr="009D777B">
        <w:rPr>
          <w:color w:val="000000" w:themeColor="text1"/>
          <w:szCs w:val="22"/>
        </w:rPr>
        <w:t xml:space="preserve">Specifically, we anticipate that through the acquisition of this spectrum, </w:t>
      </w:r>
      <w:r w:rsidR="003E19FD">
        <w:rPr>
          <w:color w:val="000000" w:themeColor="text1"/>
          <w:szCs w:val="22"/>
        </w:rPr>
        <w:t>TeleGuam</w:t>
      </w:r>
      <w:r w:rsidR="009D777B" w:rsidRPr="009D777B">
        <w:rPr>
          <w:color w:val="000000" w:themeColor="text1"/>
          <w:szCs w:val="22"/>
        </w:rPr>
        <w:t xml:space="preserve"> would be able to deploy a</w:t>
      </w:r>
      <w:r w:rsidR="00B14B2B">
        <w:rPr>
          <w:color w:val="000000" w:themeColor="text1"/>
          <w:szCs w:val="22"/>
        </w:rPr>
        <w:t xml:space="preserve"> more</w:t>
      </w:r>
      <w:r w:rsidR="009D777B" w:rsidRPr="009D777B">
        <w:rPr>
          <w:color w:val="000000" w:themeColor="text1"/>
          <w:szCs w:val="22"/>
        </w:rPr>
        <w:t xml:space="preserve"> competitive LTE network.  </w:t>
      </w:r>
      <w:r w:rsidR="002568BE">
        <w:rPr>
          <w:bCs/>
          <w:szCs w:val="22"/>
        </w:rPr>
        <w:t>W</w:t>
      </w:r>
      <w:r w:rsidR="009D777B" w:rsidRPr="009D777B">
        <w:rPr>
          <w:bCs/>
          <w:szCs w:val="22"/>
        </w:rPr>
        <w:t xml:space="preserve">e </w:t>
      </w:r>
      <w:r w:rsidR="002568BE">
        <w:rPr>
          <w:bCs/>
          <w:szCs w:val="22"/>
        </w:rPr>
        <w:t xml:space="preserve">further </w:t>
      </w:r>
      <w:r w:rsidR="009D777B" w:rsidRPr="009D777B">
        <w:rPr>
          <w:bCs/>
          <w:szCs w:val="22"/>
        </w:rPr>
        <w:t xml:space="preserve">find that by adding this low-band spectrum, </w:t>
      </w:r>
      <w:r w:rsidR="003E19FD">
        <w:rPr>
          <w:bCs/>
          <w:szCs w:val="22"/>
        </w:rPr>
        <w:t>TeleGuam</w:t>
      </w:r>
      <w:r w:rsidR="009D777B" w:rsidRPr="009D777B">
        <w:rPr>
          <w:bCs/>
          <w:szCs w:val="22"/>
        </w:rPr>
        <w:t xml:space="preserve"> </w:t>
      </w:r>
      <w:r w:rsidR="00B007C1">
        <w:rPr>
          <w:bCs/>
          <w:szCs w:val="22"/>
        </w:rPr>
        <w:t xml:space="preserve">has the potential to </w:t>
      </w:r>
      <w:r w:rsidR="009D777B" w:rsidRPr="009D777B">
        <w:rPr>
          <w:bCs/>
          <w:szCs w:val="22"/>
        </w:rPr>
        <w:t xml:space="preserve">better serve </w:t>
      </w:r>
      <w:r w:rsidR="00A81537">
        <w:rPr>
          <w:bCs/>
          <w:szCs w:val="22"/>
        </w:rPr>
        <w:t>Guam</w:t>
      </w:r>
      <w:r w:rsidR="009D777B" w:rsidRPr="009D777B">
        <w:rPr>
          <w:bCs/>
          <w:szCs w:val="22"/>
        </w:rPr>
        <w:t xml:space="preserve"> with </w:t>
      </w:r>
      <w:r w:rsidR="00F63796">
        <w:rPr>
          <w:bCs/>
          <w:szCs w:val="22"/>
        </w:rPr>
        <w:t>higher user speeds</w:t>
      </w:r>
      <w:r w:rsidR="00B007C1">
        <w:rPr>
          <w:bCs/>
          <w:szCs w:val="22"/>
        </w:rPr>
        <w:t xml:space="preserve">, and </w:t>
      </w:r>
      <w:r w:rsidR="00F63796">
        <w:rPr>
          <w:bCs/>
          <w:szCs w:val="22"/>
        </w:rPr>
        <w:t xml:space="preserve">better </w:t>
      </w:r>
      <w:r w:rsidR="006038B7">
        <w:rPr>
          <w:bCs/>
          <w:szCs w:val="22"/>
        </w:rPr>
        <w:t>in-</w:t>
      </w:r>
      <w:r w:rsidR="00B14B2B">
        <w:rPr>
          <w:bCs/>
          <w:szCs w:val="22"/>
        </w:rPr>
        <w:t xml:space="preserve">building </w:t>
      </w:r>
      <w:r w:rsidR="004D679E">
        <w:rPr>
          <w:bCs/>
          <w:szCs w:val="22"/>
        </w:rPr>
        <w:t xml:space="preserve">signal </w:t>
      </w:r>
      <w:r w:rsidR="00B14B2B">
        <w:rPr>
          <w:bCs/>
          <w:szCs w:val="22"/>
        </w:rPr>
        <w:t>penetration</w:t>
      </w:r>
      <w:r w:rsidR="009D777B">
        <w:t>.</w:t>
      </w:r>
      <w:r w:rsidR="009D777B">
        <w:rPr>
          <w:rStyle w:val="FootnoteReference"/>
          <w:bCs/>
          <w:szCs w:val="22"/>
        </w:rPr>
        <w:footnoteReference w:id="70"/>
      </w:r>
      <w:r w:rsidR="009D777B">
        <w:t xml:space="preserve">  </w:t>
      </w:r>
      <w:r w:rsidR="00F46AF6">
        <w:rPr>
          <w:bCs/>
        </w:rPr>
        <w:t>Thus</w:t>
      </w:r>
      <w:r w:rsidR="009D777B" w:rsidRPr="009D777B">
        <w:rPr>
          <w:bCs/>
        </w:rPr>
        <w:t>,</w:t>
      </w:r>
      <w:r w:rsidR="00F46AF6">
        <w:rPr>
          <w:bCs/>
        </w:rPr>
        <w:t xml:space="preserve"> because of </w:t>
      </w:r>
      <w:r w:rsidR="003E19FD">
        <w:rPr>
          <w:bCs/>
        </w:rPr>
        <w:t>TeleGuam</w:t>
      </w:r>
      <w:r w:rsidR="00F46AF6">
        <w:rPr>
          <w:bCs/>
        </w:rPr>
        <w:t xml:space="preserve">’s acquisition of the </w:t>
      </w:r>
      <w:r w:rsidR="002568BE">
        <w:rPr>
          <w:bCs/>
        </w:rPr>
        <w:t xml:space="preserve">Upper </w:t>
      </w:r>
      <w:r w:rsidR="00F46AF6">
        <w:rPr>
          <w:bCs/>
        </w:rPr>
        <w:t>700 MHz spectrum</w:t>
      </w:r>
      <w:r w:rsidR="004D2330">
        <w:rPr>
          <w:bCs/>
        </w:rPr>
        <w:t xml:space="preserve"> at issue</w:t>
      </w:r>
      <w:r w:rsidR="00F46AF6">
        <w:rPr>
          <w:bCs/>
        </w:rPr>
        <w:t>,</w:t>
      </w:r>
      <w:r w:rsidR="009D777B" w:rsidRPr="009D777B">
        <w:rPr>
          <w:bCs/>
        </w:rPr>
        <w:t xml:space="preserve"> customers are likely to benefit </w:t>
      </w:r>
      <w:r w:rsidR="00B007C1">
        <w:rPr>
          <w:bCs/>
        </w:rPr>
        <w:t>from a higher-quality network</w:t>
      </w:r>
      <w:r w:rsidR="00F46AF6">
        <w:rPr>
          <w:bCs/>
        </w:rPr>
        <w:t>,</w:t>
      </w:r>
      <w:r w:rsidR="009D777B" w:rsidRPr="009D777B">
        <w:rPr>
          <w:bCs/>
        </w:rPr>
        <w:t xml:space="preserve"> resulting in </w:t>
      </w:r>
      <w:r w:rsidR="00F46AF6">
        <w:rPr>
          <w:bCs/>
        </w:rPr>
        <w:t xml:space="preserve">a </w:t>
      </w:r>
      <w:r w:rsidR="009D777B" w:rsidRPr="009D777B">
        <w:rPr>
          <w:bCs/>
        </w:rPr>
        <w:t xml:space="preserve">better </w:t>
      </w:r>
      <w:r w:rsidR="006D0F82">
        <w:rPr>
          <w:bCs/>
        </w:rPr>
        <w:t>customer</w:t>
      </w:r>
      <w:r w:rsidR="006D0F82" w:rsidRPr="009D777B">
        <w:rPr>
          <w:bCs/>
        </w:rPr>
        <w:t xml:space="preserve"> </w:t>
      </w:r>
      <w:r w:rsidR="009D777B" w:rsidRPr="009D777B">
        <w:rPr>
          <w:bCs/>
        </w:rPr>
        <w:t>experience</w:t>
      </w:r>
      <w:r w:rsidR="009D777B" w:rsidRPr="009D777B">
        <w:rPr>
          <w:snapToGrid/>
        </w:rPr>
        <w:t>.</w:t>
      </w:r>
    </w:p>
    <w:p w14:paraId="5783D1C8" w14:textId="68035049" w:rsidR="000E21B8" w:rsidRPr="00F63EC6" w:rsidRDefault="004170F3" w:rsidP="000E21B8">
      <w:pPr>
        <w:pStyle w:val="Heading1"/>
      </w:pPr>
      <w:bookmarkStart w:id="219" w:name="_Toc405799118"/>
      <w:bookmarkStart w:id="220" w:name="_Toc405799345"/>
      <w:bookmarkStart w:id="221" w:name="_Toc405801060"/>
      <w:bookmarkStart w:id="222" w:name="_Toc406666087"/>
      <w:bookmarkStart w:id="223" w:name="_Toc406684875"/>
      <w:bookmarkStart w:id="224" w:name="_Toc408224008"/>
      <w:bookmarkStart w:id="225" w:name="_Toc408581006"/>
      <w:bookmarkStart w:id="226" w:name="_Toc410028429"/>
      <w:bookmarkStart w:id="227" w:name="_Toc410116653"/>
      <w:bookmarkStart w:id="228" w:name="_Toc410119635"/>
      <w:bookmarkStart w:id="229" w:name="_Toc410121776"/>
      <w:bookmarkStart w:id="230" w:name="_Toc410339635"/>
      <w:bookmarkStart w:id="231" w:name="_Toc411607364"/>
      <w:bookmarkStart w:id="232" w:name="_Toc412112254"/>
      <w:bookmarkStart w:id="233" w:name="_Toc412557597"/>
      <w:bookmarkStart w:id="234" w:name="_Toc412795172"/>
      <w:bookmarkStart w:id="235" w:name="_Toc412804082"/>
      <w:bookmarkStart w:id="236" w:name="_Toc413055742"/>
      <w:bookmarkStart w:id="237" w:name="_Toc413162341"/>
      <w:bookmarkStart w:id="238" w:name="_Toc413246213"/>
      <w:bookmarkStart w:id="239" w:name="_Toc413392974"/>
      <w:bookmarkStart w:id="240" w:name="_Toc413687497"/>
      <w:bookmarkStart w:id="241" w:name="_Toc414366761"/>
      <w:bookmarkStart w:id="242" w:name="_Toc414537590"/>
      <w:bookmarkStart w:id="243" w:name="_Toc415215776"/>
      <w:bookmarkStart w:id="244" w:name="_Toc415573201"/>
      <w:bookmarkStart w:id="245" w:name="_Toc425866216"/>
      <w:bookmarkStart w:id="246" w:name="_Toc426362209"/>
      <w:bookmarkStart w:id="247" w:name="_Toc429993874"/>
      <w:bookmarkStart w:id="248" w:name="_Toc403981908"/>
      <w:bookmarkStart w:id="249" w:name="_Toc403998364"/>
      <w:bookmarkStart w:id="250" w:name="_Toc403998451"/>
      <w:bookmarkStart w:id="251" w:name="_Toc404003275"/>
      <w:bookmarkStart w:id="252" w:name="_Toc404003555"/>
      <w:bookmarkStart w:id="253" w:name="_Toc404152176"/>
      <w:r w:rsidRPr="00F63EC6">
        <w:t>Balancing The potential BeNEFITS and the potential HArms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C54BB7F" w14:textId="47999000" w:rsidR="00674F82" w:rsidRDefault="00877A7E" w:rsidP="004D2330">
      <w:pPr>
        <w:pStyle w:val="ParaNum"/>
        <w:widowControl/>
      </w:pPr>
      <w:r w:rsidRPr="00E27CF0">
        <w:t xml:space="preserve">In </w:t>
      </w:r>
      <w:r>
        <w:t>the</w:t>
      </w:r>
      <w:r w:rsidRPr="00E27CF0">
        <w:t xml:space="preserve"> proposed transaction, </w:t>
      </w:r>
      <w:r>
        <w:t>TeleGuam</w:t>
      </w:r>
      <w:r w:rsidRPr="00E27CF0">
        <w:t xml:space="preserve"> would increase its spectrum holdings, and </w:t>
      </w:r>
      <w:r>
        <w:t>in particular, would</w:t>
      </w:r>
      <w:r w:rsidRPr="00E27CF0">
        <w:t xml:space="preserve"> hold </w:t>
      </w:r>
      <w:r>
        <w:t xml:space="preserve">post-transaction </w:t>
      </w:r>
      <w:r w:rsidR="00043B7D">
        <w:rPr>
          <w:szCs w:val="22"/>
        </w:rPr>
        <w:t xml:space="preserve">22 megahertz of low-band spectrum in the Northern Mariana Islands, and </w:t>
      </w:r>
      <w:r w:rsidR="00B14B2B" w:rsidRPr="004D2330">
        <w:rPr>
          <w:szCs w:val="22"/>
        </w:rPr>
        <w:t>47</w:t>
      </w:r>
      <w:r w:rsidR="009D7753" w:rsidRPr="004D2330">
        <w:rPr>
          <w:szCs w:val="22"/>
        </w:rPr>
        <w:t xml:space="preserve"> megahertz of low-band spectrum in </w:t>
      </w:r>
      <w:r w:rsidR="00B14B2B" w:rsidRPr="004D2330">
        <w:rPr>
          <w:szCs w:val="22"/>
        </w:rPr>
        <w:t>Guam</w:t>
      </w:r>
      <w:r w:rsidR="009D7753" w:rsidRPr="004D2330">
        <w:rPr>
          <w:szCs w:val="22"/>
        </w:rPr>
        <w:t xml:space="preserve">.  </w:t>
      </w:r>
      <w:r w:rsidR="009D7753">
        <w:t>As discussed herein</w:t>
      </w:r>
      <w:r w:rsidR="009D7753" w:rsidRPr="004D2330">
        <w:rPr>
          <w:szCs w:val="22"/>
        </w:rPr>
        <w:t>,</w:t>
      </w:r>
      <w:r w:rsidR="009D7753" w:rsidRPr="006A5E52">
        <w:t xml:space="preserve"> the </w:t>
      </w:r>
      <w:r w:rsidR="009D7753" w:rsidRPr="004D2330">
        <w:rPr>
          <w:rStyle w:val="StyleParaNumTimesNewRoman11ptChar"/>
          <w:i/>
          <w:szCs w:val="22"/>
          <w:lang w:eastAsia="x-none"/>
        </w:rPr>
        <w:t>Mobile Spectrum Holdings Report and Order</w:t>
      </w:r>
      <w:r w:rsidR="009D7753" w:rsidRPr="004D2330">
        <w:rPr>
          <w:rStyle w:val="StyleParaNumTimesNewRoman11ptChar"/>
          <w:szCs w:val="22"/>
          <w:lang w:eastAsia="x-none"/>
        </w:rPr>
        <w:t xml:space="preserve"> determined</w:t>
      </w:r>
      <w:r w:rsidR="009D7753" w:rsidRPr="004306B2">
        <w:rPr>
          <w:rStyle w:val="StyleParaNumTimesNewRoman11ptChar"/>
        </w:rPr>
        <w:t xml:space="preserve"> </w:t>
      </w:r>
      <w:r w:rsidR="009D7753" w:rsidRPr="004D2330">
        <w:rPr>
          <w:rStyle w:val="StyleParaNumTimesNewRoman11ptChar"/>
          <w:szCs w:val="22"/>
          <w:lang w:eastAsia="x-none"/>
        </w:rPr>
        <w:t xml:space="preserve">that increased aggregation of </w:t>
      </w:r>
      <w:r w:rsidR="009D7753">
        <w:t>below-1-GHz</w:t>
      </w:r>
      <w:r w:rsidR="009D7753" w:rsidRPr="004D2330">
        <w:rPr>
          <w:rStyle w:val="StyleParaNumTimesNewRoman11ptChar"/>
          <w:szCs w:val="22"/>
          <w:lang w:eastAsia="x-none"/>
        </w:rPr>
        <w:t xml:space="preserve"> spectrum would be treated as an “enhanced factor” under its case-by-case review.  </w:t>
      </w:r>
      <w:r w:rsidR="009D7753">
        <w:t xml:space="preserve">The Commission stated in </w:t>
      </w:r>
      <w:r w:rsidR="009D7753" w:rsidRPr="006A5E52">
        <w:t xml:space="preserve">the </w:t>
      </w:r>
      <w:r w:rsidR="009D7753" w:rsidRPr="004D2330">
        <w:rPr>
          <w:rStyle w:val="StyleParaNumTimesNewRoman11ptChar"/>
          <w:i/>
          <w:szCs w:val="22"/>
          <w:lang w:eastAsia="x-none"/>
        </w:rPr>
        <w:t>Mobile Spectrum Holdings Report and Order</w:t>
      </w:r>
      <w:r w:rsidR="009D7753" w:rsidRPr="004D2330">
        <w:rPr>
          <w:rStyle w:val="StyleParaNumTimesNewRoman11ptChar"/>
          <w:szCs w:val="22"/>
          <w:lang w:eastAsia="x-none"/>
        </w:rPr>
        <w:t xml:space="preserve"> </w:t>
      </w:r>
      <w:r w:rsidR="009D7753">
        <w:t>that it “</w:t>
      </w:r>
      <w:r w:rsidR="009D7753" w:rsidRPr="006A7868">
        <w:t>anticipate</w:t>
      </w:r>
      <w:r w:rsidR="009D7753">
        <w:t>[d]</w:t>
      </w:r>
      <w:r w:rsidR="009D7753" w:rsidRPr="006A7868">
        <w:t xml:space="preserve"> that any entity that would end up with more than one third of below</w:t>
      </w:r>
      <w:r w:rsidR="009D7753">
        <w:t>-</w:t>
      </w:r>
      <w:r w:rsidR="009D7753" w:rsidRPr="006A7868">
        <w:t>1</w:t>
      </w:r>
      <w:r w:rsidR="009D7753">
        <w:t>-</w:t>
      </w:r>
      <w:r w:rsidR="009D7753" w:rsidRPr="006A7868">
        <w:t>GHz spectrum as a result of a proposed transaction would facilitate our case-by-case review with a detailed demonstration regarding why the public interest benefits outweigh harms.</w:t>
      </w:r>
      <w:r w:rsidR="009D7753">
        <w:t>”</w:t>
      </w:r>
      <w:r w:rsidR="009D7753">
        <w:rPr>
          <w:rStyle w:val="FootnoteReference"/>
          <w:szCs w:val="22"/>
        </w:rPr>
        <w:footnoteReference w:id="71"/>
      </w:r>
      <w:r w:rsidR="004D2330">
        <w:t xml:space="preserve">  </w:t>
      </w:r>
      <w:r w:rsidR="009D7753">
        <w:t>We</w:t>
      </w:r>
      <w:r w:rsidR="002E1150">
        <w:t xml:space="preserve"> have reviewed the Applicants’ initial claims, as well as their responses to our requests for additional information and documents.  </w:t>
      </w:r>
      <w:r w:rsidR="009D7753">
        <w:t xml:space="preserve">After carefully evaluating the likely competitive effects of </w:t>
      </w:r>
      <w:r w:rsidR="003E19FD">
        <w:t>TeleGuam</w:t>
      </w:r>
      <w:r w:rsidR="009D7753">
        <w:t>’s increased aggregation of below-1-GHz spectrum</w:t>
      </w:r>
      <w:r w:rsidR="00043B7D">
        <w:t xml:space="preserve"> in the markets implicated by the proposed transaction</w:t>
      </w:r>
      <w:r w:rsidR="009D7753">
        <w:t xml:space="preserve">, </w:t>
      </w:r>
      <w:r w:rsidR="009D7753" w:rsidRPr="004D2330">
        <w:rPr>
          <w:kern w:val="0"/>
        </w:rPr>
        <w:t xml:space="preserve">we find that </w:t>
      </w:r>
      <w:r w:rsidR="009D7753" w:rsidRPr="006269A7">
        <w:t xml:space="preserve">the ability of rival service providers to offer a competitive response to any </w:t>
      </w:r>
      <w:r w:rsidR="002568BE">
        <w:t xml:space="preserve">anticompetitive behavior on the part of TeleGuam </w:t>
      </w:r>
      <w:r w:rsidR="009D7753" w:rsidRPr="006269A7">
        <w:t xml:space="preserve">is </w:t>
      </w:r>
      <w:r w:rsidR="009D7753">
        <w:t>unlikely to be materially le</w:t>
      </w:r>
      <w:r w:rsidR="009D7753" w:rsidRPr="006269A7">
        <w:t>ssened</w:t>
      </w:r>
      <w:r w:rsidR="009D7753">
        <w:t xml:space="preserve"> in </w:t>
      </w:r>
      <w:r w:rsidR="00B14B2B" w:rsidRPr="004D2330">
        <w:rPr>
          <w:szCs w:val="22"/>
        </w:rPr>
        <w:t>Guam</w:t>
      </w:r>
      <w:r w:rsidR="002E1150">
        <w:t xml:space="preserve">, </w:t>
      </w:r>
      <w:r w:rsidR="00070357">
        <w:t xml:space="preserve">the market in which we applied enhanced factor review.  </w:t>
      </w:r>
      <w:r w:rsidR="0085025A" w:rsidRPr="004D2330">
        <w:rPr>
          <w:snapToGrid/>
          <w:szCs w:val="22"/>
        </w:rPr>
        <w:t xml:space="preserve">Further, </w:t>
      </w:r>
      <w:r w:rsidR="0085025A" w:rsidRPr="004D2330">
        <w:rPr>
          <w:snapToGrid/>
          <w:color w:val="000000" w:themeColor="text1"/>
          <w:szCs w:val="22"/>
        </w:rPr>
        <w:t xml:space="preserve">we </w:t>
      </w:r>
      <w:r w:rsidR="0085025A" w:rsidRPr="004D2330">
        <w:rPr>
          <w:snapToGrid/>
          <w:color w:val="000000" w:themeColor="text1"/>
          <w:kern w:val="0"/>
          <w:szCs w:val="22"/>
        </w:rPr>
        <w:t xml:space="preserve">find that </w:t>
      </w:r>
      <w:r w:rsidR="0085025A">
        <w:t>t</w:t>
      </w:r>
      <w:r w:rsidR="0085025A" w:rsidRPr="00E54CED">
        <w:t xml:space="preserve">he record provides general support for the Applicants’ </w:t>
      </w:r>
      <w:r w:rsidR="0085025A">
        <w:t xml:space="preserve">claims, and, under our sliding scale approach, the potential public interest benefits outweigh </w:t>
      </w:r>
      <w:r w:rsidR="006848AD">
        <w:t xml:space="preserve">any potential public interest </w:t>
      </w:r>
      <w:r w:rsidR="0085025A">
        <w:t>harms.  Thus, based on the record before us and our competitive review, we find that the proposed assignment of license</w:t>
      </w:r>
      <w:r w:rsidR="002568BE">
        <w:t>s</w:t>
      </w:r>
      <w:r w:rsidR="0085025A">
        <w:t xml:space="preserve"> would serve the public interest, convenience, and necessity.</w:t>
      </w:r>
    </w:p>
    <w:p w14:paraId="4D72281E" w14:textId="77777777" w:rsidR="006E3EA0" w:rsidRPr="009D7753" w:rsidRDefault="006E3EA0" w:rsidP="006E3EA0">
      <w:pPr>
        <w:pStyle w:val="Heading1"/>
      </w:pPr>
      <w:bookmarkStart w:id="254" w:name="_Toc405185105"/>
      <w:bookmarkStart w:id="255" w:name="_Toc403981911"/>
      <w:bookmarkStart w:id="256" w:name="_Toc403998367"/>
      <w:bookmarkStart w:id="257" w:name="_Toc403998454"/>
      <w:bookmarkStart w:id="258" w:name="_Toc404003278"/>
      <w:bookmarkStart w:id="259" w:name="_Toc404003558"/>
      <w:bookmarkStart w:id="260" w:name="_Toc404152179"/>
      <w:bookmarkStart w:id="261" w:name="_Toc405185106"/>
      <w:bookmarkStart w:id="262" w:name="_Toc405799119"/>
      <w:bookmarkStart w:id="263" w:name="_Toc405799346"/>
      <w:bookmarkStart w:id="264" w:name="_Toc405801061"/>
      <w:bookmarkStart w:id="265" w:name="_Toc406666088"/>
      <w:bookmarkStart w:id="266" w:name="_Toc406684876"/>
      <w:bookmarkStart w:id="267" w:name="_Toc408224009"/>
      <w:bookmarkStart w:id="268" w:name="_Toc408581007"/>
      <w:bookmarkStart w:id="269" w:name="_Toc410028430"/>
      <w:bookmarkStart w:id="270" w:name="_Toc410116654"/>
      <w:bookmarkStart w:id="271" w:name="_Toc410119636"/>
      <w:bookmarkStart w:id="272" w:name="_Toc410121777"/>
      <w:bookmarkStart w:id="273" w:name="_Toc410339636"/>
      <w:bookmarkStart w:id="274" w:name="_Toc411607365"/>
      <w:bookmarkStart w:id="275" w:name="_Toc412112255"/>
      <w:bookmarkStart w:id="276" w:name="_Toc412557598"/>
      <w:bookmarkStart w:id="277" w:name="_Toc412795173"/>
      <w:bookmarkStart w:id="278" w:name="_Toc412804083"/>
      <w:bookmarkStart w:id="279" w:name="_Toc413055743"/>
      <w:bookmarkStart w:id="280" w:name="_Toc413162342"/>
      <w:bookmarkStart w:id="281" w:name="_Toc413246214"/>
      <w:bookmarkStart w:id="282" w:name="_Toc413392975"/>
      <w:bookmarkStart w:id="283" w:name="_Toc413687498"/>
      <w:bookmarkStart w:id="284" w:name="_Toc414366762"/>
      <w:bookmarkStart w:id="285" w:name="_Toc414537591"/>
      <w:bookmarkStart w:id="286" w:name="_Toc415215777"/>
      <w:bookmarkStart w:id="287" w:name="_Toc415573202"/>
      <w:bookmarkStart w:id="288" w:name="_Toc425866217"/>
      <w:bookmarkStart w:id="289" w:name="_Toc426362210"/>
      <w:bookmarkStart w:id="290" w:name="_Toc429993875"/>
      <w:bookmarkEnd w:id="248"/>
      <w:bookmarkEnd w:id="249"/>
      <w:bookmarkEnd w:id="250"/>
      <w:bookmarkEnd w:id="251"/>
      <w:bookmarkEnd w:id="252"/>
      <w:bookmarkEnd w:id="253"/>
      <w:bookmarkEnd w:id="254"/>
      <w:r w:rsidRPr="009D7753">
        <w:t>ordering clauses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2F79D919" w14:textId="19C621B4" w:rsidR="000E3797" w:rsidRPr="000212AF" w:rsidRDefault="000212AF" w:rsidP="000E3797">
      <w:pPr>
        <w:pStyle w:val="ParaNum"/>
        <w:widowControl/>
      </w:pPr>
      <w:r w:rsidRPr="000212AF">
        <w:t>ACCORDINGLY, having reviewed the Application and the record in this proceeding, IT IS ORDERED that, pursuant to sections 4(i) and (j), 303(r), 309, and 310(d) of the Communications Act of 1934, as amended, 47 U.S.C. §§ 154(i), 154(j), 303(r), 309, 310(d),</w:t>
      </w:r>
      <w:r w:rsidRPr="000212AF">
        <w:rPr>
          <w:b/>
        </w:rPr>
        <w:t xml:space="preserve"> </w:t>
      </w:r>
      <w:r w:rsidRPr="000212AF">
        <w:t xml:space="preserve">the application for </w:t>
      </w:r>
      <w:r w:rsidR="008F33B0">
        <w:t>assignment of license</w:t>
      </w:r>
      <w:r w:rsidR="00B14B2B">
        <w:t>s</w:t>
      </w:r>
      <w:r w:rsidRPr="000212AF">
        <w:t xml:space="preserve"> held by </w:t>
      </w:r>
      <w:r w:rsidR="00B14B2B">
        <w:t>Club 42 CM Limited Partnership</w:t>
      </w:r>
      <w:r w:rsidRPr="000212AF">
        <w:rPr>
          <w:szCs w:val="22"/>
        </w:rPr>
        <w:t xml:space="preserve"> to </w:t>
      </w:r>
      <w:r w:rsidR="00B14B2B">
        <w:rPr>
          <w:szCs w:val="22"/>
        </w:rPr>
        <w:t>TeleGuam Holdings, LLC</w:t>
      </w:r>
      <w:r w:rsidRPr="000212AF">
        <w:rPr>
          <w:szCs w:val="22"/>
        </w:rPr>
        <w:t xml:space="preserve"> is GRANTED.</w:t>
      </w:r>
    </w:p>
    <w:p w14:paraId="708A5185" w14:textId="2FAEA408" w:rsidR="000E3797" w:rsidRPr="008F33B0" w:rsidRDefault="008F33B0" w:rsidP="000E3797">
      <w:pPr>
        <w:pStyle w:val="ParaNum"/>
        <w:widowControl/>
      </w:pPr>
      <w:r w:rsidRPr="008F33B0">
        <w:rPr>
          <w:snapToGrid/>
          <w:kern w:val="0"/>
          <w:szCs w:val="22"/>
        </w:rPr>
        <w:t xml:space="preserve">IT IS FURTHER ORDERED that this </w:t>
      </w:r>
      <w:r w:rsidR="00172340">
        <w:rPr>
          <w:snapToGrid/>
          <w:kern w:val="0"/>
          <w:szCs w:val="22"/>
        </w:rPr>
        <w:t xml:space="preserve">Memorandum Opinion and </w:t>
      </w:r>
      <w:r w:rsidRPr="008F33B0">
        <w:rPr>
          <w:snapToGrid/>
          <w:kern w:val="0"/>
          <w:szCs w:val="22"/>
        </w:rPr>
        <w:t>Order SHALL BE EFFECTIVE upon release.  Petitions for reconsideration under section 1.106 of the Commission's rules, 47 C.F.R. § 1.106, may be filed within thirty days of the date of release of this Memorandum Opinion and Order.</w:t>
      </w:r>
    </w:p>
    <w:p w14:paraId="428152AF" w14:textId="476CDB10" w:rsidR="000E3797" w:rsidRPr="008F33B0" w:rsidRDefault="008F33B0" w:rsidP="00D258D3">
      <w:pPr>
        <w:pStyle w:val="ParaNum"/>
      </w:pPr>
      <w:r w:rsidRPr="008F33B0">
        <w:t>This action is taken under delegated authority pursuant to sections 0.131 and 0.331 of the Commission’s Rules, 47 C.F.R. §§ 0.131, 0.331.</w:t>
      </w:r>
    </w:p>
    <w:p w14:paraId="2539916A" w14:textId="77777777" w:rsidR="007E6352" w:rsidRPr="00AD1095" w:rsidRDefault="007E6352" w:rsidP="00D258D3">
      <w:pPr>
        <w:rPr>
          <w:highlight w:val="yellow"/>
        </w:rPr>
      </w:pPr>
    </w:p>
    <w:p w14:paraId="2C8C4B3A" w14:textId="77777777" w:rsidR="007E6352" w:rsidRPr="008F33B0" w:rsidRDefault="007E6352" w:rsidP="00D258D3">
      <w:pPr>
        <w:ind w:left="3600" w:firstLine="720"/>
      </w:pPr>
      <w:r w:rsidRPr="008F33B0">
        <w:t>FEDERAL COMMUNICATIONS COMMISSION</w:t>
      </w:r>
    </w:p>
    <w:p w14:paraId="1D2EC0FF" w14:textId="77777777" w:rsidR="007E6352" w:rsidRPr="00AD1095" w:rsidRDefault="007E6352" w:rsidP="00D258D3">
      <w:pPr>
        <w:rPr>
          <w:highlight w:val="yellow"/>
        </w:rPr>
      </w:pPr>
    </w:p>
    <w:p w14:paraId="25AEB0B5" w14:textId="77777777" w:rsidR="007E6352" w:rsidRPr="00AD1095" w:rsidRDefault="007E6352" w:rsidP="00D258D3">
      <w:pPr>
        <w:rPr>
          <w:highlight w:val="yellow"/>
        </w:rPr>
      </w:pPr>
    </w:p>
    <w:p w14:paraId="39BDE0D4" w14:textId="77777777" w:rsidR="007E6352" w:rsidRDefault="007E6352" w:rsidP="00D258D3">
      <w:pPr>
        <w:rPr>
          <w:highlight w:val="yellow"/>
        </w:rPr>
      </w:pPr>
    </w:p>
    <w:p w14:paraId="64BD1DB3" w14:textId="77777777" w:rsidR="008F33B0" w:rsidRPr="00AD1095" w:rsidRDefault="008F33B0" w:rsidP="00D258D3">
      <w:pPr>
        <w:rPr>
          <w:highlight w:val="yellow"/>
        </w:rPr>
      </w:pPr>
    </w:p>
    <w:p w14:paraId="4787171F" w14:textId="77777777" w:rsidR="008F33B0" w:rsidRDefault="008F33B0" w:rsidP="008F33B0">
      <w:pPr>
        <w:widowControl/>
        <w:ind w:left="3600" w:firstLine="720"/>
      </w:pPr>
      <w:r>
        <w:t>Roger C. Sherman</w:t>
      </w:r>
    </w:p>
    <w:p w14:paraId="248EE63E" w14:textId="77777777" w:rsidR="008F33B0" w:rsidRDefault="008F33B0" w:rsidP="008F33B0">
      <w:pPr>
        <w:widowControl/>
        <w:ind w:left="3600" w:firstLine="720"/>
      </w:pPr>
      <w:r>
        <w:t>Chief</w:t>
      </w:r>
    </w:p>
    <w:p w14:paraId="4B1C1CF7" w14:textId="48102947" w:rsidR="00BE0591" w:rsidRPr="00AD1095" w:rsidRDefault="008F33B0" w:rsidP="00081921">
      <w:pPr>
        <w:widowControl/>
        <w:ind w:left="3600" w:firstLine="720"/>
        <w:rPr>
          <w:rStyle w:val="Normal1"/>
          <w:szCs w:val="22"/>
          <w:highlight w:val="yellow"/>
        </w:rPr>
      </w:pPr>
      <w:r>
        <w:t>Wireless Telecommunications Bureau</w:t>
      </w:r>
    </w:p>
    <w:sectPr w:rsidR="00BE0591" w:rsidRPr="00AD109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8FCC9" w14:textId="77777777" w:rsidR="00DC6896" w:rsidRDefault="00DC6896">
      <w:pPr>
        <w:spacing w:line="20" w:lineRule="exact"/>
      </w:pPr>
    </w:p>
  </w:endnote>
  <w:endnote w:type="continuationSeparator" w:id="0">
    <w:p w14:paraId="0E3502F9" w14:textId="77777777" w:rsidR="00DC6896" w:rsidRDefault="00DC6896">
      <w:r>
        <w:t xml:space="preserve"> </w:t>
      </w:r>
    </w:p>
  </w:endnote>
  <w:endnote w:type="continuationNotice" w:id="1">
    <w:p w14:paraId="3117294C" w14:textId="77777777" w:rsidR="00DC6896" w:rsidRDefault="00DC6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F138" w14:textId="77777777" w:rsidR="00DC6896" w:rsidRDefault="00DC6896" w:rsidP="0055614C">
    <w:pPr>
      <w:pStyle w:val="Footer"/>
      <w:framePr w:wrap="around" w:vAnchor="text" w:hAnchor="margin" w:xAlign="center" w:y="1"/>
    </w:pPr>
    <w:r>
      <w:fldChar w:fldCharType="begin"/>
    </w:r>
    <w:r>
      <w:instrText xml:space="preserve">PAGE  </w:instrText>
    </w:r>
    <w:r>
      <w:fldChar w:fldCharType="end"/>
    </w:r>
  </w:p>
  <w:p w14:paraId="6DD6B2D4" w14:textId="77777777" w:rsidR="00DC6896" w:rsidRDefault="00DC6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85963" w14:textId="77777777" w:rsidR="00DC6896" w:rsidRDefault="00DC6896" w:rsidP="0055614C">
    <w:pPr>
      <w:pStyle w:val="Footer"/>
      <w:framePr w:wrap="around" w:vAnchor="text" w:hAnchor="margin" w:xAlign="center" w:y="1"/>
    </w:pPr>
    <w:r>
      <w:fldChar w:fldCharType="begin"/>
    </w:r>
    <w:r>
      <w:instrText xml:space="preserve">PAGE  </w:instrText>
    </w:r>
    <w:r>
      <w:fldChar w:fldCharType="separate"/>
    </w:r>
    <w:r w:rsidR="00A24FB9">
      <w:rPr>
        <w:noProof/>
      </w:rPr>
      <w:t>2</w:t>
    </w:r>
    <w:r>
      <w:fldChar w:fldCharType="end"/>
    </w:r>
  </w:p>
  <w:p w14:paraId="45F9F97D" w14:textId="77777777" w:rsidR="00DC6896" w:rsidRDefault="00DC689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751E" w14:textId="77777777" w:rsidR="00DC6896" w:rsidRDefault="00DC689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6B912" w14:textId="77777777" w:rsidR="00DC6896" w:rsidRDefault="00DC6896">
      <w:r>
        <w:separator/>
      </w:r>
    </w:p>
  </w:footnote>
  <w:footnote w:type="continuationSeparator" w:id="0">
    <w:p w14:paraId="754DAAC8" w14:textId="77777777" w:rsidR="00DC6896" w:rsidRDefault="00DC6896" w:rsidP="00C721AC">
      <w:pPr>
        <w:spacing w:before="120"/>
        <w:rPr>
          <w:sz w:val="20"/>
        </w:rPr>
      </w:pPr>
      <w:r>
        <w:rPr>
          <w:sz w:val="20"/>
        </w:rPr>
        <w:t xml:space="preserve">(Continued from previous page)  </w:t>
      </w:r>
      <w:r>
        <w:rPr>
          <w:sz w:val="20"/>
        </w:rPr>
        <w:separator/>
      </w:r>
    </w:p>
  </w:footnote>
  <w:footnote w:type="continuationNotice" w:id="1">
    <w:p w14:paraId="2041A53E" w14:textId="77777777" w:rsidR="00DC6896" w:rsidRDefault="00DC6896" w:rsidP="00C721AC">
      <w:pPr>
        <w:jc w:val="right"/>
        <w:rPr>
          <w:sz w:val="20"/>
        </w:rPr>
      </w:pPr>
      <w:r>
        <w:rPr>
          <w:sz w:val="20"/>
        </w:rPr>
        <w:t>(continued….)</w:t>
      </w:r>
    </w:p>
  </w:footnote>
  <w:footnote w:id="2">
    <w:p w14:paraId="28F66A0E" w14:textId="65D99A2D" w:rsidR="00FA1516" w:rsidRDefault="00FA1516">
      <w:pPr>
        <w:pStyle w:val="FootnoteText"/>
      </w:pPr>
      <w:r>
        <w:rPr>
          <w:rStyle w:val="FootnoteReference"/>
        </w:rPr>
        <w:footnoteRef/>
      </w:r>
      <w:r>
        <w:t xml:space="preserve"> </w:t>
      </w:r>
      <w:r w:rsidR="00E520F6">
        <w:rPr>
          <w:i/>
        </w:rPr>
        <w:t xml:space="preserve">See </w:t>
      </w:r>
      <w:r w:rsidRPr="00D97728">
        <w:rPr>
          <w:color w:val="010101"/>
        </w:rPr>
        <w:t>Policies Regarding Mobile Spectrum Holdings</w:t>
      </w:r>
      <w:r w:rsidR="002E0A6C">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w:t>
      </w:r>
      <w:r w:rsidRPr="0032649E">
        <w:rPr>
          <w:color w:val="010101"/>
        </w:rPr>
        <w:t>Docket</w:t>
      </w:r>
      <w:r w:rsidRPr="00D97728">
        <w:rPr>
          <w:color w:val="010101"/>
        </w:rPr>
        <w:t xml:space="preserve">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6133, 6240 ¶¶ 286-88 (2014) (“</w:t>
      </w:r>
      <w:r w:rsidRPr="00D97728">
        <w:rPr>
          <w:i/>
          <w:iCs/>
          <w:color w:val="010101"/>
        </w:rPr>
        <w:t>Mobile Spectrum Holdings Report and Order</w:t>
      </w:r>
      <w:r w:rsidRPr="00D97728">
        <w:rPr>
          <w:color w:val="010101"/>
        </w:rPr>
        <w:t>”)</w:t>
      </w:r>
      <w:r w:rsidR="000142DF">
        <w:rPr>
          <w:color w:val="010101"/>
        </w:rPr>
        <w:t xml:space="preserve">, </w:t>
      </w:r>
      <w:r w:rsidR="000142DF" w:rsidRPr="00D4063C">
        <w:rPr>
          <w:i/>
          <w:color w:val="010101"/>
        </w:rPr>
        <w:t>recon. denied</w:t>
      </w:r>
      <w:r w:rsidR="000142DF">
        <w:rPr>
          <w:color w:val="010101"/>
        </w:rPr>
        <w:t xml:space="preserve">, </w:t>
      </w:r>
      <w:r w:rsidR="000142DF" w:rsidRPr="00D4063C">
        <w:rPr>
          <w:i/>
          <w:color w:val="010101"/>
        </w:rPr>
        <w:t>Order on Reconsideration</w:t>
      </w:r>
      <w:r w:rsidR="000142DF">
        <w:rPr>
          <w:color w:val="010101"/>
        </w:rPr>
        <w:t>, FCC 15-79 (rel. Aug. 11, 2015).</w:t>
      </w:r>
    </w:p>
  </w:footnote>
  <w:footnote w:id="3">
    <w:p w14:paraId="185A35CA" w14:textId="69288D00" w:rsidR="00B0600B" w:rsidRPr="00B0600B" w:rsidRDefault="00B0600B">
      <w:pPr>
        <w:pStyle w:val="FootnoteText"/>
      </w:pPr>
      <w:r>
        <w:rPr>
          <w:rStyle w:val="FootnoteReference"/>
        </w:rPr>
        <w:footnoteRef/>
      </w:r>
      <w:r>
        <w:t xml:space="preserve"> </w:t>
      </w:r>
      <w:r>
        <w:rPr>
          <w:i/>
        </w:rPr>
        <w:t>See</w:t>
      </w:r>
      <w:r>
        <w:t xml:space="preserve"> </w:t>
      </w:r>
      <w:r>
        <w:rPr>
          <w:i/>
        </w:rPr>
        <w:t xml:space="preserve">also </w:t>
      </w:r>
      <w:r>
        <w:t>Ownership Disclosure Information of TeleGuam Holdings, LLC, FCC Form 602, ULS File No. 0006780149 (filed Apr. 27, 2015).</w:t>
      </w:r>
    </w:p>
  </w:footnote>
  <w:footnote w:id="4">
    <w:p w14:paraId="1C8433F6" w14:textId="77777777" w:rsidR="00902ED2" w:rsidRDefault="00902ED2" w:rsidP="00902ED2">
      <w:pPr>
        <w:pStyle w:val="FootnoteText"/>
      </w:pPr>
      <w:r>
        <w:rPr>
          <w:rStyle w:val="FootnoteReference"/>
        </w:rPr>
        <w:footnoteRef/>
      </w:r>
      <w:r>
        <w:t xml:space="preserve"> 47 U.S.C. § 310(d).</w:t>
      </w:r>
    </w:p>
  </w:footnote>
  <w:footnote w:id="5">
    <w:p w14:paraId="16CA24A9" w14:textId="26449F14" w:rsidR="00902ED2" w:rsidRPr="006B798F" w:rsidRDefault="00902ED2" w:rsidP="00902ED2">
      <w:pPr>
        <w:pStyle w:val="FootnoteText"/>
      </w:pPr>
      <w:r>
        <w:rPr>
          <w:rStyle w:val="FootnoteReference"/>
        </w:rPr>
        <w:footnoteRef/>
      </w:r>
      <w:r>
        <w:t xml:space="preserve"> </w:t>
      </w:r>
      <w:r w:rsidRPr="00556CE3">
        <w:rPr>
          <w:i/>
        </w:rPr>
        <w:t>See</w:t>
      </w:r>
      <w:r>
        <w:t xml:space="preserve"> </w:t>
      </w:r>
      <w:r w:rsidR="00350C1F">
        <w:t>Application for Assignment of Licenses from Club 42 CM Limited Partnership to TeleGuam Holdings, LLC, ULS File No. 0006489830 (filed Oct. 6, 2014; amended Oct. 7, 2014, Jan. 30, 2015, June 4, 2015</w:t>
      </w:r>
      <w:r w:rsidR="002A4836">
        <w:t>, and Aug. 11, 2015</w:t>
      </w:r>
      <w:r w:rsidR="00350C1F">
        <w:t>) (“</w:t>
      </w:r>
      <w:r w:rsidR="00350C1F" w:rsidRPr="009B1BD4">
        <w:t>Application</w:t>
      </w:r>
      <w:r w:rsidR="00350C1F">
        <w:t>”)</w:t>
      </w:r>
      <w:r w:rsidR="00350C1F" w:rsidRPr="00D22B64">
        <w:t xml:space="preserve">, Exhibit 1 – </w:t>
      </w:r>
      <w:r w:rsidR="00350C1F">
        <w:t>Public Interest Statement</w:t>
      </w:r>
      <w:r w:rsidR="00350C1F" w:rsidRPr="00D22B64">
        <w:t xml:space="preserve"> </w:t>
      </w:r>
      <w:r w:rsidR="00350C1F">
        <w:t>at 1</w:t>
      </w:r>
      <w:r w:rsidR="00350C1F" w:rsidRPr="00D22B64">
        <w:t xml:space="preserve"> </w:t>
      </w:r>
      <w:r w:rsidR="00350C1F">
        <w:t>(“Public Interest Statement”)</w:t>
      </w:r>
      <w:r w:rsidR="00350C1F" w:rsidRPr="00D22B64">
        <w:t>.</w:t>
      </w:r>
      <w:r w:rsidR="006B584F">
        <w:t xml:space="preserve">  We note that subsequent to the submission of the Application, TeleGuam and Telekomunikasi Indonesia International (USA) Inc. (“Telkom USA”) submitted applications seeking consent to the transfer of control of TeleGuam to Telkom USA</w:t>
      </w:r>
      <w:r w:rsidR="006B798F">
        <w:t xml:space="preserve">.  </w:t>
      </w:r>
      <w:r w:rsidR="006B798F">
        <w:rPr>
          <w:i/>
        </w:rPr>
        <w:t xml:space="preserve">See </w:t>
      </w:r>
      <w:r w:rsidR="006B798F">
        <w:t xml:space="preserve">Applications Filed for the Transfer of Control of TeleGuam Holdings, LLC to Telekomunikasi Indonesia International (USA) Inc. and Request for Declaratory Ruling on Foreign Ownership, WC Docket No. 15-148, </w:t>
      </w:r>
      <w:r w:rsidR="006B798F">
        <w:rPr>
          <w:i/>
        </w:rPr>
        <w:t>Public Notice</w:t>
      </w:r>
      <w:r w:rsidR="006B798F">
        <w:t>, 30 FCC Rcd 6498 (2015)</w:t>
      </w:r>
      <w:r w:rsidR="00271D3D">
        <w:t xml:space="preserve">; Joint Application of TeleGuam Holdings, LLC, Licensee, AP TeleGuam Holdings, Inc., Transferor, and Telekomunikasi Indonesia International (USA) Inc., Transferee, for Grant of Authority to Complete a Transfer of Control of the Licensee Pursuant to Section 214 of the Communications Act of 1934, as Amended, and Sections 63.04 and 63.24 of the Commission’s Rules, WC Docket No. 15-148, File No. </w:t>
      </w:r>
      <w:r w:rsidR="00271D3D">
        <w:rPr>
          <w:color w:val="000000"/>
          <w:szCs w:val="22"/>
        </w:rPr>
        <w:t>ITC-T/C-20150612-00146</w:t>
      </w:r>
      <w:r w:rsidR="00271D3D">
        <w:t xml:space="preserve"> (filed June 12, 2015); Application for Transfer of Control of Licenses from TeleGuam Holdings, LLC to Telekomunikasi Indonesia International (USA) Inc., ULS File No. 0006830192 (filed June 12, 2015).  TeleGuam has requested that the licenses that are the subject of the instant Application be included in the Commission’s treatment of the proposed transfer of control to Telkom USA.</w:t>
      </w:r>
    </w:p>
  </w:footnote>
  <w:footnote w:id="6">
    <w:p w14:paraId="63ED1506" w14:textId="13FF627D" w:rsidR="00902ED2" w:rsidRPr="00245983" w:rsidRDefault="00902ED2" w:rsidP="00902ED2">
      <w:pPr>
        <w:pStyle w:val="FootnoteText"/>
      </w:pPr>
      <w:r>
        <w:rPr>
          <w:rStyle w:val="FootnoteReference"/>
        </w:rPr>
        <w:footnoteRef/>
      </w:r>
      <w:r>
        <w:t xml:space="preserve"> </w:t>
      </w:r>
      <w:r w:rsidRPr="003C78AB">
        <w:rPr>
          <w:i/>
        </w:rPr>
        <w:t xml:space="preserve">See </w:t>
      </w:r>
      <w:r>
        <w:t xml:space="preserve">Application, </w:t>
      </w:r>
      <w:r w:rsidR="00203DE3">
        <w:t>Exhibit 2</w:t>
      </w:r>
      <w:r>
        <w:t xml:space="preserve"> – Spectrum Aggregation.</w:t>
      </w:r>
    </w:p>
  </w:footnote>
  <w:footnote w:id="7">
    <w:p w14:paraId="194C78C6" w14:textId="319793DD" w:rsidR="00902ED2" w:rsidRPr="004A4D09" w:rsidRDefault="00902ED2" w:rsidP="00902ED2">
      <w:pPr>
        <w:pStyle w:val="FootnoteText"/>
      </w:pPr>
      <w:r>
        <w:rPr>
          <w:rStyle w:val="FootnoteReference"/>
        </w:rPr>
        <w:footnoteRef/>
      </w:r>
      <w:r>
        <w:t xml:space="preserve"> </w:t>
      </w:r>
      <w:r w:rsidRPr="005D610A">
        <w:rPr>
          <w:i/>
        </w:rPr>
        <w:t>See</w:t>
      </w:r>
      <w:r>
        <w:t xml:space="preserve"> </w:t>
      </w:r>
      <w:r w:rsidR="00203DE3">
        <w:t>TeleGuam Holdings, LLC</w:t>
      </w:r>
      <w:r>
        <w:t xml:space="preserve"> and </w:t>
      </w:r>
      <w:r w:rsidR="00203DE3">
        <w:t>Club 42 CM Limited Partnership</w:t>
      </w:r>
      <w:r>
        <w:t xml:space="preserve"> Seek FCC Consent to the Assignment of </w:t>
      </w:r>
      <w:r w:rsidR="00203DE3">
        <w:t>an Upp</w:t>
      </w:r>
      <w:r>
        <w:t xml:space="preserve">er 700 MHz </w:t>
      </w:r>
      <w:r w:rsidR="00203DE3">
        <w:t xml:space="preserve">License and Two Advanced </w:t>
      </w:r>
      <w:r w:rsidR="002A4836">
        <w:t xml:space="preserve">Wireless </w:t>
      </w:r>
      <w:r w:rsidR="00203DE3">
        <w:t>Service Licenses in Guam and The Commonwealth of the Northern Mariana Islands, WT Docket No. 15-7</w:t>
      </w:r>
      <w:r>
        <w:t xml:space="preserve">, </w:t>
      </w:r>
      <w:r>
        <w:rPr>
          <w:i/>
        </w:rPr>
        <w:t>Public Notice</w:t>
      </w:r>
      <w:r w:rsidR="00203DE3">
        <w:t xml:space="preserve">, </w:t>
      </w:r>
      <w:r w:rsidR="00D82139">
        <w:t>30 FCC Rcd 261</w:t>
      </w:r>
      <w:r w:rsidR="00203DE3">
        <w:t xml:space="preserve"> (WTB 2015</w:t>
      </w:r>
      <w:r>
        <w:t>) (“</w:t>
      </w:r>
      <w:r>
        <w:rPr>
          <w:i/>
        </w:rPr>
        <w:t>Accepted for Filing Public Notice</w:t>
      </w:r>
      <w:r>
        <w:t>”).</w:t>
      </w:r>
    </w:p>
  </w:footnote>
  <w:footnote w:id="8">
    <w:p w14:paraId="73897CA9" w14:textId="77777777" w:rsidR="00902ED2" w:rsidRPr="00902ED2" w:rsidRDefault="00902ED2" w:rsidP="00902ED2">
      <w:pPr>
        <w:pStyle w:val="FootnoteText"/>
      </w:pPr>
      <w:r>
        <w:rPr>
          <w:rStyle w:val="FootnoteReference"/>
        </w:rPr>
        <w:footnoteRef/>
      </w:r>
      <w:r>
        <w:t xml:space="preserve"> </w:t>
      </w:r>
      <w:r>
        <w:rPr>
          <w:i/>
        </w:rPr>
        <w:t>See</w:t>
      </w:r>
      <w:r>
        <w:t xml:space="preserve"> Public Interest Statement at 1.</w:t>
      </w:r>
    </w:p>
  </w:footnote>
  <w:footnote w:id="9">
    <w:p w14:paraId="7C8052B5" w14:textId="76AF7B85" w:rsidR="00902ED2" w:rsidRPr="00902ED2" w:rsidRDefault="00902ED2" w:rsidP="00902ED2">
      <w:pPr>
        <w:pStyle w:val="FootnoteText"/>
      </w:pPr>
      <w:r>
        <w:rPr>
          <w:rStyle w:val="FootnoteReference"/>
        </w:rPr>
        <w:footnoteRef/>
      </w:r>
      <w:r>
        <w:t xml:space="preserve"> </w:t>
      </w:r>
      <w:r w:rsidRPr="00B66630">
        <w:rPr>
          <w:i/>
        </w:rPr>
        <w:t>See</w:t>
      </w:r>
      <w:r w:rsidRPr="00B66630">
        <w:t xml:space="preserve"> </w:t>
      </w:r>
      <w:r w:rsidR="00B66630">
        <w:t xml:space="preserve">Response of TeleGuam to the General Information Request Dated January 21, 2015, WT Docket No. 15-7, at </w:t>
      </w:r>
      <w:r w:rsidR="00B021ED">
        <w:t>7-9</w:t>
      </w:r>
      <w:r w:rsidR="00B66630">
        <w:t xml:space="preserve"> (Feb. 4, 2015) (“TeleGuam Information Request Response”).</w:t>
      </w:r>
    </w:p>
  </w:footnote>
  <w:footnote w:id="10">
    <w:p w14:paraId="28FBFD31" w14:textId="5E39D4FF" w:rsidR="00DC6896" w:rsidRDefault="00DC6896">
      <w:pPr>
        <w:pStyle w:val="FootnoteText"/>
      </w:pPr>
      <w:r>
        <w:rPr>
          <w:rStyle w:val="FootnoteReference"/>
        </w:rPr>
        <w:footnoteRef/>
      </w:r>
      <w:r>
        <w:t xml:space="preserve"> </w:t>
      </w:r>
      <w:r w:rsidRPr="00C03AD1">
        <w:rPr>
          <w:i/>
        </w:rPr>
        <w:t>See generally</w:t>
      </w:r>
      <w:r>
        <w:t xml:space="preserve"> </w:t>
      </w:r>
      <w:r>
        <w:rPr>
          <w:i/>
        </w:rPr>
        <w:t xml:space="preserve">Accepted for Filing </w:t>
      </w:r>
      <w:r w:rsidRPr="003C62A9">
        <w:rPr>
          <w:i/>
        </w:rPr>
        <w:t>Public Notice</w:t>
      </w:r>
      <w:r w:rsidR="00DE03EE">
        <w:t>, 30 FCC Rcd 261</w:t>
      </w:r>
      <w:r>
        <w:t>.</w:t>
      </w:r>
      <w:r w:rsidR="0066254A">
        <w:t xml:space="preserve">  Petitions </w:t>
      </w:r>
      <w:r w:rsidR="00D40E2C">
        <w:t xml:space="preserve">to deny </w:t>
      </w:r>
      <w:r w:rsidR="0066254A">
        <w:t xml:space="preserve">were due </w:t>
      </w:r>
      <w:r w:rsidR="00E33CA2">
        <w:t>February</w:t>
      </w:r>
      <w:r w:rsidR="0066254A">
        <w:t xml:space="preserve"> 20, 2015,</w:t>
      </w:r>
      <w:r w:rsidR="00E33CA2">
        <w:t xml:space="preserve"> oppositions were due March 2</w:t>
      </w:r>
      <w:r w:rsidR="0066254A">
        <w:t xml:space="preserve">, 2015, and replies were due </w:t>
      </w:r>
      <w:r w:rsidR="00E33CA2">
        <w:t>March 9</w:t>
      </w:r>
      <w:r w:rsidR="0066254A">
        <w:t>, 2015.</w:t>
      </w:r>
    </w:p>
  </w:footnote>
  <w:footnote w:id="11">
    <w:p w14:paraId="66004588" w14:textId="46FA88B6" w:rsidR="00DC6896" w:rsidRDefault="00DC6896">
      <w:pPr>
        <w:pStyle w:val="FootnoteText"/>
      </w:pPr>
      <w:r>
        <w:rPr>
          <w:rStyle w:val="FootnoteReference"/>
        </w:rPr>
        <w:footnoteRef/>
      </w:r>
      <w:r>
        <w:t xml:space="preserve"> </w:t>
      </w:r>
      <w:r w:rsidRPr="00E0103F">
        <w:rPr>
          <w:i/>
        </w:rPr>
        <w:t>See generally</w:t>
      </w:r>
      <w:r w:rsidR="008C6539">
        <w:t xml:space="preserve"> Application</w:t>
      </w:r>
      <w:r>
        <w:t xml:space="preserve"> of </w:t>
      </w:r>
      <w:r w:rsidR="00F65123">
        <w:t>TeleGuam Holdings, LLC</w:t>
      </w:r>
      <w:r>
        <w:t xml:space="preserve"> and </w:t>
      </w:r>
      <w:r w:rsidR="00F65123">
        <w:t>Club 42 CM Limited Partnership</w:t>
      </w:r>
      <w:r>
        <w:t xml:space="preserve"> for Consent To Assign </w:t>
      </w:r>
      <w:r w:rsidR="00F65123">
        <w:t>Upper</w:t>
      </w:r>
      <w:r w:rsidR="00AE7346">
        <w:t xml:space="preserve"> 700 MHz </w:t>
      </w:r>
      <w:r w:rsidR="00F65123">
        <w:t xml:space="preserve">and Advanced Wireless Service </w:t>
      </w:r>
      <w:r w:rsidR="00AE7346">
        <w:t>License</w:t>
      </w:r>
      <w:r w:rsidR="00F65123">
        <w:t>s</w:t>
      </w:r>
      <w:r>
        <w:t>; Numbering Resource Utilization and Forecast Reports and Local Number Portability Reports To Be Placed into the Record, Subject to Pr</w:t>
      </w:r>
      <w:r w:rsidR="00F65123">
        <w:t>otective Order, WT Docket No. 15</w:t>
      </w:r>
      <w:r>
        <w:t>-</w:t>
      </w:r>
      <w:r w:rsidR="00F65123">
        <w:t>7</w:t>
      </w:r>
      <w:r>
        <w:t xml:space="preserve">, CC Docket No. 99-200, </w:t>
      </w:r>
      <w:r w:rsidRPr="000E4E4E">
        <w:rPr>
          <w:i/>
        </w:rPr>
        <w:t>Public Notice</w:t>
      </w:r>
      <w:r w:rsidR="00F65123">
        <w:t xml:space="preserve">, </w:t>
      </w:r>
      <w:r w:rsidR="00DE03EE">
        <w:t xml:space="preserve">30 FCC Rcd 282 </w:t>
      </w:r>
      <w:r>
        <w:t xml:space="preserve">(WTB </w:t>
      </w:r>
      <w:r w:rsidR="00F65123">
        <w:t>2015</w:t>
      </w:r>
      <w:r>
        <w:t xml:space="preserve">); Application of </w:t>
      </w:r>
      <w:r w:rsidR="00F65123">
        <w:t>TeleGuam Holdings, LLC</w:t>
      </w:r>
      <w:r>
        <w:t xml:space="preserve"> and </w:t>
      </w:r>
      <w:r w:rsidR="00F65123">
        <w:t>Club 42 CM Limited Partnership</w:t>
      </w:r>
      <w:r>
        <w:t xml:space="preserve"> fo</w:t>
      </w:r>
      <w:r w:rsidR="00D83C21">
        <w:t>r Consent To Assign License</w:t>
      </w:r>
      <w:r w:rsidR="00F65123">
        <w:t>s</w:t>
      </w:r>
      <w:r>
        <w:t>,</w:t>
      </w:r>
      <w:r w:rsidRPr="009409FD">
        <w:t xml:space="preserve"> </w:t>
      </w:r>
      <w:r w:rsidR="00F65123">
        <w:t>WT Docket No. 15</w:t>
      </w:r>
      <w:r>
        <w:t>-</w:t>
      </w:r>
      <w:r w:rsidR="00F65123">
        <w:t>7</w:t>
      </w:r>
      <w:r>
        <w:t xml:space="preserve">, </w:t>
      </w:r>
      <w:r>
        <w:rPr>
          <w:i/>
        </w:rPr>
        <w:t>NRUF/LNP Protective Order</w:t>
      </w:r>
      <w:r w:rsidR="00F65123">
        <w:t xml:space="preserve">, </w:t>
      </w:r>
      <w:r w:rsidR="00DE03EE">
        <w:t>30 FCC Rcd 275</w:t>
      </w:r>
      <w:r>
        <w:t xml:space="preserve"> (WTB </w:t>
      </w:r>
      <w:r w:rsidR="00F65123">
        <w:t>2015</w:t>
      </w:r>
      <w:r>
        <w:t>).</w:t>
      </w:r>
    </w:p>
  </w:footnote>
  <w:footnote w:id="12">
    <w:p w14:paraId="3378552A" w14:textId="77777777" w:rsidR="00DC6896" w:rsidRDefault="00DC6896">
      <w:pPr>
        <w:pStyle w:val="FootnoteText"/>
      </w:pPr>
      <w:r>
        <w:rPr>
          <w:rStyle w:val="FootnoteReference"/>
        </w:rPr>
        <w:footnoteRef/>
      </w:r>
      <w:r>
        <w:t xml:space="preserve"> 47 U.S.C. § 308(b).</w:t>
      </w:r>
    </w:p>
  </w:footnote>
  <w:footnote w:id="13">
    <w:p w14:paraId="2A67EF2C" w14:textId="18F1175B" w:rsidR="00DC6896" w:rsidRPr="00BD61A2" w:rsidRDefault="00DC6896">
      <w:pPr>
        <w:pStyle w:val="FootnoteText"/>
        <w:rPr>
          <w:i/>
        </w:rPr>
      </w:pPr>
      <w:r>
        <w:rPr>
          <w:rStyle w:val="FootnoteReference"/>
        </w:rPr>
        <w:footnoteRef/>
      </w:r>
      <w:r>
        <w:t xml:space="preserve"> </w:t>
      </w:r>
      <w:r w:rsidRPr="00AA7682">
        <w:rPr>
          <w:i/>
          <w:iCs/>
          <w:color w:val="010101"/>
        </w:rPr>
        <w:t xml:space="preserve">See generally </w:t>
      </w:r>
      <w:r w:rsidRPr="00AA7682">
        <w:rPr>
          <w:color w:val="010101"/>
        </w:rPr>
        <w:t xml:space="preserve">Letter from Roger C. Sherman, Chief, WTB, to </w:t>
      </w:r>
      <w:r w:rsidR="0028370C">
        <w:rPr>
          <w:color w:val="010101"/>
        </w:rPr>
        <w:t>Daniel J. Tydingco</w:t>
      </w:r>
      <w:r w:rsidRPr="00AA7682">
        <w:rPr>
          <w:color w:val="010101"/>
        </w:rPr>
        <w:t xml:space="preserve">, </w:t>
      </w:r>
      <w:r w:rsidR="003E19FD">
        <w:rPr>
          <w:color w:val="010101"/>
        </w:rPr>
        <w:t>TeleGuam</w:t>
      </w:r>
      <w:r w:rsidR="0028370C">
        <w:rPr>
          <w:color w:val="010101"/>
        </w:rPr>
        <w:t xml:space="preserve"> Holdings LLC, WT Docket No. 15</w:t>
      </w:r>
      <w:r w:rsidRPr="00AA7682">
        <w:rPr>
          <w:color w:val="010101"/>
        </w:rPr>
        <w:t>-</w:t>
      </w:r>
      <w:r w:rsidR="0028370C">
        <w:rPr>
          <w:color w:val="010101"/>
        </w:rPr>
        <w:t>7</w:t>
      </w:r>
      <w:r w:rsidRPr="00AA7682">
        <w:rPr>
          <w:color w:val="010101"/>
        </w:rPr>
        <w:t xml:space="preserve"> (</w:t>
      </w:r>
      <w:r>
        <w:rPr>
          <w:color w:val="010101"/>
        </w:rPr>
        <w:t xml:space="preserve">WTB rel. </w:t>
      </w:r>
      <w:r w:rsidR="0028370C">
        <w:rPr>
          <w:color w:val="010101"/>
        </w:rPr>
        <w:t>Jan. 21</w:t>
      </w:r>
      <w:r w:rsidRPr="00AA7682">
        <w:rPr>
          <w:color w:val="010101"/>
        </w:rPr>
        <w:t>,</w:t>
      </w:r>
      <w:r>
        <w:rPr>
          <w:color w:val="010101"/>
        </w:rPr>
        <w:t xml:space="preserve"> </w:t>
      </w:r>
      <w:r w:rsidR="0028370C">
        <w:rPr>
          <w:color w:val="010101"/>
        </w:rPr>
        <w:t>2015</w:t>
      </w:r>
      <w:r w:rsidRPr="00AA7682">
        <w:rPr>
          <w:color w:val="010101"/>
        </w:rPr>
        <w:t>)</w:t>
      </w:r>
      <w:r>
        <w:rPr>
          <w:color w:val="010101"/>
        </w:rPr>
        <w:t xml:space="preserve"> (“</w:t>
      </w:r>
      <w:r w:rsidR="003E19FD">
        <w:rPr>
          <w:i/>
          <w:color w:val="010101"/>
        </w:rPr>
        <w:t>TeleGuam</w:t>
      </w:r>
      <w:r w:rsidRPr="007A54DA">
        <w:rPr>
          <w:i/>
          <w:color w:val="010101"/>
        </w:rPr>
        <w:t xml:space="preserve"> Information Request</w:t>
      </w:r>
      <w:r>
        <w:rPr>
          <w:color w:val="010101"/>
        </w:rPr>
        <w:t>”)</w:t>
      </w:r>
      <w:r w:rsidRPr="00AA7682">
        <w:rPr>
          <w:color w:val="010101"/>
        </w:rPr>
        <w:t xml:space="preserve">; Letter from Roger C. Sherman, Chief, WTB, to </w:t>
      </w:r>
      <w:r w:rsidR="0028370C">
        <w:rPr>
          <w:color w:val="010101"/>
        </w:rPr>
        <w:t>Puneet Wadhwa</w:t>
      </w:r>
      <w:r w:rsidRPr="00AA7682">
        <w:rPr>
          <w:color w:val="010101"/>
        </w:rPr>
        <w:t>,</w:t>
      </w:r>
      <w:r w:rsidR="00BB7F1F">
        <w:rPr>
          <w:color w:val="010101"/>
        </w:rPr>
        <w:t xml:space="preserve"> </w:t>
      </w:r>
      <w:r w:rsidR="0028370C">
        <w:rPr>
          <w:color w:val="010101"/>
        </w:rPr>
        <w:t>Club 42 CM Limited Partnership</w:t>
      </w:r>
      <w:r w:rsidRPr="00AA7682">
        <w:rPr>
          <w:color w:val="010101"/>
        </w:rPr>
        <w:t>, WT</w:t>
      </w:r>
      <w:r>
        <w:rPr>
          <w:color w:val="010101"/>
        </w:rPr>
        <w:t xml:space="preserve"> </w:t>
      </w:r>
      <w:r w:rsidR="0028370C">
        <w:rPr>
          <w:color w:val="010101"/>
        </w:rPr>
        <w:t>Docket No. 15</w:t>
      </w:r>
      <w:r w:rsidRPr="00AA7682">
        <w:rPr>
          <w:color w:val="010101"/>
        </w:rPr>
        <w:t>-</w:t>
      </w:r>
      <w:r w:rsidR="0028370C">
        <w:rPr>
          <w:color w:val="010101"/>
        </w:rPr>
        <w:t>7</w:t>
      </w:r>
      <w:r w:rsidRPr="00AA7682">
        <w:rPr>
          <w:color w:val="010101"/>
        </w:rPr>
        <w:t xml:space="preserve"> (</w:t>
      </w:r>
      <w:r>
        <w:rPr>
          <w:color w:val="010101"/>
        </w:rPr>
        <w:t xml:space="preserve">WTB rel. </w:t>
      </w:r>
      <w:r w:rsidR="0028370C">
        <w:rPr>
          <w:color w:val="010101"/>
        </w:rPr>
        <w:t>Jan. 21, 2015</w:t>
      </w:r>
      <w:r w:rsidRPr="00AA7682">
        <w:rPr>
          <w:color w:val="010101"/>
        </w:rPr>
        <w:t>) (“</w:t>
      </w:r>
      <w:r w:rsidR="0028370C">
        <w:rPr>
          <w:i/>
          <w:color w:val="010101"/>
        </w:rPr>
        <w:t>Club 42</w:t>
      </w:r>
      <w:r>
        <w:rPr>
          <w:color w:val="010101"/>
        </w:rPr>
        <w:t xml:space="preserve"> </w:t>
      </w:r>
      <w:r w:rsidRPr="00AA7682">
        <w:rPr>
          <w:i/>
          <w:iCs/>
          <w:color w:val="010101"/>
        </w:rPr>
        <w:t>Information Request</w:t>
      </w:r>
      <w:r w:rsidRPr="00AA7682">
        <w:rPr>
          <w:color w:val="010101"/>
        </w:rPr>
        <w:t>”).</w:t>
      </w:r>
      <w:r w:rsidR="00BD61A2">
        <w:rPr>
          <w:color w:val="010101"/>
        </w:rPr>
        <w:t xml:space="preserve">  </w:t>
      </w:r>
      <w:r w:rsidR="00BD61A2" w:rsidRPr="00BB7F1F">
        <w:t xml:space="preserve">The Bureau also released a </w:t>
      </w:r>
      <w:r w:rsidR="00BD61A2" w:rsidRPr="00BD61A2">
        <w:rPr>
          <w:i/>
        </w:rPr>
        <w:t>Joint Protective Order</w:t>
      </w:r>
      <w:r w:rsidR="00BD61A2" w:rsidRPr="00BB7F1F">
        <w:t xml:space="preserve"> to ensure that any confidential or proprietary documents submitted to the Commission would be adequately protected from public disclosure, and to announce the process by which interested parties could gain access to confidential information filed in the record.</w:t>
      </w:r>
      <w:r w:rsidR="00BD61A2">
        <w:t xml:space="preserve">  </w:t>
      </w:r>
      <w:r w:rsidR="00BD61A2">
        <w:rPr>
          <w:i/>
        </w:rPr>
        <w:t>See generally</w:t>
      </w:r>
      <w:r w:rsidR="00BD61A2" w:rsidRPr="00BD61A2">
        <w:t xml:space="preserve"> </w:t>
      </w:r>
      <w:r w:rsidR="00BD61A2">
        <w:t xml:space="preserve">Application of </w:t>
      </w:r>
      <w:r w:rsidR="0028370C">
        <w:t>TeleGuam Holdings, LLC</w:t>
      </w:r>
      <w:r w:rsidR="00BD61A2">
        <w:t xml:space="preserve"> and </w:t>
      </w:r>
      <w:r w:rsidR="0028370C">
        <w:t xml:space="preserve">Club 42 CM Limited Partnership </w:t>
      </w:r>
      <w:r w:rsidR="0066254A">
        <w:t>for Consent To Assign License</w:t>
      </w:r>
      <w:r w:rsidR="0028370C">
        <w:t>s, WT Docket No. 15-7</w:t>
      </w:r>
      <w:r w:rsidR="00BD61A2">
        <w:t xml:space="preserve">, </w:t>
      </w:r>
      <w:r w:rsidR="00BD61A2" w:rsidRPr="002E1CDE">
        <w:rPr>
          <w:i/>
        </w:rPr>
        <w:t>Joint Protective Order</w:t>
      </w:r>
      <w:r w:rsidR="0028370C">
        <w:t xml:space="preserve">, </w:t>
      </w:r>
      <w:r w:rsidR="009B58C7">
        <w:t>30 FCC Rcd 265</w:t>
      </w:r>
      <w:r w:rsidR="0028370C">
        <w:t xml:space="preserve"> (WTB 2015</w:t>
      </w:r>
      <w:r w:rsidR="00BD61A2">
        <w:t>).</w:t>
      </w:r>
    </w:p>
  </w:footnote>
  <w:footnote w:id="14">
    <w:p w14:paraId="12A7323D" w14:textId="17037A98" w:rsidR="005057C0" w:rsidRDefault="005057C0" w:rsidP="005057C0">
      <w:pPr>
        <w:pStyle w:val="FootnoteText"/>
      </w:pPr>
      <w:r>
        <w:rPr>
          <w:rStyle w:val="FootnoteReference"/>
        </w:rPr>
        <w:footnoteRef/>
      </w:r>
      <w:r>
        <w:t xml:space="preserve"> </w:t>
      </w:r>
      <w:r w:rsidRPr="00700AD0">
        <w:rPr>
          <w:i/>
          <w:iCs/>
          <w:color w:val="010101"/>
        </w:rPr>
        <w:t xml:space="preserve">See generally </w:t>
      </w:r>
      <w:r w:rsidRPr="00700AD0">
        <w:rPr>
          <w:color w:val="010101"/>
        </w:rPr>
        <w:t>Letter from R</w:t>
      </w:r>
      <w:r>
        <w:rPr>
          <w:color w:val="010101"/>
        </w:rPr>
        <w:t xml:space="preserve">oger C. Sherman, Chief, WTB, to </w:t>
      </w:r>
      <w:r w:rsidRPr="00746FB5">
        <w:rPr>
          <w:color w:val="010101"/>
        </w:rPr>
        <w:t>Richard Yu</w:t>
      </w:r>
      <w:r>
        <w:rPr>
          <w:color w:val="010101"/>
        </w:rPr>
        <w:t xml:space="preserve">, </w:t>
      </w:r>
      <w:r w:rsidRPr="00746FB5">
        <w:rPr>
          <w:color w:val="010101"/>
        </w:rPr>
        <w:t>Choice Phone, LLC</w:t>
      </w:r>
      <w:r>
        <w:rPr>
          <w:color w:val="010101"/>
        </w:rPr>
        <w:t>,</w:t>
      </w:r>
      <w:r w:rsidRPr="00700AD0">
        <w:rPr>
          <w:color w:val="010101"/>
        </w:rPr>
        <w:t xml:space="preserve"> WT Docket No. </w:t>
      </w:r>
      <w:r>
        <w:rPr>
          <w:color w:val="010101"/>
        </w:rPr>
        <w:t>15-7</w:t>
      </w:r>
      <w:r w:rsidRPr="00700AD0">
        <w:rPr>
          <w:color w:val="010101"/>
        </w:rPr>
        <w:t xml:space="preserve"> (</w:t>
      </w:r>
      <w:r>
        <w:rPr>
          <w:color w:val="010101"/>
        </w:rPr>
        <w:t>WTB rel. Mar. 25, 2015</w:t>
      </w:r>
      <w:r w:rsidRPr="00700AD0">
        <w:rPr>
          <w:color w:val="010101"/>
        </w:rPr>
        <w:t xml:space="preserve">); Letter from Roger C. Sherman, Chief, WTB, to </w:t>
      </w:r>
      <w:r>
        <w:rPr>
          <w:color w:val="010101"/>
        </w:rPr>
        <w:t xml:space="preserve">John Wu, </w:t>
      </w:r>
      <w:r w:rsidRPr="00746FB5">
        <w:rPr>
          <w:color w:val="010101"/>
        </w:rPr>
        <w:t>DoCoMo Pacific, Inc.</w:t>
      </w:r>
      <w:r w:rsidRPr="00700AD0">
        <w:rPr>
          <w:color w:val="010101"/>
        </w:rPr>
        <w:t xml:space="preserve">, WT Docket No. </w:t>
      </w:r>
      <w:r>
        <w:rPr>
          <w:color w:val="010101"/>
        </w:rPr>
        <w:t>15-7</w:t>
      </w:r>
      <w:r w:rsidRPr="00700AD0">
        <w:rPr>
          <w:color w:val="010101"/>
        </w:rPr>
        <w:t xml:space="preserve"> (</w:t>
      </w:r>
      <w:r>
        <w:rPr>
          <w:color w:val="010101"/>
        </w:rPr>
        <w:t>WTB rel. Mar. 25, 2015</w:t>
      </w:r>
      <w:r w:rsidRPr="00700AD0">
        <w:rPr>
          <w:color w:val="010101"/>
        </w:rPr>
        <w:t>)</w:t>
      </w:r>
      <w:r>
        <w:rPr>
          <w:color w:val="010101"/>
        </w:rPr>
        <w:t>;</w:t>
      </w:r>
      <w:r w:rsidRPr="00700AD0">
        <w:rPr>
          <w:color w:val="010101"/>
        </w:rPr>
        <w:t xml:space="preserve"> Letter from Roger C. Sherman, Chief, WTB, to </w:t>
      </w:r>
      <w:r w:rsidRPr="00746FB5">
        <w:rPr>
          <w:color w:val="010101"/>
        </w:rPr>
        <w:t>Steven Carrara</w:t>
      </w:r>
      <w:r>
        <w:rPr>
          <w:color w:val="010101"/>
        </w:rPr>
        <w:t xml:space="preserve">, </w:t>
      </w:r>
      <w:r w:rsidRPr="00025BDD">
        <w:rPr>
          <w:color w:val="010101"/>
        </w:rPr>
        <w:t>PTI Pacifica Inc.</w:t>
      </w:r>
      <w:r w:rsidRPr="00700AD0">
        <w:rPr>
          <w:color w:val="010101"/>
        </w:rPr>
        <w:t xml:space="preserve">, WT Docket No. </w:t>
      </w:r>
      <w:r>
        <w:rPr>
          <w:color w:val="010101"/>
        </w:rPr>
        <w:t>15-7</w:t>
      </w:r>
      <w:r w:rsidRPr="00700AD0">
        <w:rPr>
          <w:color w:val="010101"/>
        </w:rPr>
        <w:t xml:space="preserve"> (</w:t>
      </w:r>
      <w:r>
        <w:rPr>
          <w:color w:val="010101"/>
        </w:rPr>
        <w:t>WTB rel. Mar. 25, 2015</w:t>
      </w:r>
      <w:r w:rsidRPr="00700AD0">
        <w:rPr>
          <w:color w:val="010101"/>
        </w:rPr>
        <w:t>).</w:t>
      </w:r>
      <w:r>
        <w:rPr>
          <w:color w:val="010101"/>
        </w:rPr>
        <w:t xml:space="preserve">  The third party service providers submitted responses to these requests.  </w:t>
      </w:r>
      <w:r w:rsidRPr="005B46E0">
        <w:rPr>
          <w:i/>
          <w:color w:val="010101"/>
        </w:rPr>
        <w:t>See</w:t>
      </w:r>
      <w:r>
        <w:rPr>
          <w:color w:val="010101"/>
        </w:rPr>
        <w:t xml:space="preserve"> </w:t>
      </w:r>
      <w:r>
        <w:t xml:space="preserve">Letter from Reynard Ong, Revenue Recognition Manager, Choice Phone LLC dba iConnect, to Wireless Telecommunications Bureau, </w:t>
      </w:r>
      <w:r w:rsidRPr="00700AD0">
        <w:rPr>
          <w:color w:val="010101"/>
        </w:rPr>
        <w:t xml:space="preserve">WT Docket No. </w:t>
      </w:r>
      <w:r>
        <w:rPr>
          <w:color w:val="010101"/>
        </w:rPr>
        <w:t xml:space="preserve">15-7, dated Apr. 14, 2015; </w:t>
      </w:r>
      <w:r>
        <w:t xml:space="preserve">Letter from John Wu, Vice President Network Operations, DoCoMo Pacific, Inc. to Marlene H. Dortch, Secretary, FCC, </w:t>
      </w:r>
      <w:r w:rsidRPr="00700AD0">
        <w:rPr>
          <w:color w:val="010101"/>
        </w:rPr>
        <w:t xml:space="preserve">WT Docket No. </w:t>
      </w:r>
      <w:r>
        <w:rPr>
          <w:color w:val="010101"/>
        </w:rPr>
        <w:t xml:space="preserve">15-7, dated Apr. 15, 2015; </w:t>
      </w:r>
      <w:r>
        <w:t xml:space="preserve">Letter from Timothy J. Cooney, Counsel to PTI Pacifica Inc. d/b/a IT&amp;E, to Marlene H. Dortch, Secretary, FCC, WTB, </w:t>
      </w:r>
      <w:r w:rsidRPr="00700AD0">
        <w:rPr>
          <w:color w:val="010101"/>
        </w:rPr>
        <w:t xml:space="preserve">WT Docket No. </w:t>
      </w:r>
      <w:r>
        <w:rPr>
          <w:color w:val="010101"/>
        </w:rPr>
        <w:t>15-7, dated Apr. 15, 2015.</w:t>
      </w:r>
    </w:p>
  </w:footnote>
  <w:footnote w:id="15">
    <w:p w14:paraId="277E38F6" w14:textId="2CCA4DBE" w:rsidR="00DC6896" w:rsidRPr="00316A29" w:rsidRDefault="00DC6896" w:rsidP="00FA6F04">
      <w:pPr>
        <w:pStyle w:val="FootnoteText"/>
      </w:pPr>
      <w:r w:rsidRPr="00316A29">
        <w:rPr>
          <w:rStyle w:val="FootnoteReference"/>
        </w:rPr>
        <w:footnoteRef/>
      </w:r>
      <w:r w:rsidR="00032635">
        <w:t xml:space="preserve"> 47 U.S.C. § </w:t>
      </w:r>
      <w:r w:rsidRPr="00316A29">
        <w:t xml:space="preserve">310(d). </w:t>
      </w:r>
    </w:p>
  </w:footnote>
  <w:footnote w:id="16">
    <w:p w14:paraId="278733A2" w14:textId="4BA4C1C9" w:rsidR="00DD0170" w:rsidRPr="00A04681" w:rsidRDefault="00DD0170">
      <w:pPr>
        <w:pStyle w:val="FootnoteText"/>
      </w:pPr>
      <w:r>
        <w:rPr>
          <w:rStyle w:val="FootnoteReference"/>
        </w:rPr>
        <w:footnoteRef/>
      </w:r>
      <w:r>
        <w:t xml:space="preserve"> </w:t>
      </w:r>
      <w:r>
        <w:rPr>
          <w:i/>
        </w:rPr>
        <w:t>See</w:t>
      </w:r>
      <w:r>
        <w:t xml:space="preserve">, </w:t>
      </w:r>
      <w:r>
        <w:rPr>
          <w:i/>
        </w:rPr>
        <w:t>e.g.</w:t>
      </w:r>
      <w:r>
        <w:t xml:space="preserve">, Applications of AT&amp;T Inc., E.N.M.R. Telephone Cooperative, Plateau Telecommunications, Inc., New Mexico RSA 4 East Limited Partnership, and Texas RSA 3 Limited Partnership for Consent To Assign Licenses and Authorizations, WT Docket No. 14-144, </w:t>
      </w:r>
      <w:r>
        <w:rPr>
          <w:i/>
        </w:rPr>
        <w:t>Memorandum Opinion and Order</w:t>
      </w:r>
      <w:r>
        <w:t xml:space="preserve">, </w:t>
      </w:r>
      <w:r w:rsidR="00E520F6">
        <w:t xml:space="preserve">30 </w:t>
      </w:r>
      <w:r>
        <w:t xml:space="preserve">FCC </w:t>
      </w:r>
      <w:r w:rsidR="00E520F6">
        <w:t>Rcd 5107, 5111 ¶</w:t>
      </w:r>
      <w:r w:rsidR="002E0A6C">
        <w:t xml:space="preserve"> </w:t>
      </w:r>
      <w:r>
        <w:t>8</w:t>
      </w:r>
      <w:r w:rsidR="00E520F6">
        <w:t xml:space="preserve"> (</w:t>
      </w:r>
      <w:r>
        <w:t>2015) (“</w:t>
      </w:r>
      <w:r>
        <w:rPr>
          <w:i/>
        </w:rPr>
        <w:t>AT&amp;T-Plateau Wireless Order</w:t>
      </w:r>
      <w:r>
        <w:t>”);</w:t>
      </w:r>
      <w:r w:rsidR="00A04681">
        <w:t xml:space="preserve"> Applications of AT&amp;T Inc., Leap Wireless International, Inc.</w:t>
      </w:r>
      <w:r w:rsidR="00B37DFB">
        <w:t>,</w:t>
      </w:r>
      <w:r w:rsidR="00A04681">
        <w:t xml:space="preserve"> Cricket Lic</w:t>
      </w:r>
      <w:r w:rsidR="00087428">
        <w:t>ense Co. LLC and Leap License</w:t>
      </w:r>
      <w:r w:rsidR="00B37DFB">
        <w:t>c</w:t>
      </w:r>
      <w:r w:rsidR="00087428">
        <w:t>o,</w:t>
      </w:r>
      <w:r w:rsidR="00A04681">
        <w:t xml:space="preserve"> Inc. for Consent To Transfer Control and Assign Licenses and Authorizations, WT Docket No. 13-193, </w:t>
      </w:r>
      <w:r w:rsidR="00A04681">
        <w:rPr>
          <w:i/>
        </w:rPr>
        <w:t>Memorandum Opinion and Order</w:t>
      </w:r>
      <w:r w:rsidR="00A04681">
        <w:t>, 29 FCC Rcd 2735, 2741-42 ¶ 13 (WTB, IB 2014) (“</w:t>
      </w:r>
      <w:r w:rsidR="00E16DEB">
        <w:rPr>
          <w:i/>
        </w:rPr>
        <w:t>AT&amp;T</w:t>
      </w:r>
      <w:r w:rsidR="00E16DEB">
        <w:rPr>
          <w:i/>
        </w:rPr>
        <w:noBreakHyphen/>
      </w:r>
      <w:r w:rsidR="00A04681">
        <w:rPr>
          <w:i/>
        </w:rPr>
        <w:t>Leap Order</w:t>
      </w:r>
      <w:r w:rsidR="00A04681">
        <w:t>”).</w:t>
      </w:r>
    </w:p>
  </w:footnote>
  <w:footnote w:id="17">
    <w:p w14:paraId="2881B96A" w14:textId="77777777" w:rsidR="00E520F6" w:rsidRPr="00316A29" w:rsidRDefault="00E520F6" w:rsidP="00E520F6">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w:t>
      </w:r>
      <w:r>
        <w:t xml:space="preserve"> </w:t>
      </w:r>
      <w:r w:rsidRPr="00316A29">
        <w:t>47 U.S.C. §§ 308</w:t>
      </w:r>
      <w:r>
        <w:t>, 310(d)</w:t>
      </w:r>
      <w:r w:rsidRPr="00316A29">
        <w:t xml:space="preserve">.  </w:t>
      </w:r>
      <w:r w:rsidRPr="00316A29">
        <w:rPr>
          <w:i/>
        </w:rPr>
        <w:t>See</w:t>
      </w:r>
      <w:r w:rsidRPr="00B76058">
        <w:t xml:space="preserve">, </w:t>
      </w:r>
      <w:r w:rsidRPr="00316A29">
        <w:rPr>
          <w:i/>
        </w:rPr>
        <w:t>e.g.</w:t>
      </w:r>
      <w:r w:rsidRPr="00316A29">
        <w:t xml:space="preserve">, </w:t>
      </w:r>
      <w:r w:rsidRPr="009B3B62">
        <w:rPr>
          <w:i/>
        </w:rPr>
        <w:t>AT&amp;T-Plateau Wireless Order</w:t>
      </w:r>
      <w:r>
        <w:t>, 30 FCC Rcd at 5111 ¶ 8;</w:t>
      </w:r>
      <w:r w:rsidRPr="001800E5">
        <w:rPr>
          <w:i/>
        </w:rPr>
        <w:t xml:space="preserve"> AT&amp;T-Leap Order</w:t>
      </w:r>
      <w:r w:rsidRPr="001800E5">
        <w:t>,</w:t>
      </w:r>
      <w:r w:rsidRPr="001800E5">
        <w:rPr>
          <w:i/>
          <w:iCs/>
        </w:rPr>
        <w:t xml:space="preserve"> </w:t>
      </w:r>
      <w:r>
        <w:t>29 FCC Rcd at 2741</w:t>
      </w:r>
      <w:r w:rsidRPr="001800E5">
        <w:t xml:space="preserve"> ¶</w:t>
      </w:r>
      <w:r>
        <w:t xml:space="preserve"> 13.</w:t>
      </w:r>
    </w:p>
  </w:footnote>
  <w:footnote w:id="18">
    <w:p w14:paraId="13B2D16E" w14:textId="7419C34A" w:rsidR="00E520F6" w:rsidRPr="00316A29" w:rsidRDefault="00E520F6" w:rsidP="00E520F6">
      <w:pPr>
        <w:pStyle w:val="FootnoteText"/>
      </w:pPr>
      <w:r w:rsidRPr="00316A29">
        <w:rPr>
          <w:rStyle w:val="FootnoteReference"/>
        </w:rPr>
        <w:footnoteRef/>
      </w:r>
      <w:r w:rsidRPr="00316A29">
        <w:rPr>
          <w:i/>
        </w:rPr>
        <w:t xml:space="preserve"> See</w:t>
      </w:r>
      <w:r w:rsidRPr="003B49D7">
        <w:t>,</w:t>
      </w:r>
      <w:r w:rsidRPr="00316A29">
        <w:rPr>
          <w:i/>
        </w:rPr>
        <w:t xml:space="preserve"> e.g</w:t>
      </w:r>
      <w:r w:rsidRPr="00316A29">
        <w:t>.,</w:t>
      </w:r>
      <w:r w:rsidRPr="00316A29">
        <w:rPr>
          <w:i/>
        </w:rPr>
        <w:t xml:space="preserve"> </w:t>
      </w:r>
      <w:r w:rsidRPr="009B3B62">
        <w:rPr>
          <w:i/>
        </w:rPr>
        <w:t>AT&amp;T-Plateau Wireless Order</w:t>
      </w:r>
      <w:r>
        <w:t xml:space="preserve">, 30 FCC Rcd at 5111 ¶ 8; </w:t>
      </w:r>
      <w:r>
        <w:rPr>
          <w:i/>
        </w:rPr>
        <w:t>AT&amp;T-Leap Order</w:t>
      </w:r>
      <w:r w:rsidRPr="00B76058">
        <w:t>,</w:t>
      </w:r>
      <w:r>
        <w:rPr>
          <w:i/>
        </w:rPr>
        <w:t xml:space="preserve"> </w:t>
      </w:r>
      <w:r w:rsidRPr="00CF4C4A">
        <w:t>29 FCC Rcd at 2741-42</w:t>
      </w:r>
      <w:r>
        <w:rPr>
          <w:i/>
        </w:rPr>
        <w:t xml:space="preserve"> </w:t>
      </w:r>
      <w:r>
        <w:t>¶</w:t>
      </w:r>
      <w:r w:rsidR="002E0A6C">
        <w:t> </w:t>
      </w:r>
      <w:r>
        <w:t>13.</w:t>
      </w:r>
    </w:p>
  </w:footnote>
  <w:footnote w:id="19">
    <w:p w14:paraId="4E192C19" w14:textId="0EAE9A69" w:rsidR="00E520F6" w:rsidRPr="00316A29" w:rsidRDefault="00E520F6" w:rsidP="00E520F6">
      <w:pPr>
        <w:pStyle w:val="FootnoteText"/>
      </w:pPr>
      <w:r w:rsidRPr="00316A29">
        <w:rPr>
          <w:rStyle w:val="FootnoteReference"/>
        </w:rPr>
        <w:footnoteRef/>
      </w:r>
      <w:r w:rsidRPr="00316A29">
        <w:rPr>
          <w:i/>
        </w:rPr>
        <w:t xml:space="preserve"> </w:t>
      </w:r>
      <w:r>
        <w:rPr>
          <w:i/>
        </w:rPr>
        <w:t xml:space="preserve">See </w:t>
      </w:r>
      <w:r w:rsidR="00B37DFB">
        <w:rPr>
          <w:i/>
        </w:rPr>
        <w:t>id</w:t>
      </w:r>
      <w:r>
        <w:t>.</w:t>
      </w:r>
    </w:p>
  </w:footnote>
  <w:footnote w:id="20">
    <w:p w14:paraId="36BD8B55" w14:textId="7FE8BB85" w:rsidR="00E520F6" w:rsidRPr="00C17C92" w:rsidRDefault="00E520F6" w:rsidP="00E520F6">
      <w:pPr>
        <w:pStyle w:val="FootnoteText"/>
      </w:pPr>
      <w:r w:rsidRPr="00316A29">
        <w:rPr>
          <w:rStyle w:val="FootnoteReference"/>
        </w:rPr>
        <w:footnoteRef/>
      </w:r>
      <w:r>
        <w:rPr>
          <w:i/>
        </w:rPr>
        <w:t xml:space="preserve"> See </w:t>
      </w:r>
      <w:r w:rsidR="00B37DFB">
        <w:rPr>
          <w:i/>
        </w:rPr>
        <w:t>id</w:t>
      </w:r>
      <w:r>
        <w:rPr>
          <w:i/>
        </w:rPr>
        <w:t>.</w:t>
      </w:r>
    </w:p>
  </w:footnote>
  <w:footnote w:id="21">
    <w:p w14:paraId="209703F6" w14:textId="36C8BAD1" w:rsidR="00E520F6" w:rsidRDefault="00E520F6" w:rsidP="00E520F6">
      <w:pPr>
        <w:pStyle w:val="FootnoteText"/>
        <w:rPr>
          <w:i/>
        </w:rPr>
      </w:pPr>
      <w:r>
        <w:rPr>
          <w:rStyle w:val="FootnoteReference"/>
        </w:rPr>
        <w:footnoteRef/>
      </w:r>
      <w:r>
        <w:rPr>
          <w:i/>
        </w:rPr>
        <w:t xml:space="preserve"> See </w:t>
      </w:r>
      <w:r w:rsidR="00B37DFB">
        <w:rPr>
          <w:i/>
        </w:rPr>
        <w:t>id</w:t>
      </w:r>
      <w:r>
        <w:t>.</w:t>
      </w:r>
    </w:p>
  </w:footnote>
  <w:footnote w:id="22">
    <w:p w14:paraId="2DA846EB" w14:textId="1B65E7CB" w:rsidR="00DC6896" w:rsidRPr="00316A29" w:rsidRDefault="00DC6896" w:rsidP="00610C29">
      <w:pPr>
        <w:pStyle w:val="FootnoteText"/>
      </w:pPr>
      <w:r w:rsidRPr="00316A29">
        <w:rPr>
          <w:rStyle w:val="FootnoteReference"/>
        </w:rPr>
        <w:footnoteRef/>
      </w:r>
      <w:r w:rsidRPr="00316A29">
        <w:rPr>
          <w:i/>
        </w:rPr>
        <w:t xml:space="preserve"> See</w:t>
      </w:r>
      <w:r w:rsidR="00B37DFB">
        <w:t>,</w:t>
      </w:r>
      <w:r w:rsidR="00B37DFB" w:rsidRPr="00316A29">
        <w:rPr>
          <w:i/>
        </w:rPr>
        <w:t xml:space="preserve"> </w:t>
      </w:r>
      <w:r w:rsidRPr="00316A29">
        <w:rPr>
          <w:i/>
        </w:rPr>
        <w:t>e.g.</w:t>
      </w:r>
      <w:r w:rsidRPr="00316A29">
        <w:t xml:space="preserve">, </w:t>
      </w:r>
      <w:r w:rsidR="00A04681">
        <w:rPr>
          <w:i/>
        </w:rPr>
        <w:t xml:space="preserve">AT&amp;T-Plateau Wireless </w:t>
      </w:r>
      <w:r w:rsidR="00A04681" w:rsidRPr="00A04681">
        <w:rPr>
          <w:i/>
        </w:rPr>
        <w:t>Order</w:t>
      </w:r>
      <w:r w:rsidR="00E34D3D">
        <w:t xml:space="preserve">, </w:t>
      </w:r>
      <w:r w:rsidR="00C9397D">
        <w:t xml:space="preserve">30 </w:t>
      </w:r>
      <w:r w:rsidR="00E34D3D">
        <w:t xml:space="preserve">FCC </w:t>
      </w:r>
      <w:r w:rsidR="00B37DFB">
        <w:t xml:space="preserve">Rcd </w:t>
      </w:r>
      <w:r w:rsidR="00A04681">
        <w:t xml:space="preserve">at </w:t>
      </w:r>
      <w:r w:rsidR="00C9397D">
        <w:t>5111</w:t>
      </w:r>
      <w:r w:rsidR="00B37DFB">
        <w:t>-12</w:t>
      </w:r>
      <w:r w:rsidR="00C9397D">
        <w:t xml:space="preserve"> </w:t>
      </w:r>
      <w:r w:rsidR="00A04681">
        <w:t xml:space="preserve">¶ 9; </w:t>
      </w:r>
      <w:r w:rsidRPr="00A04681">
        <w:rPr>
          <w:i/>
        </w:rPr>
        <w:t>AT&amp;T</w:t>
      </w:r>
      <w:r>
        <w:rPr>
          <w:i/>
        </w:rPr>
        <w:t>-Leap Order</w:t>
      </w:r>
      <w:r w:rsidRPr="00B76058">
        <w:t>,</w:t>
      </w:r>
      <w:r>
        <w:rPr>
          <w:i/>
        </w:rPr>
        <w:t xml:space="preserve"> </w:t>
      </w:r>
      <w:r w:rsidRPr="00CF4C4A">
        <w:t xml:space="preserve">29 FCC Rcd at </w:t>
      </w:r>
      <w:r>
        <w:t>2742 ¶</w:t>
      </w:r>
      <w:r w:rsidR="002E0A6C">
        <w:t> </w:t>
      </w:r>
      <w:r>
        <w:t>15.</w:t>
      </w:r>
    </w:p>
  </w:footnote>
  <w:footnote w:id="23">
    <w:p w14:paraId="4DCFD614" w14:textId="54BFA985" w:rsidR="00475748" w:rsidRPr="00316A29" w:rsidRDefault="00475748" w:rsidP="00475748">
      <w:pPr>
        <w:pStyle w:val="FootnoteText"/>
      </w:pPr>
      <w:r w:rsidRPr="00316A29">
        <w:rPr>
          <w:vertAlign w:val="superscript"/>
        </w:rPr>
        <w:footnoteRef/>
      </w:r>
      <w:r w:rsidRPr="00316A29">
        <w:t xml:space="preserve"> </w:t>
      </w:r>
      <w:r w:rsidRPr="009557B9">
        <w:rPr>
          <w:i/>
        </w:rPr>
        <w:t xml:space="preserve">See </w:t>
      </w:r>
      <w:r w:rsidR="00B37DFB">
        <w:rPr>
          <w:i/>
        </w:rPr>
        <w:t>id</w:t>
      </w:r>
      <w:r>
        <w:t xml:space="preserve">.  </w:t>
      </w:r>
    </w:p>
  </w:footnote>
  <w:footnote w:id="24">
    <w:p w14:paraId="42F551C0" w14:textId="18256272" w:rsidR="00E34D3D" w:rsidRDefault="00E34D3D" w:rsidP="00E34D3D">
      <w:pPr>
        <w:pStyle w:val="FootnoteText"/>
      </w:pPr>
      <w:r>
        <w:rPr>
          <w:rStyle w:val="FootnoteReference"/>
        </w:rPr>
        <w:footnoteRef/>
      </w:r>
      <w:r>
        <w:t xml:space="preserve"> </w:t>
      </w:r>
      <w:r w:rsidRPr="00316A29">
        <w:rPr>
          <w:i/>
        </w:rPr>
        <w:t>See, e.g.</w:t>
      </w:r>
      <w:r w:rsidRPr="00B76058">
        <w:t>,</w:t>
      </w:r>
      <w:r w:rsidRPr="00316A29">
        <w:rPr>
          <w:i/>
        </w:rPr>
        <w:t xml:space="preserve"> </w:t>
      </w:r>
      <w:r w:rsidRPr="009B3B62">
        <w:rPr>
          <w:i/>
        </w:rPr>
        <w:t>AT&amp;T-Plateau Wireless Order</w:t>
      </w:r>
      <w:r>
        <w:t xml:space="preserve">, </w:t>
      </w:r>
      <w:r w:rsidR="00475748">
        <w:t xml:space="preserve">30 </w:t>
      </w:r>
      <w:r>
        <w:t xml:space="preserve">FCC </w:t>
      </w:r>
      <w:r w:rsidR="00475748">
        <w:t>Rcd</w:t>
      </w:r>
      <w:r>
        <w:t xml:space="preserve"> at </w:t>
      </w:r>
      <w:r w:rsidR="00475748">
        <w:t>511</w:t>
      </w:r>
      <w:r w:rsidR="00B37DFB">
        <w:t>1-1</w:t>
      </w:r>
      <w:r w:rsidR="00475748">
        <w:t xml:space="preserve">2 </w:t>
      </w:r>
      <w:r>
        <w:t xml:space="preserve">¶ 9; </w:t>
      </w:r>
      <w:r>
        <w:rPr>
          <w:i/>
        </w:rPr>
        <w:t>AT&amp;T-Leap Order</w:t>
      </w:r>
      <w:r w:rsidRPr="00B76058">
        <w:t>,</w:t>
      </w:r>
      <w:r>
        <w:rPr>
          <w:i/>
        </w:rPr>
        <w:t xml:space="preserve"> </w:t>
      </w:r>
      <w:r w:rsidRPr="00CF4C4A">
        <w:t xml:space="preserve">29 FCC Rcd at </w:t>
      </w:r>
      <w:r>
        <w:t>2743</w:t>
      </w:r>
      <w:r w:rsidR="00475748">
        <w:t>-44</w:t>
      </w:r>
      <w:r>
        <w:t xml:space="preserve"> ¶ 16</w:t>
      </w:r>
      <w:r w:rsidR="00475748">
        <w:t xml:space="preserve">; </w:t>
      </w:r>
      <w:r w:rsidR="00475748" w:rsidRPr="000E2A95">
        <w:t xml:space="preserve">Applications of Cellco Partnership d/b/a Verizon Wireless and SpectrumCo LLC and Cox TMI, LLC </w:t>
      </w:r>
      <w:r w:rsidR="00475748">
        <w:t>f</w:t>
      </w:r>
      <w:r w:rsidR="00475748" w:rsidRPr="00995703">
        <w:t>or</w:t>
      </w:r>
      <w:r w:rsidR="00475748" w:rsidRPr="000E2A95">
        <w:t xml:space="preserve"> Consent </w:t>
      </w:r>
      <w:r w:rsidR="00475748">
        <w:t>T</w:t>
      </w:r>
      <w:r w:rsidR="00475748" w:rsidRPr="000E2A95">
        <w:t xml:space="preserve">o Assign AWS-1 Licenses, WT Docket No. 12-4, </w:t>
      </w:r>
      <w:r w:rsidR="00475748" w:rsidRPr="000E2A95">
        <w:rPr>
          <w:i/>
        </w:rPr>
        <w:t>Memorandum Opinion and Order</w:t>
      </w:r>
      <w:r w:rsidR="00475748" w:rsidRPr="00777EE0">
        <w:t>, 27 FCC Rcd 10698</w:t>
      </w:r>
      <w:r w:rsidR="00475748" w:rsidRPr="000E2A95">
        <w:t>, 10711 ¶</w:t>
      </w:r>
      <w:r w:rsidR="00475748">
        <w:t xml:space="preserve"> </w:t>
      </w:r>
      <w:r w:rsidR="00475748" w:rsidRPr="000E2A95">
        <w:t>30 (2012) (“</w:t>
      </w:r>
      <w:r w:rsidR="00475748" w:rsidRPr="000E2A95">
        <w:rPr>
          <w:i/>
        </w:rPr>
        <w:t>Verizon Wireless-SpectrumCo Order</w:t>
      </w:r>
      <w:r w:rsidR="00475748" w:rsidRPr="000E2A95">
        <w:t>”)</w:t>
      </w:r>
      <w:r w:rsidR="00475748">
        <w:t>.</w:t>
      </w:r>
    </w:p>
  </w:footnote>
  <w:footnote w:id="25">
    <w:p w14:paraId="237D32AE" w14:textId="0DA0F3CA" w:rsidR="00DC6896" w:rsidRPr="00316A29" w:rsidRDefault="00DC6896" w:rsidP="00FA6F04">
      <w:pPr>
        <w:pStyle w:val="FootnoteText"/>
      </w:pPr>
      <w:r w:rsidRPr="00316A29">
        <w:rPr>
          <w:rStyle w:val="FootnoteReference"/>
        </w:rPr>
        <w:footnoteRef/>
      </w:r>
      <w:r w:rsidRPr="00316A29">
        <w:t xml:space="preserve"> </w:t>
      </w:r>
      <w:r w:rsidR="00E34D3D" w:rsidRPr="00316A29">
        <w:t xml:space="preserve">47 U.S.C. § 309(e); </w:t>
      </w:r>
      <w:r w:rsidR="00E34D3D" w:rsidRPr="00316A29">
        <w:rPr>
          <w:i/>
        </w:rPr>
        <w:t xml:space="preserve">see also </w:t>
      </w:r>
      <w:r w:rsidR="00E34D3D" w:rsidRPr="009B3B62">
        <w:rPr>
          <w:i/>
        </w:rPr>
        <w:t>AT&amp;T-Plateau Wireless Order</w:t>
      </w:r>
      <w:r w:rsidR="00E34D3D">
        <w:t xml:space="preserve">, </w:t>
      </w:r>
      <w:r w:rsidR="003331A1">
        <w:t xml:space="preserve">30 </w:t>
      </w:r>
      <w:r w:rsidR="00E34D3D">
        <w:t xml:space="preserve">FCC </w:t>
      </w:r>
      <w:r w:rsidR="003331A1">
        <w:t xml:space="preserve">Rcd </w:t>
      </w:r>
      <w:r w:rsidR="00E34D3D">
        <w:t xml:space="preserve">at </w:t>
      </w:r>
      <w:r w:rsidR="003331A1">
        <w:t>511</w:t>
      </w:r>
      <w:r w:rsidR="00B37DFB">
        <w:t>1-1</w:t>
      </w:r>
      <w:r w:rsidR="003331A1">
        <w:t xml:space="preserve">2 </w:t>
      </w:r>
      <w:r w:rsidR="00E34D3D">
        <w:t xml:space="preserve">¶ 9; </w:t>
      </w:r>
      <w:r w:rsidR="00E34D3D">
        <w:rPr>
          <w:i/>
        </w:rPr>
        <w:t>AT&amp;T-Leap Order</w:t>
      </w:r>
      <w:r w:rsidR="00E34D3D" w:rsidRPr="00B76058">
        <w:t>,</w:t>
      </w:r>
      <w:r w:rsidR="00E34D3D">
        <w:rPr>
          <w:i/>
        </w:rPr>
        <w:t xml:space="preserve"> </w:t>
      </w:r>
      <w:r w:rsidR="00E34D3D" w:rsidRPr="00CF4C4A">
        <w:t xml:space="preserve">29 FCC Rcd at </w:t>
      </w:r>
      <w:r w:rsidR="00E34D3D">
        <w:t xml:space="preserve">2743 ¶ 15; </w:t>
      </w:r>
      <w:r w:rsidR="00E34D3D" w:rsidRPr="00796BEF">
        <w:t>Application of EchoStar Communications Corp., General Motors Corp. and Hughes Electronics Corp., and EchoStar Communications Corp.,</w:t>
      </w:r>
      <w:r w:rsidR="00E34D3D" w:rsidRPr="00316A29">
        <w:t xml:space="preserve"> </w:t>
      </w:r>
      <w:r w:rsidR="00E34D3D">
        <w:t xml:space="preserve">CS Docket No. 01-348, </w:t>
      </w:r>
      <w:r w:rsidR="00E34D3D" w:rsidRPr="00796BEF">
        <w:rPr>
          <w:i/>
        </w:rPr>
        <w:t>Hearing Designation Order</w:t>
      </w:r>
      <w:r w:rsidR="00E34D3D" w:rsidRPr="00B76058">
        <w:t>,</w:t>
      </w:r>
      <w:r w:rsidR="00E34D3D" w:rsidRPr="00B616D8">
        <w:t xml:space="preserve"> </w:t>
      </w:r>
      <w:r w:rsidR="00E34D3D">
        <w:t>17 FCC Rcd 20559, 20574</w:t>
      </w:r>
      <w:r w:rsidR="00E34D3D" w:rsidRPr="00316A29">
        <w:t xml:space="preserve"> ¶ 25 (2002).</w:t>
      </w:r>
    </w:p>
  </w:footnote>
  <w:footnote w:id="26">
    <w:p w14:paraId="7FFF0BF1" w14:textId="2F7A1E9B" w:rsidR="00DC6896" w:rsidRPr="00A6369B" w:rsidRDefault="00DC6896" w:rsidP="00555C0B">
      <w:pPr>
        <w:pStyle w:val="FootnoteText"/>
      </w:pPr>
      <w:r w:rsidRPr="0075707B">
        <w:rPr>
          <w:rStyle w:val="FootnoteReference"/>
        </w:rPr>
        <w:footnoteRef/>
      </w:r>
      <w:r w:rsidRPr="0075707B">
        <w:t xml:space="preserve"> </w:t>
      </w:r>
      <w:r w:rsidR="00AE35F3" w:rsidRPr="009F0F3A">
        <w:rPr>
          <w:i/>
        </w:rPr>
        <w:t>See</w:t>
      </w:r>
      <w:r w:rsidR="00AE35F3" w:rsidRPr="00121630">
        <w:t xml:space="preserve"> 47 U.S.C. §</w:t>
      </w:r>
      <w:r w:rsidR="00AE35F3" w:rsidRPr="00A5312F">
        <w:t xml:space="preserve"> 310(d); 47 C.F.R. § 1.948; </w:t>
      </w:r>
      <w:r w:rsidR="00AE35F3" w:rsidRPr="00A5312F">
        <w:rPr>
          <w:i/>
        </w:rPr>
        <w:t>see also</w:t>
      </w:r>
      <w:r w:rsidR="00AE35F3" w:rsidRPr="00B76058">
        <w:t xml:space="preserve">, </w:t>
      </w:r>
      <w:r w:rsidR="00AE35F3" w:rsidRPr="00A5312F">
        <w:rPr>
          <w:i/>
        </w:rPr>
        <w:t>e.g.</w:t>
      </w:r>
      <w:r w:rsidR="00AE35F3" w:rsidRPr="00A5312F">
        <w:t>,</w:t>
      </w:r>
      <w:r w:rsidR="00AE35F3" w:rsidRPr="00A5312F">
        <w:rPr>
          <w:i/>
        </w:rPr>
        <w:t xml:space="preserve"> </w:t>
      </w:r>
      <w:r w:rsidR="00AE35F3" w:rsidRPr="009B3B62">
        <w:rPr>
          <w:i/>
        </w:rPr>
        <w:t>AT&amp;T-Plateau Wireless Order</w:t>
      </w:r>
      <w:r w:rsidR="00AE35F3">
        <w:t xml:space="preserve">, </w:t>
      </w:r>
      <w:r w:rsidR="003331A1">
        <w:t xml:space="preserve">30 </w:t>
      </w:r>
      <w:r w:rsidR="00AE35F3">
        <w:t xml:space="preserve">FCC </w:t>
      </w:r>
      <w:r w:rsidR="003331A1">
        <w:t>Rcd</w:t>
      </w:r>
      <w:r w:rsidR="00AE35F3">
        <w:t xml:space="preserve"> at </w:t>
      </w:r>
      <w:r w:rsidR="003331A1">
        <w:t xml:space="preserve">5112 </w:t>
      </w:r>
      <w:r w:rsidR="00AE35F3">
        <w:t>¶</w:t>
      </w:r>
      <w:r w:rsidR="002E0A6C">
        <w:t> </w:t>
      </w:r>
      <w:r w:rsidR="00AE35F3">
        <w:t xml:space="preserve">10; </w:t>
      </w:r>
      <w:r w:rsidR="00AE35F3">
        <w:rPr>
          <w:i/>
        </w:rPr>
        <w:t>AT&amp;T-Leap Order</w:t>
      </w:r>
      <w:r w:rsidR="00AE35F3" w:rsidRPr="00B76058">
        <w:t>,</w:t>
      </w:r>
      <w:r w:rsidR="00AE35F3">
        <w:rPr>
          <w:i/>
        </w:rPr>
        <w:t xml:space="preserve"> </w:t>
      </w:r>
      <w:r w:rsidR="00AE35F3" w:rsidRPr="00CF4C4A">
        <w:t xml:space="preserve">29 FCC Rcd at </w:t>
      </w:r>
      <w:r w:rsidR="00AE35F3">
        <w:t>2744 ¶ 17; Applications of GCI</w:t>
      </w:r>
      <w:r w:rsidR="00AE35F3" w:rsidRPr="00700865">
        <w:t xml:space="preserve"> Communication Corp., A</w:t>
      </w:r>
      <w:r w:rsidR="00AE35F3">
        <w:t>CS</w:t>
      </w:r>
      <w:r w:rsidR="00AE35F3" w:rsidRPr="00700865">
        <w:t xml:space="preserve"> Wireless License Sub, Inc., A</w:t>
      </w:r>
      <w:r w:rsidR="00AE35F3">
        <w:t>CS</w:t>
      </w:r>
      <w:r w:rsidR="00AE35F3" w:rsidRPr="00700865">
        <w:t xml:space="preserve"> </w:t>
      </w:r>
      <w:r w:rsidR="00AE35F3">
        <w:t>o</w:t>
      </w:r>
      <w:r w:rsidR="00AE35F3" w:rsidRPr="00700865">
        <w:t xml:space="preserve">f Anchorage License Sub, Inc., </w:t>
      </w:r>
      <w:r w:rsidR="00AE35F3">
        <w:t>a</w:t>
      </w:r>
      <w:r w:rsidR="00AE35F3" w:rsidRPr="00700865">
        <w:t xml:space="preserve">nd Unicom, Inc. </w:t>
      </w:r>
      <w:r w:rsidR="00AE35F3">
        <w:t>f</w:t>
      </w:r>
      <w:r w:rsidR="00AE35F3" w:rsidRPr="00700865">
        <w:t xml:space="preserve">or Consent To Assign Licenses </w:t>
      </w:r>
      <w:r w:rsidR="00AE35F3">
        <w:t>t</w:t>
      </w:r>
      <w:r w:rsidR="00AE35F3" w:rsidRPr="00700865">
        <w:t xml:space="preserve">o </w:t>
      </w:r>
      <w:r w:rsidR="00AE35F3">
        <w:t>t</w:t>
      </w:r>
      <w:r w:rsidR="00AE35F3" w:rsidRPr="00700865">
        <w:t>he Alaska Wireless Network, L</w:t>
      </w:r>
      <w:r w:rsidR="00AE35F3">
        <w:t>LC</w:t>
      </w:r>
      <w:r w:rsidR="00AE35F3" w:rsidRPr="00700865">
        <w:t>,</w:t>
      </w:r>
      <w:r w:rsidR="00AE35F3">
        <w:rPr>
          <w:i/>
        </w:rPr>
        <w:t xml:space="preserve"> </w:t>
      </w:r>
      <w:r w:rsidR="00AE35F3">
        <w:t>WT Docket No. 12-187,</w:t>
      </w:r>
      <w:r w:rsidR="00AE35F3" w:rsidRPr="00A5312F" w:rsidDel="00700865">
        <w:rPr>
          <w:i/>
        </w:rPr>
        <w:t xml:space="preserve"> </w:t>
      </w:r>
      <w:r w:rsidR="003331A1">
        <w:rPr>
          <w:i/>
        </w:rPr>
        <w:t xml:space="preserve">Memorandum Opinion and Order and Declaratory </w:t>
      </w:r>
      <w:r w:rsidR="003331A1" w:rsidRPr="003331A1">
        <w:rPr>
          <w:i/>
        </w:rPr>
        <w:t>Ruling</w:t>
      </w:r>
      <w:r w:rsidR="003331A1">
        <w:t xml:space="preserve">, </w:t>
      </w:r>
      <w:r w:rsidR="00AE35F3" w:rsidRPr="003331A1">
        <w:t>28</w:t>
      </w:r>
      <w:r w:rsidR="00AE35F3" w:rsidRPr="00A5312F">
        <w:t xml:space="preserve"> FCC Rcd </w:t>
      </w:r>
      <w:r w:rsidR="00AE35F3">
        <w:t>10433, 10444-45</w:t>
      </w:r>
      <w:r w:rsidR="00AE35F3" w:rsidRPr="00A5312F">
        <w:t xml:space="preserve"> ¶ 28</w:t>
      </w:r>
      <w:r w:rsidR="00AE35F3">
        <w:t xml:space="preserve"> (2013) (“</w:t>
      </w:r>
      <w:r w:rsidR="00AE35F3" w:rsidRPr="00A5312F">
        <w:rPr>
          <w:i/>
        </w:rPr>
        <w:t>Alaska Wireless Order</w:t>
      </w:r>
      <w:r w:rsidR="00AE35F3">
        <w:t>”)</w:t>
      </w:r>
      <w:r w:rsidR="00AE35F3" w:rsidRPr="00A6369B">
        <w:rPr>
          <w:color w:val="000000"/>
        </w:rPr>
        <w:t>.</w:t>
      </w:r>
    </w:p>
  </w:footnote>
  <w:footnote w:id="27">
    <w:p w14:paraId="465D41E5" w14:textId="359C2DF1" w:rsidR="00DC6896" w:rsidRPr="00A5312F" w:rsidRDefault="00DC6896" w:rsidP="00555C0B">
      <w:pPr>
        <w:pStyle w:val="FootnoteText"/>
      </w:pPr>
      <w:r w:rsidRPr="0075707B">
        <w:rPr>
          <w:rStyle w:val="FootnoteReference"/>
        </w:rPr>
        <w:footnoteRef/>
      </w:r>
      <w:r w:rsidRPr="0075707B">
        <w:t xml:space="preserve"> </w:t>
      </w:r>
      <w:r w:rsidR="003200E1" w:rsidRPr="003200E1">
        <w:rPr>
          <w:i/>
        </w:rPr>
        <w:t>See</w:t>
      </w:r>
      <w:r w:rsidR="003200E1">
        <w:t xml:space="preserve">, </w:t>
      </w:r>
      <w:r w:rsidR="003200E1" w:rsidRPr="003200E1">
        <w:rPr>
          <w:i/>
        </w:rPr>
        <w:t>e.g</w:t>
      </w:r>
      <w:r w:rsidR="003200E1">
        <w:t xml:space="preserve">., </w:t>
      </w:r>
      <w:r w:rsidR="003200E1" w:rsidRPr="003200E1">
        <w:t>Application</w:t>
      </w:r>
      <w:r w:rsidR="003200E1">
        <w:t xml:space="preserve"> for Assignment of License from </w:t>
      </w:r>
      <w:r w:rsidR="00D44F3B">
        <w:t>Triad AWS Guam, Inc.</w:t>
      </w:r>
      <w:r w:rsidR="003200E1" w:rsidRPr="00685628">
        <w:t xml:space="preserve"> </w:t>
      </w:r>
      <w:r w:rsidR="003200E1">
        <w:t xml:space="preserve">to </w:t>
      </w:r>
      <w:r w:rsidR="00D44F3B">
        <w:t>TeleGuam Holdings, LLC</w:t>
      </w:r>
      <w:r w:rsidR="003200E1">
        <w:t xml:space="preserve">, ULS File No. </w:t>
      </w:r>
      <w:r w:rsidR="00D44F3B">
        <w:t>0006137886</w:t>
      </w:r>
      <w:r w:rsidR="003200E1">
        <w:t xml:space="preserve"> (filed </w:t>
      </w:r>
      <w:r w:rsidR="00D44F3B">
        <w:t>Feb. 20, 2014</w:t>
      </w:r>
      <w:r w:rsidR="003200E1">
        <w:t>)</w:t>
      </w:r>
      <w:r w:rsidR="002E0A6C">
        <w:t>.</w:t>
      </w:r>
      <w:r w:rsidR="003200E1">
        <w:t xml:space="preserve"> </w:t>
      </w:r>
      <w:r w:rsidR="002E0A6C">
        <w:t xml:space="preserve"> </w:t>
      </w:r>
      <w:r w:rsidR="00D44F3B">
        <w:rPr>
          <w:i/>
        </w:rPr>
        <w:t>See also</w:t>
      </w:r>
      <w:r w:rsidR="003200E1">
        <w:t xml:space="preserve"> </w:t>
      </w:r>
      <w:r w:rsidR="00D44F3B">
        <w:t>Applications Granted for the Transfer of Control of the Licensees of TeleGuam Holdings, LLC to AP TeleGuam Holdings, Inc.</w:t>
      </w:r>
      <w:r w:rsidR="003200E1">
        <w:t xml:space="preserve">, </w:t>
      </w:r>
      <w:r w:rsidR="00D44F3B">
        <w:t xml:space="preserve">WC Docket No. 10-260, </w:t>
      </w:r>
      <w:r w:rsidR="00D44F3B">
        <w:rPr>
          <w:i/>
        </w:rPr>
        <w:t xml:space="preserve">Public </w:t>
      </w:r>
      <w:r w:rsidR="00D44F3B" w:rsidRPr="00D44F3B">
        <w:rPr>
          <w:i/>
        </w:rPr>
        <w:t>Notice</w:t>
      </w:r>
      <w:r w:rsidR="00D44F3B">
        <w:t xml:space="preserve">, </w:t>
      </w:r>
      <w:r w:rsidR="001D16C5">
        <w:t xml:space="preserve">26 FCC Rcd 7928 </w:t>
      </w:r>
      <w:r w:rsidR="003200E1">
        <w:t>(</w:t>
      </w:r>
      <w:r w:rsidR="00D44F3B">
        <w:t>2011</w:t>
      </w:r>
      <w:r w:rsidR="003200E1">
        <w:t>).</w:t>
      </w:r>
    </w:p>
  </w:footnote>
  <w:footnote w:id="28">
    <w:p w14:paraId="0DB569A9" w14:textId="0F15F6D6" w:rsidR="00023F00" w:rsidRPr="00023F00" w:rsidRDefault="00023F00">
      <w:pPr>
        <w:pStyle w:val="FootnoteText"/>
      </w:pPr>
      <w:r>
        <w:rPr>
          <w:rStyle w:val="FootnoteReference"/>
        </w:rPr>
        <w:footnoteRef/>
      </w:r>
      <w:r>
        <w:t xml:space="preserve"> </w:t>
      </w:r>
      <w:r>
        <w:rPr>
          <w:i/>
        </w:rPr>
        <w:t>See</w:t>
      </w:r>
      <w:r>
        <w:t xml:space="preserve"> 47 U.S.C. § 310(d); 47 C.F.R. § 1.948.</w:t>
      </w:r>
    </w:p>
  </w:footnote>
  <w:footnote w:id="29">
    <w:p w14:paraId="154B8F9D" w14:textId="5F6A7F0F" w:rsidR="00DC6896" w:rsidRPr="00765230" w:rsidRDefault="00DC6896" w:rsidP="008B50AE">
      <w:pPr>
        <w:autoSpaceDE w:val="0"/>
        <w:autoSpaceDN w:val="0"/>
        <w:adjustRightInd w:val="0"/>
        <w:spacing w:after="120"/>
        <w:rPr>
          <w:sz w:val="20"/>
        </w:rPr>
      </w:pPr>
      <w:r w:rsidRPr="00A5312F">
        <w:rPr>
          <w:rStyle w:val="FootnoteReference"/>
        </w:rPr>
        <w:footnoteRef/>
      </w:r>
      <w:r w:rsidRPr="00765230">
        <w:rPr>
          <w:sz w:val="20"/>
        </w:rPr>
        <w:t xml:space="preserve"> </w:t>
      </w:r>
      <w:r w:rsidR="00696963" w:rsidRPr="00696963">
        <w:rPr>
          <w:i/>
          <w:sz w:val="20"/>
        </w:rPr>
        <w:t>See</w:t>
      </w:r>
      <w:r w:rsidR="00696963" w:rsidRPr="00B76058">
        <w:rPr>
          <w:sz w:val="20"/>
        </w:rPr>
        <w:t>,</w:t>
      </w:r>
      <w:r w:rsidR="00696963" w:rsidRPr="00696963">
        <w:rPr>
          <w:i/>
          <w:sz w:val="20"/>
        </w:rPr>
        <w:t xml:space="preserve"> e.g.</w:t>
      </w:r>
      <w:r w:rsidR="00696963" w:rsidRPr="00B76058">
        <w:rPr>
          <w:sz w:val="20"/>
        </w:rPr>
        <w:t xml:space="preserve">, </w:t>
      </w:r>
      <w:r w:rsidR="00696963" w:rsidRPr="00696963">
        <w:rPr>
          <w:i/>
          <w:sz w:val="20"/>
        </w:rPr>
        <w:t>AT&amp;T-Plateau Wireless Order</w:t>
      </w:r>
      <w:r w:rsidR="00696963" w:rsidRPr="00696963">
        <w:rPr>
          <w:sz w:val="20"/>
        </w:rPr>
        <w:t xml:space="preserve">, </w:t>
      </w:r>
      <w:r w:rsidR="00681951">
        <w:rPr>
          <w:sz w:val="20"/>
        </w:rPr>
        <w:t xml:space="preserve">30 </w:t>
      </w:r>
      <w:r w:rsidR="00696963" w:rsidRPr="00696963">
        <w:rPr>
          <w:sz w:val="20"/>
        </w:rPr>
        <w:t xml:space="preserve">FCC </w:t>
      </w:r>
      <w:r w:rsidR="00681951">
        <w:rPr>
          <w:sz w:val="20"/>
        </w:rPr>
        <w:t>Rcd a</w:t>
      </w:r>
      <w:r w:rsidR="00696963" w:rsidRPr="00696963">
        <w:rPr>
          <w:sz w:val="20"/>
        </w:rPr>
        <w:t xml:space="preserve">t </w:t>
      </w:r>
      <w:r w:rsidR="00681951">
        <w:rPr>
          <w:sz w:val="20"/>
        </w:rPr>
        <w:t>51</w:t>
      </w:r>
      <w:r w:rsidR="00B37DFB">
        <w:rPr>
          <w:sz w:val="20"/>
        </w:rPr>
        <w:t>1</w:t>
      </w:r>
      <w:r w:rsidR="00681951">
        <w:rPr>
          <w:sz w:val="20"/>
        </w:rPr>
        <w:t xml:space="preserve">3 </w:t>
      </w:r>
      <w:r w:rsidR="00696963" w:rsidRPr="00696963">
        <w:rPr>
          <w:sz w:val="20"/>
        </w:rPr>
        <w:t>¶</w:t>
      </w:r>
      <w:r w:rsidR="00681951">
        <w:rPr>
          <w:sz w:val="20"/>
        </w:rPr>
        <w:t xml:space="preserve"> </w:t>
      </w:r>
      <w:r w:rsidR="00696963" w:rsidRPr="00696963">
        <w:rPr>
          <w:sz w:val="20"/>
        </w:rPr>
        <w:t xml:space="preserve">12; Application of AT&amp;T Inc. and Qualcomm Incorporated </w:t>
      </w:r>
      <w:r w:rsidR="00B37DFB">
        <w:rPr>
          <w:sz w:val="20"/>
        </w:rPr>
        <w:t>f</w:t>
      </w:r>
      <w:r w:rsidR="00696963" w:rsidRPr="00696963">
        <w:rPr>
          <w:sz w:val="20"/>
        </w:rPr>
        <w:t xml:space="preserve">or Consent To Assign Licenses and Authorizations, WT Docket No. 11-18, </w:t>
      </w:r>
      <w:r w:rsidR="00696963" w:rsidRPr="00696963">
        <w:rPr>
          <w:i/>
          <w:sz w:val="20"/>
        </w:rPr>
        <w:t>Order</w:t>
      </w:r>
      <w:r w:rsidR="00696963" w:rsidRPr="00696963">
        <w:rPr>
          <w:sz w:val="20"/>
        </w:rPr>
        <w:t>, 26 FCC Rcd 17589, 17602 ¶ 31 (2011) (“</w:t>
      </w:r>
      <w:r w:rsidR="00696963" w:rsidRPr="00696963">
        <w:rPr>
          <w:i/>
          <w:sz w:val="20"/>
        </w:rPr>
        <w:t>AT&amp;T-Qualcomm Order</w:t>
      </w:r>
      <w:r w:rsidR="00696963" w:rsidRPr="00696963">
        <w:rPr>
          <w:sz w:val="20"/>
        </w:rPr>
        <w:t xml:space="preserve">”).  </w:t>
      </w:r>
      <w:r w:rsidR="00696963" w:rsidRPr="00696963">
        <w:rPr>
          <w:i/>
          <w:sz w:val="20"/>
        </w:rPr>
        <w:t>See also</w:t>
      </w:r>
      <w:r w:rsidR="00696963" w:rsidRPr="00696963">
        <w:rPr>
          <w:sz w:val="20"/>
        </w:rPr>
        <w:t xml:space="preserve"> </w:t>
      </w:r>
      <w:r w:rsidR="00696963" w:rsidRPr="00696963">
        <w:rPr>
          <w:i/>
          <w:sz w:val="20"/>
        </w:rPr>
        <w:t>AT&amp;T-Leap Order</w:t>
      </w:r>
      <w:r w:rsidR="00696963" w:rsidRPr="00696963">
        <w:rPr>
          <w:sz w:val="20"/>
        </w:rPr>
        <w:t>, 29 FCC Rcd at 2745 ¶ 20.</w:t>
      </w:r>
    </w:p>
  </w:footnote>
  <w:footnote w:id="30">
    <w:p w14:paraId="095EA82F" w14:textId="5C3262D2" w:rsidR="00DC6896" w:rsidRPr="00A5312F" w:rsidRDefault="00DC6896" w:rsidP="008B50AE">
      <w:pPr>
        <w:pStyle w:val="FootnoteText"/>
      </w:pPr>
      <w:r w:rsidRPr="002F1CEA">
        <w:rPr>
          <w:rStyle w:val="FootnoteReference"/>
        </w:rPr>
        <w:footnoteRef/>
      </w:r>
      <w:r w:rsidRPr="003A73EF">
        <w:t xml:space="preserve"> </w:t>
      </w:r>
      <w:r w:rsidR="00860101" w:rsidRPr="00C9339C">
        <w:rPr>
          <w:i/>
          <w:iCs/>
        </w:rPr>
        <w:t>See</w:t>
      </w:r>
      <w:r w:rsidR="00860101" w:rsidRPr="00B76058">
        <w:rPr>
          <w:iCs/>
        </w:rPr>
        <w:t>,</w:t>
      </w:r>
      <w:r w:rsidR="00860101" w:rsidRPr="00C9339C">
        <w:rPr>
          <w:i/>
          <w:iCs/>
        </w:rPr>
        <w:t xml:space="preserve"> e.g.</w:t>
      </w:r>
      <w:r w:rsidR="00860101" w:rsidRPr="00B76058">
        <w:rPr>
          <w:iCs/>
        </w:rPr>
        <w:t>,</w:t>
      </w:r>
      <w:r w:rsidR="00860101" w:rsidRPr="00C9339C">
        <w:rPr>
          <w:i/>
          <w:iCs/>
        </w:rPr>
        <w:t xml:space="preserve"> </w:t>
      </w:r>
      <w:r w:rsidR="00860101" w:rsidRPr="009B3B62">
        <w:rPr>
          <w:i/>
        </w:rPr>
        <w:t>AT&amp;T-Plateau Wireless Order</w:t>
      </w:r>
      <w:r w:rsidR="00860101">
        <w:t xml:space="preserve">, </w:t>
      </w:r>
      <w:r w:rsidR="00681951">
        <w:t xml:space="preserve">30 </w:t>
      </w:r>
      <w:r w:rsidR="00860101">
        <w:t xml:space="preserve">FCC </w:t>
      </w:r>
      <w:r w:rsidR="00681951">
        <w:t>Rcd a</w:t>
      </w:r>
      <w:r w:rsidR="00860101">
        <w:t xml:space="preserve">t </w:t>
      </w:r>
      <w:r w:rsidR="00681951">
        <w:t xml:space="preserve">5113 </w:t>
      </w:r>
      <w:r w:rsidR="00860101">
        <w:t xml:space="preserve">¶ 12; </w:t>
      </w:r>
      <w:r w:rsidR="00860101" w:rsidRPr="009F0F3A">
        <w:rPr>
          <w:i/>
        </w:rPr>
        <w:t>Alaska Wireless O</w:t>
      </w:r>
      <w:r w:rsidR="00860101" w:rsidRPr="00121630">
        <w:rPr>
          <w:i/>
        </w:rPr>
        <w:t>rder</w:t>
      </w:r>
      <w:r w:rsidR="00860101">
        <w:t>, 28 FCC Rcd at 10446-47</w:t>
      </w:r>
      <w:r w:rsidR="00CB2EA9">
        <w:t>, 10450</w:t>
      </w:r>
      <w:r w:rsidR="00860101">
        <w:t xml:space="preserve"> ¶</w:t>
      </w:r>
      <w:r w:rsidR="00CB2EA9">
        <w:t>¶</w:t>
      </w:r>
      <w:r w:rsidR="00860101">
        <w:t xml:space="preserve"> 33, 42; </w:t>
      </w:r>
      <w:r w:rsidR="00860101" w:rsidRPr="009F0F3A">
        <w:rPr>
          <w:i/>
        </w:rPr>
        <w:t>AT&amp;T-Qualcomm Order</w:t>
      </w:r>
      <w:r w:rsidR="00860101" w:rsidRPr="00121630">
        <w:t>, 26 FCC Rcd at 17609-10 ¶¶ 49-50</w:t>
      </w:r>
      <w:r w:rsidR="00860101">
        <w:rPr>
          <w:i/>
          <w:iCs/>
        </w:rPr>
        <w:t xml:space="preserve">.  </w:t>
      </w:r>
      <w:r w:rsidR="00860101" w:rsidRPr="0005491A">
        <w:rPr>
          <w:i/>
        </w:rPr>
        <w:t>See also</w:t>
      </w:r>
      <w:r w:rsidR="00860101">
        <w:t xml:space="preserve"> </w:t>
      </w:r>
      <w:r w:rsidR="00860101" w:rsidRPr="00A830BF">
        <w:rPr>
          <w:i/>
        </w:rPr>
        <w:t>AT&amp;T-Leap Order</w:t>
      </w:r>
      <w:r w:rsidR="00860101">
        <w:t xml:space="preserve">, 29 FCC Rcd at 2752 </w:t>
      </w:r>
      <w:r w:rsidR="00860101" w:rsidRPr="001800E5">
        <w:t>¶</w:t>
      </w:r>
      <w:r w:rsidR="00860101">
        <w:t xml:space="preserve"> 39, 2753 </w:t>
      </w:r>
      <w:r w:rsidR="00860101" w:rsidRPr="001800E5">
        <w:t>¶</w:t>
      </w:r>
      <w:r w:rsidR="00860101">
        <w:t xml:space="preserve"> 41, 2755-56 </w:t>
      </w:r>
      <w:r w:rsidR="00860101" w:rsidRPr="001800E5">
        <w:t>¶</w:t>
      </w:r>
      <w:r w:rsidR="00860101">
        <w:t xml:space="preserve"> 47.</w:t>
      </w:r>
    </w:p>
  </w:footnote>
  <w:footnote w:id="31">
    <w:p w14:paraId="095C02A6" w14:textId="77777777" w:rsidR="00F9326E" w:rsidRDefault="00F9326E" w:rsidP="00F9326E">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32">
    <w:p w14:paraId="29DE5C05" w14:textId="45EC755F" w:rsidR="00F9326E" w:rsidRPr="003D4B96" w:rsidRDefault="00F9326E" w:rsidP="00F9326E">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29 FCC Rcd at</w:t>
      </w:r>
      <w:r>
        <w:rPr>
          <w:bCs/>
        </w:rPr>
        <w:t xml:space="preserve"> 6240 </w:t>
      </w:r>
      <w:r w:rsidRPr="0051119E">
        <w:rPr>
          <w:bCs/>
        </w:rPr>
        <w:t>¶¶</w:t>
      </w:r>
      <w:r>
        <w:rPr>
          <w:bCs/>
        </w:rPr>
        <w:t xml:space="preserve"> 286-88</w:t>
      </w:r>
      <w:r>
        <w:t xml:space="preserve">.  The Commission applied this below-1-GHz review for the first time in the </w:t>
      </w:r>
      <w:r w:rsidR="00387980">
        <w:rPr>
          <w:i/>
        </w:rPr>
        <w:t>A</w:t>
      </w:r>
      <w:r w:rsidRPr="0085272A">
        <w:rPr>
          <w:i/>
        </w:rPr>
        <w:t>T&amp;T-Plateau Wireless Order</w:t>
      </w:r>
      <w:r>
        <w:t xml:space="preserve">.  </w:t>
      </w:r>
      <w:r w:rsidRPr="009F0F3A">
        <w:rPr>
          <w:i/>
        </w:rPr>
        <w:t>See</w:t>
      </w:r>
      <w:r>
        <w:rPr>
          <w:i/>
        </w:rPr>
        <w:t xml:space="preserve"> generally </w:t>
      </w:r>
      <w:r w:rsidRPr="009B3B62">
        <w:rPr>
          <w:i/>
        </w:rPr>
        <w:t>AT&amp;T-Plateau Wireless Order</w:t>
      </w:r>
      <w:r>
        <w:t>, 30 FCC Rcd 5107.</w:t>
      </w:r>
    </w:p>
  </w:footnote>
  <w:footnote w:id="33">
    <w:p w14:paraId="6B3E4491" w14:textId="68C0EAAE" w:rsidR="00B64BD2" w:rsidRPr="00986BE3" w:rsidRDefault="00B64BD2" w:rsidP="00B64BD2">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Pr>
          <w:i/>
        </w:rPr>
        <w:t>See id.</w:t>
      </w:r>
      <w:r w:rsidRPr="00EF47B8">
        <w:t xml:space="preserve">, 29 FCC Rcd at </w:t>
      </w:r>
      <w:r w:rsidRPr="00EF47B8">
        <w:rPr>
          <w:bCs/>
        </w:rPr>
        <w:t xml:space="preserve">6240 </w:t>
      </w:r>
      <w:r w:rsidRPr="00A94971">
        <w:rPr>
          <w:bCs/>
        </w:rPr>
        <w:t>¶ 287</w:t>
      </w:r>
      <w:r w:rsidRPr="00986BE3">
        <w:t>.</w:t>
      </w:r>
      <w:r>
        <w:t xml:space="preserve">  </w:t>
      </w:r>
      <w:r w:rsidRPr="00F27155">
        <w:rPr>
          <w:rStyle w:val="StyleParaNumTimesNewRoman11ptChar"/>
          <w:i/>
          <w:sz w:val="20"/>
          <w:lang w:eastAsia="x-none"/>
        </w:rPr>
        <w:t>See also AT&amp;T-Plateau Wireless Order</w:t>
      </w:r>
      <w:r>
        <w:rPr>
          <w:rStyle w:val="StyleParaNumTimesNewRoman11ptChar"/>
          <w:sz w:val="20"/>
          <w:lang w:eastAsia="x-none"/>
        </w:rPr>
        <w:t xml:space="preserve">, </w:t>
      </w:r>
      <w:r w:rsidR="00570B19">
        <w:rPr>
          <w:rStyle w:val="StyleParaNumTimesNewRoman11ptChar"/>
          <w:sz w:val="20"/>
          <w:lang w:eastAsia="x-none"/>
        </w:rPr>
        <w:t xml:space="preserve">30 </w:t>
      </w:r>
      <w:r>
        <w:rPr>
          <w:rStyle w:val="StyleParaNumTimesNewRoman11ptChar"/>
          <w:sz w:val="20"/>
          <w:lang w:eastAsia="x-none"/>
        </w:rPr>
        <w:t xml:space="preserve">FCC </w:t>
      </w:r>
      <w:r w:rsidR="00570B19">
        <w:rPr>
          <w:rStyle w:val="StyleParaNumTimesNewRoman11ptChar"/>
          <w:sz w:val="20"/>
          <w:lang w:eastAsia="x-none"/>
        </w:rPr>
        <w:t xml:space="preserve">Rcd </w:t>
      </w:r>
      <w:r>
        <w:rPr>
          <w:rStyle w:val="StyleParaNumTimesNewRoman11ptChar"/>
          <w:sz w:val="20"/>
          <w:lang w:eastAsia="x-none"/>
        </w:rPr>
        <w:t xml:space="preserve">at </w:t>
      </w:r>
      <w:r w:rsidR="00570B19">
        <w:rPr>
          <w:rStyle w:val="StyleParaNumTimesNewRoman11ptChar"/>
          <w:sz w:val="20"/>
          <w:lang w:eastAsia="x-none"/>
        </w:rPr>
        <w:t xml:space="preserve">5111 </w:t>
      </w:r>
      <w:r w:rsidR="00CB2EA9">
        <w:rPr>
          <w:rStyle w:val="StyleParaNumTimesNewRoman11ptChar"/>
          <w:sz w:val="20"/>
          <w:lang w:eastAsia="x-none"/>
        </w:rPr>
        <w:t xml:space="preserve">¶ 8 </w:t>
      </w:r>
      <w:r>
        <w:rPr>
          <w:rStyle w:val="StyleParaNumTimesNewRoman11ptChar"/>
          <w:sz w:val="20"/>
          <w:lang w:eastAsia="x-none"/>
        </w:rPr>
        <w:t xml:space="preserve">n.31, </w:t>
      </w:r>
      <w:r w:rsidR="00570B19">
        <w:rPr>
          <w:rStyle w:val="StyleParaNumTimesNewRoman11ptChar"/>
          <w:sz w:val="20"/>
          <w:lang w:eastAsia="x-none"/>
        </w:rPr>
        <w:t xml:space="preserve">5113 </w:t>
      </w:r>
      <w:r>
        <w:rPr>
          <w:rStyle w:val="StyleParaNumTimesNewRoman11ptChar"/>
          <w:sz w:val="20"/>
          <w:lang w:eastAsia="x-none"/>
        </w:rPr>
        <w:t xml:space="preserve">¶ 13, </w:t>
      </w:r>
      <w:r w:rsidR="00570B19">
        <w:rPr>
          <w:rStyle w:val="StyleParaNumTimesNewRoman11ptChar"/>
          <w:sz w:val="20"/>
          <w:lang w:eastAsia="x-none"/>
        </w:rPr>
        <w:t xml:space="preserve">5114 </w:t>
      </w:r>
      <w:r>
        <w:rPr>
          <w:rStyle w:val="StyleParaNumTimesNewRoman11ptChar"/>
          <w:sz w:val="20"/>
          <w:lang w:eastAsia="x-none"/>
        </w:rPr>
        <w:t xml:space="preserve">¶ 15, </w:t>
      </w:r>
      <w:r w:rsidR="00570B19">
        <w:rPr>
          <w:rStyle w:val="StyleParaNumTimesNewRoman11ptChar"/>
          <w:sz w:val="20"/>
          <w:lang w:eastAsia="x-none"/>
        </w:rPr>
        <w:t xml:space="preserve">5123 </w:t>
      </w:r>
      <w:r w:rsidR="00CB2EA9">
        <w:rPr>
          <w:rStyle w:val="StyleParaNumTimesNewRoman11ptChar"/>
          <w:sz w:val="20"/>
          <w:lang w:eastAsia="x-none"/>
        </w:rPr>
        <w:t xml:space="preserve">¶ 36 </w:t>
      </w:r>
      <w:r>
        <w:rPr>
          <w:rStyle w:val="StyleParaNumTimesNewRoman11ptChar"/>
          <w:sz w:val="20"/>
          <w:lang w:eastAsia="x-none"/>
        </w:rPr>
        <w:t xml:space="preserve">n.114, </w:t>
      </w:r>
      <w:r w:rsidR="00570B19">
        <w:rPr>
          <w:rStyle w:val="StyleParaNumTimesNewRoman11ptChar"/>
          <w:sz w:val="20"/>
          <w:lang w:eastAsia="x-none"/>
        </w:rPr>
        <w:t xml:space="preserve">5130 </w:t>
      </w:r>
      <w:r w:rsidR="00E16DEB">
        <w:rPr>
          <w:rStyle w:val="StyleParaNumTimesNewRoman11ptChar"/>
          <w:sz w:val="20"/>
          <w:lang w:eastAsia="x-none"/>
        </w:rPr>
        <w:t>¶ 56.</w:t>
      </w:r>
    </w:p>
  </w:footnote>
  <w:footnote w:id="34">
    <w:p w14:paraId="4ED96BCE" w14:textId="77777777" w:rsidR="00B64BD2" w:rsidRPr="00D22B64" w:rsidRDefault="00B64BD2" w:rsidP="00B64BD2">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5">
    <w:p w14:paraId="04D1BB61" w14:textId="77777777" w:rsidR="00B64BD2" w:rsidRPr="001800E5" w:rsidRDefault="00B64BD2" w:rsidP="00B64BD2">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36">
    <w:p w14:paraId="7D0E3347" w14:textId="4BF8041B" w:rsidR="00B64BD2" w:rsidRPr="001800E5" w:rsidRDefault="00B64BD2" w:rsidP="00B64BD2">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29 FCC Rcd at 6156-57</w:t>
      </w:r>
      <w:r w:rsidR="00E706B4">
        <w:t>, 6164</w:t>
      </w:r>
      <w:r>
        <w:t xml:space="preserve"> </w:t>
      </w:r>
      <w:r w:rsidRPr="0051119E">
        <w:rPr>
          <w:bCs/>
        </w:rPr>
        <w:t>¶</w:t>
      </w:r>
      <w:r w:rsidR="00E706B4" w:rsidRPr="0051119E">
        <w:rPr>
          <w:bCs/>
        </w:rPr>
        <w:t>¶</w:t>
      </w:r>
      <w:r>
        <w:rPr>
          <w:bCs/>
        </w:rPr>
        <w:t xml:space="preserve"> 46, 60</w:t>
      </w:r>
      <w:r w:rsidRPr="001800E5">
        <w:t>.</w:t>
      </w:r>
    </w:p>
  </w:footnote>
  <w:footnote w:id="37">
    <w:p w14:paraId="24D23018" w14:textId="2DF9125C" w:rsidR="00B64BD2" w:rsidRPr="001800E5" w:rsidRDefault="00B64BD2" w:rsidP="00B64BD2">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38">
    <w:p w14:paraId="2E8BC197" w14:textId="4D991A00" w:rsidR="00B64BD2" w:rsidRPr="001800E5" w:rsidRDefault="00B64BD2" w:rsidP="00B64BD2">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6164-65 </w:t>
      </w:r>
      <w:r w:rsidRPr="0051119E">
        <w:rPr>
          <w:bCs/>
        </w:rPr>
        <w:t>¶¶</w:t>
      </w:r>
      <w:r>
        <w:rPr>
          <w:bCs/>
        </w:rPr>
        <w:t xml:space="preserve"> 60-61; Applications of AT&amp;T Inc., Cellco Partnership d/b/a Verizon Wireless, Grain Spectrum, LLC, and Grain Spectrum II, LLC for Consent To Assign and Lease AWS-1 and Lower 700 MHz Licenses, WT Docket No. 13-56, </w:t>
      </w:r>
      <w:r w:rsidRPr="00B83EDA">
        <w:rPr>
          <w:bCs/>
          <w:i/>
        </w:rPr>
        <w:t>Memorandum Opinion and Order</w:t>
      </w:r>
      <w:r>
        <w:rPr>
          <w:bCs/>
        </w:rPr>
        <w:t>, 28 FCC Rcd 12878, 12893</w:t>
      </w:r>
      <w:r w:rsidR="00570B19">
        <w:rPr>
          <w:bCs/>
        </w:rPr>
        <w:t>-94</w:t>
      </w:r>
      <w:r>
        <w:rPr>
          <w:bCs/>
        </w:rPr>
        <w:t xml:space="preserve"> </w:t>
      </w:r>
      <w:r>
        <w:t>¶</w:t>
      </w:r>
      <w:r w:rsidRPr="001800E5">
        <w:t xml:space="preserve">¶ </w:t>
      </w:r>
      <w:r>
        <w:t>40-41 (WTB 2013) (“</w:t>
      </w:r>
      <w:r w:rsidRPr="00B83EDA">
        <w:rPr>
          <w:i/>
        </w:rPr>
        <w:t>AT&amp;T-Verizon Wireless-Grain Order</w:t>
      </w:r>
      <w:r>
        <w:t>”)</w:t>
      </w:r>
      <w:r w:rsidR="002E0A6C">
        <w:t>.</w:t>
      </w:r>
      <w:r>
        <w:t xml:space="preserve"> </w:t>
      </w:r>
      <w:r w:rsidR="002E0A6C">
        <w:t xml:space="preserve"> </w:t>
      </w:r>
      <w:r w:rsidR="00570B19">
        <w:rPr>
          <w:i/>
        </w:rPr>
        <w:t xml:space="preserve">See also </w:t>
      </w:r>
      <w:r w:rsidR="00E16DEB">
        <w:rPr>
          <w:i/>
        </w:rPr>
        <w:t>AT&amp;T</w:t>
      </w:r>
      <w:r w:rsidR="00E16DEB">
        <w:rPr>
          <w:i/>
        </w:rPr>
        <w:noBreakHyphen/>
      </w:r>
      <w:r w:rsidRPr="001800E5">
        <w:rPr>
          <w:i/>
        </w:rPr>
        <w:t>Qualcomm Order</w:t>
      </w:r>
      <w:r w:rsidRPr="00B76058">
        <w:t>,</w:t>
      </w:r>
      <w:r w:rsidRPr="001800E5">
        <w:rPr>
          <w:i/>
        </w:rPr>
        <w:t xml:space="preserve"> </w:t>
      </w:r>
      <w:r w:rsidRPr="001800E5">
        <w:t>26 FCC Rcd at 17602 ¶ 3</w:t>
      </w:r>
      <w:r>
        <w:t>1</w:t>
      </w:r>
      <w:r w:rsidRPr="001800E5">
        <w:t>.</w:t>
      </w:r>
    </w:p>
  </w:footnote>
  <w:footnote w:id="39">
    <w:p w14:paraId="428E9286" w14:textId="1A4D41F7" w:rsidR="00B64BD2" w:rsidRDefault="00B64BD2" w:rsidP="00B64BD2">
      <w:pPr>
        <w:pStyle w:val="FootnoteText"/>
      </w:pPr>
      <w:r>
        <w:rPr>
          <w:rStyle w:val="FootnoteReference"/>
        </w:rPr>
        <w:footnoteRef/>
      </w:r>
      <w:r>
        <w:t xml:space="preserve"> </w:t>
      </w:r>
      <w:r w:rsidRPr="00863FB9">
        <w:rPr>
          <w:i/>
        </w:rPr>
        <w:t>See</w:t>
      </w:r>
      <w:r w:rsidRPr="00B76058">
        <w:t>,</w:t>
      </w:r>
      <w:r>
        <w:rPr>
          <w:i/>
        </w:rPr>
        <w:t xml:space="preserve"> e.g.</w:t>
      </w:r>
      <w:r w:rsidRPr="00B76058">
        <w:t>,</w:t>
      </w:r>
      <w:r>
        <w:rPr>
          <w:i/>
        </w:rPr>
        <w:t xml:space="preserve"> </w:t>
      </w:r>
      <w:r w:rsidR="00570B19">
        <w:rPr>
          <w:i/>
        </w:rPr>
        <w:t xml:space="preserve">Verizon Wireless-SpectrumCo </w:t>
      </w:r>
      <w:r w:rsidR="00570B19" w:rsidRPr="00570B19">
        <w:rPr>
          <w:i/>
        </w:rPr>
        <w:t>Order</w:t>
      </w:r>
      <w:r w:rsidR="00570B19">
        <w:t xml:space="preserve">, </w:t>
      </w:r>
      <w:r w:rsidRPr="00777EE0">
        <w:t xml:space="preserve">27 FCC Rcd </w:t>
      </w:r>
      <w:r w:rsidR="00570B19">
        <w:t>at</w:t>
      </w:r>
      <w:r>
        <w:t xml:space="preserve"> 10725</w:t>
      </w:r>
      <w:r w:rsidRPr="000E2A95">
        <w:t xml:space="preserve"> ¶</w:t>
      </w:r>
      <w:r>
        <w:t xml:space="preserve"> 72</w:t>
      </w:r>
      <w:r w:rsidRPr="0086705A">
        <w:t>;</w:t>
      </w:r>
      <w:r>
        <w:t xml:space="preserve"> </w:t>
      </w:r>
      <w:r w:rsidRPr="00762C02">
        <w:rPr>
          <w:i/>
        </w:rPr>
        <w:t>AT&amp;T-Verizon Wireless-Grain Order</w:t>
      </w:r>
      <w:r w:rsidRPr="00CC4AD3">
        <w:t xml:space="preserve">, 28 FCC Rcd at 12887 </w:t>
      </w:r>
      <w:r w:rsidRPr="00CC4AD3">
        <w:rPr>
          <w:bCs/>
        </w:rPr>
        <w:t>¶ 20.</w:t>
      </w:r>
    </w:p>
  </w:footnote>
  <w:footnote w:id="40">
    <w:p w14:paraId="7F493385" w14:textId="578FABD1" w:rsidR="00C10D04" w:rsidRPr="00A5312F" w:rsidRDefault="00C10D04" w:rsidP="00C10D04">
      <w:pPr>
        <w:pStyle w:val="FootnoteText"/>
      </w:pPr>
      <w:r w:rsidRPr="0075707B">
        <w:rPr>
          <w:rStyle w:val="FootnoteReference"/>
        </w:rPr>
        <w:footnoteRef/>
      </w:r>
      <w:r w:rsidRPr="0075707B">
        <w:t xml:space="preserve"> </w:t>
      </w:r>
      <w:r w:rsidR="00C75707" w:rsidRPr="009F0F3A">
        <w:rPr>
          <w:i/>
          <w:iCs/>
        </w:rPr>
        <w:t>See</w:t>
      </w:r>
      <w:r w:rsidR="00C75707" w:rsidRPr="00B76058">
        <w:rPr>
          <w:iCs/>
        </w:rPr>
        <w:t>,</w:t>
      </w:r>
      <w:r w:rsidR="00C75707" w:rsidRPr="009F0F3A">
        <w:rPr>
          <w:i/>
          <w:iCs/>
        </w:rPr>
        <w:t xml:space="preserve"> e.g.</w:t>
      </w:r>
      <w:r w:rsidR="00C75707" w:rsidRPr="00121630">
        <w:t xml:space="preserve">, </w:t>
      </w:r>
      <w:r w:rsidR="00C75707" w:rsidRPr="009B3B62">
        <w:rPr>
          <w:i/>
        </w:rPr>
        <w:t>AT&amp;T-Plateau Wireless Order</w:t>
      </w:r>
      <w:r w:rsidR="00C75707">
        <w:t xml:space="preserve">, </w:t>
      </w:r>
      <w:r w:rsidR="00FF3816">
        <w:t xml:space="preserve">30 </w:t>
      </w:r>
      <w:r w:rsidR="00C75707">
        <w:t xml:space="preserve">FCC </w:t>
      </w:r>
      <w:r w:rsidR="00FF3816">
        <w:t>Rcd</w:t>
      </w:r>
      <w:r w:rsidR="00C75707">
        <w:t xml:space="preserve"> at </w:t>
      </w:r>
      <w:r w:rsidR="00FF3816">
        <w:t xml:space="preserve">5115 </w:t>
      </w:r>
      <w:r w:rsidR="00C75707">
        <w:t>¶ 1</w:t>
      </w:r>
      <w:r w:rsidR="00FF3816">
        <w:t>7</w:t>
      </w:r>
      <w:r w:rsidR="00C75707">
        <w:t xml:space="preserve">; </w:t>
      </w:r>
      <w:r w:rsidR="00C75707" w:rsidRPr="00E60969">
        <w:rPr>
          <w:i/>
        </w:rPr>
        <w:t>AT&amp;T-Leap Order</w:t>
      </w:r>
      <w:r w:rsidR="00C75707">
        <w:t xml:space="preserve">, 29 FCC Rcd at 2746 </w:t>
      </w:r>
      <w:r w:rsidR="00C75707" w:rsidRPr="00A335A9">
        <w:rPr>
          <w:bCs/>
        </w:rPr>
        <w:t>¶ 22</w:t>
      </w:r>
      <w:r w:rsidR="00C75707">
        <w:t xml:space="preserve">; </w:t>
      </w:r>
      <w:r w:rsidR="00C75707" w:rsidRPr="00A5312F">
        <w:rPr>
          <w:i/>
        </w:rPr>
        <w:t>Alaska Wireless Order</w:t>
      </w:r>
      <w:r w:rsidR="00C75707" w:rsidRPr="00A5312F">
        <w:t>,</w:t>
      </w:r>
      <w:r w:rsidR="00C75707" w:rsidRPr="00A5312F">
        <w:rPr>
          <w:i/>
        </w:rPr>
        <w:t xml:space="preserve"> </w:t>
      </w:r>
      <w:r w:rsidR="00C75707" w:rsidRPr="00A5312F">
        <w:t>28 FCC Rcd at 10447 ¶ 34</w:t>
      </w:r>
      <w:r w:rsidR="00C75707">
        <w:t>.</w:t>
      </w:r>
    </w:p>
  </w:footnote>
  <w:footnote w:id="41">
    <w:p w14:paraId="2A307CBF" w14:textId="3DBF52A2" w:rsidR="002A1BA1" w:rsidRDefault="002A1BA1" w:rsidP="002A1BA1">
      <w:pPr>
        <w:pStyle w:val="FootnoteText"/>
      </w:pPr>
      <w:r w:rsidRPr="004F4D40">
        <w:rPr>
          <w:rStyle w:val="FootnoteReference"/>
        </w:rPr>
        <w:footnoteRef/>
      </w:r>
      <w:r w:rsidRPr="004F4D40">
        <w:t xml:space="preserve"> </w:t>
      </w:r>
      <w:r w:rsidRPr="00712FEF">
        <w:rPr>
          <w:i/>
        </w:rPr>
        <w:t>See</w:t>
      </w:r>
      <w:r w:rsidRPr="00B76058">
        <w:t>,</w:t>
      </w:r>
      <w:r w:rsidRPr="00562E71">
        <w:rPr>
          <w:i/>
        </w:rPr>
        <w:t xml:space="preserve"> e.g.</w:t>
      </w:r>
      <w:r w:rsidRPr="00B76058">
        <w:t>,</w:t>
      </w:r>
      <w:r w:rsidRPr="00562E71">
        <w:t xml:space="preserve"> </w:t>
      </w:r>
      <w:r w:rsidRPr="009B3B62">
        <w:rPr>
          <w:i/>
        </w:rPr>
        <w:t>AT&amp;T-Plateau Wireless Order</w:t>
      </w:r>
      <w:r>
        <w:t xml:space="preserve">, </w:t>
      </w:r>
      <w:r w:rsidR="00FF3816">
        <w:t xml:space="preserve">30 </w:t>
      </w:r>
      <w:r>
        <w:t xml:space="preserve">FCC </w:t>
      </w:r>
      <w:r w:rsidR="00FF3816">
        <w:t>Rcd</w:t>
      </w:r>
      <w:r>
        <w:t xml:space="preserve"> at </w:t>
      </w:r>
      <w:r w:rsidR="00FF3816">
        <w:t xml:space="preserve">5115 </w:t>
      </w:r>
      <w:r>
        <w:t xml:space="preserve">¶ 18; </w:t>
      </w:r>
      <w:r>
        <w:rPr>
          <w:i/>
        </w:rPr>
        <w:t>AT</w:t>
      </w:r>
      <w:r w:rsidRPr="00562E71">
        <w:rPr>
          <w:i/>
        </w:rPr>
        <w:t>&amp;T-Leap Order</w:t>
      </w:r>
      <w:r w:rsidRPr="00B76058">
        <w:t>,</w:t>
      </w:r>
      <w:r w:rsidRPr="00562E71">
        <w:rPr>
          <w:i/>
        </w:rPr>
        <w:t xml:space="preserve"> </w:t>
      </w:r>
      <w:r w:rsidRPr="00562E71">
        <w:t>29 FCC Rcd at 2746 ¶ 23.</w:t>
      </w:r>
    </w:p>
  </w:footnote>
  <w:footnote w:id="42">
    <w:p w14:paraId="5C28A401" w14:textId="30CBDBEB" w:rsidR="0042190D" w:rsidRPr="002E0A6C" w:rsidRDefault="000B37F3" w:rsidP="00D615D8">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 xml:space="preserve">See, e.g., </w:t>
      </w:r>
      <w:r w:rsidRPr="009B3B62">
        <w:rPr>
          <w:i/>
        </w:rPr>
        <w:t xml:space="preserve">AT&amp;T-Plateau Wireless </w:t>
      </w:r>
      <w:r w:rsidRPr="00096195">
        <w:rPr>
          <w:i/>
        </w:rPr>
        <w:t>Order</w:t>
      </w:r>
      <w:r w:rsidRPr="00096195">
        <w:t xml:space="preserve">, 30 FCC Rcd at 5116 ¶ 19; </w:t>
      </w:r>
      <w:r w:rsidRPr="00096195">
        <w:rPr>
          <w:i/>
        </w:rPr>
        <w:t xml:space="preserve">AT&amp;T-Leap Order, </w:t>
      </w:r>
      <w:r w:rsidRPr="00096195">
        <w:t>29 FCC Rcd at 2748 ¶ 27.</w:t>
      </w:r>
      <w:r w:rsidR="0042190D">
        <w:t xml:space="preserve"> </w:t>
      </w:r>
      <w:r w:rsidR="00D615D8">
        <w:t xml:space="preserve"> We note also that the Commission found in its evaluation of the </w:t>
      </w:r>
      <w:r w:rsidR="00D615D8" w:rsidRPr="00CE28A5">
        <w:t>AT&amp;T/Centennial</w:t>
      </w:r>
      <w:r w:rsidR="00D615D8">
        <w:t xml:space="preserve"> transaction that because of Puerto Rico’s and the U.S. Virgin Island’s unique characteristics in terms of limited geographic scope and isolated nature, the relevant </w:t>
      </w:r>
      <w:r w:rsidR="00E754AA">
        <w:t xml:space="preserve">local </w:t>
      </w:r>
      <w:r w:rsidR="00D615D8">
        <w:t>geographic market was not any individual CMA, but rather Puerto Rico</w:t>
      </w:r>
      <w:r w:rsidR="00D615D8" w:rsidRPr="00DE5C3C">
        <w:rPr>
          <w:color w:val="010101"/>
        </w:rPr>
        <w:t xml:space="preserve"> </w:t>
      </w:r>
      <w:r w:rsidR="00D615D8">
        <w:rPr>
          <w:color w:val="010101"/>
        </w:rPr>
        <w:t xml:space="preserve">and the U.S. Virgin Islands themselves.  </w:t>
      </w:r>
      <w:r w:rsidR="00D615D8">
        <w:rPr>
          <w:i/>
        </w:rPr>
        <w:t xml:space="preserve">See </w:t>
      </w:r>
      <w:r w:rsidR="00D615D8" w:rsidRPr="00F87FF7">
        <w:t xml:space="preserve">Applications of AT&amp;T Inc. and Centennial Communications Corp. </w:t>
      </w:r>
      <w:r w:rsidR="00D615D8">
        <w:t>f</w:t>
      </w:r>
      <w:r w:rsidR="00D615D8" w:rsidRPr="00F87FF7">
        <w:t xml:space="preserve">or Consent </w:t>
      </w:r>
      <w:r w:rsidR="00D615D8">
        <w:t>T</w:t>
      </w:r>
      <w:r w:rsidR="00D615D8" w:rsidRPr="00F87FF7">
        <w:t xml:space="preserve">o Transfer Control of Licenses, Authorizations, and Spectrum Leasing Arrangements, WT Docket No. 08-246, </w:t>
      </w:r>
      <w:r w:rsidR="00D615D8" w:rsidRPr="00147B97">
        <w:rPr>
          <w:i/>
        </w:rPr>
        <w:t>Memorandum Opinion and Order</w:t>
      </w:r>
      <w:r w:rsidR="00D615D8" w:rsidRPr="00F87FF7">
        <w:t>, 24 FCC Rcd 13915</w:t>
      </w:r>
      <w:r w:rsidR="00D615D8">
        <w:t xml:space="preserve">, 13934 </w:t>
      </w:r>
      <w:r w:rsidR="00D615D8" w:rsidRPr="00F87FF7">
        <w:t xml:space="preserve">¶ </w:t>
      </w:r>
      <w:r w:rsidR="00D615D8">
        <w:t xml:space="preserve">42 </w:t>
      </w:r>
      <w:r w:rsidR="00D615D8" w:rsidRPr="00F87FF7">
        <w:t>(2009) (“</w:t>
      </w:r>
      <w:r w:rsidR="00D615D8" w:rsidRPr="006F490A">
        <w:rPr>
          <w:i/>
        </w:rPr>
        <w:t>AT&amp;T-Centennial Order</w:t>
      </w:r>
      <w:r w:rsidR="00D615D8" w:rsidRPr="00F87FF7">
        <w:t>”)</w:t>
      </w:r>
      <w:r w:rsidR="00E16DEB">
        <w:t>.</w:t>
      </w:r>
    </w:p>
  </w:footnote>
  <w:footnote w:id="43">
    <w:p w14:paraId="6875D536" w14:textId="2A300603" w:rsidR="00130A83" w:rsidRDefault="00130A83" w:rsidP="00130A83">
      <w:pPr>
        <w:pStyle w:val="FootnoteText"/>
      </w:pPr>
      <w:r>
        <w:rPr>
          <w:rStyle w:val="FootnoteReference"/>
        </w:rPr>
        <w:footnoteRef/>
      </w:r>
      <w:r>
        <w:t xml:space="preserve"> </w:t>
      </w:r>
      <w:r w:rsidRPr="00BA4F08">
        <w:rPr>
          <w:i/>
        </w:rPr>
        <w:t>See</w:t>
      </w:r>
      <w:r w:rsidRPr="00B76058">
        <w:t>,</w:t>
      </w:r>
      <w:r w:rsidRPr="00BA4F08">
        <w:rPr>
          <w:i/>
        </w:rPr>
        <w:t xml:space="preserve"> e.g</w:t>
      </w:r>
      <w:r w:rsidRPr="00B76058">
        <w:t>.,</w:t>
      </w:r>
      <w:r w:rsidRPr="00BA4F08">
        <w:rPr>
          <w:i/>
        </w:rPr>
        <w:t xml:space="preserve"> AT&amp;T-Plateau Wireless</w:t>
      </w:r>
      <w:r>
        <w:t xml:space="preserve">, </w:t>
      </w:r>
      <w:r w:rsidR="00341232">
        <w:t xml:space="preserve">30 </w:t>
      </w:r>
      <w:r>
        <w:t xml:space="preserve">FCC </w:t>
      </w:r>
      <w:r w:rsidR="00341232">
        <w:t>Rcd at 5117</w:t>
      </w:r>
      <w:r>
        <w:t xml:space="preserve"> ¶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  </w:t>
      </w:r>
      <w:r w:rsidRPr="008B5909">
        <w:rPr>
          <w:i/>
        </w:rPr>
        <w:t>See also</w:t>
      </w:r>
      <w:r>
        <w:t xml:space="preserve"> </w:t>
      </w:r>
      <w:r w:rsidRPr="00234B6F">
        <w:rPr>
          <w:i/>
        </w:rPr>
        <w:t>AT</w:t>
      </w:r>
      <w:r>
        <w:rPr>
          <w:i/>
        </w:rPr>
        <w:t>&amp;T-Leap Order</w:t>
      </w:r>
      <w:r w:rsidRPr="00B76058">
        <w:t>,</w:t>
      </w:r>
      <w:r>
        <w:rPr>
          <w:i/>
        </w:rPr>
        <w:t xml:space="preserve"> </w:t>
      </w:r>
      <w:r w:rsidRPr="00CF4C4A">
        <w:t xml:space="preserve">29 FCC Rcd at </w:t>
      </w:r>
      <w:r>
        <w:t>2749-50 ¶ 32.</w:t>
      </w:r>
    </w:p>
  </w:footnote>
  <w:footnote w:id="44">
    <w:p w14:paraId="0B8164F8" w14:textId="08B9EEC0" w:rsidR="00130A83" w:rsidRDefault="00130A83" w:rsidP="00130A83">
      <w:pPr>
        <w:pStyle w:val="FootnoteText"/>
      </w:pPr>
      <w:r>
        <w:rPr>
          <w:rStyle w:val="FootnoteReference"/>
        </w:rPr>
        <w:footnoteRef/>
      </w:r>
      <w:r>
        <w:t xml:space="preserve"> </w:t>
      </w:r>
      <w:r w:rsidRPr="00943F32">
        <w:rPr>
          <w:i/>
        </w:rPr>
        <w:t>See</w:t>
      </w:r>
      <w:r w:rsidRPr="00B76058">
        <w:t>,</w:t>
      </w:r>
      <w:r w:rsidRPr="00943F32">
        <w:rPr>
          <w:i/>
        </w:rPr>
        <w:t xml:space="preserve"> e.g</w:t>
      </w:r>
      <w:r w:rsidRPr="00B76058">
        <w:t>.,</w:t>
      </w:r>
      <w:r w:rsidRPr="00943F32">
        <w:rPr>
          <w:i/>
        </w:rPr>
        <w:t xml:space="preserve"> </w:t>
      </w:r>
      <w:r w:rsidRPr="0005491A">
        <w:rPr>
          <w:i/>
        </w:rPr>
        <w:t>AT&amp;T-Plateau Wireless Order</w:t>
      </w:r>
      <w:r>
        <w:t xml:space="preserve">, </w:t>
      </w:r>
      <w:r w:rsidR="00341232">
        <w:t xml:space="preserve">30 </w:t>
      </w:r>
      <w:r>
        <w:t xml:space="preserve">FCC </w:t>
      </w:r>
      <w:r w:rsidR="00341232">
        <w:t>Rcd</w:t>
      </w:r>
      <w:r>
        <w:t xml:space="preserve"> at </w:t>
      </w:r>
      <w:r w:rsidR="00341232">
        <w:t xml:space="preserve">5117 </w:t>
      </w:r>
      <w:r>
        <w:t xml:space="preserve">¶ 23; </w:t>
      </w:r>
      <w:r w:rsidRPr="00943F32">
        <w:rPr>
          <w:i/>
        </w:rPr>
        <w:t>AT&amp;T-Leap Order</w:t>
      </w:r>
      <w:r w:rsidRPr="00B76058">
        <w:t>,</w:t>
      </w:r>
      <w:r w:rsidRPr="00943F32">
        <w:rPr>
          <w:i/>
        </w:rPr>
        <w:t xml:space="preserve"> </w:t>
      </w:r>
      <w:r w:rsidRPr="00943F32">
        <w:t>29 FCC Rcd at 2751 ¶ 35</w:t>
      </w:r>
      <w:r>
        <w:t xml:space="preserve">; </w:t>
      </w:r>
      <w:r w:rsidRPr="00943F32">
        <w:rPr>
          <w:i/>
        </w:rPr>
        <w:t>Alaska</w:t>
      </w:r>
      <w:r w:rsidRPr="009F0F3A">
        <w:rPr>
          <w:i/>
        </w:rPr>
        <w:t xml:space="preserve"> Wireless O</w:t>
      </w:r>
      <w:r w:rsidRPr="00121630">
        <w:rPr>
          <w:i/>
        </w:rPr>
        <w:t>rder</w:t>
      </w:r>
      <w:r w:rsidRPr="00A5312F">
        <w:t>, 28 FCC Rcd at 10449-50 ¶ 41</w:t>
      </w:r>
      <w:r w:rsidRPr="00943F32">
        <w:rPr>
          <w:rFonts w:eastAsiaTheme="minorHAnsi"/>
        </w:rPr>
        <w:t>.</w:t>
      </w:r>
    </w:p>
  </w:footnote>
  <w:footnote w:id="45">
    <w:p w14:paraId="3AF327E7" w14:textId="297879F1" w:rsidR="001D2563" w:rsidRDefault="001D2563">
      <w:pPr>
        <w:pStyle w:val="FootnoteText"/>
      </w:pPr>
      <w:r>
        <w:rPr>
          <w:rStyle w:val="FootnoteReference"/>
        </w:rPr>
        <w:footnoteRef/>
      </w:r>
      <w:r>
        <w:t xml:space="preserve"> Public Interest Statement at 1.</w:t>
      </w:r>
    </w:p>
  </w:footnote>
  <w:footnote w:id="46">
    <w:p w14:paraId="63DD521D" w14:textId="7FB326CA" w:rsidR="00D91671" w:rsidRDefault="00D91671">
      <w:pPr>
        <w:pStyle w:val="FootnoteText"/>
      </w:pPr>
      <w:r>
        <w:rPr>
          <w:rStyle w:val="FootnoteReference"/>
        </w:rPr>
        <w:footnoteRef/>
      </w:r>
      <w:r>
        <w:t xml:space="preserve"> TeleGuam Information Request Response at 7-9.</w:t>
      </w:r>
    </w:p>
  </w:footnote>
  <w:footnote w:id="47">
    <w:p w14:paraId="6F492BE3" w14:textId="28690EF6" w:rsidR="00DC6896" w:rsidRDefault="00DC6896">
      <w:pPr>
        <w:pStyle w:val="FootnoteText"/>
      </w:pPr>
      <w:r>
        <w:rPr>
          <w:rStyle w:val="FootnoteReference"/>
        </w:rPr>
        <w:footnoteRef/>
      </w:r>
      <w:r>
        <w:t xml:space="preserve"> </w:t>
      </w:r>
      <w:r w:rsidR="00694FA8" w:rsidRPr="009F0F3A">
        <w:rPr>
          <w:i/>
        </w:rPr>
        <w:t>See</w:t>
      </w:r>
      <w:r w:rsidR="00694FA8">
        <w:rPr>
          <w:i/>
        </w:rPr>
        <w:t xml:space="preserve"> </w:t>
      </w:r>
      <w:r w:rsidR="00341232">
        <w:rPr>
          <w:i/>
        </w:rPr>
        <w:t xml:space="preserve">AT&amp;T-Plateau Wireless </w:t>
      </w:r>
      <w:r w:rsidR="00341232" w:rsidRPr="003B49D7">
        <w:t>Order</w:t>
      </w:r>
      <w:r w:rsidR="00341232">
        <w:t xml:space="preserve">, 30 FCC Rcd at 5118 ¶ 24; </w:t>
      </w:r>
      <w:r w:rsidR="00694FA8" w:rsidRPr="00EE32B0">
        <w:rPr>
          <w:i/>
        </w:rPr>
        <w:t>Mobile Spectrum Holdings Report and Order</w:t>
      </w:r>
      <w:r w:rsidR="00694FA8" w:rsidRPr="00EE32B0">
        <w:rPr>
          <w:rStyle w:val="StyleParaNumTimesNewRoman11ptChar"/>
          <w:sz w:val="20"/>
          <w:lang w:eastAsia="x-none"/>
        </w:rPr>
        <w:t xml:space="preserve">, 29 FCC Rcd </w:t>
      </w:r>
      <w:r w:rsidR="00694FA8">
        <w:rPr>
          <w:rStyle w:val="StyleParaNumTimesNewRoman11ptChar"/>
          <w:sz w:val="20"/>
          <w:lang w:eastAsia="x-none"/>
        </w:rPr>
        <w:t xml:space="preserve">at </w:t>
      </w:r>
      <w:r w:rsidR="00694FA8" w:rsidRPr="00EE32B0">
        <w:rPr>
          <w:rStyle w:val="StyleParaNumTimesNewRoman11ptChar"/>
          <w:sz w:val="20"/>
          <w:lang w:eastAsia="x-none"/>
        </w:rPr>
        <w:t>6240 ¶</w:t>
      </w:r>
      <w:r w:rsidR="00694FA8" w:rsidRPr="00F73613">
        <w:rPr>
          <w:rStyle w:val="StyleParaNumTimesNewRoman11ptChar"/>
          <w:sz w:val="20"/>
          <w:lang w:eastAsia="x-none"/>
        </w:rPr>
        <w:t xml:space="preserve"> 286.</w:t>
      </w:r>
      <w:r w:rsidR="00694FA8">
        <w:rPr>
          <w:rStyle w:val="StyleParaNumTimesNewRoman11ptChar"/>
          <w:sz w:val="20"/>
          <w:lang w:eastAsia="x-none"/>
        </w:rPr>
        <w:t xml:space="preserve">  </w:t>
      </w:r>
      <w:r w:rsidR="00694FA8">
        <w:rPr>
          <w:iCs/>
        </w:rPr>
        <w:t>The current total amount of below-1-GHz spectrum that is suitable and available is 134 megahertz</w:t>
      </w:r>
      <w:r w:rsidR="00387980">
        <w:rPr>
          <w:iCs/>
        </w:rPr>
        <w:t>,</w:t>
      </w:r>
      <w:r w:rsidR="00694FA8">
        <w:rPr>
          <w:iCs/>
        </w:rPr>
        <w:t xml:space="preserve"> approximately one-third of which is 45 megahertz.  </w:t>
      </w:r>
      <w:r w:rsidR="00694FA8" w:rsidRPr="009F0F3A">
        <w:rPr>
          <w:i/>
        </w:rPr>
        <w:t>See</w:t>
      </w:r>
      <w:r w:rsidR="00694FA8">
        <w:rPr>
          <w:i/>
        </w:rPr>
        <w:t xml:space="preserve"> </w:t>
      </w:r>
      <w:r w:rsidR="00341232">
        <w:rPr>
          <w:i/>
        </w:rPr>
        <w:t xml:space="preserve">Mobile Spectrum Holdings Report and </w:t>
      </w:r>
      <w:r w:rsidR="00341232" w:rsidRPr="00341232">
        <w:rPr>
          <w:i/>
        </w:rPr>
        <w:t>Order</w:t>
      </w:r>
      <w:r w:rsidR="00341232">
        <w:t>,</w:t>
      </w:r>
      <w:r w:rsidR="00694FA8">
        <w:rPr>
          <w:rStyle w:val="StyleParaNumTimesNewRoman11ptChar"/>
          <w:sz w:val="20"/>
          <w:lang w:eastAsia="x-none"/>
        </w:rPr>
        <w:t xml:space="preserve"> 29 FCC Rcd at 6156-57</w:t>
      </w:r>
      <w:r w:rsidR="0067280E">
        <w:rPr>
          <w:rStyle w:val="StyleParaNumTimesNewRoman11ptChar"/>
          <w:sz w:val="20"/>
          <w:lang w:eastAsia="x-none"/>
        </w:rPr>
        <w:t xml:space="preserve">, 6240 </w:t>
      </w:r>
      <w:r w:rsidR="00694FA8">
        <w:rPr>
          <w:rStyle w:val="StyleParaNumTimesNewRoman11ptChar"/>
          <w:sz w:val="20"/>
          <w:lang w:eastAsia="x-none"/>
        </w:rPr>
        <w:t xml:space="preserve">¶ 46, ¶¶ 286-88.  </w:t>
      </w:r>
      <w:r w:rsidR="00341232">
        <w:t>As with</w:t>
      </w:r>
      <w:r w:rsidR="00694FA8">
        <w:t xml:space="preserve"> our application of the initial </w:t>
      </w:r>
      <w:r w:rsidR="00341232">
        <w:t xml:space="preserve">total </w:t>
      </w:r>
      <w:r w:rsidR="00694FA8">
        <w:t xml:space="preserve">spectrum screen, we evaluate increases in below-1-GHz spectrum concentration on a county-by-county basis.  </w:t>
      </w:r>
      <w:r w:rsidR="00694FA8" w:rsidRPr="009F0F3A">
        <w:rPr>
          <w:i/>
        </w:rPr>
        <w:t>See</w:t>
      </w:r>
      <w:r w:rsidR="00694FA8">
        <w:rPr>
          <w:i/>
        </w:rPr>
        <w:t xml:space="preserve"> </w:t>
      </w:r>
      <w:r w:rsidR="00694FA8" w:rsidRPr="009B3B62">
        <w:rPr>
          <w:i/>
        </w:rPr>
        <w:t>AT&amp;T-Plateau Wireless Order</w:t>
      </w:r>
      <w:r w:rsidR="00694FA8">
        <w:t>,</w:t>
      </w:r>
      <w:r w:rsidR="00694FA8" w:rsidRPr="00F43DC5">
        <w:t xml:space="preserve"> </w:t>
      </w:r>
      <w:r w:rsidR="00341232">
        <w:t xml:space="preserve">30 </w:t>
      </w:r>
      <w:r w:rsidR="00694FA8">
        <w:t xml:space="preserve">FCC </w:t>
      </w:r>
      <w:r w:rsidR="00B42C9D">
        <w:t>Rcd at 5121, 51</w:t>
      </w:r>
      <w:r w:rsidR="00341232">
        <w:t>23 ¶</w:t>
      </w:r>
      <w:r w:rsidR="00694FA8">
        <w:t>¶ 31</w:t>
      </w:r>
      <w:r w:rsidR="00B42C9D">
        <w:t xml:space="preserve">, </w:t>
      </w:r>
      <w:r w:rsidR="00694FA8">
        <w:t>35.</w:t>
      </w:r>
    </w:p>
  </w:footnote>
  <w:footnote w:id="48">
    <w:p w14:paraId="7749D24B" w14:textId="3E936B9C" w:rsidR="00744560" w:rsidRDefault="00744560" w:rsidP="00744560">
      <w:pPr>
        <w:pStyle w:val="FootnoteText"/>
      </w:pPr>
      <w:r>
        <w:rPr>
          <w:rStyle w:val="FootnoteReference"/>
        </w:rPr>
        <w:footnoteRef/>
      </w:r>
      <w:r>
        <w:t xml:space="preserve"> </w:t>
      </w:r>
      <w:r>
        <w:rPr>
          <w:i/>
          <w:iCs/>
        </w:rPr>
        <w:t>See</w:t>
      </w:r>
      <w:r w:rsidRPr="00B76058">
        <w:rPr>
          <w:iCs/>
        </w:rPr>
        <w:t>,</w:t>
      </w:r>
      <w:r>
        <w:rPr>
          <w:i/>
          <w:iCs/>
        </w:rPr>
        <w:t xml:space="preserve"> e.g</w:t>
      </w:r>
      <w:r w:rsidRPr="00012E11">
        <w:rPr>
          <w:i/>
          <w:iCs/>
        </w:rPr>
        <w:t>.</w:t>
      </w:r>
      <w:r w:rsidRPr="00B76058">
        <w:rPr>
          <w:iCs/>
        </w:rPr>
        <w:t xml:space="preserve">, </w:t>
      </w:r>
      <w:r w:rsidRPr="00A32537">
        <w:rPr>
          <w:i/>
        </w:rPr>
        <w:t>AT&amp;T-Plateau Wireless Order</w:t>
      </w:r>
      <w:r w:rsidRPr="00A32537">
        <w:t xml:space="preserve">, </w:t>
      </w:r>
      <w:r w:rsidR="00B33460">
        <w:t xml:space="preserve">30 </w:t>
      </w:r>
      <w:r w:rsidRPr="00A32537">
        <w:t xml:space="preserve">FCC </w:t>
      </w:r>
      <w:r w:rsidR="00B33460">
        <w:t xml:space="preserve">Rcd </w:t>
      </w:r>
      <w:r w:rsidRPr="00A32537">
        <w:t xml:space="preserve">at </w:t>
      </w:r>
      <w:r w:rsidR="00B33460">
        <w:t xml:space="preserve">5118 </w:t>
      </w:r>
      <w:r w:rsidRPr="00A32537">
        <w:t xml:space="preserve">¶ </w:t>
      </w:r>
      <w:r>
        <w:t xml:space="preserve">24; </w:t>
      </w:r>
      <w:r w:rsidRPr="00A32537">
        <w:rPr>
          <w:i/>
        </w:rPr>
        <w:t>A</w:t>
      </w:r>
      <w:r w:rsidRPr="00921FBA">
        <w:rPr>
          <w:i/>
          <w:iCs/>
        </w:rPr>
        <w:t>T</w:t>
      </w:r>
      <w:r w:rsidRPr="00012E11">
        <w:rPr>
          <w:i/>
          <w:iCs/>
        </w:rPr>
        <w:t>&amp;T-Leap Order</w:t>
      </w:r>
      <w:r w:rsidRPr="00B76058">
        <w:rPr>
          <w:iCs/>
        </w:rPr>
        <w:t>,</w:t>
      </w:r>
      <w:r w:rsidRPr="0025174A">
        <w:rPr>
          <w:i/>
          <w:iCs/>
        </w:rPr>
        <w:t xml:space="preserve"> </w:t>
      </w:r>
      <w:r>
        <w:t>29 FCC Rcd at 2753 ¶ 41 n.140</w:t>
      </w:r>
      <w:r w:rsidRPr="0025174A">
        <w:t>.</w:t>
      </w:r>
    </w:p>
  </w:footnote>
  <w:footnote w:id="49">
    <w:p w14:paraId="66157E61" w14:textId="45BC9485" w:rsidR="00744560" w:rsidRPr="00A5312F" w:rsidRDefault="00744560" w:rsidP="00744560">
      <w:pPr>
        <w:pStyle w:val="FootnoteText"/>
      </w:pPr>
      <w:r w:rsidRPr="0075707B">
        <w:rPr>
          <w:rStyle w:val="FootnoteReference"/>
        </w:rPr>
        <w:footnoteRef/>
      </w:r>
      <w:r w:rsidRPr="0075707B">
        <w:t xml:space="preserve"> </w:t>
      </w:r>
      <w:r w:rsidRPr="00C30369">
        <w:rPr>
          <w:i/>
        </w:rPr>
        <w:t>See</w:t>
      </w:r>
      <w:r w:rsidRPr="00B76058">
        <w:t>,</w:t>
      </w:r>
      <w:r w:rsidRPr="00C30369">
        <w:rPr>
          <w:i/>
        </w:rPr>
        <w:t xml:space="preserve"> e.g</w:t>
      </w:r>
      <w:r w:rsidRPr="00B76058">
        <w:t>.,</w:t>
      </w:r>
      <w:r w:rsidRPr="00B33460">
        <w:rPr>
          <w:iCs/>
        </w:rPr>
        <w:t xml:space="preserve"> </w:t>
      </w:r>
      <w:r w:rsidRPr="009B3B62">
        <w:rPr>
          <w:i/>
        </w:rPr>
        <w:t>AT&amp;T-Plateau Wireless Order</w:t>
      </w:r>
      <w:r>
        <w:t xml:space="preserve">, </w:t>
      </w:r>
      <w:r w:rsidR="00635810">
        <w:t xml:space="preserve">30 </w:t>
      </w:r>
      <w:r>
        <w:t xml:space="preserve">FCC </w:t>
      </w:r>
      <w:r w:rsidR="00635810">
        <w:t xml:space="preserve">Rcd </w:t>
      </w:r>
      <w:r>
        <w:t xml:space="preserve">at </w:t>
      </w:r>
      <w:r w:rsidR="00635810">
        <w:t xml:space="preserve">5118 </w:t>
      </w:r>
      <w:r>
        <w:t xml:space="preserve">¶ 24; </w:t>
      </w:r>
      <w:r w:rsidRPr="009F0F3A">
        <w:rPr>
          <w:i/>
        </w:rPr>
        <w:t>Alaska Wireless Order</w:t>
      </w:r>
      <w:r w:rsidRPr="00121630">
        <w:t>, 28 FCC Rcd at 10450 ¶ 42</w:t>
      </w:r>
      <w:r>
        <w:rPr>
          <w:iCs/>
        </w:rPr>
        <w:t>.  The current total amount of spectrum that is suitable and available is 580.5 megahertz, which yields a trigger of 194 megahertz, assuming that AWS-1 and BRS</w:t>
      </w:r>
      <w:r w:rsidR="00635810">
        <w:rPr>
          <w:iCs/>
        </w:rPr>
        <w:t>/EBS</w:t>
      </w:r>
      <w:r>
        <w:rPr>
          <w:iCs/>
        </w:rPr>
        <w:t xml:space="preserve"> spectrum are everywhere available.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6229 </w:t>
      </w:r>
      <w:r w:rsidRPr="00121630">
        <w:t>¶</w:t>
      </w:r>
      <w:r>
        <w:t xml:space="preserve"> 251</w:t>
      </w:r>
      <w:r w:rsidR="00E56752">
        <w:t>,</w:t>
      </w:r>
      <w:r w:rsidR="00635810">
        <w:t xml:space="preserve"> n.667</w:t>
      </w:r>
      <w:r>
        <w:t>.</w:t>
      </w:r>
    </w:p>
  </w:footnote>
  <w:footnote w:id="50">
    <w:p w14:paraId="20063EDE" w14:textId="1603FFC0" w:rsidR="00BE3EDA" w:rsidRPr="00121630" w:rsidRDefault="00BE3EDA" w:rsidP="00BE3EDA">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6233</w:t>
      </w:r>
      <w:r w:rsidR="008D3B58">
        <w:t xml:space="preserve">, </w:t>
      </w:r>
      <w:r w:rsidR="008D3B58">
        <w:rPr>
          <w:bCs/>
        </w:rPr>
        <w:t xml:space="preserve">6240 </w:t>
      </w:r>
      <w:r w:rsidRPr="0051119E">
        <w:rPr>
          <w:bCs/>
        </w:rPr>
        <w:t>¶</w:t>
      </w:r>
      <w:r>
        <w:rPr>
          <w:bCs/>
        </w:rPr>
        <w:t xml:space="preserve"> 267, </w:t>
      </w:r>
      <w:r w:rsidRPr="0051119E">
        <w:rPr>
          <w:bCs/>
        </w:rPr>
        <w:t>¶</w:t>
      </w:r>
      <w:r w:rsidR="00635810">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B76058">
        <w:rPr>
          <w:rStyle w:val="StyleParaNumTimesNewRoman11ptChar"/>
          <w:sz w:val="20"/>
          <w:lang w:eastAsia="x-none"/>
        </w:rPr>
        <w:t>,</w:t>
      </w:r>
      <w:r w:rsidRPr="009B4C03">
        <w:rPr>
          <w:rStyle w:val="StyleParaNumTimesNewRoman11ptChar"/>
          <w:i/>
          <w:sz w:val="20"/>
          <w:lang w:eastAsia="x-none"/>
        </w:rPr>
        <w:t xml:space="preserve"> e.g.</w:t>
      </w:r>
      <w:r w:rsidRPr="00B76058">
        <w:rPr>
          <w:rStyle w:val="StyleParaNumTimesNewRoman11ptChar"/>
          <w:sz w:val="20"/>
          <w:lang w:eastAsia="x-none"/>
        </w:rPr>
        <w:t>,</w:t>
      </w:r>
      <w:r w:rsidRPr="00635810">
        <w:rPr>
          <w:rStyle w:val="StyleParaNumTimesNewRoman11ptChar"/>
          <w:sz w:val="20"/>
          <w:lang w:eastAsia="x-none"/>
        </w:rPr>
        <w:t xml:space="preserve"> </w:t>
      </w:r>
      <w:r w:rsidRPr="00B83EDA">
        <w:rPr>
          <w:rStyle w:val="StyleParaNumTimesNewRoman11ptChar"/>
          <w:i/>
          <w:sz w:val="20"/>
          <w:lang w:eastAsia="x-none"/>
        </w:rPr>
        <w:t>AT&amp;T-Verizon Wireless-Grain Order</w:t>
      </w:r>
      <w:r w:rsidRPr="00B76058">
        <w:rPr>
          <w:rStyle w:val="StyleParaNumTimesNewRoman11ptChar"/>
          <w:sz w:val="20"/>
          <w:lang w:eastAsia="x-none"/>
        </w:rPr>
        <w:t>,</w:t>
      </w:r>
      <w:r w:rsidRPr="00635810">
        <w:rPr>
          <w:rStyle w:val="StyleParaNumTimesNewRoman11ptChar"/>
          <w:sz w:val="20"/>
          <w:lang w:eastAsia="x-none"/>
        </w:rPr>
        <w:t xml:space="preserve"> </w:t>
      </w:r>
      <w:r>
        <w:rPr>
          <w:rStyle w:val="StyleParaNumTimesNewRoman11ptChar"/>
          <w:sz w:val="20"/>
          <w:lang w:eastAsia="x-none"/>
        </w:rPr>
        <w:t xml:space="preserve">28 FCC at 12893-97 ¶¶ 39-45; </w:t>
      </w:r>
      <w:r w:rsidRPr="009F0F3A">
        <w:rPr>
          <w:i/>
        </w:rPr>
        <w:t>AT&amp;T-Qualcomm Order</w:t>
      </w:r>
      <w:r w:rsidRPr="00B76058">
        <w:t xml:space="preserve">, </w:t>
      </w:r>
      <w:r w:rsidRPr="00121630">
        <w:t>26 FCC Rcd at 176</w:t>
      </w:r>
      <w:r w:rsidR="00635810">
        <w:t>0</w:t>
      </w:r>
      <w:r w:rsidR="00B37DFB">
        <w:t>2</w:t>
      </w:r>
      <w:r w:rsidRPr="00121630">
        <w:t xml:space="preserve"> ¶</w:t>
      </w:r>
      <w:r>
        <w:t xml:space="preserve"> </w:t>
      </w:r>
      <w:r w:rsidRPr="00121630">
        <w:t>3</w:t>
      </w:r>
      <w:r>
        <w:t>1</w:t>
      </w:r>
      <w:r w:rsidRPr="00121630">
        <w:t>.</w:t>
      </w:r>
      <w:r>
        <w:t xml:space="preserve">  </w:t>
      </w:r>
    </w:p>
  </w:footnote>
  <w:footnote w:id="51">
    <w:p w14:paraId="0A3A2485" w14:textId="0F230394" w:rsidR="00744560" w:rsidRDefault="00744560" w:rsidP="00744560">
      <w:pPr>
        <w:pStyle w:val="FootnoteText"/>
      </w:pPr>
      <w:r>
        <w:rPr>
          <w:rStyle w:val="FootnoteReference"/>
        </w:rPr>
        <w:footnoteRef/>
      </w:r>
      <w:r>
        <w:t xml:space="preserve"> </w:t>
      </w:r>
      <w:r w:rsidRPr="009F0F3A">
        <w:rPr>
          <w:i/>
        </w:rPr>
        <w:t>See</w:t>
      </w:r>
      <w:r>
        <w:rPr>
          <w:i/>
        </w:rPr>
        <w:t xml:space="preserve"> </w:t>
      </w:r>
      <w:r w:rsidRPr="009B3B62">
        <w:rPr>
          <w:i/>
        </w:rPr>
        <w:t>AT&amp;T-Plateau Wireless Order</w:t>
      </w:r>
      <w:r>
        <w:t>,</w:t>
      </w:r>
      <w:r w:rsidRPr="00F43DC5">
        <w:t xml:space="preserve"> </w:t>
      </w:r>
      <w:r w:rsidR="00635810">
        <w:t xml:space="preserve">30 </w:t>
      </w:r>
      <w:r>
        <w:t xml:space="preserve">FCC </w:t>
      </w:r>
      <w:r w:rsidR="00635810">
        <w:t>Rcd</w:t>
      </w:r>
      <w:r>
        <w:t xml:space="preserve"> at </w:t>
      </w:r>
      <w:r w:rsidR="00635810">
        <w:t xml:space="preserve">5118-19 </w:t>
      </w:r>
      <w:r>
        <w:t>¶¶ 24-25.</w:t>
      </w:r>
    </w:p>
  </w:footnote>
  <w:footnote w:id="52">
    <w:p w14:paraId="0D9C587B" w14:textId="6723F59B" w:rsidR="00D615D8" w:rsidRDefault="00D615D8">
      <w:pPr>
        <w:pStyle w:val="FootnoteText"/>
      </w:pPr>
      <w:r>
        <w:rPr>
          <w:rStyle w:val="FootnoteReference"/>
        </w:rPr>
        <w:footnoteRef/>
      </w:r>
      <w:r>
        <w:t xml:space="preserve"> </w:t>
      </w:r>
      <w:r w:rsidR="00E754AA">
        <w:t xml:space="preserve">TeleGuam would also acquire 22 megahertz of Upper 700 MHz spectrum and 40 megahertz of AWS-1 spectrum in CMA 734 (Northern Mariana Islands).  Post-transaction, </w:t>
      </w:r>
      <w:r w:rsidR="002404D4">
        <w:t>TeleGuam would</w:t>
      </w:r>
      <w:r w:rsidR="00E754AA">
        <w:t xml:space="preserve"> hold </w:t>
      </w:r>
      <w:r w:rsidR="002404D4">
        <w:t>82</w:t>
      </w:r>
      <w:r w:rsidR="00E754AA">
        <w:t xml:space="preserve"> megahertz of </w:t>
      </w:r>
      <w:r w:rsidR="002404D4">
        <w:t xml:space="preserve">spectrum in total, including 22 megahertz of </w:t>
      </w:r>
      <w:r w:rsidR="00E754AA">
        <w:t xml:space="preserve">below-1-GHz spectrum:  </w:t>
      </w:r>
      <w:r w:rsidR="00F6706C">
        <w:t>W</w:t>
      </w:r>
      <w:r w:rsidR="00E754AA">
        <w:t>e do not apply enhanced factor review, nor do we find any particular factor that would lead us to undertake further competitive review</w:t>
      </w:r>
      <w:r w:rsidR="005057C0">
        <w:t xml:space="preserve"> in this market</w:t>
      </w:r>
      <w:r w:rsidR="00E754AA">
        <w:t>.</w:t>
      </w:r>
    </w:p>
  </w:footnote>
  <w:footnote w:id="53">
    <w:p w14:paraId="4E5CED9B" w14:textId="2E38A04E" w:rsidR="00F02A2E" w:rsidRDefault="00F02A2E" w:rsidP="00F02A2E">
      <w:pPr>
        <w:pStyle w:val="FootnoteText"/>
      </w:pPr>
      <w:r>
        <w:rPr>
          <w:rStyle w:val="FootnoteReference"/>
        </w:rPr>
        <w:footnoteRef/>
      </w:r>
      <w:r>
        <w:t xml:space="preserve"> </w:t>
      </w:r>
      <w:r w:rsidR="00B5153C" w:rsidRPr="00D22B64">
        <w:t xml:space="preserve">We derive market shares and HHIs from our analysis of data compiled in our </w:t>
      </w:r>
      <w:r w:rsidR="00B5153C" w:rsidRPr="009A59E4">
        <w:t>2014</w:t>
      </w:r>
      <w:r w:rsidR="00B5153C" w:rsidRPr="00D22B64">
        <w:t xml:space="preserve"> NRUF and LNP database</w:t>
      </w:r>
      <w:r w:rsidR="00B5153C">
        <w:t xml:space="preserve">, </w:t>
      </w:r>
      <w:r w:rsidR="00B5153C" w:rsidRPr="00D22B64">
        <w:t xml:space="preserve">network coverage from Mosaik </w:t>
      </w:r>
      <w:r w:rsidR="00B5153C">
        <w:t>January 2015</w:t>
      </w:r>
      <w:r w:rsidR="00B5153C" w:rsidRPr="00D22B64">
        <w:t xml:space="preserve"> data and 2010 U.S. Census data, and spectrum holdings from our licensing databases and the Application. </w:t>
      </w:r>
      <w:r w:rsidR="00B5153C">
        <w:t xml:space="preserve"> </w:t>
      </w:r>
      <w:r w:rsidR="00B5153C" w:rsidRPr="00D22B64">
        <w:t xml:space="preserve">We also utilized and analyzed additional data as provided by the Applicants </w:t>
      </w:r>
      <w:r w:rsidR="00B5153C">
        <w:t xml:space="preserve">and third parties </w:t>
      </w:r>
      <w:r w:rsidR="00B5153C" w:rsidRPr="00D22B64">
        <w:t>through our information requests.</w:t>
      </w:r>
      <w:r w:rsidR="00B5153C">
        <w:t xml:space="preserve">  </w:t>
      </w:r>
      <w:r w:rsidR="00B5153C">
        <w:rPr>
          <w:i/>
        </w:rPr>
        <w:t>See</w:t>
      </w:r>
      <w:r w:rsidR="00B5153C" w:rsidRPr="00B76058">
        <w:t>,</w:t>
      </w:r>
      <w:r w:rsidR="00B5153C">
        <w:rPr>
          <w:i/>
        </w:rPr>
        <w:t xml:space="preserve"> e.g.</w:t>
      </w:r>
      <w:r w:rsidR="00B5153C" w:rsidRPr="00B76058">
        <w:t>,</w:t>
      </w:r>
      <w:r w:rsidR="00B5153C">
        <w:rPr>
          <w:i/>
        </w:rPr>
        <w:t xml:space="preserve"> </w:t>
      </w:r>
      <w:r w:rsidR="00B5153C" w:rsidRPr="009B3B62">
        <w:rPr>
          <w:i/>
        </w:rPr>
        <w:t>AT&amp;T-Plateau Wireless Order</w:t>
      </w:r>
      <w:r w:rsidR="00B5153C">
        <w:t>, 30 FCC Rcd at 5120 ¶ 29</w:t>
      </w:r>
      <w:r w:rsidR="004F3AAA">
        <w:t>,</w:t>
      </w:r>
      <w:r w:rsidR="00B5153C">
        <w:t xml:space="preserve"> n.98</w:t>
      </w:r>
      <w:r w:rsidR="00B5153C">
        <w:rPr>
          <w:iCs/>
        </w:rPr>
        <w:t>.</w:t>
      </w:r>
    </w:p>
  </w:footnote>
  <w:footnote w:id="54">
    <w:p w14:paraId="51FC6157" w14:textId="2C68AF5D" w:rsidR="002512EC" w:rsidRPr="00BA4CF9" w:rsidRDefault="002512EC" w:rsidP="002512EC">
      <w:pPr>
        <w:pStyle w:val="FootnoteText"/>
      </w:pPr>
      <w:r w:rsidRPr="00A5312F">
        <w:rPr>
          <w:rStyle w:val="FootnoteReference"/>
        </w:rPr>
        <w:footnoteRef/>
      </w:r>
      <w:r w:rsidRPr="00A5312F">
        <w:t xml:space="preserve"> The population density is measured by the number of people per square mile using Census 2010 data.  Rural markets are 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 Based Services, </w:t>
      </w:r>
      <w:r>
        <w:rPr>
          <w:i/>
        </w:rPr>
        <w:t>Report and Order</w:t>
      </w:r>
      <w:r>
        <w:t>, 19 FCC Rcd 19</w:t>
      </w:r>
      <w:r w:rsidR="002404D4">
        <w:t>078, 19087-88 ¶¶ 11-12 (2004).</w:t>
      </w:r>
    </w:p>
  </w:footnote>
  <w:footnote w:id="55">
    <w:p w14:paraId="6B2F76D9" w14:textId="7067E4C1" w:rsidR="00DC0D80" w:rsidRDefault="00DC0D80">
      <w:pPr>
        <w:pStyle w:val="FootnoteText"/>
      </w:pPr>
      <w:r>
        <w:rPr>
          <w:rStyle w:val="FootnoteReference"/>
        </w:rPr>
        <w:footnoteRef/>
      </w:r>
      <w:r>
        <w:t xml:space="preserve"> </w:t>
      </w:r>
      <w:r w:rsidR="00D34080">
        <w:t xml:space="preserve">We note that Choice Phone and Sprint hold the 14 megahertz of SMR spectrum in Guam between them.  </w:t>
      </w:r>
      <w:r w:rsidR="00FB32BF">
        <w:t xml:space="preserve">In addition, </w:t>
      </w:r>
      <w:r w:rsidR="00D64B59">
        <w:t xml:space="preserve">AT&amp;T </w:t>
      </w:r>
      <w:r w:rsidR="00FB32BF">
        <w:t xml:space="preserve">and Thomas Kurian each </w:t>
      </w:r>
      <w:r w:rsidR="00D64B59">
        <w:t xml:space="preserve">hold </w:t>
      </w:r>
      <w:r w:rsidR="00143E0F">
        <w:t xml:space="preserve">6 </w:t>
      </w:r>
      <w:r>
        <w:t>megahe</w:t>
      </w:r>
      <w:r w:rsidR="00D64B59">
        <w:t xml:space="preserve">rtz of </w:t>
      </w:r>
      <w:r w:rsidR="005830E2">
        <w:t>below-1-GHz</w:t>
      </w:r>
      <w:r w:rsidR="00FB32BF">
        <w:t xml:space="preserve"> </w:t>
      </w:r>
      <w:r w:rsidR="00D64B59">
        <w:t xml:space="preserve">spectrum, Sprint holds </w:t>
      </w:r>
      <w:r w:rsidR="005830E2">
        <w:t xml:space="preserve">10 </w:t>
      </w:r>
      <w:r>
        <w:t>megahertz</w:t>
      </w:r>
      <w:r w:rsidR="00FB32BF">
        <w:t xml:space="preserve"> </w:t>
      </w:r>
      <w:r w:rsidR="005830E2">
        <w:t xml:space="preserve">of above-1-GHz </w:t>
      </w:r>
      <w:r w:rsidR="00FB32BF">
        <w:t>spectrum</w:t>
      </w:r>
      <w:r>
        <w:t xml:space="preserve">, </w:t>
      </w:r>
      <w:r w:rsidR="00FB32BF">
        <w:t xml:space="preserve">and </w:t>
      </w:r>
      <w:r>
        <w:t xml:space="preserve">DISH holds </w:t>
      </w:r>
      <w:r w:rsidR="00143E0F">
        <w:t xml:space="preserve">50 </w:t>
      </w:r>
      <w:r>
        <w:t>megahertz</w:t>
      </w:r>
      <w:r w:rsidR="00FB32BF">
        <w:t xml:space="preserve"> of spectrum</w:t>
      </w:r>
      <w:r w:rsidR="006D0F82">
        <w:t xml:space="preserve"> above 1 GHz</w:t>
      </w:r>
      <w:r>
        <w:t>.</w:t>
      </w:r>
    </w:p>
  </w:footnote>
  <w:footnote w:id="56">
    <w:p w14:paraId="5F49CC93" w14:textId="102EF09A" w:rsidR="002512EC" w:rsidRDefault="002512EC" w:rsidP="002512EC">
      <w:pPr>
        <w:pStyle w:val="FootnoteText"/>
      </w:pPr>
      <w:r>
        <w:rPr>
          <w:rStyle w:val="FootnoteReference"/>
        </w:rPr>
        <w:footnoteRef/>
      </w:r>
      <w:r>
        <w:t xml:space="preserve"> It </w:t>
      </w:r>
      <w:r w:rsidR="00786046">
        <w:t xml:space="preserve">previously </w:t>
      </w:r>
      <w:r>
        <w:t xml:space="preserve">has been found that coverage of 70% or more of the population and 50% or more of the land area is presumptively sufficient for a service provider to have a competitive presence in the market.  </w:t>
      </w:r>
      <w:r>
        <w:rPr>
          <w:i/>
        </w:rPr>
        <w:t>See</w:t>
      </w:r>
      <w:r w:rsidRPr="008848C0">
        <w:t>,</w:t>
      </w:r>
      <w:r>
        <w:rPr>
          <w:i/>
        </w:rPr>
        <w:t xml:space="preserve"> e.g.</w:t>
      </w:r>
      <w:r w:rsidRPr="008848C0">
        <w:t>,</w:t>
      </w:r>
      <w:r>
        <w:rPr>
          <w:i/>
        </w:rPr>
        <w:t xml:space="preserve"> </w:t>
      </w:r>
      <w:r w:rsidR="00E16DEB">
        <w:rPr>
          <w:i/>
        </w:rPr>
        <w:t>AT&amp;T</w:t>
      </w:r>
      <w:r w:rsidR="00E16DEB">
        <w:rPr>
          <w:i/>
        </w:rPr>
        <w:noBreakHyphen/>
      </w:r>
      <w:r w:rsidRPr="009B3B62">
        <w:rPr>
          <w:i/>
        </w:rPr>
        <w:t>Plateau Wireless Order</w:t>
      </w:r>
      <w:r>
        <w:t xml:space="preserve">, </w:t>
      </w:r>
      <w:r w:rsidR="00786046">
        <w:t xml:space="preserve">30 </w:t>
      </w:r>
      <w:r>
        <w:t xml:space="preserve">FCC </w:t>
      </w:r>
      <w:r w:rsidR="00786046">
        <w:t>Rcd</w:t>
      </w:r>
      <w:r>
        <w:t xml:space="preserve"> at </w:t>
      </w:r>
      <w:r w:rsidR="00786046">
        <w:t xml:space="preserve">5121 </w:t>
      </w:r>
      <w:r w:rsidR="00F550E0">
        <w:rPr>
          <w:rStyle w:val="StyleParaNumTimesNewRoman11ptChar"/>
          <w:sz w:val="20"/>
          <w:lang w:eastAsia="x-none"/>
        </w:rPr>
        <w:t xml:space="preserve">¶ 31 </w:t>
      </w:r>
      <w:r>
        <w:t>n.102</w:t>
      </w:r>
      <w:r w:rsidR="00F550E0">
        <w:t>;</w:t>
      </w:r>
      <w:r w:rsidR="00F550E0" w:rsidRPr="00F550E0">
        <w:rPr>
          <w:rStyle w:val="StyleParaNumTimesNewRoman11ptChar"/>
          <w:i/>
          <w:sz w:val="20"/>
          <w:lang w:eastAsia="x-none"/>
        </w:rPr>
        <w:t xml:space="preserve"> </w:t>
      </w:r>
      <w:r w:rsidR="00F550E0" w:rsidRPr="00D22B64">
        <w:rPr>
          <w:rStyle w:val="StyleParaNumTimesNewRoman11ptChar"/>
          <w:i/>
          <w:sz w:val="20"/>
          <w:lang w:eastAsia="x-none"/>
        </w:rPr>
        <w:t>AT&amp;T-Leap Order</w:t>
      </w:r>
      <w:r w:rsidR="00F550E0">
        <w:rPr>
          <w:rStyle w:val="StyleParaNumTimesNewRoman11ptChar"/>
          <w:sz w:val="20"/>
          <w:lang w:eastAsia="x-none"/>
        </w:rPr>
        <w:t xml:space="preserve">, </w:t>
      </w:r>
      <w:r w:rsidR="00F550E0" w:rsidRPr="00D22B64">
        <w:t>29 FCC Rcd</w:t>
      </w:r>
      <w:r w:rsidR="00F550E0">
        <w:t xml:space="preserve"> at 2770 </w:t>
      </w:r>
      <w:r w:rsidR="00F550E0">
        <w:rPr>
          <w:rStyle w:val="StyleParaNumTimesNewRoman11ptChar"/>
          <w:sz w:val="20"/>
          <w:lang w:eastAsia="x-none"/>
        </w:rPr>
        <w:t xml:space="preserve">¶ 81 </w:t>
      </w:r>
      <w:r w:rsidR="00F550E0">
        <w:t>n.27.</w:t>
      </w:r>
    </w:p>
  </w:footnote>
  <w:footnote w:id="57">
    <w:p w14:paraId="78D32ED7" w14:textId="451D3E1A" w:rsidR="00434721" w:rsidRDefault="00434721">
      <w:pPr>
        <w:pStyle w:val="FootnoteText"/>
      </w:pPr>
      <w:r>
        <w:rPr>
          <w:rStyle w:val="FootnoteReference"/>
        </w:rPr>
        <w:footnoteRef/>
      </w:r>
      <w:r>
        <w:t xml:space="preserve"> </w:t>
      </w:r>
      <w:r w:rsidRPr="00754667">
        <w:rPr>
          <w:rStyle w:val="StyleParaNumTimesNewRoman11ptChar"/>
          <w:i/>
          <w:sz w:val="20"/>
          <w:lang w:eastAsia="x-none"/>
        </w:rPr>
        <w:t xml:space="preserve">See </w:t>
      </w:r>
      <w:r>
        <w:rPr>
          <w:rStyle w:val="StyleParaNumTimesNewRoman11ptChar"/>
          <w:sz w:val="20"/>
          <w:lang w:eastAsia="x-none"/>
        </w:rPr>
        <w:t xml:space="preserve">¶ 17 </w:t>
      </w:r>
      <w:r w:rsidRPr="00754667">
        <w:rPr>
          <w:rStyle w:val="StyleParaNumTimesNewRoman11ptChar"/>
          <w:i/>
          <w:sz w:val="20"/>
          <w:lang w:eastAsia="x-none"/>
        </w:rPr>
        <w:t>supra</w:t>
      </w:r>
      <w:r>
        <w:rPr>
          <w:rStyle w:val="StyleParaNumTimesNewRoman11ptChar"/>
          <w:sz w:val="20"/>
          <w:lang w:eastAsia="x-none"/>
        </w:rPr>
        <w:t xml:space="preserve">.  </w:t>
      </w:r>
      <w:r w:rsidRPr="003C78AB">
        <w:rPr>
          <w:i/>
        </w:rPr>
        <w:t>See</w:t>
      </w:r>
      <w:r>
        <w:rPr>
          <w:i/>
        </w:rPr>
        <w:t xml:space="preserve"> also</w:t>
      </w:r>
      <w:r w:rsidRPr="00CF737D">
        <w:t xml:space="preserve"> </w:t>
      </w:r>
      <w:r w:rsidRPr="009B3B62">
        <w:rPr>
          <w:i/>
        </w:rPr>
        <w:t>AT&amp;T-Plateau Wireless Order</w:t>
      </w:r>
      <w:r>
        <w:t xml:space="preserve">, </w:t>
      </w:r>
      <w:r w:rsidRPr="00734AA0">
        <w:t xml:space="preserve">30 FCC Rcd at </w:t>
      </w:r>
      <w:r>
        <w:t>5127 ¶ 46.</w:t>
      </w:r>
    </w:p>
  </w:footnote>
  <w:footnote w:id="58">
    <w:p w14:paraId="03051D91" w14:textId="77777777" w:rsidR="002404D4" w:rsidRPr="001800E5" w:rsidRDefault="002404D4" w:rsidP="002404D4">
      <w:pPr>
        <w:pStyle w:val="FootnoteText"/>
      </w:pPr>
      <w:r w:rsidRPr="001800E5">
        <w:rPr>
          <w:rStyle w:val="FootnoteReference"/>
        </w:rPr>
        <w:footnoteRef/>
      </w:r>
      <w:r w:rsidRPr="001800E5">
        <w:t xml:space="preserve"> </w:t>
      </w:r>
      <w:r w:rsidRPr="00B4354A">
        <w:rPr>
          <w:i/>
        </w:rPr>
        <w:t>See</w:t>
      </w:r>
      <w:r w:rsidRPr="001800E5">
        <w:t xml:space="preserve"> </w:t>
      </w:r>
      <w:r w:rsidRPr="009E1183">
        <w:rPr>
          <w:i/>
        </w:rPr>
        <w:t>Mobile Spectrum Holdings R&amp;O</w:t>
      </w:r>
      <w:r>
        <w:t>, 29 FCC Rcd at 6207</w:t>
      </w:r>
      <w:r w:rsidRPr="009E1183">
        <w:t xml:space="preserve"> </w:t>
      </w:r>
      <w:r>
        <w:t xml:space="preserve">¶ </w:t>
      </w:r>
      <w:r w:rsidRPr="009E1183">
        <w:t>180</w:t>
      </w:r>
      <w:r>
        <w:t>.</w:t>
      </w:r>
    </w:p>
  </w:footnote>
  <w:footnote w:id="59">
    <w:p w14:paraId="3B618072" w14:textId="40B6A225" w:rsidR="00D648AA" w:rsidRPr="00D22B64" w:rsidRDefault="00D648AA" w:rsidP="00D648AA">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B76058">
        <w:t>,</w:t>
      </w:r>
      <w:r w:rsidRPr="00D22B64">
        <w:t xml:space="preserve"> </w:t>
      </w:r>
      <w:r w:rsidRPr="009B3B62">
        <w:rPr>
          <w:i/>
        </w:rPr>
        <w:t>AT&amp;T-Plateau Wireless Order</w:t>
      </w:r>
      <w:r>
        <w:t xml:space="preserve">, </w:t>
      </w:r>
      <w:r w:rsidR="001F704D">
        <w:t xml:space="preserve">30 </w:t>
      </w:r>
      <w:r>
        <w:t xml:space="preserve">FCC </w:t>
      </w:r>
      <w:r w:rsidR="001F704D">
        <w:t>Rcd</w:t>
      </w:r>
      <w:r>
        <w:t xml:space="preserve"> at </w:t>
      </w:r>
      <w:r w:rsidR="001F704D">
        <w:t xml:space="preserve">5126 </w:t>
      </w:r>
      <w:r>
        <w:t xml:space="preserve">¶ 43; </w:t>
      </w:r>
      <w:r w:rsidRPr="00D22B64">
        <w:rPr>
          <w:rStyle w:val="StyleParaNumTimesNewRoman11ptChar"/>
          <w:i/>
          <w:sz w:val="20"/>
          <w:lang w:eastAsia="x-none"/>
        </w:rPr>
        <w:t>AT&amp;T-Leap Order</w:t>
      </w:r>
      <w:r w:rsidR="001F704D">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2792 ¶</w:t>
      </w:r>
      <w:r w:rsidR="006A0C6B">
        <w:t> </w:t>
      </w:r>
      <w:r w:rsidRPr="00D22B64">
        <w:t xml:space="preserve">130; </w:t>
      </w:r>
      <w:r w:rsidRPr="00D22B64">
        <w:rPr>
          <w:i/>
          <w:iCs/>
        </w:rPr>
        <w:t>Alaska Wireless Order</w:t>
      </w:r>
      <w:r w:rsidRPr="00D22B64">
        <w:t>, 28 FCC Rcd at 10467 ¶ 85.</w:t>
      </w:r>
    </w:p>
  </w:footnote>
  <w:footnote w:id="60">
    <w:p w14:paraId="26895CF9" w14:textId="1BD6490B" w:rsidR="00D648AA" w:rsidRPr="00D22B64" w:rsidRDefault="00D648AA" w:rsidP="00D648AA">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001F704D">
        <w:t xml:space="preserve">30 </w:t>
      </w:r>
      <w:r>
        <w:t xml:space="preserve">FCC </w:t>
      </w:r>
      <w:r w:rsidR="001F704D">
        <w:t xml:space="preserve">Rcd </w:t>
      </w:r>
      <w:r>
        <w:t xml:space="preserve">at </w:t>
      </w:r>
      <w:r w:rsidR="001F704D">
        <w:t>5126</w:t>
      </w:r>
      <w:r w:rsidR="00B37DFB">
        <w:t>-27</w:t>
      </w:r>
      <w:r w:rsidR="001F704D">
        <w:t xml:space="preserve"> </w:t>
      </w:r>
      <w:r>
        <w:t xml:space="preserve">¶ 44; </w:t>
      </w:r>
      <w:r w:rsidRPr="00D22B64">
        <w:rPr>
          <w:i/>
        </w:rPr>
        <w:t>Alaska Wireless Order</w:t>
      </w:r>
      <w:r w:rsidRPr="00D22B64">
        <w:t>, 28 FCC Rcd at 10468 ¶ 87.</w:t>
      </w:r>
      <w:r>
        <w:t xml:space="preserve">  </w:t>
      </w:r>
      <w:r w:rsidRPr="00B83EDA">
        <w:rPr>
          <w:i/>
        </w:rPr>
        <w:t>See also</w:t>
      </w:r>
      <w:r>
        <w:t xml:space="preserve"> </w:t>
      </w:r>
      <w:r w:rsidRPr="00D22B64">
        <w:rPr>
          <w:rStyle w:val="StyleParaNumTimesNewRoman11ptChar"/>
          <w:i/>
          <w:sz w:val="20"/>
          <w:lang w:eastAsia="x-none"/>
        </w:rPr>
        <w:t>AT&amp;T-Leap Order</w:t>
      </w:r>
      <w:r w:rsidR="001F704D">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2.</w:t>
      </w:r>
      <w:r w:rsidRPr="00D22B64">
        <w:t xml:space="preserve"> </w:t>
      </w:r>
    </w:p>
  </w:footnote>
  <w:footnote w:id="61">
    <w:p w14:paraId="7EC081D6" w14:textId="094AF2F9" w:rsidR="00D648AA" w:rsidRPr="00D22B64" w:rsidRDefault="00D648AA" w:rsidP="00D648AA">
      <w:pPr>
        <w:pStyle w:val="FootnoteText"/>
      </w:pPr>
      <w:r w:rsidRPr="00D22B64">
        <w:rPr>
          <w:rStyle w:val="FootnoteReference"/>
        </w:rPr>
        <w:footnoteRef/>
      </w:r>
      <w:r w:rsidRPr="00D22B64">
        <w:t xml:space="preserve"> </w:t>
      </w:r>
      <w:r w:rsidRPr="00D22B64">
        <w:rPr>
          <w:i/>
        </w:rPr>
        <w:t>See, e.g</w:t>
      </w:r>
      <w:r w:rsidRPr="00D22B64">
        <w:t xml:space="preserve">., </w:t>
      </w:r>
      <w:r w:rsidRPr="009B3B62">
        <w:rPr>
          <w:i/>
        </w:rPr>
        <w:t>AT&amp;T-Plateau Wireless Order</w:t>
      </w:r>
      <w:r>
        <w:t xml:space="preserve">, </w:t>
      </w:r>
      <w:r w:rsidR="001F704D">
        <w:t xml:space="preserve">30 </w:t>
      </w:r>
      <w:r>
        <w:t xml:space="preserve">FCC </w:t>
      </w:r>
      <w:r w:rsidR="001F704D">
        <w:t>Rcd</w:t>
      </w:r>
      <w:r>
        <w:t xml:space="preserve"> at </w:t>
      </w:r>
      <w:r w:rsidR="001F704D">
        <w:t>51</w:t>
      </w:r>
      <w:r w:rsidR="00B37DFB">
        <w:t>26-</w:t>
      </w:r>
      <w:r w:rsidR="001F704D">
        <w:t xml:space="preserve">27 </w:t>
      </w:r>
      <w:r>
        <w:t xml:space="preserve">¶ 44; </w:t>
      </w:r>
      <w:r w:rsidRPr="00D22B64">
        <w:rPr>
          <w:i/>
        </w:rPr>
        <w:t>Alaska Wireless Order</w:t>
      </w:r>
      <w:r w:rsidRPr="00D22B64">
        <w:t>, 28 FCC Rcd at 10468 ¶ 88.</w:t>
      </w:r>
      <w:r>
        <w:t xml:space="preserve">  </w:t>
      </w:r>
      <w:r w:rsidRPr="00B83EDA">
        <w:rPr>
          <w:i/>
        </w:rPr>
        <w:t>See also</w:t>
      </w:r>
      <w:r>
        <w:t xml:space="preserve"> </w:t>
      </w:r>
      <w:r w:rsidRPr="00D22B64">
        <w:rPr>
          <w:rStyle w:val="StyleParaNumTimesNewRoman11ptChar"/>
          <w:i/>
          <w:sz w:val="20"/>
          <w:lang w:eastAsia="x-none"/>
        </w:rPr>
        <w:t>AT&amp;T-Leap Order</w:t>
      </w:r>
      <w:r w:rsidR="001F704D">
        <w:rPr>
          <w:rStyle w:val="StyleParaNumTimesNewRoman11ptChar"/>
          <w:sz w:val="20"/>
          <w:lang w:eastAsia="x-none"/>
        </w:rPr>
        <w:t>,</w:t>
      </w:r>
      <w:r w:rsidRPr="00D22B64">
        <w:rPr>
          <w:rStyle w:val="StyleParaNumTimesNewRoman11ptChar"/>
          <w:sz w:val="20"/>
          <w:lang w:eastAsia="x-none"/>
        </w:rPr>
        <w:t xml:space="preserve"> </w:t>
      </w:r>
      <w:r w:rsidRPr="00D22B64">
        <w:t xml:space="preserve">29 FCC Rcd </w:t>
      </w:r>
      <w:r>
        <w:t xml:space="preserve">at </w:t>
      </w:r>
      <w:r w:rsidRPr="00D22B64">
        <w:t>27</w:t>
      </w:r>
      <w:r w:rsidR="00B37DFB">
        <w:t>93-</w:t>
      </w:r>
      <w:r w:rsidRPr="00D22B64">
        <w:t>9</w:t>
      </w:r>
      <w:r>
        <w:t>4</w:t>
      </w:r>
      <w:r w:rsidRPr="00D22B64">
        <w:t xml:space="preserve"> ¶ 13</w:t>
      </w:r>
      <w:r w:rsidR="001F704D">
        <w:t>2</w:t>
      </w:r>
      <w:r>
        <w:t>.</w:t>
      </w:r>
    </w:p>
  </w:footnote>
  <w:footnote w:id="62">
    <w:p w14:paraId="3A41F696" w14:textId="240DD6DF" w:rsidR="00D648AA" w:rsidRPr="00D22B64" w:rsidRDefault="00D648AA" w:rsidP="00D648AA">
      <w:pPr>
        <w:pStyle w:val="FootnoteText"/>
      </w:pPr>
      <w:r w:rsidRPr="00D22B64">
        <w:rPr>
          <w:rStyle w:val="FootnoteReference"/>
        </w:rPr>
        <w:footnoteRef/>
      </w:r>
      <w:r w:rsidRPr="00D22B64">
        <w:t xml:space="preserve"> </w:t>
      </w:r>
      <w:r w:rsidR="00330CF3" w:rsidRPr="00F97A8B">
        <w:rPr>
          <w:i/>
        </w:rPr>
        <w:t>See id.</w:t>
      </w:r>
    </w:p>
  </w:footnote>
  <w:footnote w:id="63">
    <w:p w14:paraId="0F9DBE79" w14:textId="3977298D" w:rsidR="00D648AA" w:rsidRDefault="00D648AA" w:rsidP="00D648AA">
      <w:pPr>
        <w:pStyle w:val="FootnoteText"/>
      </w:pPr>
      <w:r>
        <w:rPr>
          <w:rStyle w:val="FootnoteReference"/>
        </w:rPr>
        <w:footnoteRef/>
      </w:r>
      <w:r>
        <w:t xml:space="preserve"> </w:t>
      </w:r>
      <w:r>
        <w:rPr>
          <w:i/>
        </w:rPr>
        <w:t>See</w:t>
      </w:r>
      <w:r w:rsidRPr="00B76058">
        <w:t>,</w:t>
      </w:r>
      <w:r>
        <w:rPr>
          <w:i/>
        </w:rPr>
        <w:t xml:space="preserve"> e.g.</w:t>
      </w:r>
      <w:r w:rsidRPr="00B76058">
        <w:t xml:space="preserve">, </w:t>
      </w:r>
      <w:r w:rsidRPr="00D22B64">
        <w:rPr>
          <w:i/>
        </w:rPr>
        <w:t>Alaska Wireless Order</w:t>
      </w:r>
      <w:r w:rsidRPr="00D22B64">
        <w:t>, 28 FCC Rcd at 10468</w:t>
      </w:r>
      <w:r w:rsidR="002568BE">
        <w:t>-69</w:t>
      </w:r>
      <w:r w:rsidRPr="00D22B64">
        <w:t xml:space="preserve"> ¶ 88</w:t>
      </w:r>
      <w:r>
        <w:t xml:space="preserve">; </w:t>
      </w:r>
      <w:r w:rsidRPr="008B5909">
        <w:rPr>
          <w:i/>
        </w:rPr>
        <w:t>AT&amp;T-Qualcomm Order</w:t>
      </w:r>
      <w:r>
        <w:t>, 26 FCC Rcd at 1762</w:t>
      </w:r>
      <w:r w:rsidR="002568BE">
        <w:t>4</w:t>
      </w:r>
      <w:r>
        <w:t xml:space="preserve"> </w:t>
      </w:r>
      <w:r w:rsidRPr="00D22B64">
        <w:t>¶</w:t>
      </w:r>
      <w:r w:rsidR="006A0C6B">
        <w:t> </w:t>
      </w:r>
      <w:r>
        <w:t>8</w:t>
      </w:r>
      <w:r w:rsidR="002568BE">
        <w:t>5</w:t>
      </w:r>
      <w:r>
        <w:t>.</w:t>
      </w:r>
    </w:p>
  </w:footnote>
  <w:footnote w:id="64">
    <w:p w14:paraId="0C817CFC" w14:textId="7761B4DC" w:rsidR="00DB4BFD" w:rsidRPr="00DB4BFD" w:rsidRDefault="00DB4BFD">
      <w:pPr>
        <w:pStyle w:val="FootnoteText"/>
      </w:pPr>
      <w:r>
        <w:rPr>
          <w:rStyle w:val="FootnoteReference"/>
        </w:rPr>
        <w:footnoteRef/>
      </w:r>
      <w:r>
        <w:t xml:space="preserve"> </w:t>
      </w:r>
      <w:r>
        <w:rPr>
          <w:i/>
        </w:rPr>
        <w:t>See</w:t>
      </w:r>
      <w:r>
        <w:t xml:space="preserve"> </w:t>
      </w:r>
      <w:r w:rsidR="00A21EAB">
        <w:t>Public Interest Statement at 1</w:t>
      </w:r>
      <w:r w:rsidR="00EF1B35">
        <w:t>; TeleGuam Information Request Response at 11</w:t>
      </w:r>
      <w:r>
        <w:t>.</w:t>
      </w:r>
    </w:p>
  </w:footnote>
  <w:footnote w:id="65">
    <w:p w14:paraId="20218DF9" w14:textId="77777777" w:rsidR="0094507C" w:rsidRDefault="0094507C" w:rsidP="0094507C">
      <w:pPr>
        <w:pStyle w:val="FootnoteText"/>
      </w:pPr>
      <w:r>
        <w:rPr>
          <w:rStyle w:val="FootnoteReference"/>
        </w:rPr>
        <w:footnoteRef/>
      </w:r>
      <w:r>
        <w:t xml:space="preserve"> </w:t>
      </w:r>
      <w:r>
        <w:rPr>
          <w:i/>
          <w:iCs/>
        </w:rPr>
        <w:t>See</w:t>
      </w:r>
      <w:r>
        <w:t xml:space="preserve"> TeleGuam Information Request Response at 7.</w:t>
      </w:r>
    </w:p>
  </w:footnote>
  <w:footnote w:id="66">
    <w:p w14:paraId="48184D80" w14:textId="77777777" w:rsidR="0094507C" w:rsidRDefault="0094507C" w:rsidP="0094507C">
      <w:pPr>
        <w:pStyle w:val="FootnoteText"/>
      </w:pPr>
      <w:r>
        <w:rPr>
          <w:rStyle w:val="FootnoteReference"/>
        </w:rPr>
        <w:footnoteRef/>
      </w:r>
      <w:r>
        <w:t xml:space="preserve"> </w:t>
      </w:r>
      <w:r>
        <w:rPr>
          <w:i/>
          <w:iCs/>
        </w:rPr>
        <w:t>See</w:t>
      </w:r>
      <w:r>
        <w:t xml:space="preserve"> TeleGuam Information Request Response at 7.</w:t>
      </w:r>
    </w:p>
  </w:footnote>
  <w:footnote w:id="67">
    <w:p w14:paraId="1FFE6DA0" w14:textId="189529A0" w:rsidR="00AB6AD4" w:rsidRDefault="00AB6AD4" w:rsidP="00AB6AD4">
      <w:pPr>
        <w:pStyle w:val="FootnoteText"/>
      </w:pPr>
      <w:r>
        <w:rPr>
          <w:rStyle w:val="FootnoteReference"/>
        </w:rPr>
        <w:footnoteRef/>
      </w:r>
      <w:r>
        <w:t xml:space="preserve"> </w:t>
      </w:r>
      <w:r w:rsidR="00A214B4">
        <w:rPr>
          <w:i/>
          <w:iCs/>
        </w:rPr>
        <w:t>See</w:t>
      </w:r>
      <w:r w:rsidR="00A214B4">
        <w:t xml:space="preserve"> </w:t>
      </w:r>
      <w:r>
        <w:t>TeleGuam Information Request Response at 6-7.</w:t>
      </w:r>
    </w:p>
  </w:footnote>
  <w:footnote w:id="68">
    <w:p w14:paraId="6B043BD3" w14:textId="3A44F22F" w:rsidR="00AB6AD4" w:rsidRDefault="00AB6AD4" w:rsidP="00AB6AD4">
      <w:pPr>
        <w:pStyle w:val="FootnoteText"/>
      </w:pPr>
      <w:r>
        <w:rPr>
          <w:rStyle w:val="FootnoteReference"/>
        </w:rPr>
        <w:footnoteRef/>
      </w:r>
      <w:r>
        <w:t xml:space="preserve"> </w:t>
      </w:r>
      <w:r w:rsidR="00A214B4">
        <w:rPr>
          <w:i/>
          <w:iCs/>
        </w:rPr>
        <w:t>See</w:t>
      </w:r>
      <w:r w:rsidR="00A214B4">
        <w:t xml:space="preserve"> </w:t>
      </w:r>
      <w:r>
        <w:t>TeleGuam Information Request Response at 8.</w:t>
      </w:r>
    </w:p>
  </w:footnote>
  <w:footnote w:id="69">
    <w:p w14:paraId="696B0E3C" w14:textId="6CE0229C" w:rsidR="00B14B2B" w:rsidRDefault="00B14B2B">
      <w:pPr>
        <w:pStyle w:val="FootnoteText"/>
      </w:pPr>
      <w:r>
        <w:rPr>
          <w:rStyle w:val="FootnoteReference"/>
        </w:rPr>
        <w:footnoteRef/>
      </w:r>
      <w:r>
        <w:t xml:space="preserve"> </w:t>
      </w:r>
      <w:r w:rsidR="00A214B4">
        <w:rPr>
          <w:i/>
          <w:iCs/>
        </w:rPr>
        <w:t>See</w:t>
      </w:r>
      <w:r w:rsidR="00A214B4">
        <w:t xml:space="preserve"> </w:t>
      </w:r>
      <w:r>
        <w:t xml:space="preserve">TeleGuam Information Request </w:t>
      </w:r>
      <w:r w:rsidR="006A0C6B">
        <w:t xml:space="preserve">Response </w:t>
      </w:r>
      <w:r>
        <w:t>at 10</w:t>
      </w:r>
      <w:r w:rsidR="004E2959">
        <w:t>-11</w:t>
      </w:r>
      <w:r>
        <w:t>.</w:t>
      </w:r>
      <w:r w:rsidR="00D00758">
        <w:t xml:space="preserve">  TeleGuam maintains that upon approval of the proposed transaction, it would begin immediate construction of sites that are targeted to further expand the LTE footprint to include relatively expansive regions of roadways and housing in villages – areas to which it would be difficult and/or economically challenging to provide LTE coverage using only the short-range AWS bands.  </w:t>
      </w:r>
      <w:r w:rsidR="00D00758" w:rsidRPr="00F97A8B">
        <w:rPr>
          <w:i/>
        </w:rPr>
        <w:t>See id</w:t>
      </w:r>
      <w:r w:rsidR="00D00758">
        <w:t>.</w:t>
      </w:r>
    </w:p>
  </w:footnote>
  <w:footnote w:id="70">
    <w:p w14:paraId="1A8DB18B" w14:textId="079F3970" w:rsidR="009D777B" w:rsidRDefault="009D777B" w:rsidP="009D777B">
      <w:pPr>
        <w:pStyle w:val="FootnoteText"/>
      </w:pPr>
      <w:r>
        <w:rPr>
          <w:rStyle w:val="FootnoteReference"/>
        </w:rPr>
        <w:footnoteRef/>
      </w:r>
      <w:r>
        <w:t xml:space="preserve"> </w:t>
      </w:r>
      <w:r w:rsidR="006848AD" w:rsidRPr="00DF5056">
        <w:rPr>
          <w:i/>
          <w:szCs w:val="22"/>
        </w:rPr>
        <w:t>See</w:t>
      </w:r>
      <w:r w:rsidR="006848AD" w:rsidRPr="008D565D">
        <w:rPr>
          <w:szCs w:val="22"/>
        </w:rPr>
        <w:t>,</w:t>
      </w:r>
      <w:r w:rsidR="006848AD" w:rsidRPr="00DF5056">
        <w:rPr>
          <w:i/>
          <w:szCs w:val="22"/>
        </w:rPr>
        <w:t xml:space="preserve"> e.g.</w:t>
      </w:r>
      <w:r w:rsidR="006848AD" w:rsidRPr="008D565D">
        <w:rPr>
          <w:szCs w:val="22"/>
        </w:rPr>
        <w:t>,</w:t>
      </w:r>
      <w:r w:rsidR="006848AD">
        <w:rPr>
          <w:szCs w:val="22"/>
        </w:rPr>
        <w:t xml:space="preserve"> </w:t>
      </w:r>
      <w:r w:rsidR="006848AD" w:rsidRPr="0005491A">
        <w:rPr>
          <w:i/>
        </w:rPr>
        <w:t>AT&amp;T-Plateau Wireless Order</w:t>
      </w:r>
      <w:r w:rsidR="006848AD">
        <w:t>, 30 FCC Rcd at 5129 ¶ 53, n.160</w:t>
      </w:r>
      <w:r w:rsidR="006848AD" w:rsidRPr="00B47551">
        <w:rPr>
          <w:snapToGrid w:val="0"/>
        </w:rPr>
        <w:t xml:space="preserve">; </w:t>
      </w:r>
      <w:r w:rsidR="006848AD" w:rsidRPr="00B47551">
        <w:rPr>
          <w:i/>
          <w:iCs/>
        </w:rPr>
        <w:t>AT</w:t>
      </w:r>
      <w:r w:rsidR="006848AD">
        <w:rPr>
          <w:i/>
          <w:iCs/>
        </w:rPr>
        <w:t>&amp;T-Leap Order</w:t>
      </w:r>
      <w:r w:rsidR="006848AD" w:rsidRPr="008D565D">
        <w:rPr>
          <w:iCs/>
        </w:rPr>
        <w:t>,</w:t>
      </w:r>
      <w:r w:rsidR="006848AD">
        <w:rPr>
          <w:i/>
          <w:iCs/>
        </w:rPr>
        <w:t xml:space="preserve"> </w:t>
      </w:r>
      <w:r w:rsidR="006848AD">
        <w:t xml:space="preserve">29 FCC Rcd at 2799-2800 ¶¶ 149, 151.  These Orders recognized there are some inefficiencies associated with a 5×5 megahertz LTE deployment, as compared to a 10×10 megahertz LTE deployment.  </w:t>
      </w:r>
      <w:r w:rsidR="006848AD">
        <w:rPr>
          <w:i/>
          <w:iCs/>
        </w:rPr>
        <w:t>See</w:t>
      </w:r>
      <w:r w:rsidR="006848AD" w:rsidRPr="00D81688">
        <w:rPr>
          <w:i/>
        </w:rPr>
        <w:t xml:space="preserve"> </w:t>
      </w:r>
      <w:r w:rsidR="006848AD">
        <w:rPr>
          <w:i/>
        </w:rPr>
        <w:t>id</w:t>
      </w:r>
      <w:r w:rsidR="006848AD">
        <w:t>.</w:t>
      </w:r>
    </w:p>
  </w:footnote>
  <w:footnote w:id="71">
    <w:p w14:paraId="6385FA74" w14:textId="77777777" w:rsidR="009D7753" w:rsidRDefault="009D7753" w:rsidP="009D7753">
      <w:pPr>
        <w:pStyle w:val="FootnoteText"/>
      </w:pPr>
      <w:r>
        <w:rPr>
          <w:rStyle w:val="FootnoteReference"/>
        </w:rPr>
        <w:footnoteRef/>
      </w:r>
      <w:r w:rsidRPr="00D41C57">
        <w:t xml:space="preserve"> </w:t>
      </w:r>
      <w:r w:rsidRPr="00EF47B8">
        <w:rPr>
          <w:i/>
        </w:rPr>
        <w:t>Mobile Spectrum Holdings Report and Order</w:t>
      </w:r>
      <w:r>
        <w:rPr>
          <w:rStyle w:val="StyleParaNumTimesNewRoman11ptChar"/>
          <w:sz w:val="20"/>
          <w:lang w:eastAsia="x-none"/>
        </w:rPr>
        <w:t>, 29 FCC Rcd at 6240 ¶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0DEF" w14:textId="77777777" w:rsidR="00994690" w:rsidRDefault="00994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4841" w14:textId="34ADCF95" w:rsidR="00DC6896" w:rsidRPr="006A5E52" w:rsidRDefault="00DC6896" w:rsidP="008A705B">
    <w:pPr>
      <w:pStyle w:val="Header"/>
    </w:pPr>
    <w:r>
      <w:tab/>
      <w:t>Federal Communications Commission</w:t>
    </w:r>
    <w:r>
      <w:tab/>
    </w:r>
    <w:r w:rsidR="00647747">
      <w:t>DA</w:t>
    </w:r>
    <w:r>
      <w:t xml:space="preserve"> </w:t>
    </w:r>
    <w:r w:rsidR="00E16DEB" w:rsidRPr="00E16DEB">
      <w:t>15-1076</w:t>
    </w:r>
  </w:p>
  <w:p w14:paraId="67A7CE5C" w14:textId="77777777" w:rsidR="00DC6896" w:rsidRDefault="00DC689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D6BF70C" wp14:editId="51F1498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2F717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BA49D14" w14:textId="77777777" w:rsidR="00DC6896" w:rsidRDefault="00DC689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4ED3" w14:textId="200487A4" w:rsidR="008C6999" w:rsidRDefault="008C6999" w:rsidP="008C6999">
    <w:pPr>
      <w:pStyle w:val="Header"/>
      <w:tabs>
        <w:tab w:val="clear" w:pos="4680"/>
        <w:tab w:val="center" w:pos="7560"/>
      </w:tabs>
    </w:pPr>
    <w:r>
      <w:tab/>
      <w:t>REDACTED FOR PUBLIC INSPECTION</w:t>
    </w:r>
  </w:p>
  <w:p w14:paraId="5617BE28" w14:textId="77777777" w:rsidR="008C6999" w:rsidRDefault="008C6999" w:rsidP="008A705B">
    <w:pPr>
      <w:pStyle w:val="Header"/>
    </w:pPr>
  </w:p>
  <w:p w14:paraId="4142143C" w14:textId="0A4DA938" w:rsidR="00DC6896" w:rsidRDefault="00DC6896" w:rsidP="008A705B">
    <w:pPr>
      <w:pStyle w:val="Header"/>
    </w:pPr>
    <w:r>
      <w:tab/>
      <w:t>Federal Communications Commission</w:t>
    </w:r>
    <w:r>
      <w:tab/>
    </w:r>
    <w:r w:rsidR="00647747">
      <w:t>DA</w:t>
    </w:r>
    <w:r>
      <w:t xml:space="preserve"> </w:t>
    </w:r>
    <w:r w:rsidR="00E16DEB" w:rsidRPr="00E16DEB">
      <w:t>15-1076</w:t>
    </w:r>
  </w:p>
  <w:p w14:paraId="1F0F18B7" w14:textId="77777777" w:rsidR="00DC6896" w:rsidRPr="006A5E52" w:rsidRDefault="00DC6896" w:rsidP="008A705B">
    <w:pPr>
      <w:pStyle w:val="Header"/>
    </w:pPr>
    <w:r w:rsidRPr="006A5E52">
      <w:rPr>
        <w:noProof/>
        <w:snapToGrid/>
      </w:rPr>
      <mc:AlternateContent>
        <mc:Choice Requires="wps">
          <w:drawing>
            <wp:anchor distT="0" distB="0" distL="114300" distR="114300" simplePos="0" relativeHeight="251658240" behindDoc="1" locked="0" layoutInCell="0" allowOverlap="1" wp14:anchorId="3A1408C3" wp14:editId="2DA0F117">
              <wp:simplePos x="0" y="0"/>
              <wp:positionH relativeFrom="margin">
                <wp:posOffset>7620</wp:posOffset>
              </wp:positionH>
              <wp:positionV relativeFrom="paragraph">
                <wp:posOffset>21590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87BE01" id="Rectangle 3" o:spid="_x0000_s1026" style="position:absolute;margin-left:.6pt;margin-top:1.7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BMWbbM2AAA&#10;AAUBAAAPAAAAZHJzL2Rvd25yZXYueG1sTI7BTsMwEETvSPyDtUhcEHXaAKEhToUQIDhS+IBNvE0C&#10;8Tqy3Tb8PcsJjk8zmnnVZnajOlCIg2cDy0UGirj1duDOwMf70+UtqJiQLY6eycA3RdjUpycVltYf&#10;+Y0O29QpGeFYooE+panUOrY9OYwLPxFLtvPBYRIMnbYBjzLuRr3KshvtcGB56HGih57ar+3eGdDr&#10;2BbPj58Xy+Sbl/a1CNjsCmPOz+b7O1CJ5vRXhl99UYdanBq/ZxvVKLySooH8CpSk67wQbgxc56Dr&#10;Sv+3r38AAAD//wMAUEsBAi0AFAAGAAgAAAAhALaDOJL+AAAA4QEAABMAAAAAAAAAAAAAAAAAAAAA&#10;AFtDb250ZW50X1R5cGVzXS54bWxQSwECLQAUAAYACAAAACEAOP0h/9YAAACUAQAACwAAAAAAAAAA&#10;AAAAAAAvAQAAX3JlbHMvLnJlbHNQSwECLQAUAAYACAAAACEAEFI4AekCAAAyBgAADgAAAAAAAAAA&#10;AAAAAAAuAgAAZHJzL2Uyb0RvYy54bWxQSwECLQAUAAYACAAAACEATFm2zNgAAAAFAQAADwAAAAAA&#10;AAAAAAAAAABDBQAAZHJzL2Rvd25yZXYueG1sUEsFBgAAAAAEAAQA8wAAAEg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FD38AD"/>
    <w:multiLevelType w:val="hybridMultilevel"/>
    <w:tmpl w:val="7DF80F78"/>
    <w:lvl w:ilvl="0" w:tplc="655AB8F4">
      <w:start w:val="285"/>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574AE"/>
    <w:multiLevelType w:val="hybridMultilevel"/>
    <w:tmpl w:val="C9FA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87A2ABA"/>
    <w:multiLevelType w:val="hybridMultilevel"/>
    <w:tmpl w:val="A71A408A"/>
    <w:lvl w:ilvl="0" w:tplc="0409000F">
      <w:start w:val="1"/>
      <w:numFmt w:val="decimal"/>
      <w:pStyle w:val="StyleParaNum"/>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8"/>
  </w:num>
  <w:num w:numId="8">
    <w:abstractNumId w:val="8"/>
    <w:lvlOverride w:ilvl="0">
      <w:startOverride w:val="1"/>
    </w:lvlOverride>
  </w:num>
  <w:num w:numId="9">
    <w:abstractNumId w:val="0"/>
  </w:num>
  <w:num w:numId="10">
    <w:abstractNumId w:val="8"/>
    <w:lvlOverride w:ilvl="0">
      <w:startOverride w:val="1"/>
    </w:lvlOverride>
  </w:num>
  <w:num w:numId="11">
    <w:abstractNumId w:val="8"/>
    <w:lvlOverride w:ilvl="0">
      <w:startOverride w:val="1"/>
    </w:lvlOverride>
  </w:num>
  <w:num w:numId="12">
    <w:abstractNumId w:val="9"/>
  </w:num>
  <w:num w:numId="13">
    <w:abstractNumId w:val="5"/>
  </w:num>
  <w:num w:numId="14">
    <w:abstractNumId w:val="8"/>
    <w:lvlOverride w:ilvl="0">
      <w:startOverride w:val="1"/>
    </w:lvlOverride>
  </w:num>
  <w:num w:numId="15">
    <w:abstractNumId w:val="8"/>
    <w:lvlOverride w:ilvl="0">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6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1E61"/>
    <w:rsid w:val="00003488"/>
    <w:rsid w:val="00004BAA"/>
    <w:rsid w:val="000067D0"/>
    <w:rsid w:val="000106E4"/>
    <w:rsid w:val="000113FB"/>
    <w:rsid w:val="0001196C"/>
    <w:rsid w:val="00011B60"/>
    <w:rsid w:val="00013A34"/>
    <w:rsid w:val="000142DF"/>
    <w:rsid w:val="00014F1F"/>
    <w:rsid w:val="00015992"/>
    <w:rsid w:val="00017274"/>
    <w:rsid w:val="00017307"/>
    <w:rsid w:val="00020633"/>
    <w:rsid w:val="0002112F"/>
    <w:rsid w:val="000212AF"/>
    <w:rsid w:val="000239C7"/>
    <w:rsid w:val="00023F00"/>
    <w:rsid w:val="00024F6C"/>
    <w:rsid w:val="0002570D"/>
    <w:rsid w:val="00027E86"/>
    <w:rsid w:val="00031B46"/>
    <w:rsid w:val="000322E6"/>
    <w:rsid w:val="00032635"/>
    <w:rsid w:val="0003338C"/>
    <w:rsid w:val="00033CE8"/>
    <w:rsid w:val="00036039"/>
    <w:rsid w:val="00037F90"/>
    <w:rsid w:val="0004071A"/>
    <w:rsid w:val="00043B7D"/>
    <w:rsid w:val="00044154"/>
    <w:rsid w:val="0004485A"/>
    <w:rsid w:val="0004492D"/>
    <w:rsid w:val="000458B9"/>
    <w:rsid w:val="00045A84"/>
    <w:rsid w:val="00046358"/>
    <w:rsid w:val="000472C1"/>
    <w:rsid w:val="0004756D"/>
    <w:rsid w:val="00047B42"/>
    <w:rsid w:val="000502BD"/>
    <w:rsid w:val="00050CD9"/>
    <w:rsid w:val="00051DAA"/>
    <w:rsid w:val="00052A2B"/>
    <w:rsid w:val="00054C88"/>
    <w:rsid w:val="000555AB"/>
    <w:rsid w:val="00055839"/>
    <w:rsid w:val="000575F8"/>
    <w:rsid w:val="00057C79"/>
    <w:rsid w:val="00061EAE"/>
    <w:rsid w:val="0006242C"/>
    <w:rsid w:val="00062E43"/>
    <w:rsid w:val="000633AC"/>
    <w:rsid w:val="00066321"/>
    <w:rsid w:val="00067106"/>
    <w:rsid w:val="00067A07"/>
    <w:rsid w:val="00067E9E"/>
    <w:rsid w:val="00070357"/>
    <w:rsid w:val="00070A23"/>
    <w:rsid w:val="00070E3C"/>
    <w:rsid w:val="0007140F"/>
    <w:rsid w:val="00071C9E"/>
    <w:rsid w:val="000735F5"/>
    <w:rsid w:val="000738C0"/>
    <w:rsid w:val="000802DB"/>
    <w:rsid w:val="00080D4E"/>
    <w:rsid w:val="00081921"/>
    <w:rsid w:val="00082052"/>
    <w:rsid w:val="0008208B"/>
    <w:rsid w:val="000827C3"/>
    <w:rsid w:val="00083488"/>
    <w:rsid w:val="00085496"/>
    <w:rsid w:val="0008577F"/>
    <w:rsid w:val="000857AB"/>
    <w:rsid w:val="00085CF7"/>
    <w:rsid w:val="00085D64"/>
    <w:rsid w:val="00086E18"/>
    <w:rsid w:val="00087428"/>
    <w:rsid w:val="000875BF"/>
    <w:rsid w:val="00090925"/>
    <w:rsid w:val="00091473"/>
    <w:rsid w:val="00091CC5"/>
    <w:rsid w:val="000926D4"/>
    <w:rsid w:val="00092C53"/>
    <w:rsid w:val="0009424A"/>
    <w:rsid w:val="000951CA"/>
    <w:rsid w:val="00095222"/>
    <w:rsid w:val="0009537F"/>
    <w:rsid w:val="00095EA1"/>
    <w:rsid w:val="00096195"/>
    <w:rsid w:val="00096343"/>
    <w:rsid w:val="00096D8C"/>
    <w:rsid w:val="000971F8"/>
    <w:rsid w:val="000978B2"/>
    <w:rsid w:val="000A08FF"/>
    <w:rsid w:val="000A0E4E"/>
    <w:rsid w:val="000A1382"/>
    <w:rsid w:val="000A252E"/>
    <w:rsid w:val="000A3251"/>
    <w:rsid w:val="000A3ABF"/>
    <w:rsid w:val="000A4E81"/>
    <w:rsid w:val="000A5612"/>
    <w:rsid w:val="000A5E73"/>
    <w:rsid w:val="000A665F"/>
    <w:rsid w:val="000A73C8"/>
    <w:rsid w:val="000B095A"/>
    <w:rsid w:val="000B1207"/>
    <w:rsid w:val="000B1B0B"/>
    <w:rsid w:val="000B2B8F"/>
    <w:rsid w:val="000B35AC"/>
    <w:rsid w:val="000B37F3"/>
    <w:rsid w:val="000B3DCA"/>
    <w:rsid w:val="000B509B"/>
    <w:rsid w:val="000B50DE"/>
    <w:rsid w:val="000B6ACD"/>
    <w:rsid w:val="000B730D"/>
    <w:rsid w:val="000C0042"/>
    <w:rsid w:val="000C034A"/>
    <w:rsid w:val="000C0AFD"/>
    <w:rsid w:val="000C0B65"/>
    <w:rsid w:val="000C0CB3"/>
    <w:rsid w:val="000C249D"/>
    <w:rsid w:val="000C319A"/>
    <w:rsid w:val="000C463F"/>
    <w:rsid w:val="000C4E47"/>
    <w:rsid w:val="000C6828"/>
    <w:rsid w:val="000C795A"/>
    <w:rsid w:val="000D0724"/>
    <w:rsid w:val="000D0823"/>
    <w:rsid w:val="000D0B39"/>
    <w:rsid w:val="000D1F73"/>
    <w:rsid w:val="000D2ADF"/>
    <w:rsid w:val="000D2B2C"/>
    <w:rsid w:val="000D43B0"/>
    <w:rsid w:val="000D46AD"/>
    <w:rsid w:val="000E05FE"/>
    <w:rsid w:val="000E0EF5"/>
    <w:rsid w:val="000E0FC6"/>
    <w:rsid w:val="000E18F2"/>
    <w:rsid w:val="000E1B4E"/>
    <w:rsid w:val="000E21B8"/>
    <w:rsid w:val="000E2788"/>
    <w:rsid w:val="000E3582"/>
    <w:rsid w:val="000E3797"/>
    <w:rsid w:val="000E3D42"/>
    <w:rsid w:val="000E4982"/>
    <w:rsid w:val="000E4CEF"/>
    <w:rsid w:val="000E4E4E"/>
    <w:rsid w:val="000E4E8A"/>
    <w:rsid w:val="000E505A"/>
    <w:rsid w:val="000E5148"/>
    <w:rsid w:val="000E5645"/>
    <w:rsid w:val="000E58A2"/>
    <w:rsid w:val="000E5CE2"/>
    <w:rsid w:val="000E6EDB"/>
    <w:rsid w:val="000E70CC"/>
    <w:rsid w:val="000F1297"/>
    <w:rsid w:val="000F19C1"/>
    <w:rsid w:val="000F1C25"/>
    <w:rsid w:val="000F213E"/>
    <w:rsid w:val="000F2440"/>
    <w:rsid w:val="000F251F"/>
    <w:rsid w:val="000F3B49"/>
    <w:rsid w:val="000F5911"/>
    <w:rsid w:val="000F6FF2"/>
    <w:rsid w:val="000F71EA"/>
    <w:rsid w:val="000F71F8"/>
    <w:rsid w:val="0010018E"/>
    <w:rsid w:val="0010119E"/>
    <w:rsid w:val="001018F4"/>
    <w:rsid w:val="00101E5E"/>
    <w:rsid w:val="00102847"/>
    <w:rsid w:val="001040F7"/>
    <w:rsid w:val="0010421C"/>
    <w:rsid w:val="00104586"/>
    <w:rsid w:val="00106B20"/>
    <w:rsid w:val="001130FE"/>
    <w:rsid w:val="00113796"/>
    <w:rsid w:val="001146A2"/>
    <w:rsid w:val="00115278"/>
    <w:rsid w:val="00116CA0"/>
    <w:rsid w:val="0012075C"/>
    <w:rsid w:val="001208CF"/>
    <w:rsid w:val="00121895"/>
    <w:rsid w:val="00122BD5"/>
    <w:rsid w:val="001234B9"/>
    <w:rsid w:val="00123B9F"/>
    <w:rsid w:val="00123E79"/>
    <w:rsid w:val="0012559A"/>
    <w:rsid w:val="00126D57"/>
    <w:rsid w:val="00130A83"/>
    <w:rsid w:val="001316F8"/>
    <w:rsid w:val="001329B8"/>
    <w:rsid w:val="00132ABD"/>
    <w:rsid w:val="00132ECB"/>
    <w:rsid w:val="001336DB"/>
    <w:rsid w:val="00133F79"/>
    <w:rsid w:val="00133F8F"/>
    <w:rsid w:val="0013479B"/>
    <w:rsid w:val="00134EB0"/>
    <w:rsid w:val="001353C4"/>
    <w:rsid w:val="00136AA2"/>
    <w:rsid w:val="00136E3A"/>
    <w:rsid w:val="00140F2F"/>
    <w:rsid w:val="001412FE"/>
    <w:rsid w:val="00142A30"/>
    <w:rsid w:val="00143E0F"/>
    <w:rsid w:val="00144593"/>
    <w:rsid w:val="00145088"/>
    <w:rsid w:val="001464F4"/>
    <w:rsid w:val="00147129"/>
    <w:rsid w:val="00147A02"/>
    <w:rsid w:val="00150B9A"/>
    <w:rsid w:val="00150BF0"/>
    <w:rsid w:val="0015153F"/>
    <w:rsid w:val="00152125"/>
    <w:rsid w:val="001543E6"/>
    <w:rsid w:val="00155B8C"/>
    <w:rsid w:val="00156576"/>
    <w:rsid w:val="0015657C"/>
    <w:rsid w:val="00156A85"/>
    <w:rsid w:val="00157F44"/>
    <w:rsid w:val="00162ADF"/>
    <w:rsid w:val="0016436B"/>
    <w:rsid w:val="001645D1"/>
    <w:rsid w:val="00165B23"/>
    <w:rsid w:val="00165BC0"/>
    <w:rsid w:val="001676B2"/>
    <w:rsid w:val="001676C3"/>
    <w:rsid w:val="00170203"/>
    <w:rsid w:val="0017121B"/>
    <w:rsid w:val="00172340"/>
    <w:rsid w:val="001747CA"/>
    <w:rsid w:val="001757D7"/>
    <w:rsid w:val="0017666D"/>
    <w:rsid w:val="001773D1"/>
    <w:rsid w:val="00180575"/>
    <w:rsid w:val="00180784"/>
    <w:rsid w:val="001807D6"/>
    <w:rsid w:val="00181051"/>
    <w:rsid w:val="00181193"/>
    <w:rsid w:val="00181398"/>
    <w:rsid w:val="0018256A"/>
    <w:rsid w:val="0018350B"/>
    <w:rsid w:val="00185945"/>
    <w:rsid w:val="00186691"/>
    <w:rsid w:val="00190B90"/>
    <w:rsid w:val="00190D89"/>
    <w:rsid w:val="001932C4"/>
    <w:rsid w:val="00194A66"/>
    <w:rsid w:val="00194C51"/>
    <w:rsid w:val="001950FC"/>
    <w:rsid w:val="00195B16"/>
    <w:rsid w:val="001969CC"/>
    <w:rsid w:val="00196A90"/>
    <w:rsid w:val="00196DBF"/>
    <w:rsid w:val="001A0B3C"/>
    <w:rsid w:val="001A143E"/>
    <w:rsid w:val="001A18EA"/>
    <w:rsid w:val="001A19D5"/>
    <w:rsid w:val="001A4218"/>
    <w:rsid w:val="001A4941"/>
    <w:rsid w:val="001A4C09"/>
    <w:rsid w:val="001A4FDC"/>
    <w:rsid w:val="001A57DA"/>
    <w:rsid w:val="001A5DC2"/>
    <w:rsid w:val="001A66E7"/>
    <w:rsid w:val="001B24F0"/>
    <w:rsid w:val="001B4956"/>
    <w:rsid w:val="001B571E"/>
    <w:rsid w:val="001B5AA3"/>
    <w:rsid w:val="001B5DF3"/>
    <w:rsid w:val="001B6CAC"/>
    <w:rsid w:val="001B7123"/>
    <w:rsid w:val="001C14AF"/>
    <w:rsid w:val="001C2557"/>
    <w:rsid w:val="001C328D"/>
    <w:rsid w:val="001C4FDA"/>
    <w:rsid w:val="001C5877"/>
    <w:rsid w:val="001D0B9E"/>
    <w:rsid w:val="001D0FBC"/>
    <w:rsid w:val="001D0FFA"/>
    <w:rsid w:val="001D16C5"/>
    <w:rsid w:val="001D1B27"/>
    <w:rsid w:val="001D1FE6"/>
    <w:rsid w:val="001D2563"/>
    <w:rsid w:val="001D420E"/>
    <w:rsid w:val="001D4A7D"/>
    <w:rsid w:val="001D5B2C"/>
    <w:rsid w:val="001D5E8E"/>
    <w:rsid w:val="001D6BCF"/>
    <w:rsid w:val="001E01CA"/>
    <w:rsid w:val="001E18BB"/>
    <w:rsid w:val="001E2824"/>
    <w:rsid w:val="001E3AB8"/>
    <w:rsid w:val="001E3E32"/>
    <w:rsid w:val="001E4CFA"/>
    <w:rsid w:val="001E5A46"/>
    <w:rsid w:val="001E640E"/>
    <w:rsid w:val="001F1E75"/>
    <w:rsid w:val="001F23C8"/>
    <w:rsid w:val="001F48BA"/>
    <w:rsid w:val="001F510C"/>
    <w:rsid w:val="001F518B"/>
    <w:rsid w:val="001F6A0C"/>
    <w:rsid w:val="001F6D8A"/>
    <w:rsid w:val="001F6E1C"/>
    <w:rsid w:val="001F704D"/>
    <w:rsid w:val="00200848"/>
    <w:rsid w:val="002023EB"/>
    <w:rsid w:val="00202AA6"/>
    <w:rsid w:val="0020379B"/>
    <w:rsid w:val="00203DE3"/>
    <w:rsid w:val="00204450"/>
    <w:rsid w:val="00204DD0"/>
    <w:rsid w:val="00210705"/>
    <w:rsid w:val="0021162F"/>
    <w:rsid w:val="00211F27"/>
    <w:rsid w:val="002124D0"/>
    <w:rsid w:val="0021267C"/>
    <w:rsid w:val="002130E9"/>
    <w:rsid w:val="0021569C"/>
    <w:rsid w:val="00215D9D"/>
    <w:rsid w:val="00216609"/>
    <w:rsid w:val="002177C3"/>
    <w:rsid w:val="00217ABD"/>
    <w:rsid w:val="00220725"/>
    <w:rsid w:val="002207F3"/>
    <w:rsid w:val="00221D91"/>
    <w:rsid w:val="00221EC5"/>
    <w:rsid w:val="002230C8"/>
    <w:rsid w:val="00224B6F"/>
    <w:rsid w:val="0022557C"/>
    <w:rsid w:val="00225D21"/>
    <w:rsid w:val="0023058C"/>
    <w:rsid w:val="00230958"/>
    <w:rsid w:val="002321B6"/>
    <w:rsid w:val="002323C0"/>
    <w:rsid w:val="0023332C"/>
    <w:rsid w:val="00234711"/>
    <w:rsid w:val="00235D9B"/>
    <w:rsid w:val="00235EDF"/>
    <w:rsid w:val="00236CAC"/>
    <w:rsid w:val="00237625"/>
    <w:rsid w:val="00240012"/>
    <w:rsid w:val="002404D4"/>
    <w:rsid w:val="00241608"/>
    <w:rsid w:val="00241CB6"/>
    <w:rsid w:val="00242B3B"/>
    <w:rsid w:val="00242D1A"/>
    <w:rsid w:val="002438CA"/>
    <w:rsid w:val="00245626"/>
    <w:rsid w:val="00245983"/>
    <w:rsid w:val="002467A4"/>
    <w:rsid w:val="00246834"/>
    <w:rsid w:val="00246DD8"/>
    <w:rsid w:val="002475A2"/>
    <w:rsid w:val="00247C39"/>
    <w:rsid w:val="002512EC"/>
    <w:rsid w:val="00251960"/>
    <w:rsid w:val="00252E89"/>
    <w:rsid w:val="00253806"/>
    <w:rsid w:val="00254348"/>
    <w:rsid w:val="00254B62"/>
    <w:rsid w:val="00254D78"/>
    <w:rsid w:val="0025597D"/>
    <w:rsid w:val="002568BE"/>
    <w:rsid w:val="00256B47"/>
    <w:rsid w:val="00260671"/>
    <w:rsid w:val="00261601"/>
    <w:rsid w:val="00264061"/>
    <w:rsid w:val="00267775"/>
    <w:rsid w:val="0027122E"/>
    <w:rsid w:val="00271D3D"/>
    <w:rsid w:val="002723C9"/>
    <w:rsid w:val="00272FF3"/>
    <w:rsid w:val="00275963"/>
    <w:rsid w:val="00275CF5"/>
    <w:rsid w:val="00276A55"/>
    <w:rsid w:val="0028301F"/>
    <w:rsid w:val="002833E8"/>
    <w:rsid w:val="0028370C"/>
    <w:rsid w:val="00283B16"/>
    <w:rsid w:val="00285017"/>
    <w:rsid w:val="00285568"/>
    <w:rsid w:val="00294149"/>
    <w:rsid w:val="00295032"/>
    <w:rsid w:val="002958B6"/>
    <w:rsid w:val="00296082"/>
    <w:rsid w:val="00297C9F"/>
    <w:rsid w:val="002A139A"/>
    <w:rsid w:val="002A1A9D"/>
    <w:rsid w:val="002A1BA1"/>
    <w:rsid w:val="002A1C42"/>
    <w:rsid w:val="002A1DDE"/>
    <w:rsid w:val="002A29A7"/>
    <w:rsid w:val="002A2D2E"/>
    <w:rsid w:val="002A4583"/>
    <w:rsid w:val="002A45BE"/>
    <w:rsid w:val="002A4647"/>
    <w:rsid w:val="002A4836"/>
    <w:rsid w:val="002A4AB1"/>
    <w:rsid w:val="002A4E34"/>
    <w:rsid w:val="002A51CA"/>
    <w:rsid w:val="002A7477"/>
    <w:rsid w:val="002B012A"/>
    <w:rsid w:val="002B0E4F"/>
    <w:rsid w:val="002B15F3"/>
    <w:rsid w:val="002B1E0C"/>
    <w:rsid w:val="002B30CD"/>
    <w:rsid w:val="002B59CB"/>
    <w:rsid w:val="002B6278"/>
    <w:rsid w:val="002C00E8"/>
    <w:rsid w:val="002C18C8"/>
    <w:rsid w:val="002C2303"/>
    <w:rsid w:val="002C24ED"/>
    <w:rsid w:val="002C33E3"/>
    <w:rsid w:val="002C3A26"/>
    <w:rsid w:val="002C4E8F"/>
    <w:rsid w:val="002C5E9D"/>
    <w:rsid w:val="002C7BA9"/>
    <w:rsid w:val="002D12E0"/>
    <w:rsid w:val="002D429D"/>
    <w:rsid w:val="002D70E2"/>
    <w:rsid w:val="002D734C"/>
    <w:rsid w:val="002E0A6C"/>
    <w:rsid w:val="002E0CCC"/>
    <w:rsid w:val="002E1150"/>
    <w:rsid w:val="002E12DC"/>
    <w:rsid w:val="002E1CDE"/>
    <w:rsid w:val="002E23C1"/>
    <w:rsid w:val="002E289F"/>
    <w:rsid w:val="002E35FF"/>
    <w:rsid w:val="002E38E5"/>
    <w:rsid w:val="002E4024"/>
    <w:rsid w:val="002E5C0C"/>
    <w:rsid w:val="002F07CC"/>
    <w:rsid w:val="002F0DC2"/>
    <w:rsid w:val="002F133A"/>
    <w:rsid w:val="002F1D56"/>
    <w:rsid w:val="002F23AE"/>
    <w:rsid w:val="002F276D"/>
    <w:rsid w:val="002F4F12"/>
    <w:rsid w:val="002F5116"/>
    <w:rsid w:val="002F57E9"/>
    <w:rsid w:val="002F5B13"/>
    <w:rsid w:val="002F612F"/>
    <w:rsid w:val="002F7364"/>
    <w:rsid w:val="002F7D94"/>
    <w:rsid w:val="002F7DBB"/>
    <w:rsid w:val="00300AFD"/>
    <w:rsid w:val="0030139A"/>
    <w:rsid w:val="00301906"/>
    <w:rsid w:val="00303910"/>
    <w:rsid w:val="00304618"/>
    <w:rsid w:val="00304AA7"/>
    <w:rsid w:val="00305A7F"/>
    <w:rsid w:val="00306422"/>
    <w:rsid w:val="003068D8"/>
    <w:rsid w:val="00306F2C"/>
    <w:rsid w:val="00307FDE"/>
    <w:rsid w:val="0031058F"/>
    <w:rsid w:val="00310B62"/>
    <w:rsid w:val="0031107B"/>
    <w:rsid w:val="003139A5"/>
    <w:rsid w:val="003200E1"/>
    <w:rsid w:val="00320CD4"/>
    <w:rsid w:val="00322F61"/>
    <w:rsid w:val="0032379D"/>
    <w:rsid w:val="00324B59"/>
    <w:rsid w:val="0032574B"/>
    <w:rsid w:val="00326297"/>
    <w:rsid w:val="0032649E"/>
    <w:rsid w:val="003269C7"/>
    <w:rsid w:val="00326B26"/>
    <w:rsid w:val="00326C5E"/>
    <w:rsid w:val="00330121"/>
    <w:rsid w:val="0033016D"/>
    <w:rsid w:val="00330CA5"/>
    <w:rsid w:val="00330CF3"/>
    <w:rsid w:val="00331249"/>
    <w:rsid w:val="00331EEB"/>
    <w:rsid w:val="00332614"/>
    <w:rsid w:val="00332D3B"/>
    <w:rsid w:val="003331A1"/>
    <w:rsid w:val="00333562"/>
    <w:rsid w:val="00333B77"/>
    <w:rsid w:val="00334325"/>
    <w:rsid w:val="00334D5E"/>
    <w:rsid w:val="00334FB1"/>
    <w:rsid w:val="00335AFD"/>
    <w:rsid w:val="0034066A"/>
    <w:rsid w:val="00341232"/>
    <w:rsid w:val="003414C3"/>
    <w:rsid w:val="003419E0"/>
    <w:rsid w:val="00342896"/>
    <w:rsid w:val="00342984"/>
    <w:rsid w:val="00342A45"/>
    <w:rsid w:val="00343316"/>
    <w:rsid w:val="00343749"/>
    <w:rsid w:val="00346C51"/>
    <w:rsid w:val="003506E0"/>
    <w:rsid w:val="00350C1B"/>
    <w:rsid w:val="00350C1F"/>
    <w:rsid w:val="00350C24"/>
    <w:rsid w:val="00351AF4"/>
    <w:rsid w:val="00351EED"/>
    <w:rsid w:val="00354FC2"/>
    <w:rsid w:val="0035554C"/>
    <w:rsid w:val="00355BD1"/>
    <w:rsid w:val="00356951"/>
    <w:rsid w:val="003602B6"/>
    <w:rsid w:val="00361749"/>
    <w:rsid w:val="00361ABF"/>
    <w:rsid w:val="00361E14"/>
    <w:rsid w:val="00363559"/>
    <w:rsid w:val="00364A1F"/>
    <w:rsid w:val="00365C49"/>
    <w:rsid w:val="00366093"/>
    <w:rsid w:val="003660ED"/>
    <w:rsid w:val="00366F3E"/>
    <w:rsid w:val="00367216"/>
    <w:rsid w:val="003714A0"/>
    <w:rsid w:val="00372C20"/>
    <w:rsid w:val="00373E11"/>
    <w:rsid w:val="00374DCD"/>
    <w:rsid w:val="00375A5A"/>
    <w:rsid w:val="00375BF9"/>
    <w:rsid w:val="00376E9A"/>
    <w:rsid w:val="00377978"/>
    <w:rsid w:val="00377C8C"/>
    <w:rsid w:val="00380541"/>
    <w:rsid w:val="0038409B"/>
    <w:rsid w:val="00386012"/>
    <w:rsid w:val="00386588"/>
    <w:rsid w:val="003867A4"/>
    <w:rsid w:val="00386CE4"/>
    <w:rsid w:val="00386CED"/>
    <w:rsid w:val="00387980"/>
    <w:rsid w:val="00387F0B"/>
    <w:rsid w:val="003906E6"/>
    <w:rsid w:val="00390922"/>
    <w:rsid w:val="003933C9"/>
    <w:rsid w:val="00393916"/>
    <w:rsid w:val="00393F49"/>
    <w:rsid w:val="0039456A"/>
    <w:rsid w:val="0039460A"/>
    <w:rsid w:val="0039617A"/>
    <w:rsid w:val="00396B77"/>
    <w:rsid w:val="00396CDC"/>
    <w:rsid w:val="003A0A13"/>
    <w:rsid w:val="003A0A67"/>
    <w:rsid w:val="003A16BF"/>
    <w:rsid w:val="003A2598"/>
    <w:rsid w:val="003A53DF"/>
    <w:rsid w:val="003A5779"/>
    <w:rsid w:val="003A6AD8"/>
    <w:rsid w:val="003A7391"/>
    <w:rsid w:val="003B0550"/>
    <w:rsid w:val="003B1C70"/>
    <w:rsid w:val="003B1C7E"/>
    <w:rsid w:val="003B1F13"/>
    <w:rsid w:val="003B1F99"/>
    <w:rsid w:val="003B33EE"/>
    <w:rsid w:val="003B42F7"/>
    <w:rsid w:val="003B4D74"/>
    <w:rsid w:val="003B589D"/>
    <w:rsid w:val="003B694F"/>
    <w:rsid w:val="003B7297"/>
    <w:rsid w:val="003B7A01"/>
    <w:rsid w:val="003C0D02"/>
    <w:rsid w:val="003C0DDB"/>
    <w:rsid w:val="003C126F"/>
    <w:rsid w:val="003C1401"/>
    <w:rsid w:val="003C62A9"/>
    <w:rsid w:val="003C69C1"/>
    <w:rsid w:val="003C6AC6"/>
    <w:rsid w:val="003C6E20"/>
    <w:rsid w:val="003C78AB"/>
    <w:rsid w:val="003C7C3A"/>
    <w:rsid w:val="003D08E1"/>
    <w:rsid w:val="003D218F"/>
    <w:rsid w:val="003D3258"/>
    <w:rsid w:val="003D4077"/>
    <w:rsid w:val="003D4B96"/>
    <w:rsid w:val="003E0356"/>
    <w:rsid w:val="003E10F3"/>
    <w:rsid w:val="003E19FD"/>
    <w:rsid w:val="003E2018"/>
    <w:rsid w:val="003E213E"/>
    <w:rsid w:val="003E3342"/>
    <w:rsid w:val="003E3453"/>
    <w:rsid w:val="003E3B18"/>
    <w:rsid w:val="003E7503"/>
    <w:rsid w:val="003E7F43"/>
    <w:rsid w:val="003F171C"/>
    <w:rsid w:val="003F1C73"/>
    <w:rsid w:val="003F1FFA"/>
    <w:rsid w:val="003F35DB"/>
    <w:rsid w:val="003F3CBF"/>
    <w:rsid w:val="003F605A"/>
    <w:rsid w:val="003F6BD7"/>
    <w:rsid w:val="004002D7"/>
    <w:rsid w:val="004002F8"/>
    <w:rsid w:val="00400360"/>
    <w:rsid w:val="004005C0"/>
    <w:rsid w:val="00400B5B"/>
    <w:rsid w:val="00400EA7"/>
    <w:rsid w:val="00401F8C"/>
    <w:rsid w:val="00403257"/>
    <w:rsid w:val="00404F31"/>
    <w:rsid w:val="004050AE"/>
    <w:rsid w:val="00407D88"/>
    <w:rsid w:val="00411283"/>
    <w:rsid w:val="00411C20"/>
    <w:rsid w:val="004120A9"/>
    <w:rsid w:val="00412975"/>
    <w:rsid w:val="00412FC5"/>
    <w:rsid w:val="00415466"/>
    <w:rsid w:val="0041698A"/>
    <w:rsid w:val="004170F3"/>
    <w:rsid w:val="00417431"/>
    <w:rsid w:val="0042190D"/>
    <w:rsid w:val="00422276"/>
    <w:rsid w:val="0042328E"/>
    <w:rsid w:val="00423511"/>
    <w:rsid w:val="0042377C"/>
    <w:rsid w:val="00423CF3"/>
    <w:rsid w:val="004242F1"/>
    <w:rsid w:val="004247F9"/>
    <w:rsid w:val="00424B14"/>
    <w:rsid w:val="00424DF0"/>
    <w:rsid w:val="00425F03"/>
    <w:rsid w:val="004273D2"/>
    <w:rsid w:val="004275A5"/>
    <w:rsid w:val="004306B2"/>
    <w:rsid w:val="00430864"/>
    <w:rsid w:val="00430D70"/>
    <w:rsid w:val="004321F1"/>
    <w:rsid w:val="00432F94"/>
    <w:rsid w:val="00433615"/>
    <w:rsid w:val="004342CE"/>
    <w:rsid w:val="00434721"/>
    <w:rsid w:val="00435A1C"/>
    <w:rsid w:val="00435A70"/>
    <w:rsid w:val="0043694D"/>
    <w:rsid w:val="0043716A"/>
    <w:rsid w:val="00440069"/>
    <w:rsid w:val="004409F2"/>
    <w:rsid w:val="00440A84"/>
    <w:rsid w:val="00442B3D"/>
    <w:rsid w:val="00444BBC"/>
    <w:rsid w:val="004459CB"/>
    <w:rsid w:val="00445A00"/>
    <w:rsid w:val="00445BB7"/>
    <w:rsid w:val="0044696D"/>
    <w:rsid w:val="00447919"/>
    <w:rsid w:val="00447B28"/>
    <w:rsid w:val="0045013A"/>
    <w:rsid w:val="0045013D"/>
    <w:rsid w:val="004504E6"/>
    <w:rsid w:val="00451035"/>
    <w:rsid w:val="00451B0F"/>
    <w:rsid w:val="004535D0"/>
    <w:rsid w:val="0045552D"/>
    <w:rsid w:val="00456500"/>
    <w:rsid w:val="00460911"/>
    <w:rsid w:val="00461769"/>
    <w:rsid w:val="00463FFC"/>
    <w:rsid w:val="0046466C"/>
    <w:rsid w:val="0046580C"/>
    <w:rsid w:val="004660CA"/>
    <w:rsid w:val="00466B76"/>
    <w:rsid w:val="004678FE"/>
    <w:rsid w:val="00470325"/>
    <w:rsid w:val="0047135F"/>
    <w:rsid w:val="0047142D"/>
    <w:rsid w:val="00471C42"/>
    <w:rsid w:val="00471CE3"/>
    <w:rsid w:val="00473457"/>
    <w:rsid w:val="004734F9"/>
    <w:rsid w:val="00473FF8"/>
    <w:rsid w:val="00474B06"/>
    <w:rsid w:val="00475748"/>
    <w:rsid w:val="00475C67"/>
    <w:rsid w:val="00476D7E"/>
    <w:rsid w:val="00480C52"/>
    <w:rsid w:val="00482100"/>
    <w:rsid w:val="00482D12"/>
    <w:rsid w:val="0048365D"/>
    <w:rsid w:val="004838B9"/>
    <w:rsid w:val="00484639"/>
    <w:rsid w:val="00484FC9"/>
    <w:rsid w:val="00486CC5"/>
    <w:rsid w:val="00486EA4"/>
    <w:rsid w:val="00490178"/>
    <w:rsid w:val="00490812"/>
    <w:rsid w:val="00492484"/>
    <w:rsid w:val="00493DDF"/>
    <w:rsid w:val="004955B3"/>
    <w:rsid w:val="00496241"/>
    <w:rsid w:val="00497A73"/>
    <w:rsid w:val="004A0496"/>
    <w:rsid w:val="004A0847"/>
    <w:rsid w:val="004A0C17"/>
    <w:rsid w:val="004A1560"/>
    <w:rsid w:val="004A3B94"/>
    <w:rsid w:val="004A44F6"/>
    <w:rsid w:val="004A4AF4"/>
    <w:rsid w:val="004A4D09"/>
    <w:rsid w:val="004A649F"/>
    <w:rsid w:val="004A6BCD"/>
    <w:rsid w:val="004A7139"/>
    <w:rsid w:val="004B04CA"/>
    <w:rsid w:val="004B0C65"/>
    <w:rsid w:val="004B2044"/>
    <w:rsid w:val="004B38FF"/>
    <w:rsid w:val="004B3F8B"/>
    <w:rsid w:val="004B406A"/>
    <w:rsid w:val="004B4AB4"/>
    <w:rsid w:val="004C054D"/>
    <w:rsid w:val="004C1411"/>
    <w:rsid w:val="004C1861"/>
    <w:rsid w:val="004C2EE3"/>
    <w:rsid w:val="004C5C12"/>
    <w:rsid w:val="004C6875"/>
    <w:rsid w:val="004C6B0B"/>
    <w:rsid w:val="004C6B98"/>
    <w:rsid w:val="004D0459"/>
    <w:rsid w:val="004D05ED"/>
    <w:rsid w:val="004D1D45"/>
    <w:rsid w:val="004D2330"/>
    <w:rsid w:val="004D3C3C"/>
    <w:rsid w:val="004D4BE5"/>
    <w:rsid w:val="004D5812"/>
    <w:rsid w:val="004D5916"/>
    <w:rsid w:val="004D5EFC"/>
    <w:rsid w:val="004D679E"/>
    <w:rsid w:val="004D71B2"/>
    <w:rsid w:val="004E040B"/>
    <w:rsid w:val="004E1212"/>
    <w:rsid w:val="004E181A"/>
    <w:rsid w:val="004E1881"/>
    <w:rsid w:val="004E2959"/>
    <w:rsid w:val="004E2CC2"/>
    <w:rsid w:val="004E3057"/>
    <w:rsid w:val="004E4201"/>
    <w:rsid w:val="004E4A22"/>
    <w:rsid w:val="004E645E"/>
    <w:rsid w:val="004E7AEC"/>
    <w:rsid w:val="004F06D7"/>
    <w:rsid w:val="004F192D"/>
    <w:rsid w:val="004F19FF"/>
    <w:rsid w:val="004F1CE3"/>
    <w:rsid w:val="004F27B4"/>
    <w:rsid w:val="004F290E"/>
    <w:rsid w:val="004F2D5A"/>
    <w:rsid w:val="004F3682"/>
    <w:rsid w:val="004F3770"/>
    <w:rsid w:val="004F3AAA"/>
    <w:rsid w:val="004F3E87"/>
    <w:rsid w:val="004F4A16"/>
    <w:rsid w:val="004F4D40"/>
    <w:rsid w:val="004F59CC"/>
    <w:rsid w:val="004F751C"/>
    <w:rsid w:val="004F761A"/>
    <w:rsid w:val="004F7C55"/>
    <w:rsid w:val="004F7D91"/>
    <w:rsid w:val="00500BCF"/>
    <w:rsid w:val="00502386"/>
    <w:rsid w:val="005032EB"/>
    <w:rsid w:val="00503819"/>
    <w:rsid w:val="00503BA3"/>
    <w:rsid w:val="00503FE4"/>
    <w:rsid w:val="0050406A"/>
    <w:rsid w:val="0050549D"/>
    <w:rsid w:val="005057C0"/>
    <w:rsid w:val="00505927"/>
    <w:rsid w:val="005109DD"/>
    <w:rsid w:val="0051119E"/>
    <w:rsid w:val="00511968"/>
    <w:rsid w:val="00512481"/>
    <w:rsid w:val="00512EE8"/>
    <w:rsid w:val="00512F7E"/>
    <w:rsid w:val="00514527"/>
    <w:rsid w:val="00514F6E"/>
    <w:rsid w:val="0051507A"/>
    <w:rsid w:val="00516162"/>
    <w:rsid w:val="00517991"/>
    <w:rsid w:val="005208DA"/>
    <w:rsid w:val="0052567A"/>
    <w:rsid w:val="00525883"/>
    <w:rsid w:val="005261CA"/>
    <w:rsid w:val="0052691B"/>
    <w:rsid w:val="00526FB1"/>
    <w:rsid w:val="00527361"/>
    <w:rsid w:val="005273C7"/>
    <w:rsid w:val="00527635"/>
    <w:rsid w:val="00532127"/>
    <w:rsid w:val="00534607"/>
    <w:rsid w:val="005346DD"/>
    <w:rsid w:val="00534F11"/>
    <w:rsid w:val="00535296"/>
    <w:rsid w:val="00536A1B"/>
    <w:rsid w:val="00537B12"/>
    <w:rsid w:val="00540FD7"/>
    <w:rsid w:val="00541D94"/>
    <w:rsid w:val="00542230"/>
    <w:rsid w:val="005428EC"/>
    <w:rsid w:val="00544614"/>
    <w:rsid w:val="00547356"/>
    <w:rsid w:val="005502AC"/>
    <w:rsid w:val="005504DB"/>
    <w:rsid w:val="00550E72"/>
    <w:rsid w:val="00550F8B"/>
    <w:rsid w:val="005518CF"/>
    <w:rsid w:val="00551F83"/>
    <w:rsid w:val="0055293D"/>
    <w:rsid w:val="00553288"/>
    <w:rsid w:val="00555C0B"/>
    <w:rsid w:val="0055614C"/>
    <w:rsid w:val="005565FA"/>
    <w:rsid w:val="00556CE3"/>
    <w:rsid w:val="00556F9D"/>
    <w:rsid w:val="005606D5"/>
    <w:rsid w:val="00561A37"/>
    <w:rsid w:val="00562085"/>
    <w:rsid w:val="0056302B"/>
    <w:rsid w:val="005644B3"/>
    <w:rsid w:val="005647FE"/>
    <w:rsid w:val="0056483F"/>
    <w:rsid w:val="00566EEA"/>
    <w:rsid w:val="00566F4B"/>
    <w:rsid w:val="00567A16"/>
    <w:rsid w:val="00567AC5"/>
    <w:rsid w:val="0057071F"/>
    <w:rsid w:val="00570B19"/>
    <w:rsid w:val="00570F3D"/>
    <w:rsid w:val="00571CBE"/>
    <w:rsid w:val="00572DFA"/>
    <w:rsid w:val="0057433F"/>
    <w:rsid w:val="00574690"/>
    <w:rsid w:val="00574AA9"/>
    <w:rsid w:val="00575124"/>
    <w:rsid w:val="00576E1F"/>
    <w:rsid w:val="005773CF"/>
    <w:rsid w:val="00577F37"/>
    <w:rsid w:val="00580875"/>
    <w:rsid w:val="005818C2"/>
    <w:rsid w:val="00581DF3"/>
    <w:rsid w:val="005830E2"/>
    <w:rsid w:val="0058371B"/>
    <w:rsid w:val="00584779"/>
    <w:rsid w:val="00584DF2"/>
    <w:rsid w:val="005873CD"/>
    <w:rsid w:val="00590B94"/>
    <w:rsid w:val="00592341"/>
    <w:rsid w:val="00592B69"/>
    <w:rsid w:val="00593FD7"/>
    <w:rsid w:val="00594671"/>
    <w:rsid w:val="00594BBD"/>
    <w:rsid w:val="005956AC"/>
    <w:rsid w:val="0059627E"/>
    <w:rsid w:val="00597122"/>
    <w:rsid w:val="00597F4A"/>
    <w:rsid w:val="005A08AB"/>
    <w:rsid w:val="005A22AF"/>
    <w:rsid w:val="005A2A11"/>
    <w:rsid w:val="005A2A65"/>
    <w:rsid w:val="005A493E"/>
    <w:rsid w:val="005A55E5"/>
    <w:rsid w:val="005A5A88"/>
    <w:rsid w:val="005B03BD"/>
    <w:rsid w:val="005B33E3"/>
    <w:rsid w:val="005B5066"/>
    <w:rsid w:val="005B52C3"/>
    <w:rsid w:val="005B63D5"/>
    <w:rsid w:val="005B73E7"/>
    <w:rsid w:val="005B7580"/>
    <w:rsid w:val="005B7964"/>
    <w:rsid w:val="005C1885"/>
    <w:rsid w:val="005C2117"/>
    <w:rsid w:val="005C2C8F"/>
    <w:rsid w:val="005C2F5D"/>
    <w:rsid w:val="005C3762"/>
    <w:rsid w:val="005C457A"/>
    <w:rsid w:val="005C477B"/>
    <w:rsid w:val="005C59E2"/>
    <w:rsid w:val="005C6BB9"/>
    <w:rsid w:val="005C76C7"/>
    <w:rsid w:val="005D024D"/>
    <w:rsid w:val="005D1CA6"/>
    <w:rsid w:val="005D33F2"/>
    <w:rsid w:val="005D446B"/>
    <w:rsid w:val="005D45DE"/>
    <w:rsid w:val="005D610A"/>
    <w:rsid w:val="005D6118"/>
    <w:rsid w:val="005D623E"/>
    <w:rsid w:val="005D6BB7"/>
    <w:rsid w:val="005D6C62"/>
    <w:rsid w:val="005D6FED"/>
    <w:rsid w:val="005E0854"/>
    <w:rsid w:val="005E0BE1"/>
    <w:rsid w:val="005E10D0"/>
    <w:rsid w:val="005E1160"/>
    <w:rsid w:val="005E14C2"/>
    <w:rsid w:val="005E2040"/>
    <w:rsid w:val="005E3769"/>
    <w:rsid w:val="005E7942"/>
    <w:rsid w:val="005E7D28"/>
    <w:rsid w:val="005F04D0"/>
    <w:rsid w:val="005F072E"/>
    <w:rsid w:val="005F0FAF"/>
    <w:rsid w:val="005F0FD3"/>
    <w:rsid w:val="005F12D1"/>
    <w:rsid w:val="005F26B6"/>
    <w:rsid w:val="005F4D86"/>
    <w:rsid w:val="005F5406"/>
    <w:rsid w:val="005F73B3"/>
    <w:rsid w:val="005F7866"/>
    <w:rsid w:val="005F7ECA"/>
    <w:rsid w:val="005F7ED0"/>
    <w:rsid w:val="006002D0"/>
    <w:rsid w:val="00601EAA"/>
    <w:rsid w:val="006038B7"/>
    <w:rsid w:val="006045FF"/>
    <w:rsid w:val="006047F3"/>
    <w:rsid w:val="00604EA5"/>
    <w:rsid w:val="00607167"/>
    <w:rsid w:val="006073D3"/>
    <w:rsid w:val="006079AF"/>
    <w:rsid w:val="00607BA5"/>
    <w:rsid w:val="00610521"/>
    <w:rsid w:val="00610C29"/>
    <w:rsid w:val="00610EB0"/>
    <w:rsid w:val="0061180A"/>
    <w:rsid w:val="00611CED"/>
    <w:rsid w:val="00613627"/>
    <w:rsid w:val="00615F2E"/>
    <w:rsid w:val="0061604B"/>
    <w:rsid w:val="006162FA"/>
    <w:rsid w:val="00616F50"/>
    <w:rsid w:val="006173C7"/>
    <w:rsid w:val="00617DB3"/>
    <w:rsid w:val="00617ECD"/>
    <w:rsid w:val="00621C16"/>
    <w:rsid w:val="0062247B"/>
    <w:rsid w:val="00622740"/>
    <w:rsid w:val="00623585"/>
    <w:rsid w:val="00623E2F"/>
    <w:rsid w:val="00625F95"/>
    <w:rsid w:val="00626EB6"/>
    <w:rsid w:val="0062794D"/>
    <w:rsid w:val="00627974"/>
    <w:rsid w:val="0063240C"/>
    <w:rsid w:val="0063484C"/>
    <w:rsid w:val="00634B25"/>
    <w:rsid w:val="00635810"/>
    <w:rsid w:val="0063675C"/>
    <w:rsid w:val="00642A3F"/>
    <w:rsid w:val="006449DC"/>
    <w:rsid w:val="00646378"/>
    <w:rsid w:val="00647747"/>
    <w:rsid w:val="006479F7"/>
    <w:rsid w:val="00652473"/>
    <w:rsid w:val="00652850"/>
    <w:rsid w:val="00653AC9"/>
    <w:rsid w:val="00653D11"/>
    <w:rsid w:val="006552D7"/>
    <w:rsid w:val="00655479"/>
    <w:rsid w:val="00655D03"/>
    <w:rsid w:val="00656633"/>
    <w:rsid w:val="006566F5"/>
    <w:rsid w:val="00661221"/>
    <w:rsid w:val="00661461"/>
    <w:rsid w:val="006618B5"/>
    <w:rsid w:val="00661DB2"/>
    <w:rsid w:val="0066254A"/>
    <w:rsid w:val="00663AFB"/>
    <w:rsid w:val="00664312"/>
    <w:rsid w:val="006650D9"/>
    <w:rsid w:val="00666987"/>
    <w:rsid w:val="00666C21"/>
    <w:rsid w:val="00667A63"/>
    <w:rsid w:val="0067260C"/>
    <w:rsid w:val="0067280E"/>
    <w:rsid w:val="0067288B"/>
    <w:rsid w:val="00672C80"/>
    <w:rsid w:val="006742BB"/>
    <w:rsid w:val="0067496B"/>
    <w:rsid w:val="0067499C"/>
    <w:rsid w:val="00674F3E"/>
    <w:rsid w:val="00674F82"/>
    <w:rsid w:val="006766C4"/>
    <w:rsid w:val="006766DF"/>
    <w:rsid w:val="00676C68"/>
    <w:rsid w:val="00676D13"/>
    <w:rsid w:val="006800AA"/>
    <w:rsid w:val="00680D16"/>
    <w:rsid w:val="006812E6"/>
    <w:rsid w:val="00681943"/>
    <w:rsid w:val="00681951"/>
    <w:rsid w:val="00682A17"/>
    <w:rsid w:val="006831D7"/>
    <w:rsid w:val="00683388"/>
    <w:rsid w:val="00683F84"/>
    <w:rsid w:val="006841B3"/>
    <w:rsid w:val="006848AD"/>
    <w:rsid w:val="00684D7B"/>
    <w:rsid w:val="006851AA"/>
    <w:rsid w:val="00685628"/>
    <w:rsid w:val="0068570A"/>
    <w:rsid w:val="00685EA5"/>
    <w:rsid w:val="00687043"/>
    <w:rsid w:val="00687B84"/>
    <w:rsid w:val="006902FB"/>
    <w:rsid w:val="006916DC"/>
    <w:rsid w:val="006926F2"/>
    <w:rsid w:val="006946E6"/>
    <w:rsid w:val="00694FA8"/>
    <w:rsid w:val="00695177"/>
    <w:rsid w:val="0069544C"/>
    <w:rsid w:val="00696963"/>
    <w:rsid w:val="00697190"/>
    <w:rsid w:val="00697D2F"/>
    <w:rsid w:val="00697DA9"/>
    <w:rsid w:val="006A0C6B"/>
    <w:rsid w:val="006A1769"/>
    <w:rsid w:val="006A2591"/>
    <w:rsid w:val="006A3CB1"/>
    <w:rsid w:val="006A53BA"/>
    <w:rsid w:val="006A5C5F"/>
    <w:rsid w:val="006A5E52"/>
    <w:rsid w:val="006A65CF"/>
    <w:rsid w:val="006A6A81"/>
    <w:rsid w:val="006A6D92"/>
    <w:rsid w:val="006A6FD7"/>
    <w:rsid w:val="006A788D"/>
    <w:rsid w:val="006A7A68"/>
    <w:rsid w:val="006A7D2F"/>
    <w:rsid w:val="006B02F3"/>
    <w:rsid w:val="006B1D76"/>
    <w:rsid w:val="006B30BE"/>
    <w:rsid w:val="006B3D26"/>
    <w:rsid w:val="006B463D"/>
    <w:rsid w:val="006B584F"/>
    <w:rsid w:val="006B723C"/>
    <w:rsid w:val="006B798F"/>
    <w:rsid w:val="006C0669"/>
    <w:rsid w:val="006C0C98"/>
    <w:rsid w:val="006C1D46"/>
    <w:rsid w:val="006C29BB"/>
    <w:rsid w:val="006C3743"/>
    <w:rsid w:val="006C3F4A"/>
    <w:rsid w:val="006D0F82"/>
    <w:rsid w:val="006D26E8"/>
    <w:rsid w:val="006D2ED7"/>
    <w:rsid w:val="006D3D2A"/>
    <w:rsid w:val="006D4B9B"/>
    <w:rsid w:val="006D4FC3"/>
    <w:rsid w:val="006D557E"/>
    <w:rsid w:val="006D5590"/>
    <w:rsid w:val="006D5D4F"/>
    <w:rsid w:val="006E099D"/>
    <w:rsid w:val="006E0EE2"/>
    <w:rsid w:val="006E12E6"/>
    <w:rsid w:val="006E25FC"/>
    <w:rsid w:val="006E3EA0"/>
    <w:rsid w:val="006E650F"/>
    <w:rsid w:val="006E6623"/>
    <w:rsid w:val="006E6DEB"/>
    <w:rsid w:val="006F3004"/>
    <w:rsid w:val="006F426E"/>
    <w:rsid w:val="006F447F"/>
    <w:rsid w:val="006F48CA"/>
    <w:rsid w:val="006F53FB"/>
    <w:rsid w:val="006F5E16"/>
    <w:rsid w:val="006F7393"/>
    <w:rsid w:val="0070044D"/>
    <w:rsid w:val="007010D6"/>
    <w:rsid w:val="00701CB5"/>
    <w:rsid w:val="0070224F"/>
    <w:rsid w:val="007023E8"/>
    <w:rsid w:val="0070255F"/>
    <w:rsid w:val="00702866"/>
    <w:rsid w:val="00710039"/>
    <w:rsid w:val="007108A6"/>
    <w:rsid w:val="00710961"/>
    <w:rsid w:val="007115F7"/>
    <w:rsid w:val="00711807"/>
    <w:rsid w:val="007147E6"/>
    <w:rsid w:val="00714A1F"/>
    <w:rsid w:val="00715456"/>
    <w:rsid w:val="00715C22"/>
    <w:rsid w:val="007162D8"/>
    <w:rsid w:val="00720A6E"/>
    <w:rsid w:val="00721844"/>
    <w:rsid w:val="00721C60"/>
    <w:rsid w:val="00724D1D"/>
    <w:rsid w:val="00725443"/>
    <w:rsid w:val="007257CA"/>
    <w:rsid w:val="00727654"/>
    <w:rsid w:val="007277C5"/>
    <w:rsid w:val="00727839"/>
    <w:rsid w:val="00727B8C"/>
    <w:rsid w:val="0073018A"/>
    <w:rsid w:val="00730500"/>
    <w:rsid w:val="007311B7"/>
    <w:rsid w:val="00731678"/>
    <w:rsid w:val="00732228"/>
    <w:rsid w:val="00733172"/>
    <w:rsid w:val="00733336"/>
    <w:rsid w:val="00733AC9"/>
    <w:rsid w:val="00733D85"/>
    <w:rsid w:val="00734683"/>
    <w:rsid w:val="00735EEA"/>
    <w:rsid w:val="0073647B"/>
    <w:rsid w:val="00737A5E"/>
    <w:rsid w:val="00737C4A"/>
    <w:rsid w:val="0074019E"/>
    <w:rsid w:val="00741538"/>
    <w:rsid w:val="00741AB9"/>
    <w:rsid w:val="00744560"/>
    <w:rsid w:val="007447BB"/>
    <w:rsid w:val="00744BA1"/>
    <w:rsid w:val="00744C5D"/>
    <w:rsid w:val="00746409"/>
    <w:rsid w:val="00747741"/>
    <w:rsid w:val="00751FE5"/>
    <w:rsid w:val="00752B18"/>
    <w:rsid w:val="00754667"/>
    <w:rsid w:val="00754905"/>
    <w:rsid w:val="007565E1"/>
    <w:rsid w:val="007566CE"/>
    <w:rsid w:val="00756B5C"/>
    <w:rsid w:val="00756BF4"/>
    <w:rsid w:val="007574B8"/>
    <w:rsid w:val="0076081E"/>
    <w:rsid w:val="00762ABB"/>
    <w:rsid w:val="00763006"/>
    <w:rsid w:val="00763988"/>
    <w:rsid w:val="00765A2E"/>
    <w:rsid w:val="0077020B"/>
    <w:rsid w:val="00770690"/>
    <w:rsid w:val="00770D61"/>
    <w:rsid w:val="00770F6D"/>
    <w:rsid w:val="0077107A"/>
    <w:rsid w:val="00771126"/>
    <w:rsid w:val="0077161D"/>
    <w:rsid w:val="007725D5"/>
    <w:rsid w:val="007738EF"/>
    <w:rsid w:val="00774592"/>
    <w:rsid w:val="00774DC8"/>
    <w:rsid w:val="007753DB"/>
    <w:rsid w:val="0077676D"/>
    <w:rsid w:val="00776FA2"/>
    <w:rsid w:val="00777890"/>
    <w:rsid w:val="00782ABB"/>
    <w:rsid w:val="007852BB"/>
    <w:rsid w:val="00785689"/>
    <w:rsid w:val="00786046"/>
    <w:rsid w:val="0078643C"/>
    <w:rsid w:val="007867D4"/>
    <w:rsid w:val="00787E62"/>
    <w:rsid w:val="00790233"/>
    <w:rsid w:val="00790A4E"/>
    <w:rsid w:val="00792A6B"/>
    <w:rsid w:val="00794535"/>
    <w:rsid w:val="00795E3D"/>
    <w:rsid w:val="00796534"/>
    <w:rsid w:val="00797386"/>
    <w:rsid w:val="0079754B"/>
    <w:rsid w:val="00797BE7"/>
    <w:rsid w:val="00797C84"/>
    <w:rsid w:val="00797DA2"/>
    <w:rsid w:val="00797F41"/>
    <w:rsid w:val="007A05F7"/>
    <w:rsid w:val="007A099C"/>
    <w:rsid w:val="007A1E6D"/>
    <w:rsid w:val="007A4264"/>
    <w:rsid w:val="007A4ED5"/>
    <w:rsid w:val="007A54DA"/>
    <w:rsid w:val="007A5852"/>
    <w:rsid w:val="007A6401"/>
    <w:rsid w:val="007B013D"/>
    <w:rsid w:val="007B052D"/>
    <w:rsid w:val="007B08E5"/>
    <w:rsid w:val="007B0EB2"/>
    <w:rsid w:val="007B11C2"/>
    <w:rsid w:val="007B1E69"/>
    <w:rsid w:val="007B3078"/>
    <w:rsid w:val="007B4C43"/>
    <w:rsid w:val="007B626C"/>
    <w:rsid w:val="007C1555"/>
    <w:rsid w:val="007C1C91"/>
    <w:rsid w:val="007C1CB9"/>
    <w:rsid w:val="007C1FD2"/>
    <w:rsid w:val="007C28FE"/>
    <w:rsid w:val="007C7356"/>
    <w:rsid w:val="007D101E"/>
    <w:rsid w:val="007D1C67"/>
    <w:rsid w:val="007D2F6B"/>
    <w:rsid w:val="007D37BE"/>
    <w:rsid w:val="007D41E2"/>
    <w:rsid w:val="007D4703"/>
    <w:rsid w:val="007D4C22"/>
    <w:rsid w:val="007D7DD1"/>
    <w:rsid w:val="007E00C3"/>
    <w:rsid w:val="007E0DD3"/>
    <w:rsid w:val="007E1D27"/>
    <w:rsid w:val="007E36F2"/>
    <w:rsid w:val="007E5928"/>
    <w:rsid w:val="007E6352"/>
    <w:rsid w:val="007E69C5"/>
    <w:rsid w:val="007F0558"/>
    <w:rsid w:val="007F08C5"/>
    <w:rsid w:val="007F2689"/>
    <w:rsid w:val="007F376A"/>
    <w:rsid w:val="007F4235"/>
    <w:rsid w:val="007F4795"/>
    <w:rsid w:val="007F4895"/>
    <w:rsid w:val="007F5AB6"/>
    <w:rsid w:val="007F5AE4"/>
    <w:rsid w:val="007F60E9"/>
    <w:rsid w:val="007F664C"/>
    <w:rsid w:val="00800217"/>
    <w:rsid w:val="008045F1"/>
    <w:rsid w:val="00805384"/>
    <w:rsid w:val="008102C0"/>
    <w:rsid w:val="00810B6F"/>
    <w:rsid w:val="00811009"/>
    <w:rsid w:val="0081112A"/>
    <w:rsid w:val="0081144C"/>
    <w:rsid w:val="0081414A"/>
    <w:rsid w:val="00814210"/>
    <w:rsid w:val="0081473C"/>
    <w:rsid w:val="008149AF"/>
    <w:rsid w:val="008154DF"/>
    <w:rsid w:val="00816AA4"/>
    <w:rsid w:val="00816FF3"/>
    <w:rsid w:val="00820018"/>
    <w:rsid w:val="00820A63"/>
    <w:rsid w:val="00820F8C"/>
    <w:rsid w:val="008215E0"/>
    <w:rsid w:val="00822951"/>
    <w:rsid w:val="00822C93"/>
    <w:rsid w:val="00822CE0"/>
    <w:rsid w:val="00823299"/>
    <w:rsid w:val="00823A98"/>
    <w:rsid w:val="00823EE1"/>
    <w:rsid w:val="00823F9C"/>
    <w:rsid w:val="00824562"/>
    <w:rsid w:val="00824BE7"/>
    <w:rsid w:val="00826ABF"/>
    <w:rsid w:val="00827C06"/>
    <w:rsid w:val="0083053B"/>
    <w:rsid w:val="008309BC"/>
    <w:rsid w:val="008312E7"/>
    <w:rsid w:val="008317C3"/>
    <w:rsid w:val="008330FA"/>
    <w:rsid w:val="008361D9"/>
    <w:rsid w:val="0083668A"/>
    <w:rsid w:val="0083736D"/>
    <w:rsid w:val="008406A4"/>
    <w:rsid w:val="00841893"/>
    <w:rsid w:val="00841AB1"/>
    <w:rsid w:val="00841FB8"/>
    <w:rsid w:val="00842675"/>
    <w:rsid w:val="00843336"/>
    <w:rsid w:val="0084595F"/>
    <w:rsid w:val="00845FD9"/>
    <w:rsid w:val="00847D37"/>
    <w:rsid w:val="0085025A"/>
    <w:rsid w:val="00851031"/>
    <w:rsid w:val="008510F5"/>
    <w:rsid w:val="00851947"/>
    <w:rsid w:val="00851A7E"/>
    <w:rsid w:val="00852FA0"/>
    <w:rsid w:val="00853BFB"/>
    <w:rsid w:val="0085438A"/>
    <w:rsid w:val="0085617B"/>
    <w:rsid w:val="008563D8"/>
    <w:rsid w:val="00856F52"/>
    <w:rsid w:val="00860101"/>
    <w:rsid w:val="00860718"/>
    <w:rsid w:val="0086095F"/>
    <w:rsid w:val="00860F10"/>
    <w:rsid w:val="00861039"/>
    <w:rsid w:val="00862D63"/>
    <w:rsid w:val="00863262"/>
    <w:rsid w:val="008632C4"/>
    <w:rsid w:val="00863DBE"/>
    <w:rsid w:val="008649FB"/>
    <w:rsid w:val="0086528D"/>
    <w:rsid w:val="008654B5"/>
    <w:rsid w:val="0086552C"/>
    <w:rsid w:val="008659AA"/>
    <w:rsid w:val="00865FBF"/>
    <w:rsid w:val="00865FE8"/>
    <w:rsid w:val="008660CB"/>
    <w:rsid w:val="00867C22"/>
    <w:rsid w:val="00867E20"/>
    <w:rsid w:val="0087102F"/>
    <w:rsid w:val="00873287"/>
    <w:rsid w:val="0087344B"/>
    <w:rsid w:val="00873B51"/>
    <w:rsid w:val="00873F28"/>
    <w:rsid w:val="00874328"/>
    <w:rsid w:val="0087627D"/>
    <w:rsid w:val="008766B3"/>
    <w:rsid w:val="0087790D"/>
    <w:rsid w:val="00877A7E"/>
    <w:rsid w:val="00880A04"/>
    <w:rsid w:val="0088118E"/>
    <w:rsid w:val="00882398"/>
    <w:rsid w:val="00882F6B"/>
    <w:rsid w:val="00883FFD"/>
    <w:rsid w:val="00884382"/>
    <w:rsid w:val="00885364"/>
    <w:rsid w:val="008906B3"/>
    <w:rsid w:val="008908C5"/>
    <w:rsid w:val="00890E70"/>
    <w:rsid w:val="0089189B"/>
    <w:rsid w:val="00891B7C"/>
    <w:rsid w:val="00894349"/>
    <w:rsid w:val="008945E9"/>
    <w:rsid w:val="008A1130"/>
    <w:rsid w:val="008A1378"/>
    <w:rsid w:val="008A14BB"/>
    <w:rsid w:val="008A17D0"/>
    <w:rsid w:val="008A5780"/>
    <w:rsid w:val="008A5C08"/>
    <w:rsid w:val="008A60B6"/>
    <w:rsid w:val="008A662E"/>
    <w:rsid w:val="008A705B"/>
    <w:rsid w:val="008A70A8"/>
    <w:rsid w:val="008B0349"/>
    <w:rsid w:val="008B2BBC"/>
    <w:rsid w:val="008B2DB7"/>
    <w:rsid w:val="008B3158"/>
    <w:rsid w:val="008B3162"/>
    <w:rsid w:val="008B34EB"/>
    <w:rsid w:val="008B39BB"/>
    <w:rsid w:val="008B425A"/>
    <w:rsid w:val="008B50AE"/>
    <w:rsid w:val="008B5A53"/>
    <w:rsid w:val="008B5C51"/>
    <w:rsid w:val="008B5DD1"/>
    <w:rsid w:val="008B6B64"/>
    <w:rsid w:val="008C0D39"/>
    <w:rsid w:val="008C3250"/>
    <w:rsid w:val="008C5B00"/>
    <w:rsid w:val="008C6539"/>
    <w:rsid w:val="008C68B8"/>
    <w:rsid w:val="008C68F1"/>
    <w:rsid w:val="008C6999"/>
    <w:rsid w:val="008D060F"/>
    <w:rsid w:val="008D0E43"/>
    <w:rsid w:val="008D1927"/>
    <w:rsid w:val="008D2551"/>
    <w:rsid w:val="008D3B58"/>
    <w:rsid w:val="008D6624"/>
    <w:rsid w:val="008D73F4"/>
    <w:rsid w:val="008D7A97"/>
    <w:rsid w:val="008D7F82"/>
    <w:rsid w:val="008D7FF0"/>
    <w:rsid w:val="008E10DB"/>
    <w:rsid w:val="008E1DD2"/>
    <w:rsid w:val="008E1E13"/>
    <w:rsid w:val="008E1F46"/>
    <w:rsid w:val="008E382A"/>
    <w:rsid w:val="008E3D6F"/>
    <w:rsid w:val="008E3FA9"/>
    <w:rsid w:val="008E7B43"/>
    <w:rsid w:val="008E7C4B"/>
    <w:rsid w:val="008F0050"/>
    <w:rsid w:val="008F07AF"/>
    <w:rsid w:val="008F0851"/>
    <w:rsid w:val="008F141C"/>
    <w:rsid w:val="008F23DE"/>
    <w:rsid w:val="008F33B0"/>
    <w:rsid w:val="008F3FD8"/>
    <w:rsid w:val="008F4921"/>
    <w:rsid w:val="008F7C51"/>
    <w:rsid w:val="008F7E96"/>
    <w:rsid w:val="00901ED9"/>
    <w:rsid w:val="009022FD"/>
    <w:rsid w:val="00902ED2"/>
    <w:rsid w:val="00903109"/>
    <w:rsid w:val="00903CBF"/>
    <w:rsid w:val="00904F16"/>
    <w:rsid w:val="00906B48"/>
    <w:rsid w:val="00906D08"/>
    <w:rsid w:val="00912465"/>
    <w:rsid w:val="00912BCE"/>
    <w:rsid w:val="009130EF"/>
    <w:rsid w:val="00913CF4"/>
    <w:rsid w:val="009148C4"/>
    <w:rsid w:val="00914E9A"/>
    <w:rsid w:val="00917D52"/>
    <w:rsid w:val="00917FDE"/>
    <w:rsid w:val="00920412"/>
    <w:rsid w:val="00920918"/>
    <w:rsid w:val="00921118"/>
    <w:rsid w:val="00921405"/>
    <w:rsid w:val="00921803"/>
    <w:rsid w:val="009221D4"/>
    <w:rsid w:val="00923C0D"/>
    <w:rsid w:val="00923F10"/>
    <w:rsid w:val="00924D50"/>
    <w:rsid w:val="0092544F"/>
    <w:rsid w:val="00926503"/>
    <w:rsid w:val="00926AB6"/>
    <w:rsid w:val="0092703C"/>
    <w:rsid w:val="00930518"/>
    <w:rsid w:val="00930783"/>
    <w:rsid w:val="00930A98"/>
    <w:rsid w:val="00930C61"/>
    <w:rsid w:val="00933F41"/>
    <w:rsid w:val="00934974"/>
    <w:rsid w:val="00934AAA"/>
    <w:rsid w:val="009357D0"/>
    <w:rsid w:val="00937E37"/>
    <w:rsid w:val="00940844"/>
    <w:rsid w:val="009409FD"/>
    <w:rsid w:val="00941649"/>
    <w:rsid w:val="0094174D"/>
    <w:rsid w:val="00943661"/>
    <w:rsid w:val="00943F32"/>
    <w:rsid w:val="00944981"/>
    <w:rsid w:val="00944A27"/>
    <w:rsid w:val="00944C6B"/>
    <w:rsid w:val="0094507C"/>
    <w:rsid w:val="00946E89"/>
    <w:rsid w:val="00947AAF"/>
    <w:rsid w:val="0095077D"/>
    <w:rsid w:val="00950A9A"/>
    <w:rsid w:val="009511D5"/>
    <w:rsid w:val="00951B18"/>
    <w:rsid w:val="00953771"/>
    <w:rsid w:val="00954376"/>
    <w:rsid w:val="00955466"/>
    <w:rsid w:val="00957139"/>
    <w:rsid w:val="00957A6C"/>
    <w:rsid w:val="00957DD9"/>
    <w:rsid w:val="0096041C"/>
    <w:rsid w:val="0096052D"/>
    <w:rsid w:val="009623B0"/>
    <w:rsid w:val="009627AB"/>
    <w:rsid w:val="009631A3"/>
    <w:rsid w:val="00963B2F"/>
    <w:rsid w:val="00963BE6"/>
    <w:rsid w:val="00964684"/>
    <w:rsid w:val="00964ABE"/>
    <w:rsid w:val="0096662F"/>
    <w:rsid w:val="009706E5"/>
    <w:rsid w:val="009708C8"/>
    <w:rsid w:val="00970DEA"/>
    <w:rsid w:val="009726D8"/>
    <w:rsid w:val="00972B99"/>
    <w:rsid w:val="00973008"/>
    <w:rsid w:val="009741BD"/>
    <w:rsid w:val="00974664"/>
    <w:rsid w:val="009751DF"/>
    <w:rsid w:val="00975FF2"/>
    <w:rsid w:val="00976C3E"/>
    <w:rsid w:val="00983F0B"/>
    <w:rsid w:val="00984BC7"/>
    <w:rsid w:val="009861DF"/>
    <w:rsid w:val="00986BE3"/>
    <w:rsid w:val="009871D9"/>
    <w:rsid w:val="00991981"/>
    <w:rsid w:val="00991CB8"/>
    <w:rsid w:val="00991CE3"/>
    <w:rsid w:val="00992AEC"/>
    <w:rsid w:val="0099340B"/>
    <w:rsid w:val="00994690"/>
    <w:rsid w:val="00994C1B"/>
    <w:rsid w:val="00995703"/>
    <w:rsid w:val="00995B69"/>
    <w:rsid w:val="00997B32"/>
    <w:rsid w:val="00997CA7"/>
    <w:rsid w:val="009A0867"/>
    <w:rsid w:val="009A1D3D"/>
    <w:rsid w:val="009A206D"/>
    <w:rsid w:val="009A2B12"/>
    <w:rsid w:val="009A56CE"/>
    <w:rsid w:val="009A7A9A"/>
    <w:rsid w:val="009B138A"/>
    <w:rsid w:val="009B1890"/>
    <w:rsid w:val="009B1BD4"/>
    <w:rsid w:val="009B2511"/>
    <w:rsid w:val="009B34B4"/>
    <w:rsid w:val="009B3D6B"/>
    <w:rsid w:val="009B3F06"/>
    <w:rsid w:val="009B4429"/>
    <w:rsid w:val="009B4ED6"/>
    <w:rsid w:val="009B58C7"/>
    <w:rsid w:val="009B69B0"/>
    <w:rsid w:val="009C00BC"/>
    <w:rsid w:val="009C1D4D"/>
    <w:rsid w:val="009C4A3F"/>
    <w:rsid w:val="009C7E9E"/>
    <w:rsid w:val="009D05DB"/>
    <w:rsid w:val="009D3939"/>
    <w:rsid w:val="009D7753"/>
    <w:rsid w:val="009D777B"/>
    <w:rsid w:val="009D7E5D"/>
    <w:rsid w:val="009D7E7D"/>
    <w:rsid w:val="009E147B"/>
    <w:rsid w:val="009E1D3B"/>
    <w:rsid w:val="009E49AE"/>
    <w:rsid w:val="009E6AD3"/>
    <w:rsid w:val="009E6F17"/>
    <w:rsid w:val="009E716A"/>
    <w:rsid w:val="009F12BA"/>
    <w:rsid w:val="009F45F9"/>
    <w:rsid w:val="009F47A8"/>
    <w:rsid w:val="009F4979"/>
    <w:rsid w:val="009F5051"/>
    <w:rsid w:val="009F5104"/>
    <w:rsid w:val="009F5576"/>
    <w:rsid w:val="009F5D08"/>
    <w:rsid w:val="009F6BCB"/>
    <w:rsid w:val="009F758D"/>
    <w:rsid w:val="009F76DB"/>
    <w:rsid w:val="009F7BEE"/>
    <w:rsid w:val="00A014C4"/>
    <w:rsid w:val="00A03ED0"/>
    <w:rsid w:val="00A04681"/>
    <w:rsid w:val="00A0561F"/>
    <w:rsid w:val="00A07D0A"/>
    <w:rsid w:val="00A07EA3"/>
    <w:rsid w:val="00A1062B"/>
    <w:rsid w:val="00A107D1"/>
    <w:rsid w:val="00A10BF6"/>
    <w:rsid w:val="00A10F1A"/>
    <w:rsid w:val="00A1177C"/>
    <w:rsid w:val="00A12697"/>
    <w:rsid w:val="00A12A69"/>
    <w:rsid w:val="00A14361"/>
    <w:rsid w:val="00A16962"/>
    <w:rsid w:val="00A17643"/>
    <w:rsid w:val="00A177C9"/>
    <w:rsid w:val="00A20D7E"/>
    <w:rsid w:val="00A214B4"/>
    <w:rsid w:val="00A2165C"/>
    <w:rsid w:val="00A21CE6"/>
    <w:rsid w:val="00A21EAB"/>
    <w:rsid w:val="00A227FE"/>
    <w:rsid w:val="00A23668"/>
    <w:rsid w:val="00A24FB9"/>
    <w:rsid w:val="00A25678"/>
    <w:rsid w:val="00A25970"/>
    <w:rsid w:val="00A261E9"/>
    <w:rsid w:val="00A31293"/>
    <w:rsid w:val="00A31E28"/>
    <w:rsid w:val="00A32C3B"/>
    <w:rsid w:val="00A333BC"/>
    <w:rsid w:val="00A335A9"/>
    <w:rsid w:val="00A3459B"/>
    <w:rsid w:val="00A34FDB"/>
    <w:rsid w:val="00A36FEC"/>
    <w:rsid w:val="00A370D7"/>
    <w:rsid w:val="00A40604"/>
    <w:rsid w:val="00A419F6"/>
    <w:rsid w:val="00A41DC4"/>
    <w:rsid w:val="00A42838"/>
    <w:rsid w:val="00A4340D"/>
    <w:rsid w:val="00A43BF0"/>
    <w:rsid w:val="00A44141"/>
    <w:rsid w:val="00A45B3E"/>
    <w:rsid w:val="00A45B7F"/>
    <w:rsid w:val="00A45E00"/>
    <w:rsid w:val="00A45F4F"/>
    <w:rsid w:val="00A46575"/>
    <w:rsid w:val="00A501EC"/>
    <w:rsid w:val="00A5137D"/>
    <w:rsid w:val="00A52F30"/>
    <w:rsid w:val="00A54C24"/>
    <w:rsid w:val="00A54C96"/>
    <w:rsid w:val="00A55AB2"/>
    <w:rsid w:val="00A56469"/>
    <w:rsid w:val="00A577FE"/>
    <w:rsid w:val="00A600A9"/>
    <w:rsid w:val="00A60B03"/>
    <w:rsid w:val="00A6125C"/>
    <w:rsid w:val="00A61C80"/>
    <w:rsid w:val="00A64657"/>
    <w:rsid w:val="00A656BB"/>
    <w:rsid w:val="00A6604B"/>
    <w:rsid w:val="00A66E04"/>
    <w:rsid w:val="00A70B78"/>
    <w:rsid w:val="00A712F4"/>
    <w:rsid w:val="00A71B08"/>
    <w:rsid w:val="00A72803"/>
    <w:rsid w:val="00A73E11"/>
    <w:rsid w:val="00A742D2"/>
    <w:rsid w:val="00A7634C"/>
    <w:rsid w:val="00A7657F"/>
    <w:rsid w:val="00A771D5"/>
    <w:rsid w:val="00A777FB"/>
    <w:rsid w:val="00A77FF6"/>
    <w:rsid w:val="00A80291"/>
    <w:rsid w:val="00A8101B"/>
    <w:rsid w:val="00A81537"/>
    <w:rsid w:val="00A81FF4"/>
    <w:rsid w:val="00A83015"/>
    <w:rsid w:val="00A834E9"/>
    <w:rsid w:val="00A84CA4"/>
    <w:rsid w:val="00A8547F"/>
    <w:rsid w:val="00A85D08"/>
    <w:rsid w:val="00A8608F"/>
    <w:rsid w:val="00A863EA"/>
    <w:rsid w:val="00A87622"/>
    <w:rsid w:val="00A8773D"/>
    <w:rsid w:val="00A928C7"/>
    <w:rsid w:val="00A9373E"/>
    <w:rsid w:val="00A941E7"/>
    <w:rsid w:val="00A94971"/>
    <w:rsid w:val="00A97C43"/>
    <w:rsid w:val="00AA026B"/>
    <w:rsid w:val="00AA1339"/>
    <w:rsid w:val="00AA2FF4"/>
    <w:rsid w:val="00AA33B2"/>
    <w:rsid w:val="00AA3726"/>
    <w:rsid w:val="00AA4784"/>
    <w:rsid w:val="00AA4E49"/>
    <w:rsid w:val="00AA4FD4"/>
    <w:rsid w:val="00AA55B7"/>
    <w:rsid w:val="00AA5759"/>
    <w:rsid w:val="00AA5B9E"/>
    <w:rsid w:val="00AA5BF4"/>
    <w:rsid w:val="00AA62F1"/>
    <w:rsid w:val="00AA7682"/>
    <w:rsid w:val="00AA789A"/>
    <w:rsid w:val="00AB0010"/>
    <w:rsid w:val="00AB1317"/>
    <w:rsid w:val="00AB22BF"/>
    <w:rsid w:val="00AB2407"/>
    <w:rsid w:val="00AB2A9B"/>
    <w:rsid w:val="00AB2F9D"/>
    <w:rsid w:val="00AB3120"/>
    <w:rsid w:val="00AB4E44"/>
    <w:rsid w:val="00AB53DF"/>
    <w:rsid w:val="00AB6AD4"/>
    <w:rsid w:val="00AC0670"/>
    <w:rsid w:val="00AC29C9"/>
    <w:rsid w:val="00AC2BCB"/>
    <w:rsid w:val="00AC2C5C"/>
    <w:rsid w:val="00AC4E96"/>
    <w:rsid w:val="00AC5331"/>
    <w:rsid w:val="00AC5819"/>
    <w:rsid w:val="00AC620E"/>
    <w:rsid w:val="00AC646C"/>
    <w:rsid w:val="00AC648E"/>
    <w:rsid w:val="00AC7572"/>
    <w:rsid w:val="00AD09A3"/>
    <w:rsid w:val="00AD1095"/>
    <w:rsid w:val="00AD1C98"/>
    <w:rsid w:val="00AD3CB0"/>
    <w:rsid w:val="00AD62FF"/>
    <w:rsid w:val="00AD7011"/>
    <w:rsid w:val="00AD71A3"/>
    <w:rsid w:val="00AD74AF"/>
    <w:rsid w:val="00AE1495"/>
    <w:rsid w:val="00AE280C"/>
    <w:rsid w:val="00AE35F3"/>
    <w:rsid w:val="00AE3783"/>
    <w:rsid w:val="00AE6679"/>
    <w:rsid w:val="00AE6A80"/>
    <w:rsid w:val="00AE6F5F"/>
    <w:rsid w:val="00AE7346"/>
    <w:rsid w:val="00AF0CC3"/>
    <w:rsid w:val="00AF0D82"/>
    <w:rsid w:val="00AF1C87"/>
    <w:rsid w:val="00AF21FB"/>
    <w:rsid w:val="00AF2F5F"/>
    <w:rsid w:val="00AF3E26"/>
    <w:rsid w:val="00AF4192"/>
    <w:rsid w:val="00AF63AF"/>
    <w:rsid w:val="00AF646E"/>
    <w:rsid w:val="00AF650C"/>
    <w:rsid w:val="00AF7BBC"/>
    <w:rsid w:val="00AF7C79"/>
    <w:rsid w:val="00B004A4"/>
    <w:rsid w:val="00B007C1"/>
    <w:rsid w:val="00B02053"/>
    <w:rsid w:val="00B021ED"/>
    <w:rsid w:val="00B036F7"/>
    <w:rsid w:val="00B0386B"/>
    <w:rsid w:val="00B03CF4"/>
    <w:rsid w:val="00B0458B"/>
    <w:rsid w:val="00B047C9"/>
    <w:rsid w:val="00B0600B"/>
    <w:rsid w:val="00B06A25"/>
    <w:rsid w:val="00B06DAC"/>
    <w:rsid w:val="00B07481"/>
    <w:rsid w:val="00B0753A"/>
    <w:rsid w:val="00B07E5C"/>
    <w:rsid w:val="00B10358"/>
    <w:rsid w:val="00B1080B"/>
    <w:rsid w:val="00B1133F"/>
    <w:rsid w:val="00B118D3"/>
    <w:rsid w:val="00B135C8"/>
    <w:rsid w:val="00B14B2B"/>
    <w:rsid w:val="00B16756"/>
    <w:rsid w:val="00B17D9A"/>
    <w:rsid w:val="00B20F14"/>
    <w:rsid w:val="00B22EF2"/>
    <w:rsid w:val="00B263BE"/>
    <w:rsid w:val="00B26CE2"/>
    <w:rsid w:val="00B3105D"/>
    <w:rsid w:val="00B31236"/>
    <w:rsid w:val="00B330C3"/>
    <w:rsid w:val="00B33460"/>
    <w:rsid w:val="00B34F65"/>
    <w:rsid w:val="00B3537C"/>
    <w:rsid w:val="00B36008"/>
    <w:rsid w:val="00B3664A"/>
    <w:rsid w:val="00B36794"/>
    <w:rsid w:val="00B37627"/>
    <w:rsid w:val="00B37DFB"/>
    <w:rsid w:val="00B37E80"/>
    <w:rsid w:val="00B411C2"/>
    <w:rsid w:val="00B4124C"/>
    <w:rsid w:val="00B42924"/>
    <w:rsid w:val="00B42C9D"/>
    <w:rsid w:val="00B42F16"/>
    <w:rsid w:val="00B43FB6"/>
    <w:rsid w:val="00B4452D"/>
    <w:rsid w:val="00B45094"/>
    <w:rsid w:val="00B45100"/>
    <w:rsid w:val="00B45124"/>
    <w:rsid w:val="00B466B4"/>
    <w:rsid w:val="00B468B2"/>
    <w:rsid w:val="00B47551"/>
    <w:rsid w:val="00B478B6"/>
    <w:rsid w:val="00B47B9C"/>
    <w:rsid w:val="00B5153C"/>
    <w:rsid w:val="00B53D04"/>
    <w:rsid w:val="00B53E50"/>
    <w:rsid w:val="00B54C8B"/>
    <w:rsid w:val="00B55A1B"/>
    <w:rsid w:val="00B56C5B"/>
    <w:rsid w:val="00B575C0"/>
    <w:rsid w:val="00B616D8"/>
    <w:rsid w:val="00B633D3"/>
    <w:rsid w:val="00B63D3D"/>
    <w:rsid w:val="00B64BD2"/>
    <w:rsid w:val="00B64EA1"/>
    <w:rsid w:val="00B66140"/>
    <w:rsid w:val="00B66283"/>
    <w:rsid w:val="00B66630"/>
    <w:rsid w:val="00B66EE1"/>
    <w:rsid w:val="00B66F56"/>
    <w:rsid w:val="00B70787"/>
    <w:rsid w:val="00B7195D"/>
    <w:rsid w:val="00B74F1F"/>
    <w:rsid w:val="00B754B6"/>
    <w:rsid w:val="00B7556C"/>
    <w:rsid w:val="00B76058"/>
    <w:rsid w:val="00B765A6"/>
    <w:rsid w:val="00B8046B"/>
    <w:rsid w:val="00B8078F"/>
    <w:rsid w:val="00B809B3"/>
    <w:rsid w:val="00B811F7"/>
    <w:rsid w:val="00B819D1"/>
    <w:rsid w:val="00B82F77"/>
    <w:rsid w:val="00B833D6"/>
    <w:rsid w:val="00B834D4"/>
    <w:rsid w:val="00B83EDA"/>
    <w:rsid w:val="00B84241"/>
    <w:rsid w:val="00B84AE2"/>
    <w:rsid w:val="00B860ED"/>
    <w:rsid w:val="00B8692F"/>
    <w:rsid w:val="00B871ED"/>
    <w:rsid w:val="00B90391"/>
    <w:rsid w:val="00B9133C"/>
    <w:rsid w:val="00B934BF"/>
    <w:rsid w:val="00B9359C"/>
    <w:rsid w:val="00B963B8"/>
    <w:rsid w:val="00B96495"/>
    <w:rsid w:val="00B964C2"/>
    <w:rsid w:val="00B972FF"/>
    <w:rsid w:val="00BA1A51"/>
    <w:rsid w:val="00BA1EE9"/>
    <w:rsid w:val="00BA3015"/>
    <w:rsid w:val="00BA398C"/>
    <w:rsid w:val="00BA39EA"/>
    <w:rsid w:val="00BA3E70"/>
    <w:rsid w:val="00BA443E"/>
    <w:rsid w:val="00BA495B"/>
    <w:rsid w:val="00BA4FDD"/>
    <w:rsid w:val="00BA5DC6"/>
    <w:rsid w:val="00BA6196"/>
    <w:rsid w:val="00BA6D73"/>
    <w:rsid w:val="00BB0AD3"/>
    <w:rsid w:val="00BB2F8C"/>
    <w:rsid w:val="00BB3731"/>
    <w:rsid w:val="00BB3DE0"/>
    <w:rsid w:val="00BB3E74"/>
    <w:rsid w:val="00BB6219"/>
    <w:rsid w:val="00BB7F1F"/>
    <w:rsid w:val="00BC0AE9"/>
    <w:rsid w:val="00BC5CCD"/>
    <w:rsid w:val="00BC5E55"/>
    <w:rsid w:val="00BC6935"/>
    <w:rsid w:val="00BC6D8C"/>
    <w:rsid w:val="00BC702F"/>
    <w:rsid w:val="00BD007F"/>
    <w:rsid w:val="00BD06C4"/>
    <w:rsid w:val="00BD11C4"/>
    <w:rsid w:val="00BD1AD9"/>
    <w:rsid w:val="00BD363A"/>
    <w:rsid w:val="00BD4CFD"/>
    <w:rsid w:val="00BD59A1"/>
    <w:rsid w:val="00BD5CFF"/>
    <w:rsid w:val="00BD61A2"/>
    <w:rsid w:val="00BD6BE7"/>
    <w:rsid w:val="00BE0591"/>
    <w:rsid w:val="00BE070F"/>
    <w:rsid w:val="00BE107B"/>
    <w:rsid w:val="00BE110A"/>
    <w:rsid w:val="00BE20ED"/>
    <w:rsid w:val="00BE2BFB"/>
    <w:rsid w:val="00BE3EDA"/>
    <w:rsid w:val="00BE4282"/>
    <w:rsid w:val="00BE4330"/>
    <w:rsid w:val="00BE4D5D"/>
    <w:rsid w:val="00BE60F2"/>
    <w:rsid w:val="00BE66AD"/>
    <w:rsid w:val="00BE7616"/>
    <w:rsid w:val="00BF0710"/>
    <w:rsid w:val="00BF1694"/>
    <w:rsid w:val="00BF23C2"/>
    <w:rsid w:val="00BF3FAB"/>
    <w:rsid w:val="00BF4838"/>
    <w:rsid w:val="00BF5B16"/>
    <w:rsid w:val="00C000B4"/>
    <w:rsid w:val="00C02DEC"/>
    <w:rsid w:val="00C03AD1"/>
    <w:rsid w:val="00C066F8"/>
    <w:rsid w:val="00C073A7"/>
    <w:rsid w:val="00C078C1"/>
    <w:rsid w:val="00C10704"/>
    <w:rsid w:val="00C10D04"/>
    <w:rsid w:val="00C10E1D"/>
    <w:rsid w:val="00C13869"/>
    <w:rsid w:val="00C13C6D"/>
    <w:rsid w:val="00C1483E"/>
    <w:rsid w:val="00C148F1"/>
    <w:rsid w:val="00C1654A"/>
    <w:rsid w:val="00C1663C"/>
    <w:rsid w:val="00C16C7D"/>
    <w:rsid w:val="00C17440"/>
    <w:rsid w:val="00C176A9"/>
    <w:rsid w:val="00C17F79"/>
    <w:rsid w:val="00C2001F"/>
    <w:rsid w:val="00C201B4"/>
    <w:rsid w:val="00C229AA"/>
    <w:rsid w:val="00C239E5"/>
    <w:rsid w:val="00C23AB0"/>
    <w:rsid w:val="00C25D16"/>
    <w:rsid w:val="00C307A8"/>
    <w:rsid w:val="00C3274F"/>
    <w:rsid w:val="00C3306B"/>
    <w:rsid w:val="00C3348D"/>
    <w:rsid w:val="00C34006"/>
    <w:rsid w:val="00C34512"/>
    <w:rsid w:val="00C3461F"/>
    <w:rsid w:val="00C3463E"/>
    <w:rsid w:val="00C34AAE"/>
    <w:rsid w:val="00C40C18"/>
    <w:rsid w:val="00C41728"/>
    <w:rsid w:val="00C426B1"/>
    <w:rsid w:val="00C42768"/>
    <w:rsid w:val="00C43CEC"/>
    <w:rsid w:val="00C44913"/>
    <w:rsid w:val="00C44921"/>
    <w:rsid w:val="00C44B00"/>
    <w:rsid w:val="00C44CCC"/>
    <w:rsid w:val="00C45330"/>
    <w:rsid w:val="00C454F7"/>
    <w:rsid w:val="00C45B4C"/>
    <w:rsid w:val="00C46E07"/>
    <w:rsid w:val="00C47923"/>
    <w:rsid w:val="00C50752"/>
    <w:rsid w:val="00C52073"/>
    <w:rsid w:val="00C55C84"/>
    <w:rsid w:val="00C565D1"/>
    <w:rsid w:val="00C56DA0"/>
    <w:rsid w:val="00C61C85"/>
    <w:rsid w:val="00C632BC"/>
    <w:rsid w:val="00C63A32"/>
    <w:rsid w:val="00C64365"/>
    <w:rsid w:val="00C651A4"/>
    <w:rsid w:val="00C66160"/>
    <w:rsid w:val="00C66A19"/>
    <w:rsid w:val="00C721AC"/>
    <w:rsid w:val="00C722EA"/>
    <w:rsid w:val="00C72FFF"/>
    <w:rsid w:val="00C73107"/>
    <w:rsid w:val="00C75707"/>
    <w:rsid w:val="00C77CA2"/>
    <w:rsid w:val="00C83944"/>
    <w:rsid w:val="00C8459F"/>
    <w:rsid w:val="00C84794"/>
    <w:rsid w:val="00C85F0B"/>
    <w:rsid w:val="00C86B1A"/>
    <w:rsid w:val="00C87329"/>
    <w:rsid w:val="00C90D6A"/>
    <w:rsid w:val="00C93262"/>
    <w:rsid w:val="00C93628"/>
    <w:rsid w:val="00C9397D"/>
    <w:rsid w:val="00C93D1A"/>
    <w:rsid w:val="00C93DA1"/>
    <w:rsid w:val="00C94822"/>
    <w:rsid w:val="00C95332"/>
    <w:rsid w:val="00C95597"/>
    <w:rsid w:val="00CA159D"/>
    <w:rsid w:val="00CA212C"/>
    <w:rsid w:val="00CA247E"/>
    <w:rsid w:val="00CA3964"/>
    <w:rsid w:val="00CA4C33"/>
    <w:rsid w:val="00CA618A"/>
    <w:rsid w:val="00CA6263"/>
    <w:rsid w:val="00CA6410"/>
    <w:rsid w:val="00CA65C2"/>
    <w:rsid w:val="00CA6AFE"/>
    <w:rsid w:val="00CA7D1A"/>
    <w:rsid w:val="00CB0958"/>
    <w:rsid w:val="00CB1471"/>
    <w:rsid w:val="00CB2EA9"/>
    <w:rsid w:val="00CB303F"/>
    <w:rsid w:val="00CB380D"/>
    <w:rsid w:val="00CB3BBB"/>
    <w:rsid w:val="00CB4D67"/>
    <w:rsid w:val="00CB5BA1"/>
    <w:rsid w:val="00CB620D"/>
    <w:rsid w:val="00CB7727"/>
    <w:rsid w:val="00CC0011"/>
    <w:rsid w:val="00CC072D"/>
    <w:rsid w:val="00CC0D86"/>
    <w:rsid w:val="00CC0DCD"/>
    <w:rsid w:val="00CC0FD0"/>
    <w:rsid w:val="00CC1744"/>
    <w:rsid w:val="00CC38B2"/>
    <w:rsid w:val="00CC58F6"/>
    <w:rsid w:val="00CC5EB6"/>
    <w:rsid w:val="00CC60AD"/>
    <w:rsid w:val="00CC657E"/>
    <w:rsid w:val="00CC6BC8"/>
    <w:rsid w:val="00CC70AE"/>
    <w:rsid w:val="00CC72B6"/>
    <w:rsid w:val="00CD0B79"/>
    <w:rsid w:val="00CD129C"/>
    <w:rsid w:val="00CD2360"/>
    <w:rsid w:val="00CD49DA"/>
    <w:rsid w:val="00CD6487"/>
    <w:rsid w:val="00CD64D1"/>
    <w:rsid w:val="00CD6C5A"/>
    <w:rsid w:val="00CE07BF"/>
    <w:rsid w:val="00CE114C"/>
    <w:rsid w:val="00CE1D08"/>
    <w:rsid w:val="00CE2070"/>
    <w:rsid w:val="00CE2535"/>
    <w:rsid w:val="00CE2726"/>
    <w:rsid w:val="00CE39AB"/>
    <w:rsid w:val="00CE44D7"/>
    <w:rsid w:val="00CE461C"/>
    <w:rsid w:val="00CE662D"/>
    <w:rsid w:val="00CE6A10"/>
    <w:rsid w:val="00CE6B5F"/>
    <w:rsid w:val="00CE6EF7"/>
    <w:rsid w:val="00CF0899"/>
    <w:rsid w:val="00CF1134"/>
    <w:rsid w:val="00CF29FA"/>
    <w:rsid w:val="00CF3F0A"/>
    <w:rsid w:val="00CF4B17"/>
    <w:rsid w:val="00CF4C4A"/>
    <w:rsid w:val="00CF53E5"/>
    <w:rsid w:val="00CF70C6"/>
    <w:rsid w:val="00D005DC"/>
    <w:rsid w:val="00D00758"/>
    <w:rsid w:val="00D011BA"/>
    <w:rsid w:val="00D0218D"/>
    <w:rsid w:val="00D02E15"/>
    <w:rsid w:val="00D03005"/>
    <w:rsid w:val="00D03440"/>
    <w:rsid w:val="00D0394E"/>
    <w:rsid w:val="00D0669E"/>
    <w:rsid w:val="00D06973"/>
    <w:rsid w:val="00D06D0D"/>
    <w:rsid w:val="00D070A7"/>
    <w:rsid w:val="00D07851"/>
    <w:rsid w:val="00D11BCB"/>
    <w:rsid w:val="00D120F8"/>
    <w:rsid w:val="00D12668"/>
    <w:rsid w:val="00D13C72"/>
    <w:rsid w:val="00D15A88"/>
    <w:rsid w:val="00D16A8D"/>
    <w:rsid w:val="00D2036B"/>
    <w:rsid w:val="00D22E3B"/>
    <w:rsid w:val="00D23D97"/>
    <w:rsid w:val="00D248EF"/>
    <w:rsid w:val="00D24E06"/>
    <w:rsid w:val="00D258D3"/>
    <w:rsid w:val="00D25FB5"/>
    <w:rsid w:val="00D269E7"/>
    <w:rsid w:val="00D27331"/>
    <w:rsid w:val="00D34006"/>
    <w:rsid w:val="00D34080"/>
    <w:rsid w:val="00D343E7"/>
    <w:rsid w:val="00D35946"/>
    <w:rsid w:val="00D371A4"/>
    <w:rsid w:val="00D373C1"/>
    <w:rsid w:val="00D37BD6"/>
    <w:rsid w:val="00D37EBA"/>
    <w:rsid w:val="00D37EFC"/>
    <w:rsid w:val="00D4000F"/>
    <w:rsid w:val="00D40E2C"/>
    <w:rsid w:val="00D40E82"/>
    <w:rsid w:val="00D417A0"/>
    <w:rsid w:val="00D4203B"/>
    <w:rsid w:val="00D421D1"/>
    <w:rsid w:val="00D44223"/>
    <w:rsid w:val="00D44F3B"/>
    <w:rsid w:val="00D5000A"/>
    <w:rsid w:val="00D51A01"/>
    <w:rsid w:val="00D5547C"/>
    <w:rsid w:val="00D565E4"/>
    <w:rsid w:val="00D56F32"/>
    <w:rsid w:val="00D60E29"/>
    <w:rsid w:val="00D615D8"/>
    <w:rsid w:val="00D61708"/>
    <w:rsid w:val="00D632D3"/>
    <w:rsid w:val="00D63A6C"/>
    <w:rsid w:val="00D63B4B"/>
    <w:rsid w:val="00D63BD8"/>
    <w:rsid w:val="00D63F55"/>
    <w:rsid w:val="00D64461"/>
    <w:rsid w:val="00D648AA"/>
    <w:rsid w:val="00D64B4F"/>
    <w:rsid w:val="00D64B59"/>
    <w:rsid w:val="00D64CAA"/>
    <w:rsid w:val="00D64F64"/>
    <w:rsid w:val="00D64FF0"/>
    <w:rsid w:val="00D65372"/>
    <w:rsid w:val="00D65D58"/>
    <w:rsid w:val="00D65E4C"/>
    <w:rsid w:val="00D70755"/>
    <w:rsid w:val="00D71F53"/>
    <w:rsid w:val="00D73EAD"/>
    <w:rsid w:val="00D7562C"/>
    <w:rsid w:val="00D75D95"/>
    <w:rsid w:val="00D77F59"/>
    <w:rsid w:val="00D80347"/>
    <w:rsid w:val="00D811C2"/>
    <w:rsid w:val="00D81688"/>
    <w:rsid w:val="00D81C61"/>
    <w:rsid w:val="00D82139"/>
    <w:rsid w:val="00D83C21"/>
    <w:rsid w:val="00D86196"/>
    <w:rsid w:val="00D877C5"/>
    <w:rsid w:val="00D87DF9"/>
    <w:rsid w:val="00D90A3E"/>
    <w:rsid w:val="00D90C91"/>
    <w:rsid w:val="00D91671"/>
    <w:rsid w:val="00D92CA3"/>
    <w:rsid w:val="00D932D6"/>
    <w:rsid w:val="00D9341F"/>
    <w:rsid w:val="00D946A5"/>
    <w:rsid w:val="00D96D03"/>
    <w:rsid w:val="00D96D34"/>
    <w:rsid w:val="00D97728"/>
    <w:rsid w:val="00DA1A53"/>
    <w:rsid w:val="00DA2529"/>
    <w:rsid w:val="00DA3409"/>
    <w:rsid w:val="00DA39A0"/>
    <w:rsid w:val="00DA4F3D"/>
    <w:rsid w:val="00DA56C7"/>
    <w:rsid w:val="00DA6A2A"/>
    <w:rsid w:val="00DA6D6A"/>
    <w:rsid w:val="00DB130A"/>
    <w:rsid w:val="00DB1E00"/>
    <w:rsid w:val="00DB2EBB"/>
    <w:rsid w:val="00DB3538"/>
    <w:rsid w:val="00DB35A8"/>
    <w:rsid w:val="00DB4BFD"/>
    <w:rsid w:val="00DB52CE"/>
    <w:rsid w:val="00DB56C6"/>
    <w:rsid w:val="00DB62DD"/>
    <w:rsid w:val="00DB65C8"/>
    <w:rsid w:val="00DB7784"/>
    <w:rsid w:val="00DB7DEE"/>
    <w:rsid w:val="00DC0D80"/>
    <w:rsid w:val="00DC10A1"/>
    <w:rsid w:val="00DC12FC"/>
    <w:rsid w:val="00DC18E7"/>
    <w:rsid w:val="00DC2CC0"/>
    <w:rsid w:val="00DC2D93"/>
    <w:rsid w:val="00DC538B"/>
    <w:rsid w:val="00DC574D"/>
    <w:rsid w:val="00DC5ACF"/>
    <w:rsid w:val="00DC625A"/>
    <w:rsid w:val="00DC655F"/>
    <w:rsid w:val="00DC6896"/>
    <w:rsid w:val="00DC7118"/>
    <w:rsid w:val="00DD0170"/>
    <w:rsid w:val="00DD066C"/>
    <w:rsid w:val="00DD0B59"/>
    <w:rsid w:val="00DD1814"/>
    <w:rsid w:val="00DD1FEC"/>
    <w:rsid w:val="00DD2308"/>
    <w:rsid w:val="00DD303C"/>
    <w:rsid w:val="00DD36BF"/>
    <w:rsid w:val="00DD5D87"/>
    <w:rsid w:val="00DD6332"/>
    <w:rsid w:val="00DD69E8"/>
    <w:rsid w:val="00DD70BA"/>
    <w:rsid w:val="00DD7EBD"/>
    <w:rsid w:val="00DE03EE"/>
    <w:rsid w:val="00DE05B1"/>
    <w:rsid w:val="00DE1160"/>
    <w:rsid w:val="00DE1190"/>
    <w:rsid w:val="00DE2765"/>
    <w:rsid w:val="00DE47C0"/>
    <w:rsid w:val="00DE530E"/>
    <w:rsid w:val="00DE5C3C"/>
    <w:rsid w:val="00DE6274"/>
    <w:rsid w:val="00DE7CCC"/>
    <w:rsid w:val="00DF0F3C"/>
    <w:rsid w:val="00DF40EF"/>
    <w:rsid w:val="00DF4C22"/>
    <w:rsid w:val="00DF5056"/>
    <w:rsid w:val="00DF62B6"/>
    <w:rsid w:val="00DF7B01"/>
    <w:rsid w:val="00DF7DBF"/>
    <w:rsid w:val="00DF7ED9"/>
    <w:rsid w:val="00E00A2E"/>
    <w:rsid w:val="00E0103F"/>
    <w:rsid w:val="00E03C14"/>
    <w:rsid w:val="00E04069"/>
    <w:rsid w:val="00E04355"/>
    <w:rsid w:val="00E05718"/>
    <w:rsid w:val="00E05A33"/>
    <w:rsid w:val="00E05F59"/>
    <w:rsid w:val="00E06316"/>
    <w:rsid w:val="00E07225"/>
    <w:rsid w:val="00E07737"/>
    <w:rsid w:val="00E105AA"/>
    <w:rsid w:val="00E129B5"/>
    <w:rsid w:val="00E1308B"/>
    <w:rsid w:val="00E13308"/>
    <w:rsid w:val="00E133A8"/>
    <w:rsid w:val="00E14B68"/>
    <w:rsid w:val="00E16DEB"/>
    <w:rsid w:val="00E20615"/>
    <w:rsid w:val="00E2089E"/>
    <w:rsid w:val="00E213E4"/>
    <w:rsid w:val="00E220FB"/>
    <w:rsid w:val="00E242A1"/>
    <w:rsid w:val="00E24847"/>
    <w:rsid w:val="00E24CD6"/>
    <w:rsid w:val="00E250D9"/>
    <w:rsid w:val="00E257C0"/>
    <w:rsid w:val="00E26274"/>
    <w:rsid w:val="00E264A6"/>
    <w:rsid w:val="00E27567"/>
    <w:rsid w:val="00E3045A"/>
    <w:rsid w:val="00E33193"/>
    <w:rsid w:val="00E33A44"/>
    <w:rsid w:val="00E33CA2"/>
    <w:rsid w:val="00E33FB8"/>
    <w:rsid w:val="00E34D3D"/>
    <w:rsid w:val="00E351E9"/>
    <w:rsid w:val="00E37DB6"/>
    <w:rsid w:val="00E4126F"/>
    <w:rsid w:val="00E41A96"/>
    <w:rsid w:val="00E43043"/>
    <w:rsid w:val="00E43620"/>
    <w:rsid w:val="00E43C60"/>
    <w:rsid w:val="00E4768C"/>
    <w:rsid w:val="00E51D46"/>
    <w:rsid w:val="00E51EE6"/>
    <w:rsid w:val="00E520F6"/>
    <w:rsid w:val="00E5409F"/>
    <w:rsid w:val="00E544A3"/>
    <w:rsid w:val="00E560FF"/>
    <w:rsid w:val="00E56752"/>
    <w:rsid w:val="00E56DB4"/>
    <w:rsid w:val="00E578F8"/>
    <w:rsid w:val="00E608EA"/>
    <w:rsid w:val="00E60969"/>
    <w:rsid w:val="00E62810"/>
    <w:rsid w:val="00E63770"/>
    <w:rsid w:val="00E63F8B"/>
    <w:rsid w:val="00E65776"/>
    <w:rsid w:val="00E66560"/>
    <w:rsid w:val="00E66DFE"/>
    <w:rsid w:val="00E67D13"/>
    <w:rsid w:val="00E706B4"/>
    <w:rsid w:val="00E70C88"/>
    <w:rsid w:val="00E70D7C"/>
    <w:rsid w:val="00E70E29"/>
    <w:rsid w:val="00E725DE"/>
    <w:rsid w:val="00E73C87"/>
    <w:rsid w:val="00E744C9"/>
    <w:rsid w:val="00E754AA"/>
    <w:rsid w:val="00E760B1"/>
    <w:rsid w:val="00E77AF8"/>
    <w:rsid w:val="00E808B4"/>
    <w:rsid w:val="00E80A23"/>
    <w:rsid w:val="00E80AE5"/>
    <w:rsid w:val="00E80D72"/>
    <w:rsid w:val="00E81BBF"/>
    <w:rsid w:val="00E81E5F"/>
    <w:rsid w:val="00E82706"/>
    <w:rsid w:val="00E83A9F"/>
    <w:rsid w:val="00E83EDF"/>
    <w:rsid w:val="00E85A50"/>
    <w:rsid w:val="00E865DB"/>
    <w:rsid w:val="00E87575"/>
    <w:rsid w:val="00E91046"/>
    <w:rsid w:val="00E91A7C"/>
    <w:rsid w:val="00E93B23"/>
    <w:rsid w:val="00E94661"/>
    <w:rsid w:val="00E9574D"/>
    <w:rsid w:val="00E95B9E"/>
    <w:rsid w:val="00EA1212"/>
    <w:rsid w:val="00EA16DC"/>
    <w:rsid w:val="00EA23C5"/>
    <w:rsid w:val="00EA2E75"/>
    <w:rsid w:val="00EB034D"/>
    <w:rsid w:val="00EB22F1"/>
    <w:rsid w:val="00EB3A57"/>
    <w:rsid w:val="00EB461A"/>
    <w:rsid w:val="00EB50E2"/>
    <w:rsid w:val="00EB7442"/>
    <w:rsid w:val="00EB7D7A"/>
    <w:rsid w:val="00EC01B7"/>
    <w:rsid w:val="00EC185F"/>
    <w:rsid w:val="00EC2969"/>
    <w:rsid w:val="00EC2F6A"/>
    <w:rsid w:val="00EC3EE9"/>
    <w:rsid w:val="00EC5759"/>
    <w:rsid w:val="00EC65B5"/>
    <w:rsid w:val="00EC6C05"/>
    <w:rsid w:val="00EC6E86"/>
    <w:rsid w:val="00ED05F3"/>
    <w:rsid w:val="00ED08A4"/>
    <w:rsid w:val="00ED0DEA"/>
    <w:rsid w:val="00ED2084"/>
    <w:rsid w:val="00ED2560"/>
    <w:rsid w:val="00ED2716"/>
    <w:rsid w:val="00ED2F8A"/>
    <w:rsid w:val="00ED3B23"/>
    <w:rsid w:val="00ED5A69"/>
    <w:rsid w:val="00ED6167"/>
    <w:rsid w:val="00ED77A5"/>
    <w:rsid w:val="00ED7DF6"/>
    <w:rsid w:val="00EE32B0"/>
    <w:rsid w:val="00EE40A1"/>
    <w:rsid w:val="00EE5525"/>
    <w:rsid w:val="00EE6488"/>
    <w:rsid w:val="00EE755B"/>
    <w:rsid w:val="00EE7C60"/>
    <w:rsid w:val="00EE7FA8"/>
    <w:rsid w:val="00EF1507"/>
    <w:rsid w:val="00EF1B35"/>
    <w:rsid w:val="00EF2300"/>
    <w:rsid w:val="00EF47B8"/>
    <w:rsid w:val="00EF50F6"/>
    <w:rsid w:val="00EF53FB"/>
    <w:rsid w:val="00EF5A22"/>
    <w:rsid w:val="00EF7777"/>
    <w:rsid w:val="00F009A1"/>
    <w:rsid w:val="00F019AA"/>
    <w:rsid w:val="00F01F00"/>
    <w:rsid w:val="00F02058"/>
    <w:rsid w:val="00F020ED"/>
    <w:rsid w:val="00F021FA"/>
    <w:rsid w:val="00F02A2E"/>
    <w:rsid w:val="00F02BA4"/>
    <w:rsid w:val="00F048FC"/>
    <w:rsid w:val="00F04B50"/>
    <w:rsid w:val="00F06D28"/>
    <w:rsid w:val="00F1072D"/>
    <w:rsid w:val="00F120C0"/>
    <w:rsid w:val="00F12201"/>
    <w:rsid w:val="00F12322"/>
    <w:rsid w:val="00F128EB"/>
    <w:rsid w:val="00F135D6"/>
    <w:rsid w:val="00F1424E"/>
    <w:rsid w:val="00F166D0"/>
    <w:rsid w:val="00F16783"/>
    <w:rsid w:val="00F17D07"/>
    <w:rsid w:val="00F22283"/>
    <w:rsid w:val="00F225D5"/>
    <w:rsid w:val="00F23F60"/>
    <w:rsid w:val="00F241BC"/>
    <w:rsid w:val="00F24997"/>
    <w:rsid w:val="00F24A1F"/>
    <w:rsid w:val="00F26879"/>
    <w:rsid w:val="00F271C6"/>
    <w:rsid w:val="00F27D86"/>
    <w:rsid w:val="00F31252"/>
    <w:rsid w:val="00F31780"/>
    <w:rsid w:val="00F32367"/>
    <w:rsid w:val="00F3415D"/>
    <w:rsid w:val="00F346E1"/>
    <w:rsid w:val="00F34E84"/>
    <w:rsid w:val="00F35AB2"/>
    <w:rsid w:val="00F35C54"/>
    <w:rsid w:val="00F36E71"/>
    <w:rsid w:val="00F36F13"/>
    <w:rsid w:val="00F374EE"/>
    <w:rsid w:val="00F37C62"/>
    <w:rsid w:val="00F37D35"/>
    <w:rsid w:val="00F41184"/>
    <w:rsid w:val="00F42823"/>
    <w:rsid w:val="00F43CE4"/>
    <w:rsid w:val="00F4413C"/>
    <w:rsid w:val="00F4470A"/>
    <w:rsid w:val="00F44D7E"/>
    <w:rsid w:val="00F46736"/>
    <w:rsid w:val="00F46AF6"/>
    <w:rsid w:val="00F47495"/>
    <w:rsid w:val="00F514A9"/>
    <w:rsid w:val="00F51ECB"/>
    <w:rsid w:val="00F5279C"/>
    <w:rsid w:val="00F52D11"/>
    <w:rsid w:val="00F5307C"/>
    <w:rsid w:val="00F53919"/>
    <w:rsid w:val="00F53AA5"/>
    <w:rsid w:val="00F5422D"/>
    <w:rsid w:val="00F550E0"/>
    <w:rsid w:val="00F552F5"/>
    <w:rsid w:val="00F55602"/>
    <w:rsid w:val="00F56C51"/>
    <w:rsid w:val="00F61311"/>
    <w:rsid w:val="00F61944"/>
    <w:rsid w:val="00F6208C"/>
    <w:rsid w:val="00F626C4"/>
    <w:rsid w:val="00F62E97"/>
    <w:rsid w:val="00F63796"/>
    <w:rsid w:val="00F63EC6"/>
    <w:rsid w:val="00F64209"/>
    <w:rsid w:val="00F65123"/>
    <w:rsid w:val="00F65471"/>
    <w:rsid w:val="00F66030"/>
    <w:rsid w:val="00F6706C"/>
    <w:rsid w:val="00F70B27"/>
    <w:rsid w:val="00F7281C"/>
    <w:rsid w:val="00F73343"/>
    <w:rsid w:val="00F73613"/>
    <w:rsid w:val="00F74915"/>
    <w:rsid w:val="00F74FB1"/>
    <w:rsid w:val="00F7629F"/>
    <w:rsid w:val="00F76F64"/>
    <w:rsid w:val="00F77A8F"/>
    <w:rsid w:val="00F81A2A"/>
    <w:rsid w:val="00F82023"/>
    <w:rsid w:val="00F82E69"/>
    <w:rsid w:val="00F84CD3"/>
    <w:rsid w:val="00F858C6"/>
    <w:rsid w:val="00F85A3C"/>
    <w:rsid w:val="00F8677F"/>
    <w:rsid w:val="00F8721A"/>
    <w:rsid w:val="00F87D14"/>
    <w:rsid w:val="00F9090E"/>
    <w:rsid w:val="00F913CB"/>
    <w:rsid w:val="00F914EE"/>
    <w:rsid w:val="00F916DE"/>
    <w:rsid w:val="00F92BBD"/>
    <w:rsid w:val="00F9326E"/>
    <w:rsid w:val="00F93BF5"/>
    <w:rsid w:val="00F93E09"/>
    <w:rsid w:val="00F954E9"/>
    <w:rsid w:val="00F96FDA"/>
    <w:rsid w:val="00F970AB"/>
    <w:rsid w:val="00F973F4"/>
    <w:rsid w:val="00F974A8"/>
    <w:rsid w:val="00F97A8B"/>
    <w:rsid w:val="00FA0B98"/>
    <w:rsid w:val="00FA1516"/>
    <w:rsid w:val="00FA3B3B"/>
    <w:rsid w:val="00FA46F4"/>
    <w:rsid w:val="00FA4BE3"/>
    <w:rsid w:val="00FA52F6"/>
    <w:rsid w:val="00FA6BB0"/>
    <w:rsid w:val="00FA6F04"/>
    <w:rsid w:val="00FA76A0"/>
    <w:rsid w:val="00FB0210"/>
    <w:rsid w:val="00FB02FC"/>
    <w:rsid w:val="00FB03E1"/>
    <w:rsid w:val="00FB1DED"/>
    <w:rsid w:val="00FB25B0"/>
    <w:rsid w:val="00FB2B4D"/>
    <w:rsid w:val="00FB32BF"/>
    <w:rsid w:val="00FB6145"/>
    <w:rsid w:val="00FB685A"/>
    <w:rsid w:val="00FB699B"/>
    <w:rsid w:val="00FC0343"/>
    <w:rsid w:val="00FC17B3"/>
    <w:rsid w:val="00FC18FA"/>
    <w:rsid w:val="00FC2CA8"/>
    <w:rsid w:val="00FC3412"/>
    <w:rsid w:val="00FC497F"/>
    <w:rsid w:val="00FC51E5"/>
    <w:rsid w:val="00FC66BE"/>
    <w:rsid w:val="00FC6A53"/>
    <w:rsid w:val="00FC7AC6"/>
    <w:rsid w:val="00FC7B2F"/>
    <w:rsid w:val="00FD0B12"/>
    <w:rsid w:val="00FD0F80"/>
    <w:rsid w:val="00FD1531"/>
    <w:rsid w:val="00FD41DC"/>
    <w:rsid w:val="00FD4CE2"/>
    <w:rsid w:val="00FD4EF8"/>
    <w:rsid w:val="00FD7D0A"/>
    <w:rsid w:val="00FE0CEC"/>
    <w:rsid w:val="00FE235E"/>
    <w:rsid w:val="00FE3DC7"/>
    <w:rsid w:val="00FE566C"/>
    <w:rsid w:val="00FE70DF"/>
    <w:rsid w:val="00FE7623"/>
    <w:rsid w:val="00FE7DC1"/>
    <w:rsid w:val="00FF0A63"/>
    <w:rsid w:val="00FF0AD1"/>
    <w:rsid w:val="00FF10F5"/>
    <w:rsid w:val="00FF1EEE"/>
    <w:rsid w:val="00FF2DA0"/>
    <w:rsid w:val="00FF2DFE"/>
    <w:rsid w:val="00FF3816"/>
    <w:rsid w:val="00FF7989"/>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B9"/>
    <w:pPr>
      <w:widowControl w:val="0"/>
    </w:pPr>
    <w:rPr>
      <w:snapToGrid w:val="0"/>
      <w:kern w:val="28"/>
      <w:sz w:val="22"/>
    </w:rPr>
  </w:style>
  <w:style w:type="paragraph" w:styleId="Heading1">
    <w:name w:val="heading 1"/>
    <w:basedOn w:val="Normal"/>
    <w:next w:val="ParaNum"/>
    <w:link w:val="Heading1Char"/>
    <w:qFormat/>
    <w:rsid w:val="00A24F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4FB9"/>
    <w:pPr>
      <w:keepNext/>
      <w:numPr>
        <w:ilvl w:val="1"/>
        <w:numId w:val="3"/>
      </w:numPr>
      <w:spacing w:after="120"/>
      <w:outlineLvl w:val="1"/>
    </w:pPr>
    <w:rPr>
      <w:b/>
    </w:rPr>
  </w:style>
  <w:style w:type="paragraph" w:styleId="Heading3">
    <w:name w:val="heading 3"/>
    <w:basedOn w:val="Normal"/>
    <w:next w:val="ParaNum"/>
    <w:qFormat/>
    <w:rsid w:val="00A24FB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A24FB9"/>
    <w:pPr>
      <w:keepNext/>
      <w:numPr>
        <w:ilvl w:val="3"/>
        <w:numId w:val="3"/>
      </w:numPr>
      <w:tabs>
        <w:tab w:val="left" w:pos="2880"/>
      </w:tabs>
      <w:spacing w:after="120"/>
      <w:outlineLvl w:val="3"/>
    </w:pPr>
    <w:rPr>
      <w:b/>
    </w:rPr>
  </w:style>
  <w:style w:type="paragraph" w:styleId="Heading5">
    <w:name w:val="heading 5"/>
    <w:basedOn w:val="Normal"/>
    <w:next w:val="ParaNum"/>
    <w:qFormat/>
    <w:rsid w:val="00A24FB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24FB9"/>
    <w:pPr>
      <w:numPr>
        <w:ilvl w:val="5"/>
        <w:numId w:val="3"/>
      </w:numPr>
      <w:tabs>
        <w:tab w:val="left" w:pos="4320"/>
      </w:tabs>
      <w:spacing w:after="120"/>
      <w:outlineLvl w:val="5"/>
    </w:pPr>
    <w:rPr>
      <w:b/>
    </w:rPr>
  </w:style>
  <w:style w:type="paragraph" w:styleId="Heading7">
    <w:name w:val="heading 7"/>
    <w:basedOn w:val="Normal"/>
    <w:next w:val="ParaNum"/>
    <w:qFormat/>
    <w:rsid w:val="00A24F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4FB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24F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4F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4FB9"/>
  </w:style>
  <w:style w:type="paragraph" w:customStyle="1" w:styleId="ParaNum">
    <w:name w:val="ParaNum"/>
    <w:basedOn w:val="Normal"/>
    <w:link w:val="ParaNumChar"/>
    <w:rsid w:val="00A24FB9"/>
    <w:pPr>
      <w:numPr>
        <w:numId w:val="2"/>
      </w:numPr>
      <w:tabs>
        <w:tab w:val="clear" w:pos="1080"/>
        <w:tab w:val="num" w:pos="1440"/>
      </w:tabs>
      <w:spacing w:after="120"/>
    </w:pPr>
  </w:style>
  <w:style w:type="paragraph" w:styleId="EndnoteText">
    <w:name w:val="endnote text"/>
    <w:basedOn w:val="Normal"/>
    <w:semiHidden/>
    <w:rsid w:val="00A24FB9"/>
    <w:rPr>
      <w:sz w:val="20"/>
    </w:rPr>
  </w:style>
  <w:style w:type="character" w:styleId="EndnoteReference">
    <w:name w:val="endnote reference"/>
    <w:semiHidden/>
    <w:rsid w:val="00A24FB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24FB9"/>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A24FB9"/>
    <w:rPr>
      <w:rFonts w:ascii="Times New Roman" w:hAnsi="Times New Roman"/>
      <w:dstrike w:val="0"/>
      <w:color w:val="auto"/>
      <w:sz w:val="20"/>
      <w:vertAlign w:val="superscript"/>
    </w:rPr>
  </w:style>
  <w:style w:type="paragraph" w:styleId="TOC1">
    <w:name w:val="toc 1"/>
    <w:basedOn w:val="Normal"/>
    <w:next w:val="Normal"/>
    <w:rsid w:val="00A24FB9"/>
    <w:pPr>
      <w:tabs>
        <w:tab w:val="left" w:pos="360"/>
        <w:tab w:val="right" w:leader="dot" w:pos="9360"/>
      </w:tabs>
      <w:suppressAutoHyphens/>
      <w:ind w:left="360" w:right="720" w:hanging="360"/>
    </w:pPr>
    <w:rPr>
      <w:caps/>
      <w:noProof/>
    </w:rPr>
  </w:style>
  <w:style w:type="paragraph" w:styleId="TOC2">
    <w:name w:val="toc 2"/>
    <w:basedOn w:val="Normal"/>
    <w:next w:val="Normal"/>
    <w:rsid w:val="00A24FB9"/>
    <w:pPr>
      <w:tabs>
        <w:tab w:val="left" w:pos="720"/>
        <w:tab w:val="right" w:leader="dot" w:pos="9360"/>
      </w:tabs>
      <w:suppressAutoHyphens/>
      <w:ind w:left="720" w:right="720" w:hanging="360"/>
    </w:pPr>
    <w:rPr>
      <w:noProof/>
    </w:rPr>
  </w:style>
  <w:style w:type="paragraph" w:styleId="TOC3">
    <w:name w:val="toc 3"/>
    <w:basedOn w:val="Normal"/>
    <w:next w:val="Normal"/>
    <w:rsid w:val="00A24F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24F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4F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4F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4F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4F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4F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4FB9"/>
    <w:pPr>
      <w:tabs>
        <w:tab w:val="right" w:pos="9360"/>
      </w:tabs>
      <w:suppressAutoHyphens/>
    </w:pPr>
  </w:style>
  <w:style w:type="character" w:customStyle="1" w:styleId="EquationCaption">
    <w:name w:val="_Equation Caption"/>
    <w:rsid w:val="00A24FB9"/>
  </w:style>
  <w:style w:type="paragraph" w:styleId="Header">
    <w:name w:val="header"/>
    <w:basedOn w:val="Normal"/>
    <w:link w:val="HeaderChar"/>
    <w:autoRedefine/>
    <w:rsid w:val="00A24FB9"/>
    <w:pPr>
      <w:tabs>
        <w:tab w:val="center" w:pos="4680"/>
        <w:tab w:val="right" w:pos="9360"/>
      </w:tabs>
    </w:pPr>
    <w:rPr>
      <w:b/>
    </w:rPr>
  </w:style>
  <w:style w:type="paragraph" w:styleId="Footer">
    <w:name w:val="footer"/>
    <w:basedOn w:val="Normal"/>
    <w:rsid w:val="00A24FB9"/>
    <w:pPr>
      <w:tabs>
        <w:tab w:val="center" w:pos="4320"/>
        <w:tab w:val="right" w:pos="8640"/>
      </w:tabs>
    </w:pPr>
  </w:style>
  <w:style w:type="character" w:styleId="PageNumber">
    <w:name w:val="page number"/>
    <w:basedOn w:val="DefaultParagraphFont"/>
    <w:rsid w:val="00A24FB9"/>
  </w:style>
  <w:style w:type="paragraph" w:styleId="BlockText">
    <w:name w:val="Block Text"/>
    <w:basedOn w:val="Normal"/>
    <w:rsid w:val="00A24FB9"/>
    <w:pPr>
      <w:spacing w:after="240"/>
      <w:ind w:left="1440" w:right="1440"/>
    </w:pPr>
  </w:style>
  <w:style w:type="paragraph" w:customStyle="1" w:styleId="Paratitle">
    <w:name w:val="Para title"/>
    <w:basedOn w:val="Normal"/>
    <w:rsid w:val="00A24FB9"/>
    <w:pPr>
      <w:tabs>
        <w:tab w:val="center" w:pos="9270"/>
      </w:tabs>
      <w:spacing w:after="240"/>
    </w:pPr>
    <w:rPr>
      <w:spacing w:val="-2"/>
    </w:rPr>
  </w:style>
  <w:style w:type="paragraph" w:customStyle="1" w:styleId="Bullet">
    <w:name w:val="Bullet"/>
    <w:basedOn w:val="Normal"/>
    <w:rsid w:val="00A24FB9"/>
    <w:pPr>
      <w:tabs>
        <w:tab w:val="left" w:pos="2160"/>
      </w:tabs>
      <w:spacing w:after="220"/>
      <w:ind w:left="2160" w:hanging="720"/>
    </w:pPr>
  </w:style>
  <w:style w:type="paragraph" w:customStyle="1" w:styleId="TableFormat">
    <w:name w:val="TableFormat"/>
    <w:basedOn w:val="Bullet"/>
    <w:rsid w:val="00A24FB9"/>
    <w:pPr>
      <w:tabs>
        <w:tab w:val="clear" w:pos="2160"/>
        <w:tab w:val="left" w:pos="5040"/>
      </w:tabs>
      <w:ind w:left="5040" w:hanging="3600"/>
    </w:pPr>
  </w:style>
  <w:style w:type="paragraph" w:customStyle="1" w:styleId="TOCTitle">
    <w:name w:val="TOC Title"/>
    <w:basedOn w:val="Normal"/>
    <w:rsid w:val="00A24F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4FB9"/>
    <w:pPr>
      <w:jc w:val="center"/>
    </w:pPr>
    <w:rPr>
      <w:rFonts w:ascii="Times New Roman Bold" w:hAnsi="Times New Roman Bold"/>
      <w:b/>
      <w:bCs/>
      <w:caps/>
      <w:szCs w:val="22"/>
    </w:rPr>
  </w:style>
  <w:style w:type="character" w:styleId="Hyperlink">
    <w:name w:val="Hyperlink"/>
    <w:rsid w:val="00A24FB9"/>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paragraph" w:styleId="BodyText">
    <w:name w:val="Body Text"/>
    <w:aliases w:val="b"/>
    <w:basedOn w:val="Normal"/>
    <w:link w:val="BodyTextChar"/>
    <w:rsid w:val="00326C5E"/>
    <w:pPr>
      <w:spacing w:after="240"/>
      <w:ind w:firstLine="720"/>
    </w:pPr>
    <w:rPr>
      <w:kern w:val="0"/>
    </w:rPr>
  </w:style>
  <w:style w:type="character" w:customStyle="1" w:styleId="BodyTextChar">
    <w:name w:val="Body Text Char"/>
    <w:aliases w:val="b Char"/>
    <w:basedOn w:val="DefaultParagraphFont"/>
    <w:link w:val="BodyText"/>
    <w:rsid w:val="00326C5E"/>
    <w:rPr>
      <w:snapToGrid w:val="0"/>
      <w:sz w:val="22"/>
    </w:rPr>
  </w:style>
  <w:style w:type="character" w:customStyle="1" w:styleId="Normal2">
    <w:name w:val="Normal2"/>
    <w:rsid w:val="00326C5E"/>
    <w:rPr>
      <w:rFonts w:ascii="Times New Roman" w:hAnsi="Times New Roman"/>
      <w:noProof w:val="0"/>
      <w:sz w:val="20"/>
      <w:lang w:val="en-US"/>
    </w:rPr>
  </w:style>
  <w:style w:type="character" w:styleId="Strong">
    <w:name w:val="Strong"/>
    <w:qFormat/>
    <w:rsid w:val="00C42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B9"/>
    <w:pPr>
      <w:widowControl w:val="0"/>
    </w:pPr>
    <w:rPr>
      <w:snapToGrid w:val="0"/>
      <w:kern w:val="28"/>
      <w:sz w:val="22"/>
    </w:rPr>
  </w:style>
  <w:style w:type="paragraph" w:styleId="Heading1">
    <w:name w:val="heading 1"/>
    <w:basedOn w:val="Normal"/>
    <w:next w:val="ParaNum"/>
    <w:link w:val="Heading1Char"/>
    <w:qFormat/>
    <w:rsid w:val="00A24F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4FB9"/>
    <w:pPr>
      <w:keepNext/>
      <w:numPr>
        <w:ilvl w:val="1"/>
        <w:numId w:val="3"/>
      </w:numPr>
      <w:spacing w:after="120"/>
      <w:outlineLvl w:val="1"/>
    </w:pPr>
    <w:rPr>
      <w:b/>
    </w:rPr>
  </w:style>
  <w:style w:type="paragraph" w:styleId="Heading3">
    <w:name w:val="heading 3"/>
    <w:basedOn w:val="Normal"/>
    <w:next w:val="ParaNum"/>
    <w:qFormat/>
    <w:rsid w:val="00A24FB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A24FB9"/>
    <w:pPr>
      <w:keepNext/>
      <w:numPr>
        <w:ilvl w:val="3"/>
        <w:numId w:val="3"/>
      </w:numPr>
      <w:tabs>
        <w:tab w:val="left" w:pos="2880"/>
      </w:tabs>
      <w:spacing w:after="120"/>
      <w:outlineLvl w:val="3"/>
    </w:pPr>
    <w:rPr>
      <w:b/>
    </w:rPr>
  </w:style>
  <w:style w:type="paragraph" w:styleId="Heading5">
    <w:name w:val="heading 5"/>
    <w:basedOn w:val="Normal"/>
    <w:next w:val="ParaNum"/>
    <w:qFormat/>
    <w:rsid w:val="00A24FB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24FB9"/>
    <w:pPr>
      <w:numPr>
        <w:ilvl w:val="5"/>
        <w:numId w:val="3"/>
      </w:numPr>
      <w:tabs>
        <w:tab w:val="left" w:pos="4320"/>
      </w:tabs>
      <w:spacing w:after="120"/>
      <w:outlineLvl w:val="5"/>
    </w:pPr>
    <w:rPr>
      <w:b/>
    </w:rPr>
  </w:style>
  <w:style w:type="paragraph" w:styleId="Heading7">
    <w:name w:val="heading 7"/>
    <w:basedOn w:val="Normal"/>
    <w:next w:val="ParaNum"/>
    <w:qFormat/>
    <w:rsid w:val="00A24F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24FB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A24F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24F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4FB9"/>
  </w:style>
  <w:style w:type="paragraph" w:customStyle="1" w:styleId="ParaNum">
    <w:name w:val="ParaNum"/>
    <w:basedOn w:val="Normal"/>
    <w:link w:val="ParaNumChar"/>
    <w:rsid w:val="00A24FB9"/>
    <w:pPr>
      <w:numPr>
        <w:numId w:val="2"/>
      </w:numPr>
      <w:tabs>
        <w:tab w:val="clear" w:pos="1080"/>
        <w:tab w:val="num" w:pos="1440"/>
      </w:tabs>
      <w:spacing w:after="120"/>
    </w:pPr>
  </w:style>
  <w:style w:type="paragraph" w:styleId="EndnoteText">
    <w:name w:val="endnote text"/>
    <w:basedOn w:val="Normal"/>
    <w:semiHidden/>
    <w:rsid w:val="00A24FB9"/>
    <w:rPr>
      <w:sz w:val="20"/>
    </w:rPr>
  </w:style>
  <w:style w:type="character" w:styleId="EndnoteReference">
    <w:name w:val="endnote reference"/>
    <w:semiHidden/>
    <w:rsid w:val="00A24FB9"/>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A24FB9"/>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A24FB9"/>
    <w:rPr>
      <w:rFonts w:ascii="Times New Roman" w:hAnsi="Times New Roman"/>
      <w:dstrike w:val="0"/>
      <w:color w:val="auto"/>
      <w:sz w:val="20"/>
      <w:vertAlign w:val="superscript"/>
    </w:rPr>
  </w:style>
  <w:style w:type="paragraph" w:styleId="TOC1">
    <w:name w:val="toc 1"/>
    <w:basedOn w:val="Normal"/>
    <w:next w:val="Normal"/>
    <w:rsid w:val="00A24FB9"/>
    <w:pPr>
      <w:tabs>
        <w:tab w:val="left" w:pos="360"/>
        <w:tab w:val="right" w:leader="dot" w:pos="9360"/>
      </w:tabs>
      <w:suppressAutoHyphens/>
      <w:ind w:left="360" w:right="720" w:hanging="360"/>
    </w:pPr>
    <w:rPr>
      <w:caps/>
      <w:noProof/>
    </w:rPr>
  </w:style>
  <w:style w:type="paragraph" w:styleId="TOC2">
    <w:name w:val="toc 2"/>
    <w:basedOn w:val="Normal"/>
    <w:next w:val="Normal"/>
    <w:rsid w:val="00A24FB9"/>
    <w:pPr>
      <w:tabs>
        <w:tab w:val="left" w:pos="720"/>
        <w:tab w:val="right" w:leader="dot" w:pos="9360"/>
      </w:tabs>
      <w:suppressAutoHyphens/>
      <w:ind w:left="720" w:right="720" w:hanging="360"/>
    </w:pPr>
    <w:rPr>
      <w:noProof/>
    </w:rPr>
  </w:style>
  <w:style w:type="paragraph" w:styleId="TOC3">
    <w:name w:val="toc 3"/>
    <w:basedOn w:val="Normal"/>
    <w:next w:val="Normal"/>
    <w:rsid w:val="00A24F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24F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4F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4F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4F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4F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4F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4FB9"/>
    <w:pPr>
      <w:tabs>
        <w:tab w:val="right" w:pos="9360"/>
      </w:tabs>
      <w:suppressAutoHyphens/>
    </w:pPr>
  </w:style>
  <w:style w:type="character" w:customStyle="1" w:styleId="EquationCaption">
    <w:name w:val="_Equation Caption"/>
    <w:rsid w:val="00A24FB9"/>
  </w:style>
  <w:style w:type="paragraph" w:styleId="Header">
    <w:name w:val="header"/>
    <w:basedOn w:val="Normal"/>
    <w:link w:val="HeaderChar"/>
    <w:autoRedefine/>
    <w:rsid w:val="00A24FB9"/>
    <w:pPr>
      <w:tabs>
        <w:tab w:val="center" w:pos="4680"/>
        <w:tab w:val="right" w:pos="9360"/>
      </w:tabs>
    </w:pPr>
    <w:rPr>
      <w:b/>
    </w:rPr>
  </w:style>
  <w:style w:type="paragraph" w:styleId="Footer">
    <w:name w:val="footer"/>
    <w:basedOn w:val="Normal"/>
    <w:rsid w:val="00A24FB9"/>
    <w:pPr>
      <w:tabs>
        <w:tab w:val="center" w:pos="4320"/>
        <w:tab w:val="right" w:pos="8640"/>
      </w:tabs>
    </w:pPr>
  </w:style>
  <w:style w:type="character" w:styleId="PageNumber">
    <w:name w:val="page number"/>
    <w:basedOn w:val="DefaultParagraphFont"/>
    <w:rsid w:val="00A24FB9"/>
  </w:style>
  <w:style w:type="paragraph" w:styleId="BlockText">
    <w:name w:val="Block Text"/>
    <w:basedOn w:val="Normal"/>
    <w:rsid w:val="00A24FB9"/>
    <w:pPr>
      <w:spacing w:after="240"/>
      <w:ind w:left="1440" w:right="1440"/>
    </w:pPr>
  </w:style>
  <w:style w:type="paragraph" w:customStyle="1" w:styleId="Paratitle">
    <w:name w:val="Para title"/>
    <w:basedOn w:val="Normal"/>
    <w:rsid w:val="00A24FB9"/>
    <w:pPr>
      <w:tabs>
        <w:tab w:val="center" w:pos="9270"/>
      </w:tabs>
      <w:spacing w:after="240"/>
    </w:pPr>
    <w:rPr>
      <w:spacing w:val="-2"/>
    </w:rPr>
  </w:style>
  <w:style w:type="paragraph" w:customStyle="1" w:styleId="Bullet">
    <w:name w:val="Bullet"/>
    <w:basedOn w:val="Normal"/>
    <w:rsid w:val="00A24FB9"/>
    <w:pPr>
      <w:tabs>
        <w:tab w:val="left" w:pos="2160"/>
      </w:tabs>
      <w:spacing w:after="220"/>
      <w:ind w:left="2160" w:hanging="720"/>
    </w:pPr>
  </w:style>
  <w:style w:type="paragraph" w:customStyle="1" w:styleId="TableFormat">
    <w:name w:val="TableFormat"/>
    <w:basedOn w:val="Bullet"/>
    <w:rsid w:val="00A24FB9"/>
    <w:pPr>
      <w:tabs>
        <w:tab w:val="clear" w:pos="2160"/>
        <w:tab w:val="left" w:pos="5040"/>
      </w:tabs>
      <w:ind w:left="5040" w:hanging="3600"/>
    </w:pPr>
  </w:style>
  <w:style w:type="paragraph" w:customStyle="1" w:styleId="TOCTitle">
    <w:name w:val="TOC Title"/>
    <w:basedOn w:val="Normal"/>
    <w:rsid w:val="00A24F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4FB9"/>
    <w:pPr>
      <w:jc w:val="center"/>
    </w:pPr>
    <w:rPr>
      <w:rFonts w:ascii="Times New Roman Bold" w:hAnsi="Times New Roman Bold"/>
      <w:b/>
      <w:bCs/>
      <w:caps/>
      <w:szCs w:val="22"/>
    </w:rPr>
  </w:style>
  <w:style w:type="character" w:styleId="Hyperlink">
    <w:name w:val="Hyperlink"/>
    <w:rsid w:val="00A24FB9"/>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paragraph" w:styleId="BodyText">
    <w:name w:val="Body Text"/>
    <w:aliases w:val="b"/>
    <w:basedOn w:val="Normal"/>
    <w:link w:val="BodyTextChar"/>
    <w:rsid w:val="00326C5E"/>
    <w:pPr>
      <w:spacing w:after="240"/>
      <w:ind w:firstLine="720"/>
    </w:pPr>
    <w:rPr>
      <w:kern w:val="0"/>
    </w:rPr>
  </w:style>
  <w:style w:type="character" w:customStyle="1" w:styleId="BodyTextChar">
    <w:name w:val="Body Text Char"/>
    <w:aliases w:val="b Char"/>
    <w:basedOn w:val="DefaultParagraphFont"/>
    <w:link w:val="BodyText"/>
    <w:rsid w:val="00326C5E"/>
    <w:rPr>
      <w:snapToGrid w:val="0"/>
      <w:sz w:val="22"/>
    </w:rPr>
  </w:style>
  <w:style w:type="character" w:customStyle="1" w:styleId="Normal2">
    <w:name w:val="Normal2"/>
    <w:rsid w:val="00326C5E"/>
    <w:rPr>
      <w:rFonts w:ascii="Times New Roman" w:hAnsi="Times New Roman"/>
      <w:noProof w:val="0"/>
      <w:sz w:val="20"/>
      <w:lang w:val="en-US"/>
    </w:rPr>
  </w:style>
  <w:style w:type="character" w:styleId="Strong">
    <w:name w:val="Strong"/>
    <w:qFormat/>
    <w:rsid w:val="00C42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116">
      <w:bodyDiv w:val="1"/>
      <w:marLeft w:val="0"/>
      <w:marRight w:val="0"/>
      <w:marTop w:val="0"/>
      <w:marBottom w:val="0"/>
      <w:divBdr>
        <w:top w:val="none" w:sz="0" w:space="0" w:color="auto"/>
        <w:left w:val="none" w:sz="0" w:space="0" w:color="auto"/>
        <w:bottom w:val="none" w:sz="0" w:space="0" w:color="auto"/>
        <w:right w:val="none" w:sz="0" w:space="0" w:color="auto"/>
      </w:divBdr>
    </w:div>
    <w:div w:id="278538155">
      <w:bodyDiv w:val="1"/>
      <w:marLeft w:val="0"/>
      <w:marRight w:val="0"/>
      <w:marTop w:val="0"/>
      <w:marBottom w:val="0"/>
      <w:divBdr>
        <w:top w:val="none" w:sz="0" w:space="0" w:color="auto"/>
        <w:left w:val="none" w:sz="0" w:space="0" w:color="auto"/>
        <w:bottom w:val="none" w:sz="0" w:space="0" w:color="auto"/>
        <w:right w:val="none" w:sz="0" w:space="0" w:color="auto"/>
      </w:divBdr>
    </w:div>
    <w:div w:id="605116768">
      <w:bodyDiv w:val="1"/>
      <w:marLeft w:val="0"/>
      <w:marRight w:val="0"/>
      <w:marTop w:val="0"/>
      <w:marBottom w:val="0"/>
      <w:divBdr>
        <w:top w:val="none" w:sz="0" w:space="0" w:color="auto"/>
        <w:left w:val="none" w:sz="0" w:space="0" w:color="auto"/>
        <w:bottom w:val="none" w:sz="0" w:space="0" w:color="auto"/>
        <w:right w:val="none" w:sz="0" w:space="0" w:color="auto"/>
      </w:divBdr>
    </w:div>
    <w:div w:id="633561822">
      <w:bodyDiv w:val="1"/>
      <w:marLeft w:val="0"/>
      <w:marRight w:val="0"/>
      <w:marTop w:val="0"/>
      <w:marBottom w:val="0"/>
      <w:divBdr>
        <w:top w:val="none" w:sz="0" w:space="0" w:color="auto"/>
        <w:left w:val="none" w:sz="0" w:space="0" w:color="auto"/>
        <w:bottom w:val="none" w:sz="0" w:space="0" w:color="auto"/>
        <w:right w:val="none" w:sz="0" w:space="0" w:color="auto"/>
      </w:divBdr>
    </w:div>
    <w:div w:id="732391249">
      <w:bodyDiv w:val="1"/>
      <w:marLeft w:val="0"/>
      <w:marRight w:val="0"/>
      <w:marTop w:val="0"/>
      <w:marBottom w:val="0"/>
      <w:divBdr>
        <w:top w:val="none" w:sz="0" w:space="0" w:color="auto"/>
        <w:left w:val="none" w:sz="0" w:space="0" w:color="auto"/>
        <w:bottom w:val="none" w:sz="0" w:space="0" w:color="auto"/>
        <w:right w:val="none" w:sz="0" w:space="0" w:color="auto"/>
      </w:divBdr>
    </w:div>
    <w:div w:id="1046948892">
      <w:bodyDiv w:val="1"/>
      <w:marLeft w:val="0"/>
      <w:marRight w:val="0"/>
      <w:marTop w:val="0"/>
      <w:marBottom w:val="0"/>
      <w:divBdr>
        <w:top w:val="none" w:sz="0" w:space="0" w:color="auto"/>
        <w:left w:val="none" w:sz="0" w:space="0" w:color="auto"/>
        <w:bottom w:val="none" w:sz="0" w:space="0" w:color="auto"/>
        <w:right w:val="none" w:sz="0" w:space="0" w:color="auto"/>
      </w:divBdr>
    </w:div>
    <w:div w:id="1198277442">
      <w:bodyDiv w:val="1"/>
      <w:marLeft w:val="0"/>
      <w:marRight w:val="0"/>
      <w:marTop w:val="0"/>
      <w:marBottom w:val="0"/>
      <w:divBdr>
        <w:top w:val="none" w:sz="0" w:space="0" w:color="auto"/>
        <w:left w:val="none" w:sz="0" w:space="0" w:color="auto"/>
        <w:bottom w:val="none" w:sz="0" w:space="0" w:color="auto"/>
        <w:right w:val="none" w:sz="0" w:space="0" w:color="auto"/>
      </w:divBdr>
    </w:div>
    <w:div w:id="1249727021">
      <w:bodyDiv w:val="1"/>
      <w:marLeft w:val="0"/>
      <w:marRight w:val="0"/>
      <w:marTop w:val="0"/>
      <w:marBottom w:val="0"/>
      <w:divBdr>
        <w:top w:val="none" w:sz="0" w:space="0" w:color="auto"/>
        <w:left w:val="none" w:sz="0" w:space="0" w:color="auto"/>
        <w:bottom w:val="none" w:sz="0" w:space="0" w:color="auto"/>
        <w:right w:val="none" w:sz="0" w:space="0" w:color="auto"/>
      </w:divBdr>
    </w:div>
    <w:div w:id="1479571833">
      <w:bodyDiv w:val="1"/>
      <w:marLeft w:val="0"/>
      <w:marRight w:val="0"/>
      <w:marTop w:val="0"/>
      <w:marBottom w:val="0"/>
      <w:divBdr>
        <w:top w:val="none" w:sz="0" w:space="0" w:color="auto"/>
        <w:left w:val="none" w:sz="0" w:space="0" w:color="auto"/>
        <w:bottom w:val="none" w:sz="0" w:space="0" w:color="auto"/>
        <w:right w:val="none" w:sz="0" w:space="0" w:color="auto"/>
      </w:divBdr>
    </w:div>
    <w:div w:id="1619407909">
      <w:bodyDiv w:val="1"/>
      <w:marLeft w:val="0"/>
      <w:marRight w:val="0"/>
      <w:marTop w:val="0"/>
      <w:marBottom w:val="0"/>
      <w:divBdr>
        <w:top w:val="none" w:sz="0" w:space="0" w:color="auto"/>
        <w:left w:val="none" w:sz="0" w:space="0" w:color="auto"/>
        <w:bottom w:val="none" w:sz="0" w:space="0" w:color="auto"/>
        <w:right w:val="none" w:sz="0" w:space="0" w:color="auto"/>
      </w:divBdr>
    </w:div>
    <w:div w:id="16254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3497</Words>
  <Characters>19833</Characters>
  <Application>Microsoft Office Word</Application>
  <DocSecurity>0</DocSecurity>
  <Lines>291</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23361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2015-09-24T20:52:00Z</cp:lastPrinted>
  <dcterms:created xsi:type="dcterms:W3CDTF">2015-09-25T16:22:00Z</dcterms:created>
  <dcterms:modified xsi:type="dcterms:W3CDTF">2015-09-25T16:22:00Z</dcterms:modified>
  <cp:category> </cp:category>
  <cp:contentStatus> </cp:contentStatus>
</cp:coreProperties>
</file>