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CA" w:rsidRPr="00ED5746" w:rsidRDefault="00F84BCA" w:rsidP="000D4982">
      <w:pPr>
        <w:widowControl/>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rsidR="00F84BCA" w:rsidRPr="00ED5746" w:rsidRDefault="00F84BCA" w:rsidP="000D4982">
      <w:pPr>
        <w:pStyle w:val="StyleBoldCentered"/>
        <w:widowControl/>
      </w:pPr>
      <w:r w:rsidRPr="00ED5746">
        <w:t>F</w:t>
      </w:r>
      <w:r w:rsidRPr="00ED5746">
        <w:rPr>
          <w:caps w:val="0"/>
        </w:rPr>
        <w:t>ederal Communications Commission</w:t>
      </w:r>
    </w:p>
    <w:p w:rsidR="00F84BCA" w:rsidRPr="00ED5746" w:rsidRDefault="00F84BCA" w:rsidP="000D4982">
      <w:pPr>
        <w:pStyle w:val="StyleBoldCentered"/>
        <w:widowControl/>
      </w:pPr>
      <w:r w:rsidRPr="00ED5746">
        <w:rPr>
          <w:caps w:val="0"/>
        </w:rPr>
        <w:t>Washington, DC 20554</w:t>
      </w:r>
    </w:p>
    <w:p w:rsidR="00F84BCA" w:rsidRPr="00ED5746" w:rsidRDefault="00F84BCA" w:rsidP="000D4982">
      <w:pPr>
        <w:widowControl/>
      </w:pPr>
    </w:p>
    <w:tbl>
      <w:tblPr>
        <w:tblW w:w="0" w:type="auto"/>
        <w:tblLayout w:type="fixed"/>
        <w:tblLook w:val="0000" w:firstRow="0" w:lastRow="0" w:firstColumn="0" w:lastColumn="0" w:noHBand="0" w:noVBand="0"/>
      </w:tblPr>
      <w:tblGrid>
        <w:gridCol w:w="4698"/>
        <w:gridCol w:w="630"/>
        <w:gridCol w:w="4248"/>
      </w:tblGrid>
      <w:tr w:rsidR="00ED5746" w:rsidRPr="00D84548" w:rsidTr="00C87F88">
        <w:tc>
          <w:tcPr>
            <w:tcW w:w="4698" w:type="dxa"/>
          </w:tcPr>
          <w:p w:rsidR="00ED5746" w:rsidRPr="00D84548" w:rsidRDefault="00ED5746" w:rsidP="000D4982">
            <w:pPr>
              <w:widowControl/>
              <w:tabs>
                <w:tab w:val="center" w:pos="4680"/>
              </w:tabs>
              <w:suppressAutoHyphens/>
              <w:rPr>
                <w:spacing w:val="-2"/>
              </w:rPr>
            </w:pPr>
            <w:r w:rsidRPr="00ED5746">
              <w:rPr>
                <w:spacing w:val="-2"/>
              </w:rPr>
              <w:t>In the Matter of</w:t>
            </w:r>
          </w:p>
          <w:p w:rsidR="00ED5746" w:rsidRPr="00D23E19" w:rsidRDefault="00ED5746" w:rsidP="000D4982">
            <w:pPr>
              <w:widowControl/>
              <w:tabs>
                <w:tab w:val="left" w:pos="360"/>
                <w:tab w:val="center" w:pos="4680"/>
                <w:tab w:val="right" w:leader="dot" w:pos="9360"/>
              </w:tabs>
              <w:suppressAutoHyphens/>
              <w:ind w:left="360" w:right="720" w:hanging="360"/>
              <w:rPr>
                <w:spacing w:val="-2"/>
              </w:rPr>
            </w:pPr>
          </w:p>
          <w:p w:rsidR="00ED5746" w:rsidRDefault="00A62713" w:rsidP="000D4982">
            <w:pPr>
              <w:widowControl/>
              <w:autoSpaceDE w:val="0"/>
              <w:autoSpaceDN w:val="0"/>
              <w:adjustRightInd w:val="0"/>
              <w:rPr>
                <w:szCs w:val="22"/>
              </w:rPr>
            </w:pPr>
            <w:r>
              <w:rPr>
                <w:szCs w:val="22"/>
              </w:rPr>
              <w:t>Kajeet</w:t>
            </w:r>
            <w:r w:rsidR="00D162D4">
              <w:rPr>
                <w:szCs w:val="22"/>
              </w:rPr>
              <w:t>,</w:t>
            </w:r>
            <w:r>
              <w:rPr>
                <w:szCs w:val="22"/>
              </w:rPr>
              <w:t xml:space="preserve"> Inc.</w:t>
            </w:r>
          </w:p>
          <w:p w:rsidR="00A62713" w:rsidRDefault="00A62713" w:rsidP="000D4982">
            <w:pPr>
              <w:widowControl/>
              <w:autoSpaceDE w:val="0"/>
              <w:autoSpaceDN w:val="0"/>
              <w:adjustRightInd w:val="0"/>
              <w:rPr>
                <w:szCs w:val="22"/>
              </w:rPr>
            </w:pPr>
          </w:p>
          <w:p w:rsidR="00A62713" w:rsidRDefault="00A62713" w:rsidP="000D4982">
            <w:pPr>
              <w:widowControl/>
              <w:autoSpaceDE w:val="0"/>
              <w:autoSpaceDN w:val="0"/>
              <w:adjustRightInd w:val="0"/>
              <w:rPr>
                <w:szCs w:val="22"/>
              </w:rPr>
            </w:pPr>
            <w:r>
              <w:rPr>
                <w:szCs w:val="22"/>
              </w:rPr>
              <w:t>and</w:t>
            </w:r>
          </w:p>
          <w:p w:rsidR="00A62713" w:rsidRDefault="00A62713" w:rsidP="000D4982">
            <w:pPr>
              <w:widowControl/>
              <w:autoSpaceDE w:val="0"/>
              <w:autoSpaceDN w:val="0"/>
              <w:adjustRightInd w:val="0"/>
              <w:rPr>
                <w:szCs w:val="22"/>
              </w:rPr>
            </w:pPr>
          </w:p>
          <w:p w:rsidR="00A62713" w:rsidRPr="00D84548" w:rsidRDefault="00A62713" w:rsidP="000D4982">
            <w:pPr>
              <w:widowControl/>
              <w:autoSpaceDE w:val="0"/>
              <w:autoSpaceDN w:val="0"/>
              <w:adjustRightInd w:val="0"/>
            </w:pPr>
            <w:r>
              <w:rPr>
                <w:szCs w:val="22"/>
              </w:rPr>
              <w:t>Kajeet/Airlink, LLC</w:t>
            </w:r>
          </w:p>
        </w:tc>
        <w:tc>
          <w:tcPr>
            <w:tcW w:w="630" w:type="dxa"/>
          </w:tcPr>
          <w:p w:rsidR="00ED5746" w:rsidRPr="00D84548" w:rsidRDefault="00ED5746" w:rsidP="000D4982">
            <w:pPr>
              <w:widowControl/>
              <w:tabs>
                <w:tab w:val="center" w:pos="4680"/>
              </w:tabs>
              <w:suppressAutoHyphens/>
              <w:rPr>
                <w:b/>
                <w:spacing w:val="-2"/>
              </w:rPr>
            </w:pPr>
            <w:r w:rsidRPr="00D84548">
              <w:rPr>
                <w:b/>
                <w:spacing w:val="-2"/>
              </w:rPr>
              <w:t>)</w:t>
            </w:r>
          </w:p>
          <w:p w:rsidR="00ED5746" w:rsidRPr="00D23E19" w:rsidRDefault="00ED5746" w:rsidP="000D4982">
            <w:pPr>
              <w:widowControl/>
              <w:tabs>
                <w:tab w:val="center" w:pos="4680"/>
              </w:tabs>
              <w:suppressAutoHyphens/>
              <w:rPr>
                <w:b/>
                <w:spacing w:val="-2"/>
              </w:rPr>
            </w:pPr>
            <w:r w:rsidRPr="00D84548">
              <w:rPr>
                <w:b/>
                <w:spacing w:val="-2"/>
              </w:rPr>
              <w:t>)</w:t>
            </w:r>
          </w:p>
          <w:p w:rsidR="00ED5746" w:rsidRPr="00D23E19" w:rsidRDefault="00ED5746" w:rsidP="000D4982">
            <w:pPr>
              <w:widowControl/>
              <w:tabs>
                <w:tab w:val="center" w:pos="4680"/>
              </w:tabs>
              <w:suppressAutoHyphens/>
              <w:rPr>
                <w:b/>
                <w:spacing w:val="-2"/>
              </w:rPr>
            </w:pPr>
            <w:r w:rsidRPr="00D84548">
              <w:rPr>
                <w:b/>
                <w:spacing w:val="-2"/>
              </w:rPr>
              <w:t>)</w:t>
            </w:r>
          </w:p>
          <w:p w:rsidR="00ED5746" w:rsidRPr="00D23E19" w:rsidRDefault="00ED5746" w:rsidP="000D4982">
            <w:pPr>
              <w:widowControl/>
              <w:tabs>
                <w:tab w:val="center" w:pos="4680"/>
              </w:tabs>
              <w:suppressAutoHyphens/>
              <w:rPr>
                <w:b/>
                <w:spacing w:val="-2"/>
              </w:rPr>
            </w:pPr>
            <w:r w:rsidRPr="00D84548">
              <w:rPr>
                <w:b/>
                <w:spacing w:val="-2"/>
              </w:rPr>
              <w:t>)</w:t>
            </w:r>
          </w:p>
          <w:p w:rsidR="00ED5746" w:rsidRPr="00D23E19" w:rsidRDefault="00ED5746" w:rsidP="000D4982">
            <w:pPr>
              <w:widowControl/>
              <w:tabs>
                <w:tab w:val="center" w:pos="4680"/>
              </w:tabs>
              <w:suppressAutoHyphens/>
              <w:rPr>
                <w:b/>
                <w:spacing w:val="-2"/>
              </w:rPr>
            </w:pPr>
            <w:r w:rsidRPr="00D84548">
              <w:rPr>
                <w:b/>
                <w:spacing w:val="-2"/>
              </w:rPr>
              <w:t>)</w:t>
            </w:r>
          </w:p>
          <w:p w:rsidR="00ED5746" w:rsidRPr="00D23E19" w:rsidRDefault="00ED5746" w:rsidP="000D4982">
            <w:pPr>
              <w:widowControl/>
              <w:tabs>
                <w:tab w:val="center" w:pos="4680"/>
              </w:tabs>
              <w:suppressAutoHyphens/>
              <w:rPr>
                <w:b/>
                <w:spacing w:val="-2"/>
              </w:rPr>
            </w:pPr>
            <w:r w:rsidRPr="00D84548">
              <w:rPr>
                <w:b/>
                <w:spacing w:val="-2"/>
              </w:rPr>
              <w:t>)</w:t>
            </w:r>
          </w:p>
          <w:p w:rsidR="00ED5746" w:rsidRDefault="00ED5746" w:rsidP="000D4982">
            <w:pPr>
              <w:widowControl/>
              <w:tabs>
                <w:tab w:val="center" w:pos="4680"/>
              </w:tabs>
              <w:suppressAutoHyphens/>
              <w:rPr>
                <w:b/>
                <w:spacing w:val="-2"/>
              </w:rPr>
            </w:pPr>
            <w:r w:rsidRPr="00D84548">
              <w:rPr>
                <w:b/>
                <w:spacing w:val="-2"/>
              </w:rPr>
              <w:t>)</w:t>
            </w:r>
          </w:p>
          <w:p w:rsidR="0072328A" w:rsidRDefault="0072328A" w:rsidP="000D4982">
            <w:pPr>
              <w:widowControl/>
              <w:tabs>
                <w:tab w:val="center" w:pos="4680"/>
              </w:tabs>
              <w:suppressAutoHyphens/>
              <w:rPr>
                <w:b/>
                <w:spacing w:val="-2"/>
              </w:rPr>
            </w:pPr>
            <w:r>
              <w:rPr>
                <w:b/>
                <w:spacing w:val="-2"/>
              </w:rPr>
              <w:t>)</w:t>
            </w:r>
          </w:p>
          <w:p w:rsidR="00ED5746" w:rsidRPr="00D23E19" w:rsidRDefault="00ED5746" w:rsidP="000D4982">
            <w:pPr>
              <w:widowControl/>
              <w:tabs>
                <w:tab w:val="center" w:pos="4680"/>
              </w:tabs>
              <w:suppressAutoHyphens/>
              <w:rPr>
                <w:b/>
                <w:spacing w:val="-2"/>
              </w:rPr>
            </w:pPr>
          </w:p>
        </w:tc>
        <w:tc>
          <w:tcPr>
            <w:tcW w:w="4248" w:type="dxa"/>
          </w:tcPr>
          <w:p w:rsidR="00E44AC6" w:rsidRDefault="00A62713" w:rsidP="000D4982">
            <w:pPr>
              <w:widowControl/>
              <w:tabs>
                <w:tab w:val="center" w:pos="4680"/>
              </w:tabs>
              <w:suppressAutoHyphens/>
              <w:ind w:left="432"/>
              <w:rPr>
                <w:spacing w:val="-2"/>
                <w:szCs w:val="22"/>
              </w:rPr>
            </w:pPr>
            <w:r w:rsidRPr="00D84548">
              <w:rPr>
                <w:spacing w:val="-2"/>
                <w:szCs w:val="22"/>
              </w:rPr>
              <w:t>File No</w:t>
            </w:r>
            <w:r>
              <w:rPr>
                <w:spacing w:val="-2"/>
                <w:szCs w:val="22"/>
              </w:rPr>
              <w:t>.:  EB-IHD-13-00011158</w:t>
            </w:r>
            <w:r>
              <w:rPr>
                <w:rStyle w:val="FootnoteReference"/>
                <w:spacing w:val="-2"/>
                <w:szCs w:val="22"/>
              </w:rPr>
              <w:footnoteReference w:id="2"/>
            </w:r>
          </w:p>
          <w:p w:rsidR="00E44AC6" w:rsidRDefault="00E44AC6" w:rsidP="000D4982">
            <w:pPr>
              <w:widowControl/>
              <w:tabs>
                <w:tab w:val="center" w:pos="4680"/>
              </w:tabs>
              <w:suppressAutoHyphens/>
              <w:ind w:left="432"/>
              <w:rPr>
                <w:spacing w:val="-2"/>
                <w:szCs w:val="22"/>
              </w:rPr>
            </w:pPr>
          </w:p>
          <w:p w:rsidR="00ED5746" w:rsidRPr="00D84548" w:rsidRDefault="00ED5746" w:rsidP="000D4982">
            <w:pPr>
              <w:widowControl/>
              <w:ind w:left="432"/>
              <w:rPr>
                <w:spacing w:val="-2"/>
                <w:szCs w:val="22"/>
              </w:rPr>
            </w:pPr>
            <w:r w:rsidRPr="00D84548">
              <w:rPr>
                <w:spacing w:val="-2"/>
                <w:szCs w:val="22"/>
              </w:rPr>
              <w:t xml:space="preserve">Acct. No.:  </w:t>
            </w:r>
            <w:r w:rsidR="00A62713">
              <w:rPr>
                <w:spacing w:val="-2"/>
                <w:szCs w:val="22"/>
              </w:rPr>
              <w:t>201232080007</w:t>
            </w:r>
          </w:p>
          <w:p w:rsidR="00ED5746" w:rsidRDefault="00ED5746" w:rsidP="000D4982">
            <w:pPr>
              <w:widowControl/>
              <w:tabs>
                <w:tab w:val="center" w:pos="4680"/>
              </w:tabs>
              <w:suppressAutoHyphens/>
              <w:ind w:left="432"/>
              <w:rPr>
                <w:spacing w:val="-2"/>
                <w:szCs w:val="22"/>
              </w:rPr>
            </w:pPr>
            <w:r w:rsidRPr="00D84548">
              <w:rPr>
                <w:szCs w:val="22"/>
              </w:rPr>
              <w:t xml:space="preserve">FRN:  </w:t>
            </w:r>
            <w:r w:rsidR="00A62713">
              <w:rPr>
                <w:spacing w:val="-2"/>
                <w:szCs w:val="22"/>
              </w:rPr>
              <w:t>0019614908</w:t>
            </w:r>
          </w:p>
          <w:p w:rsidR="00A62713" w:rsidRDefault="00A62713" w:rsidP="000D4982">
            <w:pPr>
              <w:widowControl/>
              <w:tabs>
                <w:tab w:val="center" w:pos="4680"/>
              </w:tabs>
              <w:suppressAutoHyphens/>
              <w:rPr>
                <w:spacing w:val="-2"/>
                <w:szCs w:val="22"/>
              </w:rPr>
            </w:pPr>
          </w:p>
          <w:p w:rsidR="0072328A" w:rsidRDefault="0072328A" w:rsidP="000D4982">
            <w:pPr>
              <w:widowControl/>
              <w:ind w:left="432"/>
              <w:rPr>
                <w:spacing w:val="-2"/>
                <w:szCs w:val="22"/>
              </w:rPr>
            </w:pPr>
          </w:p>
          <w:p w:rsidR="00A62713" w:rsidRPr="00D84548" w:rsidRDefault="00A62713" w:rsidP="000D4982">
            <w:pPr>
              <w:widowControl/>
              <w:ind w:left="432"/>
              <w:rPr>
                <w:spacing w:val="-2"/>
                <w:szCs w:val="22"/>
              </w:rPr>
            </w:pPr>
            <w:r w:rsidRPr="00D84548">
              <w:rPr>
                <w:spacing w:val="-2"/>
                <w:szCs w:val="22"/>
              </w:rPr>
              <w:t xml:space="preserve">Acct. No.:  </w:t>
            </w:r>
            <w:r>
              <w:rPr>
                <w:spacing w:val="-2"/>
                <w:szCs w:val="22"/>
              </w:rPr>
              <w:t>20123208000</w:t>
            </w:r>
            <w:r w:rsidR="005D6171">
              <w:rPr>
                <w:spacing w:val="-2"/>
                <w:szCs w:val="22"/>
              </w:rPr>
              <w:t>8</w:t>
            </w:r>
          </w:p>
          <w:p w:rsidR="00A62713" w:rsidRPr="00D84548" w:rsidRDefault="00A62713" w:rsidP="000D4982">
            <w:pPr>
              <w:widowControl/>
              <w:tabs>
                <w:tab w:val="center" w:pos="4680"/>
              </w:tabs>
              <w:suppressAutoHyphens/>
              <w:ind w:left="432"/>
              <w:rPr>
                <w:snapToGrid/>
                <w:spacing w:val="-2"/>
              </w:rPr>
            </w:pPr>
            <w:r w:rsidRPr="00D84548">
              <w:rPr>
                <w:szCs w:val="22"/>
              </w:rPr>
              <w:t xml:space="preserve">FRN:  </w:t>
            </w:r>
            <w:r w:rsidR="005D6171">
              <w:rPr>
                <w:spacing w:val="-2"/>
                <w:szCs w:val="22"/>
              </w:rPr>
              <w:t>0018691477</w:t>
            </w:r>
          </w:p>
        </w:tc>
      </w:tr>
    </w:tbl>
    <w:p w:rsidR="00F84BCA" w:rsidRPr="00D84548" w:rsidRDefault="00F84BCA" w:rsidP="000D4982">
      <w:pPr>
        <w:widowControl/>
        <w:jc w:val="center"/>
        <w:outlineLvl w:val="0"/>
        <w:rPr>
          <w:b/>
          <w:szCs w:val="22"/>
        </w:rPr>
      </w:pPr>
      <w:r w:rsidRPr="00D84548">
        <w:rPr>
          <w:b/>
          <w:szCs w:val="22"/>
        </w:rPr>
        <w:t>ORDER</w:t>
      </w:r>
    </w:p>
    <w:p w:rsidR="00F84BCA" w:rsidRPr="00D84548" w:rsidRDefault="00F84BCA" w:rsidP="000D4982">
      <w:pPr>
        <w:widowControl/>
        <w:tabs>
          <w:tab w:val="left" w:pos="-720"/>
        </w:tabs>
        <w:suppressAutoHyphens/>
        <w:spacing w:line="227" w:lineRule="auto"/>
        <w:rPr>
          <w:spacing w:val="-2"/>
        </w:rPr>
      </w:pPr>
    </w:p>
    <w:p w:rsidR="00F84BCA" w:rsidRPr="00D84548" w:rsidRDefault="00F84BCA" w:rsidP="000D4982">
      <w:pPr>
        <w:widowControl/>
        <w:tabs>
          <w:tab w:val="left" w:pos="720"/>
          <w:tab w:val="right" w:pos="9360"/>
        </w:tabs>
        <w:suppressAutoHyphens/>
        <w:spacing w:line="227" w:lineRule="auto"/>
        <w:rPr>
          <w:spacing w:val="-2"/>
        </w:rPr>
      </w:pPr>
      <w:r w:rsidRPr="00D84548">
        <w:rPr>
          <w:b/>
          <w:spacing w:val="-2"/>
        </w:rPr>
        <w:t xml:space="preserve">Adopted:  </w:t>
      </w:r>
      <w:r w:rsidR="00425A6B">
        <w:rPr>
          <w:b/>
          <w:spacing w:val="-2"/>
        </w:rPr>
        <w:t>October 6</w:t>
      </w:r>
      <w:r w:rsidR="00CF77B7" w:rsidRPr="00D84548">
        <w:rPr>
          <w:b/>
          <w:spacing w:val="-2"/>
        </w:rPr>
        <w:t>, 20</w:t>
      </w:r>
      <w:r w:rsidR="00A62713">
        <w:rPr>
          <w:b/>
          <w:spacing w:val="-2"/>
        </w:rPr>
        <w:t>15</w:t>
      </w:r>
      <w:r w:rsidRPr="00D84548">
        <w:rPr>
          <w:b/>
          <w:spacing w:val="-2"/>
        </w:rPr>
        <w:tab/>
        <w:t xml:space="preserve">Released:  </w:t>
      </w:r>
      <w:r w:rsidR="00425A6B">
        <w:rPr>
          <w:b/>
          <w:spacing w:val="-2"/>
        </w:rPr>
        <w:t>October 7</w:t>
      </w:r>
      <w:r w:rsidR="00CF77B7" w:rsidRPr="00D84548">
        <w:rPr>
          <w:b/>
          <w:spacing w:val="-2"/>
        </w:rPr>
        <w:t xml:space="preserve">, </w:t>
      </w:r>
      <w:r w:rsidRPr="00D84548">
        <w:rPr>
          <w:b/>
          <w:spacing w:val="-2"/>
        </w:rPr>
        <w:t>20</w:t>
      </w:r>
      <w:r w:rsidR="00A62713">
        <w:rPr>
          <w:b/>
          <w:spacing w:val="-2"/>
        </w:rPr>
        <w:t>15</w:t>
      </w:r>
    </w:p>
    <w:p w:rsidR="00F84BCA" w:rsidRPr="00D84548" w:rsidRDefault="00F84BCA" w:rsidP="000D4982">
      <w:pPr>
        <w:widowControl/>
      </w:pPr>
    </w:p>
    <w:p w:rsidR="00F84BCA" w:rsidRPr="00D84548" w:rsidRDefault="00D42D5D" w:rsidP="000D4982">
      <w:pPr>
        <w:widowControl/>
        <w:rPr>
          <w:spacing w:val="-2"/>
        </w:rPr>
      </w:pPr>
      <w:r w:rsidRPr="00D84548">
        <w:rPr>
          <w:spacing w:val="-2"/>
          <w:szCs w:val="22"/>
        </w:rPr>
        <w:t xml:space="preserve">By the </w:t>
      </w:r>
      <w:r w:rsidR="00F84BCA" w:rsidRPr="00D84548">
        <w:rPr>
          <w:spacing w:val="-2"/>
          <w:szCs w:val="22"/>
        </w:rPr>
        <w:t>Chief, Enforcement Bureau:</w:t>
      </w:r>
    </w:p>
    <w:p w:rsidR="00F84BCA" w:rsidRPr="00D84548" w:rsidRDefault="00F84BCA" w:rsidP="000D4982">
      <w:pPr>
        <w:widowControl/>
      </w:pPr>
    </w:p>
    <w:p w:rsidR="00F84BCA" w:rsidRPr="00D84548" w:rsidRDefault="00E95957" w:rsidP="000D4982">
      <w:pPr>
        <w:pStyle w:val="ParaNum0"/>
        <w:widowControl/>
        <w:numPr>
          <w:ilvl w:val="0"/>
          <w:numId w:val="5"/>
        </w:numPr>
        <w:tabs>
          <w:tab w:val="clear" w:pos="1080"/>
          <w:tab w:val="left" w:pos="1440"/>
        </w:tabs>
        <w:rPr>
          <w:color w:val="000000"/>
          <w:szCs w:val="22"/>
        </w:rPr>
      </w:pPr>
      <w:r w:rsidRPr="00D84548">
        <w:rPr>
          <w:szCs w:val="22"/>
        </w:rPr>
        <w:t>The Enforcement Bureau (Bureau) of the Federal Communications Commission</w:t>
      </w:r>
      <w:r>
        <w:rPr>
          <w:szCs w:val="22"/>
        </w:rPr>
        <w:t xml:space="preserve"> (Commission)</w:t>
      </w:r>
      <w:r w:rsidRPr="00D84548">
        <w:rPr>
          <w:szCs w:val="22"/>
        </w:rPr>
        <w:t xml:space="preserve"> has entered into a Consent Decree to resolve its investigation into whether </w:t>
      </w:r>
      <w:r>
        <w:rPr>
          <w:szCs w:val="22"/>
        </w:rPr>
        <w:t>Kajeet, Inc. (Kajeet, Inc.) and its wholly-owned subsidiary Kajeet/Airlink, LLC (Kajeet/Airlink) (collectively, Kajeet or the Companies)</w:t>
      </w:r>
      <w:r w:rsidRPr="00D84548">
        <w:rPr>
          <w:szCs w:val="22"/>
        </w:rPr>
        <w:t xml:space="preserve"> </w:t>
      </w:r>
      <w:r>
        <w:rPr>
          <w:szCs w:val="22"/>
        </w:rPr>
        <w:t xml:space="preserve">willfully </w:t>
      </w:r>
      <w:r w:rsidR="0022406E">
        <w:rPr>
          <w:szCs w:val="22"/>
        </w:rPr>
        <w:t xml:space="preserve">or </w:t>
      </w:r>
      <w:r>
        <w:rPr>
          <w:szCs w:val="22"/>
        </w:rPr>
        <w:t>repeatedly failed to</w:t>
      </w:r>
      <w:r w:rsidR="00035A53">
        <w:rPr>
          <w:szCs w:val="22"/>
        </w:rPr>
        <w:t>:</w:t>
      </w:r>
      <w:r w:rsidR="009125FA">
        <w:rPr>
          <w:szCs w:val="22"/>
        </w:rPr>
        <w:t xml:space="preserve"> </w:t>
      </w:r>
      <w:r w:rsidR="00035A53">
        <w:rPr>
          <w:szCs w:val="22"/>
        </w:rPr>
        <w:t xml:space="preserve">(i) meet </w:t>
      </w:r>
      <w:r w:rsidR="00741DB7">
        <w:rPr>
          <w:szCs w:val="22"/>
        </w:rPr>
        <w:t xml:space="preserve">its </w:t>
      </w:r>
      <w:r w:rsidR="009125FA">
        <w:rPr>
          <w:szCs w:val="22"/>
        </w:rPr>
        <w:t xml:space="preserve"> obligations to contribute to </w:t>
      </w:r>
      <w:r w:rsidR="00035A53">
        <w:rPr>
          <w:szCs w:val="22"/>
        </w:rPr>
        <w:t xml:space="preserve">public interest </w:t>
      </w:r>
      <w:r w:rsidR="009125FA">
        <w:rPr>
          <w:szCs w:val="22"/>
        </w:rPr>
        <w:t xml:space="preserve">funds which ensure </w:t>
      </w:r>
      <w:r w:rsidR="009125FA">
        <w:rPr>
          <w:color w:val="000000"/>
        </w:rPr>
        <w:t>accessible, efficient, and reasonably priced communications for all Americans</w:t>
      </w:r>
      <w:r w:rsidR="00035A53">
        <w:rPr>
          <w:color w:val="000000"/>
        </w:rPr>
        <w:t xml:space="preserve"> and (ii) obtain Commission approval as required prior to acting as </w:t>
      </w:r>
      <w:r w:rsidR="009125FA">
        <w:rPr>
          <w:szCs w:val="22"/>
        </w:rPr>
        <w:t xml:space="preserve">an international telecommunications services provider.  </w:t>
      </w:r>
      <w:r w:rsidR="00852F69" w:rsidRPr="00D84548">
        <w:rPr>
          <w:szCs w:val="22"/>
        </w:rPr>
        <w:t xml:space="preserve">To settle this matter, </w:t>
      </w:r>
      <w:r w:rsidR="00116FF9">
        <w:rPr>
          <w:szCs w:val="22"/>
        </w:rPr>
        <w:t>Kajeet</w:t>
      </w:r>
      <w:r w:rsidR="00116FF9" w:rsidRPr="00D84548">
        <w:rPr>
          <w:szCs w:val="22"/>
        </w:rPr>
        <w:t xml:space="preserve"> </w:t>
      </w:r>
      <w:r w:rsidR="0022121A">
        <w:rPr>
          <w:szCs w:val="22"/>
        </w:rPr>
        <w:t xml:space="preserve">admits it </w:t>
      </w:r>
      <w:r w:rsidR="00861A75">
        <w:rPr>
          <w:szCs w:val="22"/>
        </w:rPr>
        <w:t>willfully and repeatedly failed</w:t>
      </w:r>
      <w:r w:rsidR="0022121A">
        <w:rPr>
          <w:szCs w:val="22"/>
        </w:rPr>
        <w:t xml:space="preserve"> to contribute fully and timely to the </w:t>
      </w:r>
      <w:r w:rsidR="009125FA">
        <w:rPr>
          <w:szCs w:val="22"/>
        </w:rPr>
        <w:t>Universal Service Fund (USF), the Telecommunications Relay Service (TRS) Fund, and</w:t>
      </w:r>
      <w:r w:rsidR="009125FA">
        <w:t xml:space="preserve"> the Local Number Portability (LNP) cost recovery mechanism</w:t>
      </w:r>
      <w:r w:rsidR="009125FA">
        <w:rPr>
          <w:szCs w:val="22"/>
        </w:rPr>
        <w:t xml:space="preserve"> </w:t>
      </w:r>
      <w:r w:rsidR="0022121A">
        <w:rPr>
          <w:szCs w:val="22"/>
        </w:rPr>
        <w:t xml:space="preserve">and also failed </w:t>
      </w:r>
      <w:r w:rsidR="004D6CFF">
        <w:rPr>
          <w:szCs w:val="22"/>
        </w:rPr>
        <w:t xml:space="preserve">to </w:t>
      </w:r>
      <w:r w:rsidR="0022121A">
        <w:rPr>
          <w:szCs w:val="22"/>
        </w:rPr>
        <w:t xml:space="preserve">obtain Commission approval prior to consummating the assignment of an international </w:t>
      </w:r>
      <w:r w:rsidR="0022406E">
        <w:rPr>
          <w:szCs w:val="22"/>
        </w:rPr>
        <w:t>Section</w:t>
      </w:r>
      <w:r w:rsidR="0022121A">
        <w:rPr>
          <w:szCs w:val="22"/>
        </w:rPr>
        <w:t xml:space="preserve"> 214 authorization</w:t>
      </w:r>
      <w:r w:rsidR="00D90C51">
        <w:rPr>
          <w:szCs w:val="22"/>
        </w:rPr>
        <w:t xml:space="preserve">.  In addition, </w:t>
      </w:r>
      <w:r w:rsidR="0022121A">
        <w:rPr>
          <w:szCs w:val="22"/>
        </w:rPr>
        <w:t xml:space="preserve">Kajeet </w:t>
      </w:r>
      <w:r w:rsidR="00861A75" w:rsidRPr="00D84548">
        <w:rPr>
          <w:szCs w:val="22"/>
        </w:rPr>
        <w:t>w</w:t>
      </w:r>
      <w:r w:rsidR="00861A75">
        <w:rPr>
          <w:szCs w:val="22"/>
        </w:rPr>
        <w:t xml:space="preserve">ill </w:t>
      </w:r>
      <w:r w:rsidR="00332822">
        <w:rPr>
          <w:szCs w:val="22"/>
        </w:rPr>
        <w:t xml:space="preserve">implement a long-term </w:t>
      </w:r>
      <w:r w:rsidR="004D6CFF">
        <w:rPr>
          <w:szCs w:val="22"/>
        </w:rPr>
        <w:t>plan to ensure future compliance with the Commission’s rules (Rules)</w:t>
      </w:r>
      <w:r w:rsidR="00232642">
        <w:rPr>
          <w:szCs w:val="22"/>
        </w:rPr>
        <w:t xml:space="preserve">, and </w:t>
      </w:r>
      <w:r w:rsidR="00232642" w:rsidRPr="00D84548">
        <w:rPr>
          <w:szCs w:val="22"/>
        </w:rPr>
        <w:t>pay a $</w:t>
      </w:r>
      <w:r w:rsidR="00232642">
        <w:rPr>
          <w:szCs w:val="22"/>
        </w:rPr>
        <w:t xml:space="preserve">450,000 </w:t>
      </w:r>
      <w:r w:rsidR="00232642" w:rsidRPr="00D84548">
        <w:rPr>
          <w:szCs w:val="22"/>
        </w:rPr>
        <w:t>civil penalty</w:t>
      </w:r>
      <w:r w:rsidR="00232642">
        <w:rPr>
          <w:szCs w:val="22"/>
        </w:rPr>
        <w:t>.</w:t>
      </w:r>
    </w:p>
    <w:p w:rsidR="006B302F" w:rsidRDefault="00F84BCA" w:rsidP="000D4982">
      <w:pPr>
        <w:pStyle w:val="ParaNum0"/>
        <w:widowControl/>
        <w:numPr>
          <w:ilvl w:val="0"/>
          <w:numId w:val="5"/>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w:t>
      </w:r>
      <w:r w:rsidR="009942A1" w:rsidRPr="00D84548">
        <w:rPr>
          <w:szCs w:val="22"/>
        </w:rPr>
        <w:t>resolving the</w:t>
      </w:r>
      <w:r w:rsidR="00B277A4" w:rsidRPr="00D84548">
        <w:rPr>
          <w:szCs w:val="22"/>
        </w:rPr>
        <w:t xml:space="preserve"> Notice of Apparent</w:t>
      </w:r>
      <w:r w:rsidR="007A09F9">
        <w:rPr>
          <w:szCs w:val="22"/>
        </w:rPr>
        <w:t xml:space="preserve"> Liability for Forfeiture (NAL)</w:t>
      </w:r>
      <w:r w:rsidR="00B277A4" w:rsidRPr="00D84548">
        <w:rPr>
          <w:szCs w:val="22"/>
        </w:rPr>
        <w:t xml:space="preserve"> regarding </w:t>
      </w:r>
      <w:r w:rsidR="00A62713">
        <w:rPr>
          <w:szCs w:val="22"/>
        </w:rPr>
        <w:t>Kajeet</w:t>
      </w:r>
      <w:r w:rsidR="00B277A4" w:rsidRPr="00D84548">
        <w:rPr>
          <w:szCs w:val="22"/>
        </w:rPr>
        <w:t xml:space="preserve">’s compliance with </w:t>
      </w:r>
      <w:r w:rsidR="0022406E">
        <w:rPr>
          <w:szCs w:val="22"/>
        </w:rPr>
        <w:t>Section</w:t>
      </w:r>
      <w:r w:rsidR="007A09F9">
        <w:rPr>
          <w:szCs w:val="22"/>
        </w:rPr>
        <w:t>s</w:t>
      </w:r>
      <w:r w:rsidR="00B277A4" w:rsidRPr="00D84548">
        <w:rPr>
          <w:szCs w:val="22"/>
        </w:rPr>
        <w:t xml:space="preserve"> </w:t>
      </w:r>
      <w:r w:rsidR="00861A75">
        <w:rPr>
          <w:szCs w:val="22"/>
        </w:rPr>
        <w:t xml:space="preserve">214, </w:t>
      </w:r>
      <w:r w:rsidR="007A09F9">
        <w:rPr>
          <w:szCs w:val="22"/>
        </w:rPr>
        <w:t>251(e)(2), and 254(d) of the Communications Act of 1934, as amended (Act),</w:t>
      </w:r>
      <w:r w:rsidR="007A09F9">
        <w:rPr>
          <w:szCs w:val="22"/>
          <w:vertAlign w:val="superscript"/>
        </w:rPr>
        <w:footnoteReference w:id="3"/>
      </w:r>
      <w:r w:rsidR="007A09F9">
        <w:rPr>
          <w:szCs w:val="22"/>
        </w:rPr>
        <w:t xml:space="preserve"> and </w:t>
      </w:r>
      <w:r w:rsidR="0022406E">
        <w:rPr>
          <w:szCs w:val="22"/>
        </w:rPr>
        <w:t>Section</w:t>
      </w:r>
      <w:r w:rsidR="007A09F9">
        <w:rPr>
          <w:szCs w:val="22"/>
        </w:rPr>
        <w:t xml:space="preserve">s 52.32(a), 54.706(a), </w:t>
      </w:r>
      <w:r w:rsidR="00861A75">
        <w:rPr>
          <w:szCs w:val="22"/>
        </w:rPr>
        <w:t xml:space="preserve">63.24, </w:t>
      </w:r>
      <w:r w:rsidR="007A09F9">
        <w:rPr>
          <w:szCs w:val="22"/>
        </w:rPr>
        <w:t xml:space="preserve">and </w:t>
      </w:r>
      <w:r w:rsidR="007A09F9" w:rsidRPr="00D87393">
        <w:t>64.604(c)(5)(iii)(A)</w:t>
      </w:r>
      <w:r w:rsidR="00D90C51">
        <w:rPr>
          <w:szCs w:val="22"/>
        </w:rPr>
        <w:t xml:space="preserve"> </w:t>
      </w:r>
      <w:r w:rsidR="007A09F9">
        <w:rPr>
          <w:szCs w:val="22"/>
        </w:rPr>
        <w:t>of the Commission’s rules (Rules)</w:t>
      </w:r>
      <w:r w:rsidR="007A09F9">
        <w:rPr>
          <w:szCs w:val="22"/>
          <w:vertAlign w:val="superscript"/>
        </w:rPr>
        <w:footnoteReference w:id="4"/>
      </w:r>
      <w:r w:rsidR="00D90C51">
        <w:rPr>
          <w:szCs w:val="22"/>
        </w:rPr>
        <w:t xml:space="preserve"> pertaining to </w:t>
      </w:r>
      <w:r w:rsidR="00C41097">
        <w:rPr>
          <w:szCs w:val="22"/>
        </w:rPr>
        <w:t xml:space="preserve">the </w:t>
      </w:r>
      <w:r w:rsidR="00F76E5B">
        <w:rPr>
          <w:szCs w:val="22"/>
        </w:rPr>
        <w:t>USF, the TRS Fund,</w:t>
      </w:r>
      <w:r w:rsidR="00E95957">
        <w:rPr>
          <w:szCs w:val="22"/>
        </w:rPr>
        <w:t xml:space="preserve"> and</w:t>
      </w:r>
      <w:r w:rsidR="00F76E5B">
        <w:rPr>
          <w:szCs w:val="22"/>
        </w:rPr>
        <w:t xml:space="preserve"> the LNP </w:t>
      </w:r>
      <w:r w:rsidR="00E95957">
        <w:rPr>
          <w:szCs w:val="22"/>
        </w:rPr>
        <w:t>cost recover</w:t>
      </w:r>
      <w:r w:rsidR="00C41097">
        <w:rPr>
          <w:szCs w:val="22"/>
        </w:rPr>
        <w:t>y</w:t>
      </w:r>
      <w:r w:rsidR="00E95957">
        <w:rPr>
          <w:szCs w:val="22"/>
        </w:rPr>
        <w:t xml:space="preserve"> mechanism </w:t>
      </w:r>
      <w:r w:rsidR="00C41097">
        <w:rPr>
          <w:szCs w:val="22"/>
        </w:rPr>
        <w:t>R</w:t>
      </w:r>
      <w:r w:rsidR="00F76E5B">
        <w:rPr>
          <w:szCs w:val="22"/>
        </w:rPr>
        <w:t xml:space="preserve">ules, and the </w:t>
      </w:r>
      <w:r w:rsidR="004D6CFF">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7A09F9">
        <w:rPr>
          <w:szCs w:val="22"/>
        </w:rPr>
        <w:t xml:space="preserve">. </w:t>
      </w:r>
    </w:p>
    <w:p w:rsidR="006B302F" w:rsidRPr="006B302F" w:rsidRDefault="00ED399C" w:rsidP="000D4982">
      <w:pPr>
        <w:pStyle w:val="ParaNum0"/>
        <w:widowControl/>
        <w:numPr>
          <w:ilvl w:val="0"/>
          <w:numId w:val="5"/>
        </w:numPr>
        <w:tabs>
          <w:tab w:val="clear" w:pos="1080"/>
          <w:tab w:val="left" w:pos="1440"/>
        </w:tabs>
        <w:rPr>
          <w:szCs w:val="22"/>
        </w:rPr>
      </w:pPr>
      <w:r>
        <w:t>In the absence of material new evidence relating to this matter, we do not set for hearing the question of Kajeet’s</w:t>
      </w:r>
      <w:r w:rsidR="0082657B">
        <w:t xml:space="preserve"> </w:t>
      </w:r>
      <w:r>
        <w:t>basic qualifications to hold or obtain any Commission license or authorization.</w:t>
      </w:r>
      <w:r>
        <w:rPr>
          <w:rStyle w:val="FootnoteReference"/>
        </w:rPr>
        <w:footnoteReference w:id="5"/>
      </w:r>
      <w:r>
        <w:t xml:space="preserve">  </w:t>
      </w:r>
    </w:p>
    <w:p w:rsidR="006B302F" w:rsidRDefault="00F84BCA" w:rsidP="000D4982">
      <w:pPr>
        <w:pStyle w:val="ParaNum0"/>
        <w:widowControl/>
        <w:numPr>
          <w:ilvl w:val="0"/>
          <w:numId w:val="5"/>
        </w:numPr>
        <w:tabs>
          <w:tab w:val="clear" w:pos="1080"/>
        </w:tabs>
      </w:pPr>
      <w:r w:rsidRPr="006B302F">
        <w:rPr>
          <w:szCs w:val="22"/>
        </w:rPr>
        <w:t xml:space="preserve">Accordingly, </w:t>
      </w:r>
      <w:r w:rsidRPr="006B302F">
        <w:rPr>
          <w:b/>
          <w:szCs w:val="22"/>
        </w:rPr>
        <w:t xml:space="preserve">IT IS ORDERED </w:t>
      </w:r>
      <w:r w:rsidRPr="006B302F">
        <w:rPr>
          <w:szCs w:val="22"/>
        </w:rPr>
        <w:t>that, pursuant to Sections</w:t>
      </w:r>
      <w:r w:rsidR="00B75912" w:rsidRPr="006B302F">
        <w:rPr>
          <w:szCs w:val="22"/>
        </w:rPr>
        <w:t xml:space="preserve"> 4(i)</w:t>
      </w:r>
      <w:r w:rsidR="003A0A67" w:rsidRPr="006B302F">
        <w:rPr>
          <w:szCs w:val="22"/>
        </w:rPr>
        <w:t xml:space="preserve">, </w:t>
      </w:r>
      <w:r w:rsidRPr="006B302F">
        <w:rPr>
          <w:szCs w:val="22"/>
        </w:rPr>
        <w:t>and 503(b)</w:t>
      </w:r>
      <w:r w:rsidR="00782791" w:rsidRPr="006B302F">
        <w:rPr>
          <w:szCs w:val="22"/>
        </w:rPr>
        <w:t xml:space="preserve"> </w:t>
      </w:r>
      <w:r w:rsidR="009632A6" w:rsidRPr="006B302F">
        <w:rPr>
          <w:szCs w:val="22"/>
        </w:rPr>
        <w:t>of the Act</w:t>
      </w:r>
      <w:r w:rsidR="009632A6" w:rsidRPr="00D84548">
        <w:rPr>
          <w:rStyle w:val="FootnoteReference"/>
          <w:szCs w:val="22"/>
        </w:rPr>
        <w:footnoteReference w:id="6"/>
      </w:r>
      <w:r w:rsidRPr="006B302F">
        <w:rPr>
          <w:szCs w:val="22"/>
        </w:rPr>
        <w:t xml:space="preserve"> and the authority delegated by Sections 0.1</w:t>
      </w:r>
      <w:r w:rsidR="0051080A" w:rsidRPr="006B302F">
        <w:rPr>
          <w:szCs w:val="22"/>
        </w:rPr>
        <w:t>11 and 0.311 of the R</w:t>
      </w:r>
      <w:r w:rsidR="009632A6" w:rsidRPr="006B302F">
        <w:rPr>
          <w:szCs w:val="22"/>
        </w:rPr>
        <w:t>ules,</w:t>
      </w:r>
      <w:r w:rsidR="009632A6" w:rsidRPr="00D84548">
        <w:rPr>
          <w:rStyle w:val="FootnoteReference"/>
          <w:szCs w:val="22"/>
        </w:rPr>
        <w:footnoteReference w:id="7"/>
      </w:r>
      <w:r w:rsidRPr="006B302F">
        <w:rPr>
          <w:szCs w:val="22"/>
        </w:rPr>
        <w:t xml:space="preserve"> the attached Consent Decree </w:t>
      </w:r>
      <w:r w:rsidRPr="006B302F">
        <w:rPr>
          <w:b/>
          <w:szCs w:val="22"/>
        </w:rPr>
        <w:t>IS ADOPTED</w:t>
      </w:r>
      <w:r w:rsidR="00B87679" w:rsidRPr="006B302F">
        <w:rPr>
          <w:b/>
          <w:szCs w:val="22"/>
        </w:rPr>
        <w:t xml:space="preserve"> </w:t>
      </w:r>
      <w:r w:rsidR="00B87679" w:rsidRPr="006B302F">
        <w:rPr>
          <w:szCs w:val="22"/>
        </w:rPr>
        <w:t xml:space="preserve">and </w:t>
      </w:r>
      <w:r w:rsidR="00433E5E" w:rsidRPr="006B302F">
        <w:rPr>
          <w:szCs w:val="22"/>
        </w:rPr>
        <w:t>its terms incorporated by</w:t>
      </w:r>
      <w:r w:rsidR="00B87679" w:rsidRPr="006B302F">
        <w:rPr>
          <w:szCs w:val="22"/>
        </w:rPr>
        <w:t xml:space="preserve"> reference</w:t>
      </w:r>
      <w:r w:rsidRPr="006B302F">
        <w:rPr>
          <w:szCs w:val="22"/>
        </w:rPr>
        <w:t>.</w:t>
      </w:r>
    </w:p>
    <w:p w:rsidR="006B302F" w:rsidRDefault="00F84BCA" w:rsidP="000D4982">
      <w:pPr>
        <w:pStyle w:val="ParaNum0"/>
        <w:widowControl/>
        <w:numPr>
          <w:ilvl w:val="0"/>
          <w:numId w:val="5"/>
        </w:numPr>
        <w:tabs>
          <w:tab w:val="clear" w:pos="1080"/>
        </w:tabs>
      </w:pPr>
      <w:r w:rsidRPr="006B302F">
        <w:rPr>
          <w:b/>
        </w:rPr>
        <w:lastRenderedPageBreak/>
        <w:t>IT IS FURTHER ORDERED</w:t>
      </w:r>
      <w:r w:rsidR="006B302F">
        <w:t xml:space="preserve"> that the above-captioned investigation</w:t>
      </w:r>
      <w:r w:rsidRPr="00D84548">
        <w:t xml:space="preserve"> </w:t>
      </w:r>
      <w:r w:rsidRPr="006B302F">
        <w:rPr>
          <w:b/>
        </w:rPr>
        <w:t>IS TERMINATED</w:t>
      </w:r>
      <w:r w:rsidR="00A62713">
        <w:t>.</w:t>
      </w:r>
    </w:p>
    <w:p w:rsidR="00F84BCA" w:rsidRPr="006B302F" w:rsidRDefault="00F84BCA" w:rsidP="000D4982">
      <w:pPr>
        <w:pStyle w:val="ParaNum0"/>
        <w:widowControl/>
        <w:numPr>
          <w:ilvl w:val="0"/>
          <w:numId w:val="5"/>
        </w:numPr>
        <w:tabs>
          <w:tab w:val="clear" w:pos="1080"/>
        </w:tabs>
      </w:pPr>
      <w:r w:rsidRPr="006B302F">
        <w:rPr>
          <w:b/>
        </w:rPr>
        <w:t>IT IS FURTHER ORDERED</w:t>
      </w:r>
      <w:r w:rsidRPr="00D84548">
        <w:t xml:space="preserve"> that a copy of this Order and Consent Decree </w:t>
      </w:r>
      <w:r w:rsidR="00D84548" w:rsidRPr="006B302F">
        <w:rPr>
          <w:color w:val="000000" w:themeColor="text1"/>
          <w:szCs w:val="22"/>
        </w:rPr>
        <w:t xml:space="preserve">shall be sent by first class mail and certified mail, return receipt requested, to </w:t>
      </w:r>
      <w:r w:rsidR="0001789C" w:rsidRPr="006B302F">
        <w:rPr>
          <w:color w:val="000000" w:themeColor="text1"/>
          <w:szCs w:val="22"/>
        </w:rPr>
        <w:t xml:space="preserve">Daniel J. Neal, Chief Executive Officer, Kajeet, </w:t>
      </w:r>
      <w:r w:rsidR="00CF1FD7" w:rsidRPr="006B302F">
        <w:rPr>
          <w:color w:val="000000" w:themeColor="text1"/>
          <w:szCs w:val="22"/>
        </w:rPr>
        <w:t>Inc.</w:t>
      </w:r>
      <w:r w:rsidR="0001789C" w:rsidRPr="006B302F">
        <w:rPr>
          <w:color w:val="000000" w:themeColor="text1"/>
          <w:szCs w:val="22"/>
        </w:rPr>
        <w:t xml:space="preserve">, and Kajeet/Airlink, LLC, 7901 Jones Branch Drive, Suite 350, McLean, VA, 22102. </w:t>
      </w:r>
    </w:p>
    <w:p w:rsidR="006B302F" w:rsidRDefault="00F84BCA" w:rsidP="000D4982">
      <w:pPr>
        <w:widowControl/>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p>
    <w:p w:rsidR="006B302F" w:rsidRDefault="006B302F" w:rsidP="000D4982">
      <w:pPr>
        <w:widowControl/>
        <w:outlineLvl w:val="0"/>
        <w:rPr>
          <w:szCs w:val="22"/>
          <w:lang w:val="fr-FR"/>
        </w:rPr>
      </w:pPr>
    </w:p>
    <w:p w:rsidR="006B302F" w:rsidRDefault="006B302F" w:rsidP="000D4982">
      <w:pPr>
        <w:widowControl/>
        <w:outlineLvl w:val="0"/>
        <w:rPr>
          <w:szCs w:val="22"/>
          <w:lang w:val="fr-FR"/>
        </w:rPr>
      </w:pPr>
    </w:p>
    <w:p w:rsidR="00F84BCA" w:rsidRPr="00EF505E" w:rsidRDefault="00F84BCA" w:rsidP="000D4982">
      <w:pPr>
        <w:widowControl/>
        <w:ind w:left="3600" w:firstLine="720"/>
        <w:outlineLvl w:val="0"/>
        <w:rPr>
          <w:szCs w:val="22"/>
          <w:lang w:val="fr-FR"/>
        </w:rPr>
      </w:pPr>
      <w:r w:rsidRPr="00EF505E">
        <w:rPr>
          <w:szCs w:val="22"/>
          <w:lang w:val="fr-FR"/>
        </w:rPr>
        <w:t>FEDERAL COMMUNICATIONS COMMISSION</w:t>
      </w:r>
    </w:p>
    <w:p w:rsidR="00F84BCA" w:rsidRPr="00EF505E" w:rsidRDefault="00F84BCA" w:rsidP="000D4982">
      <w:pPr>
        <w:widowControl/>
        <w:rPr>
          <w:szCs w:val="22"/>
          <w:lang w:val="fr-FR"/>
        </w:rPr>
      </w:pPr>
    </w:p>
    <w:p w:rsidR="00F84BCA" w:rsidRPr="00EF505E" w:rsidRDefault="00F84BCA" w:rsidP="000D4982">
      <w:pPr>
        <w:widowControl/>
        <w:rPr>
          <w:szCs w:val="22"/>
          <w:lang w:val="fr-FR"/>
        </w:rPr>
      </w:pPr>
    </w:p>
    <w:p w:rsidR="00F84BCA" w:rsidRPr="00EF505E" w:rsidRDefault="00F84BCA" w:rsidP="000D4982">
      <w:pPr>
        <w:widowControl/>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F84BCA" w:rsidRPr="00EF505E" w:rsidRDefault="00F84BCA" w:rsidP="000D4982">
      <w:pPr>
        <w:widowControl/>
        <w:outlineLvl w:val="0"/>
        <w:rPr>
          <w:szCs w:val="22"/>
          <w:lang w:val="fr-FR"/>
        </w:rPr>
      </w:pPr>
    </w:p>
    <w:p w:rsidR="00F84BCA" w:rsidRDefault="00F84BCA" w:rsidP="000D4982">
      <w:pPr>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6B302F">
        <w:rPr>
          <w:szCs w:val="22"/>
          <w:lang w:val="fr-FR"/>
        </w:rPr>
        <w:tab/>
      </w:r>
      <w:r>
        <w:rPr>
          <w:szCs w:val="22"/>
          <w:lang w:val="fr-FR"/>
        </w:rPr>
        <w:t>Travis LeBlanc</w:t>
      </w:r>
    </w:p>
    <w:p w:rsidR="00D84548" w:rsidRDefault="006811F1" w:rsidP="000D4982">
      <w:pPr>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6B302F">
        <w:rPr>
          <w:szCs w:val="22"/>
          <w:lang w:val="fr-FR"/>
        </w:rPr>
        <w:tab/>
      </w:r>
      <w:r w:rsidR="00F84BCA" w:rsidRPr="00A15CBD">
        <w:rPr>
          <w:szCs w:val="22"/>
        </w:rPr>
        <w:t>C</w:t>
      </w:r>
      <w:r w:rsidR="00F84BCA">
        <w:rPr>
          <w:szCs w:val="22"/>
        </w:rPr>
        <w:t>hief</w:t>
      </w:r>
      <w:r w:rsidR="00EF1C44">
        <w:rPr>
          <w:szCs w:val="22"/>
        </w:rPr>
        <w:t xml:space="preserve"> </w:t>
      </w:r>
    </w:p>
    <w:p w:rsidR="0001647A" w:rsidRDefault="00F84BCA" w:rsidP="000D4982">
      <w:pPr>
        <w:widowControl/>
        <w:ind w:left="3600" w:firstLine="720"/>
        <w:outlineLvl w:val="0"/>
        <w:rPr>
          <w:szCs w:val="22"/>
        </w:rPr>
        <w:sectPr w:rsidR="0001647A" w:rsidSect="0001647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titlePg/>
          <w:docGrid w:linePitch="299"/>
        </w:sectPr>
      </w:pPr>
      <w:r>
        <w:rPr>
          <w:szCs w:val="22"/>
        </w:rPr>
        <w:t>Enforcement Bureau</w:t>
      </w:r>
    </w:p>
    <w:p w:rsidR="0001647A" w:rsidRPr="00843A5F" w:rsidRDefault="0001647A" w:rsidP="000D4982">
      <w:pPr>
        <w:widowControl/>
        <w:jc w:val="center"/>
        <w:rPr>
          <w:b/>
        </w:rPr>
      </w:pPr>
      <w:r w:rsidRPr="00843A5F">
        <w:rPr>
          <w:rFonts w:ascii="Times New Roman Bold" w:hAnsi="Times New Roman Bold"/>
          <w:b/>
          <w:kern w:val="0"/>
          <w:szCs w:val="22"/>
        </w:rPr>
        <w:lastRenderedPageBreak/>
        <w:t>Before</w:t>
      </w:r>
      <w:r w:rsidRPr="00843A5F">
        <w:rPr>
          <w:b/>
        </w:rPr>
        <w:t xml:space="preserve"> the</w:t>
      </w:r>
    </w:p>
    <w:p w:rsidR="0001647A" w:rsidRPr="00843A5F" w:rsidRDefault="0001647A" w:rsidP="000D4982">
      <w:pPr>
        <w:pStyle w:val="StyleBoldCentered"/>
        <w:widowControl/>
      </w:pPr>
      <w:r w:rsidRPr="00843A5F">
        <w:t>F</w:t>
      </w:r>
      <w:r w:rsidRPr="00843A5F">
        <w:rPr>
          <w:caps w:val="0"/>
        </w:rPr>
        <w:t>ederal Communications Commission</w:t>
      </w:r>
    </w:p>
    <w:p w:rsidR="0001647A" w:rsidRPr="00843A5F" w:rsidRDefault="0001647A" w:rsidP="000D4982">
      <w:pPr>
        <w:pStyle w:val="StyleBoldCentered"/>
        <w:widowControl/>
      </w:pPr>
      <w:r w:rsidRPr="00843A5F">
        <w:rPr>
          <w:caps w:val="0"/>
        </w:rPr>
        <w:t>Washington, DC 20554</w:t>
      </w:r>
    </w:p>
    <w:p w:rsidR="0001647A" w:rsidRPr="00843A5F" w:rsidRDefault="0001647A" w:rsidP="000D4982">
      <w:pPr>
        <w:widowControl/>
      </w:pPr>
    </w:p>
    <w:p w:rsidR="008921F4" w:rsidRDefault="008921F4" w:rsidP="000D4982">
      <w:pPr>
        <w:widowControl/>
        <w:tabs>
          <w:tab w:val="center" w:pos="4680"/>
        </w:tabs>
        <w:suppressAutoHyphens/>
        <w:rPr>
          <w:spacing w:val="-2"/>
        </w:rPr>
        <w:sectPr w:rsidR="008921F4" w:rsidSect="0001647A">
          <w:endnotePr>
            <w:numFmt w:val="decimal"/>
          </w:endnotePr>
          <w:pgSz w:w="12240" w:h="15840"/>
          <w:pgMar w:top="1095" w:right="1440" w:bottom="720" w:left="1440" w:header="720" w:footer="720" w:gutter="0"/>
          <w:pgNumType w:start="1"/>
          <w:cols w:space="720"/>
          <w:noEndnote/>
          <w:titlePg/>
          <w:docGrid w:linePitch="299"/>
        </w:sectPr>
      </w:pPr>
    </w:p>
    <w:p w:rsidR="008921F4" w:rsidRDefault="008921F4" w:rsidP="000D4982">
      <w:pPr>
        <w:widowControl/>
        <w:tabs>
          <w:tab w:val="center" w:pos="4680"/>
        </w:tabs>
        <w:suppressAutoHyphens/>
        <w:rPr>
          <w:spacing w:val="-2"/>
        </w:rPr>
        <w:sectPr w:rsidR="008921F4" w:rsidSect="008921F4">
          <w:endnotePr>
            <w:numFmt w:val="decimal"/>
          </w:endnotePr>
          <w:type w:val="continuous"/>
          <w:pgSz w:w="12240" w:h="15840"/>
          <w:pgMar w:top="1095" w:right="1440" w:bottom="720" w:left="1440" w:header="720" w:footer="720" w:gutter="0"/>
          <w:pgNumType w:start="1"/>
          <w:cols w:space="720"/>
          <w:noEndnote/>
          <w:titlePg/>
          <w:docGrid w:linePitch="299"/>
        </w:sectPr>
      </w:pPr>
    </w:p>
    <w:tbl>
      <w:tblPr>
        <w:tblW w:w="13824" w:type="dxa"/>
        <w:tblLayout w:type="fixed"/>
        <w:tblLook w:val="0000" w:firstRow="0" w:lastRow="0" w:firstColumn="0" w:lastColumn="0" w:noHBand="0" w:noVBand="0"/>
      </w:tblPr>
      <w:tblGrid>
        <w:gridCol w:w="4698"/>
        <w:gridCol w:w="630"/>
        <w:gridCol w:w="4248"/>
        <w:gridCol w:w="4248"/>
      </w:tblGrid>
      <w:tr w:rsidR="00A62713" w:rsidRPr="007C0B39" w:rsidTr="00A62713">
        <w:trPr>
          <w:trHeight w:val="2043"/>
        </w:trPr>
        <w:tc>
          <w:tcPr>
            <w:tcW w:w="4698" w:type="dxa"/>
          </w:tcPr>
          <w:p w:rsidR="00A62713" w:rsidRPr="00D84548" w:rsidRDefault="00A62713" w:rsidP="000D4982">
            <w:pPr>
              <w:widowControl/>
              <w:tabs>
                <w:tab w:val="center" w:pos="4680"/>
              </w:tabs>
              <w:suppressAutoHyphens/>
              <w:rPr>
                <w:spacing w:val="-2"/>
              </w:rPr>
            </w:pPr>
            <w:r w:rsidRPr="00ED5746">
              <w:rPr>
                <w:spacing w:val="-2"/>
              </w:rPr>
              <w:t>In the Matter of</w:t>
            </w:r>
          </w:p>
          <w:p w:rsidR="00A62713" w:rsidRPr="00D23E19" w:rsidRDefault="00A62713" w:rsidP="000D4982">
            <w:pPr>
              <w:widowControl/>
              <w:tabs>
                <w:tab w:val="left" w:pos="360"/>
                <w:tab w:val="center" w:pos="4680"/>
                <w:tab w:val="right" w:leader="dot" w:pos="9360"/>
              </w:tabs>
              <w:suppressAutoHyphens/>
              <w:ind w:left="360" w:right="720" w:hanging="360"/>
              <w:rPr>
                <w:spacing w:val="-2"/>
              </w:rPr>
            </w:pPr>
          </w:p>
          <w:p w:rsidR="00A62713" w:rsidRDefault="00A62713" w:rsidP="000D4982">
            <w:pPr>
              <w:widowControl/>
              <w:autoSpaceDE w:val="0"/>
              <w:autoSpaceDN w:val="0"/>
              <w:adjustRightInd w:val="0"/>
              <w:rPr>
                <w:szCs w:val="22"/>
              </w:rPr>
            </w:pPr>
            <w:r>
              <w:rPr>
                <w:szCs w:val="22"/>
              </w:rPr>
              <w:t>Kajeet</w:t>
            </w:r>
            <w:r w:rsidR="003C6BBA">
              <w:rPr>
                <w:szCs w:val="22"/>
              </w:rPr>
              <w:t>,</w:t>
            </w:r>
            <w:r>
              <w:rPr>
                <w:szCs w:val="22"/>
              </w:rPr>
              <w:t xml:space="preserve"> Inc.</w:t>
            </w:r>
          </w:p>
          <w:p w:rsidR="00A62713" w:rsidRDefault="00A62713" w:rsidP="000D4982">
            <w:pPr>
              <w:widowControl/>
              <w:autoSpaceDE w:val="0"/>
              <w:autoSpaceDN w:val="0"/>
              <w:adjustRightInd w:val="0"/>
              <w:rPr>
                <w:szCs w:val="22"/>
              </w:rPr>
            </w:pPr>
          </w:p>
          <w:p w:rsidR="00A62713" w:rsidRDefault="00A62713" w:rsidP="000D4982">
            <w:pPr>
              <w:widowControl/>
              <w:autoSpaceDE w:val="0"/>
              <w:autoSpaceDN w:val="0"/>
              <w:adjustRightInd w:val="0"/>
              <w:rPr>
                <w:szCs w:val="22"/>
              </w:rPr>
            </w:pPr>
            <w:r>
              <w:rPr>
                <w:szCs w:val="22"/>
              </w:rPr>
              <w:t>and</w:t>
            </w:r>
          </w:p>
          <w:p w:rsidR="00A62713" w:rsidRDefault="00A62713" w:rsidP="000D4982">
            <w:pPr>
              <w:widowControl/>
              <w:autoSpaceDE w:val="0"/>
              <w:autoSpaceDN w:val="0"/>
              <w:adjustRightInd w:val="0"/>
              <w:rPr>
                <w:szCs w:val="22"/>
              </w:rPr>
            </w:pPr>
          </w:p>
          <w:p w:rsidR="00A62713" w:rsidRPr="007C0B39" w:rsidRDefault="00A62713" w:rsidP="000D4982">
            <w:pPr>
              <w:widowControl/>
              <w:tabs>
                <w:tab w:val="center" w:pos="4680"/>
              </w:tabs>
              <w:suppressAutoHyphens/>
              <w:rPr>
                <w:spacing w:val="-2"/>
              </w:rPr>
            </w:pPr>
            <w:r>
              <w:rPr>
                <w:szCs w:val="22"/>
              </w:rPr>
              <w:t>Kajeet/Airlink, LLC</w:t>
            </w:r>
          </w:p>
        </w:tc>
        <w:tc>
          <w:tcPr>
            <w:tcW w:w="630" w:type="dxa"/>
          </w:tcPr>
          <w:p w:rsidR="00A62713" w:rsidRPr="007C0B39" w:rsidRDefault="00A62713" w:rsidP="000D4982">
            <w:pPr>
              <w:widowControl/>
              <w:tabs>
                <w:tab w:val="center" w:pos="4680"/>
              </w:tabs>
              <w:suppressAutoHyphens/>
              <w:rPr>
                <w:b/>
                <w:spacing w:val="-2"/>
              </w:rPr>
            </w:pPr>
            <w:r w:rsidRPr="007C0B39">
              <w:rPr>
                <w:b/>
                <w:spacing w:val="-2"/>
              </w:rPr>
              <w:t>)</w:t>
            </w:r>
          </w:p>
          <w:p w:rsidR="00A62713" w:rsidRPr="007C0B39" w:rsidRDefault="00A62713" w:rsidP="000D4982">
            <w:pPr>
              <w:widowControl/>
              <w:tabs>
                <w:tab w:val="center" w:pos="4680"/>
              </w:tabs>
              <w:suppressAutoHyphens/>
              <w:rPr>
                <w:b/>
                <w:spacing w:val="-2"/>
              </w:rPr>
            </w:pPr>
            <w:r w:rsidRPr="007C0B39">
              <w:rPr>
                <w:b/>
                <w:spacing w:val="-2"/>
              </w:rPr>
              <w:t>)</w:t>
            </w:r>
          </w:p>
          <w:p w:rsidR="00A62713" w:rsidRPr="007C0B39" w:rsidRDefault="00A62713" w:rsidP="000D4982">
            <w:pPr>
              <w:widowControl/>
              <w:tabs>
                <w:tab w:val="center" w:pos="4680"/>
              </w:tabs>
              <w:suppressAutoHyphens/>
              <w:rPr>
                <w:b/>
                <w:spacing w:val="-2"/>
              </w:rPr>
            </w:pPr>
            <w:r w:rsidRPr="007C0B39">
              <w:rPr>
                <w:b/>
                <w:spacing w:val="-2"/>
              </w:rPr>
              <w:t>)</w:t>
            </w:r>
          </w:p>
          <w:p w:rsidR="00A62713" w:rsidRPr="007C0B39" w:rsidRDefault="00A62713" w:rsidP="000D4982">
            <w:pPr>
              <w:widowControl/>
              <w:tabs>
                <w:tab w:val="center" w:pos="4680"/>
              </w:tabs>
              <w:suppressAutoHyphens/>
              <w:rPr>
                <w:b/>
                <w:spacing w:val="-2"/>
              </w:rPr>
            </w:pPr>
            <w:r w:rsidRPr="007C0B39">
              <w:rPr>
                <w:b/>
                <w:spacing w:val="-2"/>
              </w:rPr>
              <w:t>)</w:t>
            </w:r>
          </w:p>
          <w:p w:rsidR="00A62713" w:rsidRPr="007C0B39" w:rsidRDefault="00A62713" w:rsidP="000D4982">
            <w:pPr>
              <w:widowControl/>
              <w:tabs>
                <w:tab w:val="center" w:pos="4680"/>
              </w:tabs>
              <w:suppressAutoHyphens/>
              <w:rPr>
                <w:b/>
                <w:spacing w:val="-2"/>
              </w:rPr>
            </w:pPr>
            <w:r w:rsidRPr="007C0B39">
              <w:rPr>
                <w:b/>
                <w:spacing w:val="-2"/>
              </w:rPr>
              <w:t>)</w:t>
            </w:r>
          </w:p>
          <w:p w:rsidR="00A62713" w:rsidRPr="007C0B39" w:rsidRDefault="00A62713" w:rsidP="000D4982">
            <w:pPr>
              <w:widowControl/>
              <w:tabs>
                <w:tab w:val="center" w:pos="4680"/>
              </w:tabs>
              <w:suppressAutoHyphens/>
              <w:rPr>
                <w:b/>
                <w:spacing w:val="-2"/>
              </w:rPr>
            </w:pPr>
            <w:r w:rsidRPr="007C0B39">
              <w:rPr>
                <w:b/>
                <w:spacing w:val="-2"/>
              </w:rPr>
              <w:t>)</w:t>
            </w:r>
          </w:p>
          <w:p w:rsidR="00A62713" w:rsidRDefault="00A62713" w:rsidP="000D4982">
            <w:pPr>
              <w:widowControl/>
              <w:tabs>
                <w:tab w:val="center" w:pos="4680"/>
              </w:tabs>
              <w:suppressAutoHyphens/>
              <w:rPr>
                <w:b/>
                <w:spacing w:val="-2"/>
              </w:rPr>
            </w:pPr>
            <w:r w:rsidRPr="007C0B39">
              <w:rPr>
                <w:b/>
                <w:spacing w:val="-2"/>
              </w:rPr>
              <w:t>)</w:t>
            </w:r>
          </w:p>
          <w:p w:rsidR="0072328A" w:rsidRPr="007C0B39" w:rsidRDefault="0072328A" w:rsidP="000D4982">
            <w:pPr>
              <w:widowControl/>
              <w:tabs>
                <w:tab w:val="center" w:pos="4680"/>
              </w:tabs>
              <w:suppressAutoHyphens/>
              <w:rPr>
                <w:b/>
                <w:spacing w:val="-2"/>
              </w:rPr>
            </w:pPr>
            <w:r>
              <w:rPr>
                <w:b/>
                <w:spacing w:val="-2"/>
              </w:rPr>
              <w:t>)</w:t>
            </w:r>
          </w:p>
          <w:p w:rsidR="00A62713" w:rsidRPr="007C0B39" w:rsidRDefault="00A62713" w:rsidP="000D4982">
            <w:pPr>
              <w:widowControl/>
              <w:tabs>
                <w:tab w:val="center" w:pos="4680"/>
              </w:tabs>
              <w:suppressAutoHyphens/>
              <w:rPr>
                <w:spacing w:val="-2"/>
              </w:rPr>
            </w:pPr>
          </w:p>
        </w:tc>
        <w:tc>
          <w:tcPr>
            <w:tcW w:w="4248" w:type="dxa"/>
          </w:tcPr>
          <w:p w:rsidR="00A62713" w:rsidRDefault="00A62713" w:rsidP="000D4982">
            <w:pPr>
              <w:widowControl/>
              <w:tabs>
                <w:tab w:val="center" w:pos="4680"/>
              </w:tabs>
              <w:suppressAutoHyphens/>
              <w:ind w:left="432"/>
              <w:rPr>
                <w:spacing w:val="-2"/>
                <w:szCs w:val="22"/>
              </w:rPr>
            </w:pPr>
            <w:r w:rsidRPr="00D84548">
              <w:rPr>
                <w:spacing w:val="-2"/>
                <w:szCs w:val="22"/>
              </w:rPr>
              <w:t>File No</w:t>
            </w:r>
            <w:r>
              <w:rPr>
                <w:spacing w:val="-2"/>
                <w:szCs w:val="22"/>
              </w:rPr>
              <w:t>.:  EB-IHD-13-00011158</w:t>
            </w:r>
            <w:r>
              <w:rPr>
                <w:rStyle w:val="FootnoteReference"/>
                <w:spacing w:val="-2"/>
                <w:szCs w:val="22"/>
              </w:rPr>
              <w:footnoteReference w:id="8"/>
            </w:r>
          </w:p>
          <w:p w:rsidR="00A62713" w:rsidRDefault="00A62713" w:rsidP="000D4982">
            <w:pPr>
              <w:widowControl/>
              <w:tabs>
                <w:tab w:val="center" w:pos="4680"/>
              </w:tabs>
              <w:suppressAutoHyphens/>
              <w:ind w:left="432"/>
              <w:rPr>
                <w:spacing w:val="-2"/>
                <w:szCs w:val="22"/>
              </w:rPr>
            </w:pPr>
          </w:p>
          <w:p w:rsidR="00A62713" w:rsidRPr="00D84548" w:rsidRDefault="00A62713" w:rsidP="000D4982">
            <w:pPr>
              <w:widowControl/>
              <w:ind w:left="432"/>
              <w:rPr>
                <w:spacing w:val="-2"/>
                <w:szCs w:val="22"/>
              </w:rPr>
            </w:pPr>
            <w:r w:rsidRPr="00D84548">
              <w:rPr>
                <w:spacing w:val="-2"/>
                <w:szCs w:val="22"/>
              </w:rPr>
              <w:t xml:space="preserve">Acct. No.:  </w:t>
            </w:r>
            <w:r>
              <w:rPr>
                <w:spacing w:val="-2"/>
                <w:szCs w:val="22"/>
              </w:rPr>
              <w:t>201232080007</w:t>
            </w:r>
          </w:p>
          <w:p w:rsidR="00A62713" w:rsidRDefault="00A62713" w:rsidP="000D4982">
            <w:pPr>
              <w:widowControl/>
              <w:tabs>
                <w:tab w:val="center" w:pos="4680"/>
              </w:tabs>
              <w:suppressAutoHyphens/>
              <w:ind w:left="432"/>
              <w:rPr>
                <w:spacing w:val="-2"/>
                <w:szCs w:val="22"/>
              </w:rPr>
            </w:pPr>
            <w:r w:rsidRPr="00D84548">
              <w:rPr>
                <w:szCs w:val="22"/>
              </w:rPr>
              <w:t xml:space="preserve">FRN:  </w:t>
            </w:r>
            <w:r>
              <w:rPr>
                <w:spacing w:val="-2"/>
                <w:szCs w:val="22"/>
              </w:rPr>
              <w:t>0019614908</w:t>
            </w:r>
          </w:p>
          <w:p w:rsidR="00A62713" w:rsidRDefault="00A62713" w:rsidP="000D4982">
            <w:pPr>
              <w:widowControl/>
              <w:tabs>
                <w:tab w:val="center" w:pos="4680"/>
              </w:tabs>
              <w:suppressAutoHyphens/>
              <w:rPr>
                <w:spacing w:val="-2"/>
                <w:szCs w:val="22"/>
              </w:rPr>
            </w:pPr>
          </w:p>
          <w:p w:rsidR="0072328A" w:rsidRDefault="0072328A" w:rsidP="000D4982">
            <w:pPr>
              <w:widowControl/>
              <w:ind w:left="432"/>
              <w:rPr>
                <w:spacing w:val="-2"/>
                <w:szCs w:val="22"/>
              </w:rPr>
            </w:pPr>
          </w:p>
          <w:p w:rsidR="00A62713" w:rsidRPr="00D84548" w:rsidRDefault="00A62713" w:rsidP="000D4982">
            <w:pPr>
              <w:widowControl/>
              <w:ind w:left="432"/>
              <w:rPr>
                <w:spacing w:val="-2"/>
                <w:szCs w:val="22"/>
              </w:rPr>
            </w:pPr>
            <w:r w:rsidRPr="00D84548">
              <w:rPr>
                <w:spacing w:val="-2"/>
                <w:szCs w:val="22"/>
              </w:rPr>
              <w:t xml:space="preserve">Acct. No.:  </w:t>
            </w:r>
            <w:r>
              <w:rPr>
                <w:spacing w:val="-2"/>
                <w:szCs w:val="22"/>
              </w:rPr>
              <w:t>20123208000</w:t>
            </w:r>
            <w:r w:rsidR="005D6171">
              <w:rPr>
                <w:spacing w:val="-2"/>
                <w:szCs w:val="22"/>
              </w:rPr>
              <w:t>8</w:t>
            </w:r>
          </w:p>
          <w:p w:rsidR="00A62713" w:rsidRDefault="00A62713" w:rsidP="000D4982">
            <w:pPr>
              <w:widowControl/>
              <w:tabs>
                <w:tab w:val="center" w:pos="4680"/>
              </w:tabs>
              <w:suppressAutoHyphens/>
              <w:ind w:left="432"/>
              <w:rPr>
                <w:spacing w:val="-2"/>
                <w:szCs w:val="22"/>
              </w:rPr>
            </w:pPr>
            <w:r w:rsidRPr="00D84548">
              <w:rPr>
                <w:szCs w:val="22"/>
              </w:rPr>
              <w:t xml:space="preserve">FRN:  </w:t>
            </w:r>
            <w:r>
              <w:rPr>
                <w:spacing w:val="-2"/>
                <w:szCs w:val="22"/>
              </w:rPr>
              <w:t>001</w:t>
            </w:r>
            <w:r w:rsidR="005D6171">
              <w:rPr>
                <w:spacing w:val="-2"/>
                <w:szCs w:val="22"/>
              </w:rPr>
              <w:t>8691477</w:t>
            </w:r>
          </w:p>
          <w:p w:rsidR="0072328A" w:rsidRPr="007C0B39" w:rsidRDefault="0072328A" w:rsidP="000D4982">
            <w:pPr>
              <w:widowControl/>
              <w:tabs>
                <w:tab w:val="center" w:pos="4680"/>
              </w:tabs>
              <w:suppressAutoHyphens/>
              <w:ind w:left="432"/>
              <w:rPr>
                <w:spacing w:val="-2"/>
              </w:rPr>
            </w:pPr>
          </w:p>
        </w:tc>
        <w:tc>
          <w:tcPr>
            <w:tcW w:w="4248" w:type="dxa"/>
          </w:tcPr>
          <w:p w:rsidR="00A62713" w:rsidRPr="007C0B39" w:rsidRDefault="00A62713" w:rsidP="000D4982">
            <w:pPr>
              <w:widowControl/>
              <w:tabs>
                <w:tab w:val="center" w:pos="4680"/>
              </w:tabs>
              <w:suppressAutoHyphens/>
              <w:ind w:left="432"/>
              <w:rPr>
                <w:spacing w:val="-2"/>
              </w:rPr>
            </w:pPr>
          </w:p>
        </w:tc>
      </w:tr>
    </w:tbl>
    <w:p w:rsidR="0001647A" w:rsidRPr="007C0B39" w:rsidRDefault="0001647A" w:rsidP="000D4982">
      <w:pPr>
        <w:pStyle w:val="StyleBoldCentered"/>
        <w:widowControl/>
      </w:pPr>
      <w:r w:rsidRPr="007C0B39">
        <w:t>CONSENT DECREE</w:t>
      </w:r>
    </w:p>
    <w:p w:rsidR="0001647A" w:rsidRPr="007C0B39" w:rsidRDefault="0001647A" w:rsidP="000D4982">
      <w:pPr>
        <w:pStyle w:val="StyleBoldCentered"/>
        <w:widowControl/>
      </w:pPr>
    </w:p>
    <w:p w:rsidR="0001647A" w:rsidRPr="007C0B39" w:rsidRDefault="0001647A" w:rsidP="000D4982">
      <w:pPr>
        <w:pStyle w:val="ParaNum0"/>
        <w:widowControl/>
        <w:tabs>
          <w:tab w:val="clear" w:pos="1080"/>
          <w:tab w:val="num" w:pos="1440"/>
        </w:tabs>
      </w:pPr>
      <w:r w:rsidRPr="007C0B39">
        <w:t xml:space="preserve">The Enforcement Bureau </w:t>
      </w:r>
      <w:r w:rsidR="00956F53">
        <w:t xml:space="preserve">(Bureau) </w:t>
      </w:r>
      <w:r w:rsidRPr="007C0B39">
        <w:t>of the Federal Communications Commission</w:t>
      </w:r>
      <w:r w:rsidR="00956F53">
        <w:t xml:space="preserve"> (Commission)</w:t>
      </w:r>
      <w:r w:rsidRPr="007C0B39">
        <w:t xml:space="preserve"> and</w:t>
      </w:r>
      <w:r w:rsidR="00116FF9" w:rsidRPr="00116FF9">
        <w:rPr>
          <w:szCs w:val="22"/>
        </w:rPr>
        <w:t xml:space="preserve"> </w:t>
      </w:r>
      <w:r w:rsidR="00116FF9">
        <w:rPr>
          <w:szCs w:val="22"/>
        </w:rPr>
        <w:t xml:space="preserve">Kajeet, Inc. (Kajeet, </w:t>
      </w:r>
      <w:r w:rsidR="00E95957">
        <w:rPr>
          <w:szCs w:val="22"/>
        </w:rPr>
        <w:t>Inc.</w:t>
      </w:r>
      <w:r w:rsidR="00116FF9">
        <w:rPr>
          <w:szCs w:val="22"/>
        </w:rPr>
        <w:t>) and its wholly-owned subsidiary Kajeet/Airlink, LLC (Kajeet/Airlink) (collectively</w:t>
      </w:r>
      <w:r w:rsidR="0092200C">
        <w:rPr>
          <w:szCs w:val="22"/>
        </w:rPr>
        <w:t>,</w:t>
      </w:r>
      <w:r w:rsidR="00116FF9">
        <w:rPr>
          <w:szCs w:val="22"/>
        </w:rPr>
        <w:t xml:space="preserve"> Kajeet</w:t>
      </w:r>
      <w:r w:rsidR="00861A75" w:rsidRPr="00861A75">
        <w:rPr>
          <w:szCs w:val="22"/>
        </w:rPr>
        <w:t xml:space="preserve"> </w:t>
      </w:r>
      <w:r w:rsidR="00861A75">
        <w:rPr>
          <w:szCs w:val="22"/>
        </w:rPr>
        <w:t>or the Companies</w:t>
      </w:r>
      <w:r w:rsidR="00116FF9">
        <w:rPr>
          <w:szCs w:val="22"/>
        </w:rPr>
        <w:t>)</w:t>
      </w:r>
      <w:r w:rsidRPr="007C0B39">
        <w:t xml:space="preserve">, by their authorized representatives, hereby enter into this Consent Decree for the purpose of terminating the Enforcement Bureau’s investigation into whether </w:t>
      </w:r>
      <w:r w:rsidR="00116FF9">
        <w:rPr>
          <w:szCs w:val="22"/>
        </w:rPr>
        <w:t>Kajeet</w:t>
      </w:r>
      <w:r w:rsidR="00BE506E">
        <w:rPr>
          <w:szCs w:val="22"/>
        </w:rPr>
        <w:t>:</w:t>
      </w:r>
      <w:r w:rsidR="00116FF9" w:rsidRPr="007C0B39">
        <w:t xml:space="preserve"> </w:t>
      </w:r>
      <w:r w:rsidR="00035A53">
        <w:rPr>
          <w:szCs w:val="22"/>
        </w:rPr>
        <w:t xml:space="preserve">(i) met </w:t>
      </w:r>
      <w:r w:rsidR="00741DB7">
        <w:rPr>
          <w:szCs w:val="22"/>
        </w:rPr>
        <w:t>its</w:t>
      </w:r>
      <w:r w:rsidR="00035A53">
        <w:rPr>
          <w:szCs w:val="22"/>
        </w:rPr>
        <w:t xml:space="preserve"> obligations</w:t>
      </w:r>
      <w:r w:rsidR="00035A53">
        <w:rPr>
          <w:rStyle w:val="FootnoteReference"/>
          <w:szCs w:val="22"/>
        </w:rPr>
        <w:footnoteReference w:id="9"/>
      </w:r>
      <w:r w:rsidR="00035A53">
        <w:rPr>
          <w:szCs w:val="22"/>
        </w:rPr>
        <w:t xml:space="preserve"> to contribute to public interest funds which ensure </w:t>
      </w:r>
      <w:r w:rsidR="00035A53">
        <w:rPr>
          <w:color w:val="000000"/>
        </w:rPr>
        <w:t>accessible, efficient, and reasonably priced communications for all Americans and (ii) obtained Commission approval as required</w:t>
      </w:r>
      <w:r w:rsidR="00035A53">
        <w:rPr>
          <w:rStyle w:val="FootnoteReference"/>
        </w:rPr>
        <w:footnoteReference w:id="10"/>
      </w:r>
      <w:r w:rsidR="00035A53">
        <w:rPr>
          <w:color w:val="000000"/>
        </w:rPr>
        <w:t xml:space="preserve"> prior to acting as </w:t>
      </w:r>
      <w:r w:rsidR="00035A53">
        <w:rPr>
          <w:szCs w:val="22"/>
        </w:rPr>
        <w:t xml:space="preserve">an international telecommunications services provider. </w:t>
      </w:r>
    </w:p>
    <w:p w:rsidR="0001647A" w:rsidRPr="007C0B39" w:rsidRDefault="0001647A" w:rsidP="000D4982">
      <w:pPr>
        <w:pStyle w:val="Heading1"/>
        <w:widowControl/>
      </w:pPr>
      <w:r w:rsidRPr="007C0B39">
        <w:t>DEFINITIONS</w:t>
      </w:r>
    </w:p>
    <w:p w:rsidR="0001647A" w:rsidRPr="007C0B39" w:rsidRDefault="0001647A" w:rsidP="000D4982">
      <w:pPr>
        <w:pStyle w:val="ParaNum0"/>
        <w:widowControl/>
        <w:tabs>
          <w:tab w:val="clear" w:pos="1080"/>
          <w:tab w:val="num" w:pos="1440"/>
        </w:tabs>
      </w:pPr>
      <w:r w:rsidRPr="007C0B39">
        <w:t>For the purposes of this Consent Decree, the following definitions shall apply:</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1"/>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sidR="00116FF9">
        <w:rPr>
          <w:szCs w:val="22"/>
        </w:rPr>
        <w:t>Kajeet</w:t>
      </w:r>
      <w:r w:rsidR="00116FF9" w:rsidRPr="007C0B39">
        <w:rPr>
          <w:szCs w:val="22"/>
        </w:rPr>
        <w:t xml:space="preserve"> </w:t>
      </w:r>
      <w:r w:rsidRPr="007C0B39">
        <w:rPr>
          <w:szCs w:val="22"/>
        </w:rPr>
        <w:t xml:space="preserve">is subject by virtue of its business activities, including but not limited to the </w:t>
      </w:r>
      <w:r w:rsidR="00FE4FDB">
        <w:rPr>
          <w:szCs w:val="22"/>
        </w:rPr>
        <w:t>USF, TRS, and LNP Rules,</w:t>
      </w:r>
      <w:r w:rsidR="00F76E5B">
        <w:rPr>
          <w:szCs w:val="22"/>
        </w:rPr>
        <w:t xml:space="preserve"> and the </w:t>
      </w:r>
      <w:r w:rsidR="00C75C96">
        <w:rPr>
          <w:szCs w:val="22"/>
        </w:rPr>
        <w:t>I</w:t>
      </w:r>
      <w:r w:rsidR="00F76E5B">
        <w:rPr>
          <w:szCs w:val="22"/>
        </w:rPr>
        <w:t xml:space="preserve">nternational </w:t>
      </w:r>
      <w:r w:rsidR="0022406E">
        <w:rPr>
          <w:szCs w:val="22"/>
        </w:rPr>
        <w:t>Section</w:t>
      </w:r>
      <w:r w:rsidR="00F76E5B">
        <w:rPr>
          <w:szCs w:val="22"/>
        </w:rPr>
        <w:t xml:space="preserve"> 214 Rules</w:t>
      </w:r>
      <w:r w:rsidRPr="007C0B39">
        <w:rPr>
          <w:szCs w:val="22"/>
        </w:rPr>
        <w:t>.</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 </w:t>
      </w:r>
      <w:r w:rsidR="003B4686">
        <w:rPr>
          <w:szCs w:val="22"/>
        </w:rPr>
        <w:t>20.</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sidR="00116FF9">
        <w:rPr>
          <w:szCs w:val="22"/>
        </w:rPr>
        <w:t>Kajeet</w:t>
      </w:r>
      <w:r w:rsidR="00116FF9" w:rsidRPr="007C0B39">
        <w:rPr>
          <w:szCs w:val="22"/>
        </w:rPr>
        <w:t xml:space="preserve"> </w:t>
      </w:r>
      <w:r w:rsidRPr="007C0B39">
        <w:rPr>
          <w:szCs w:val="22"/>
        </w:rPr>
        <w:t>who perform, or supervise, oversee, or manage the performance of, duties that relate to</w:t>
      </w:r>
      <w:r w:rsidR="00116FF9">
        <w:rPr>
          <w:szCs w:val="22"/>
        </w:rPr>
        <w:t xml:space="preserve"> Kajeet</w:t>
      </w:r>
      <w:r w:rsidRPr="007C0B39">
        <w:rPr>
          <w:szCs w:val="22"/>
        </w:rPr>
        <w:t xml:space="preserve">’s responsibilities under the Communications Laws, including </w:t>
      </w:r>
      <w:r w:rsidR="00F76E5B" w:rsidRPr="00C147DA">
        <w:rPr>
          <w:szCs w:val="22"/>
        </w:rPr>
        <w:t xml:space="preserve">the </w:t>
      </w:r>
      <w:r w:rsidR="00FE4FDB">
        <w:rPr>
          <w:szCs w:val="22"/>
        </w:rPr>
        <w:t>USF, TRS, and LNP Rules</w:t>
      </w:r>
      <w:r w:rsidR="00F76E5B">
        <w:rPr>
          <w:szCs w:val="22"/>
        </w:rPr>
        <w:t xml:space="preserve">, 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F76E5B">
        <w:rPr>
          <w:b/>
          <w:szCs w:val="22"/>
        </w:rPr>
        <w:t>.</w:t>
      </w:r>
    </w:p>
    <w:p w:rsidR="00E179EE" w:rsidRDefault="0001647A" w:rsidP="000D4982">
      <w:pPr>
        <w:widowControl/>
        <w:numPr>
          <w:ilvl w:val="0"/>
          <w:numId w:val="6"/>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sidR="00116FF9">
        <w:rPr>
          <w:szCs w:val="22"/>
        </w:rPr>
        <w:t>Kajeet</w:t>
      </w:r>
      <w:r w:rsidR="00116FF9" w:rsidRPr="007C0B39">
        <w:rPr>
          <w:szCs w:val="22"/>
        </w:rPr>
        <w:t xml:space="preserve"> </w:t>
      </w:r>
      <w:r w:rsidRPr="007C0B39">
        <w:rPr>
          <w:szCs w:val="22"/>
        </w:rPr>
        <w:t>have signed the Consent Decree.</w:t>
      </w:r>
    </w:p>
    <w:p w:rsidR="00E179EE" w:rsidRPr="00E179EE" w:rsidRDefault="00C41097" w:rsidP="000D4982">
      <w:pPr>
        <w:widowControl/>
        <w:numPr>
          <w:ilvl w:val="0"/>
          <w:numId w:val="6"/>
        </w:numPr>
        <w:tabs>
          <w:tab w:val="clear" w:pos="1224"/>
        </w:tabs>
        <w:spacing w:after="120"/>
        <w:ind w:left="1890"/>
        <w:rPr>
          <w:szCs w:val="22"/>
        </w:rPr>
      </w:pPr>
      <w:r w:rsidRPr="00E179EE">
        <w:rPr>
          <w:szCs w:val="22"/>
        </w:rPr>
        <w:t>“</w:t>
      </w:r>
      <w:r w:rsidR="00E179EE">
        <w:t>International Section 214 Rules”</w:t>
      </w:r>
      <w:r w:rsidR="00E179EE" w:rsidRPr="00E179EE">
        <w:rPr>
          <w:szCs w:val="22"/>
        </w:rPr>
        <w:t xml:space="preserve"> means Section 214 of the Act, </w:t>
      </w:r>
      <w:r w:rsidR="00E179EE" w:rsidRPr="00E179EE">
        <w:rPr>
          <w:color w:val="000000"/>
          <w:szCs w:val="22"/>
        </w:rPr>
        <w:t xml:space="preserve">47 U.S.C. § 214, and </w:t>
      </w:r>
      <w:r w:rsidR="00E179EE" w:rsidRPr="00E179EE">
        <w:rPr>
          <w:szCs w:val="22"/>
        </w:rPr>
        <w:t>Section</w:t>
      </w:r>
      <w:r w:rsidR="00E179EE">
        <w:rPr>
          <w:szCs w:val="22"/>
        </w:rPr>
        <w:t xml:space="preserve"> 63.24</w:t>
      </w:r>
      <w:r w:rsidR="00E179EE" w:rsidRPr="00E179EE">
        <w:rPr>
          <w:szCs w:val="22"/>
        </w:rPr>
        <w:t xml:space="preserve"> of the Rules, 47 C.F.R. </w:t>
      </w:r>
      <w:r w:rsidR="00E179EE" w:rsidRPr="00E179EE">
        <w:rPr>
          <w:color w:val="000000"/>
          <w:szCs w:val="22"/>
        </w:rPr>
        <w:t>§</w:t>
      </w:r>
      <w:r w:rsidR="00E179EE">
        <w:rPr>
          <w:color w:val="000000"/>
          <w:szCs w:val="22"/>
        </w:rPr>
        <w:t>63.24</w:t>
      </w:r>
      <w:r w:rsidR="00E179EE" w:rsidRPr="00E179EE">
        <w:rPr>
          <w:color w:val="000000"/>
          <w:szCs w:val="22"/>
        </w:rPr>
        <w:t>.</w:t>
      </w:r>
      <w:r w:rsidR="00E179EE">
        <w:rPr>
          <w:color w:val="000000"/>
          <w:szCs w:val="22"/>
        </w:rPr>
        <w:t>”</w:t>
      </w:r>
    </w:p>
    <w:p w:rsidR="0001647A" w:rsidRPr="00E179EE" w:rsidRDefault="00E179EE" w:rsidP="000D4982">
      <w:pPr>
        <w:widowControl/>
        <w:numPr>
          <w:ilvl w:val="0"/>
          <w:numId w:val="6"/>
        </w:numPr>
        <w:tabs>
          <w:tab w:val="clear" w:pos="1224"/>
        </w:tabs>
        <w:spacing w:after="120"/>
        <w:ind w:left="1890"/>
        <w:rPr>
          <w:szCs w:val="22"/>
        </w:rPr>
      </w:pPr>
      <w:r w:rsidRPr="00E179EE">
        <w:rPr>
          <w:szCs w:val="22"/>
        </w:rPr>
        <w:t xml:space="preserve"> </w:t>
      </w:r>
      <w:r w:rsidR="0001647A" w:rsidRPr="00E179EE">
        <w:rPr>
          <w:szCs w:val="22"/>
        </w:rPr>
        <w:t>“</w:t>
      </w:r>
      <w:r w:rsidR="0001647A" w:rsidRPr="007C0B39">
        <w:t>Investigation</w:t>
      </w:r>
      <w:r w:rsidR="0001647A" w:rsidRPr="00E179EE">
        <w:rPr>
          <w:szCs w:val="22"/>
        </w:rPr>
        <w:t xml:space="preserve">” means the investigation commenced by the Bureau in </w:t>
      </w:r>
      <w:r w:rsidR="00116FF9" w:rsidRPr="00E179EE">
        <w:rPr>
          <w:szCs w:val="22"/>
        </w:rPr>
        <w:t>File No:  EB-IHD-13-00011158</w:t>
      </w:r>
      <w:r w:rsidR="004922AA">
        <w:rPr>
          <w:rStyle w:val="FootnoteReference"/>
          <w:spacing w:val="-2"/>
          <w:szCs w:val="22"/>
        </w:rPr>
        <w:footnoteReference w:id="12"/>
      </w:r>
      <w:r w:rsidR="0001647A" w:rsidRPr="00E179EE">
        <w:rPr>
          <w:szCs w:val="22"/>
        </w:rPr>
        <w:t xml:space="preserve"> regarding whether </w:t>
      </w:r>
      <w:r w:rsidR="00116FF9" w:rsidRPr="00E179EE">
        <w:rPr>
          <w:szCs w:val="22"/>
        </w:rPr>
        <w:t xml:space="preserve">Kajeet </w:t>
      </w:r>
      <w:r w:rsidR="0001647A" w:rsidRPr="00E179EE">
        <w:rPr>
          <w:szCs w:val="22"/>
        </w:rPr>
        <w:t xml:space="preserve">violated </w:t>
      </w:r>
      <w:r w:rsidR="00FE4FDB" w:rsidRPr="00E179EE">
        <w:rPr>
          <w:szCs w:val="22"/>
        </w:rPr>
        <w:t xml:space="preserve">the USF, TRS, and LNP Rules, </w:t>
      </w:r>
      <w:r w:rsidR="00CD142A" w:rsidRPr="00E179EE">
        <w:rPr>
          <w:szCs w:val="22"/>
        </w:rPr>
        <w:t>and</w:t>
      </w:r>
      <w:r w:rsidR="00751FAC" w:rsidRPr="00E179EE">
        <w:rPr>
          <w:szCs w:val="22"/>
        </w:rPr>
        <w:t xml:space="preserve"> </w:t>
      </w:r>
      <w:r w:rsidR="002A70B8">
        <w:rPr>
          <w:szCs w:val="22"/>
        </w:rPr>
        <w:t xml:space="preserve">the International </w:t>
      </w:r>
      <w:r w:rsidR="0022406E">
        <w:rPr>
          <w:szCs w:val="22"/>
        </w:rPr>
        <w:t>Section</w:t>
      </w:r>
      <w:r w:rsidR="00CD142A" w:rsidRPr="00E179EE">
        <w:rPr>
          <w:szCs w:val="22"/>
        </w:rPr>
        <w:t xml:space="preserve"> 214 </w:t>
      </w:r>
      <w:r w:rsidR="002A70B8">
        <w:rPr>
          <w:szCs w:val="22"/>
        </w:rPr>
        <w:t>Rules</w:t>
      </w:r>
      <w:r w:rsidR="0001647A" w:rsidRPr="00E179EE">
        <w:rPr>
          <w:szCs w:val="22"/>
        </w:rPr>
        <w:t>.</w:t>
      </w:r>
    </w:p>
    <w:p w:rsidR="00CD142A" w:rsidRPr="007C0B39" w:rsidRDefault="00CD142A" w:rsidP="000D4982">
      <w:pPr>
        <w:widowControl/>
        <w:numPr>
          <w:ilvl w:val="0"/>
          <w:numId w:val="6"/>
        </w:numPr>
        <w:tabs>
          <w:tab w:val="clear" w:pos="1224"/>
        </w:tabs>
        <w:spacing w:after="120"/>
        <w:ind w:left="1890"/>
        <w:rPr>
          <w:szCs w:val="22"/>
        </w:rPr>
      </w:pPr>
      <w:r w:rsidRPr="007C0B39">
        <w:rPr>
          <w:szCs w:val="22"/>
        </w:rPr>
        <w:t>“</w:t>
      </w:r>
      <w:r>
        <w:rPr>
          <w:szCs w:val="22"/>
        </w:rPr>
        <w:t>Kajeet</w:t>
      </w:r>
      <w:r w:rsidR="002A70B8">
        <w:rPr>
          <w:szCs w:val="22"/>
        </w:rPr>
        <w:t>”</w:t>
      </w:r>
      <w:r w:rsidRPr="007C0B39">
        <w:rPr>
          <w:szCs w:val="22"/>
        </w:rPr>
        <w:t xml:space="preserve"> </w:t>
      </w:r>
      <w:r w:rsidR="00E95957">
        <w:rPr>
          <w:szCs w:val="22"/>
        </w:rPr>
        <w:t xml:space="preserve">or </w:t>
      </w:r>
      <w:r w:rsidR="002A70B8">
        <w:rPr>
          <w:szCs w:val="22"/>
        </w:rPr>
        <w:t>“</w:t>
      </w:r>
      <w:r w:rsidR="00E95957">
        <w:rPr>
          <w:szCs w:val="22"/>
        </w:rPr>
        <w:t>Com</w:t>
      </w:r>
      <w:r>
        <w:rPr>
          <w:szCs w:val="22"/>
        </w:rPr>
        <w:t>p</w:t>
      </w:r>
      <w:r w:rsidR="00E95957">
        <w:rPr>
          <w:szCs w:val="22"/>
        </w:rPr>
        <w:t>a</w:t>
      </w:r>
      <w:r>
        <w:rPr>
          <w:szCs w:val="22"/>
        </w:rPr>
        <w:t>nies</w:t>
      </w:r>
      <w:r w:rsidRPr="007C0B39">
        <w:rPr>
          <w:szCs w:val="22"/>
        </w:rPr>
        <w:t xml:space="preserve">” means </w:t>
      </w:r>
      <w:r>
        <w:rPr>
          <w:szCs w:val="22"/>
        </w:rPr>
        <w:t>Kajeet, Inc., Kajeet/Airlink, LLC</w:t>
      </w:r>
      <w:r w:rsidR="00E179EE">
        <w:rPr>
          <w:szCs w:val="22"/>
        </w:rPr>
        <w:t xml:space="preserve">, </w:t>
      </w:r>
      <w:r w:rsidRPr="007C0B39">
        <w:rPr>
          <w:szCs w:val="22"/>
        </w:rPr>
        <w:t xml:space="preserve">and </w:t>
      </w:r>
      <w:r>
        <w:rPr>
          <w:szCs w:val="22"/>
        </w:rPr>
        <w:t xml:space="preserve">their </w:t>
      </w:r>
      <w:r w:rsidRPr="007C0B39">
        <w:rPr>
          <w:szCs w:val="22"/>
        </w:rPr>
        <w:t>affiliates, subsidiaries, predecessors-in-interest, and successors-in-interest.</w:t>
      </w:r>
    </w:p>
    <w:p w:rsidR="00C147DA" w:rsidRPr="00CD142A" w:rsidRDefault="00CD142A" w:rsidP="000D4982">
      <w:pPr>
        <w:widowControl/>
        <w:numPr>
          <w:ilvl w:val="0"/>
          <w:numId w:val="6"/>
        </w:numPr>
        <w:tabs>
          <w:tab w:val="clear" w:pos="1224"/>
        </w:tabs>
        <w:spacing w:after="120"/>
        <w:ind w:left="1890"/>
        <w:rPr>
          <w:szCs w:val="22"/>
        </w:rPr>
      </w:pPr>
      <w:r w:rsidRPr="00C147DA">
        <w:rPr>
          <w:szCs w:val="22"/>
        </w:rPr>
        <w:t xml:space="preserve"> </w:t>
      </w:r>
      <w:r w:rsidR="00C147DA" w:rsidRPr="00CD142A">
        <w:rPr>
          <w:szCs w:val="22"/>
        </w:rPr>
        <w:t xml:space="preserve">“LOI” means the Letter of Inquiry issued by the Bureau to </w:t>
      </w:r>
      <w:r w:rsidR="00116FF9" w:rsidRPr="00CD142A">
        <w:rPr>
          <w:szCs w:val="22"/>
        </w:rPr>
        <w:t xml:space="preserve">Kajeet </w:t>
      </w:r>
      <w:r w:rsidR="00C147DA" w:rsidRPr="00CD142A">
        <w:rPr>
          <w:szCs w:val="22"/>
        </w:rPr>
        <w:t xml:space="preserve">on </w:t>
      </w:r>
      <w:r w:rsidR="00116FF9" w:rsidRPr="00CD142A">
        <w:rPr>
          <w:szCs w:val="22"/>
        </w:rPr>
        <w:t>December 10, 2009 in File No. EB-IHD-13-00011158</w:t>
      </w:r>
      <w:r w:rsidR="00116FF9" w:rsidRPr="00CD142A">
        <w:rPr>
          <w:rStyle w:val="FootnoteReference"/>
          <w:szCs w:val="22"/>
        </w:rPr>
        <w:footnoteReference w:id="13"/>
      </w:r>
      <w:r w:rsidR="00C147DA" w:rsidRPr="00CD142A">
        <w:rPr>
          <w:szCs w:val="22"/>
        </w:rPr>
        <w:t xml:space="preserve"> in connect</w:t>
      </w:r>
      <w:r w:rsidRPr="00CD142A">
        <w:rPr>
          <w:szCs w:val="22"/>
        </w:rPr>
        <w:t>ion</w:t>
      </w:r>
      <w:r w:rsidR="00C147DA" w:rsidRPr="00CD142A">
        <w:rPr>
          <w:szCs w:val="22"/>
        </w:rPr>
        <w:t xml:space="preserve"> with</w:t>
      </w:r>
      <w:r w:rsidRPr="00CD142A">
        <w:rPr>
          <w:szCs w:val="22"/>
        </w:rPr>
        <w:t xml:space="preserve"> the </w:t>
      </w:r>
      <w:r w:rsidR="00FE4FDB">
        <w:rPr>
          <w:szCs w:val="22"/>
        </w:rPr>
        <w:t>USF, TRS, and LNP Rules,</w:t>
      </w:r>
      <w:r w:rsidRPr="00CD142A">
        <w:rPr>
          <w:szCs w:val="22"/>
        </w:rPr>
        <w:t xml:space="preserve"> and </w:t>
      </w:r>
      <w:r w:rsidR="00C41097">
        <w:rPr>
          <w:szCs w:val="22"/>
        </w:rPr>
        <w:t xml:space="preserve">the </w:t>
      </w:r>
      <w:r w:rsidR="00C75C96">
        <w:rPr>
          <w:szCs w:val="22"/>
        </w:rPr>
        <w:t>I</w:t>
      </w:r>
      <w:r w:rsidR="00C41097">
        <w:rPr>
          <w:szCs w:val="22"/>
        </w:rPr>
        <w:t xml:space="preserve">nternational </w:t>
      </w:r>
      <w:r w:rsidR="0022406E">
        <w:rPr>
          <w:szCs w:val="22"/>
        </w:rPr>
        <w:t>Section</w:t>
      </w:r>
      <w:r w:rsidRPr="00CD142A">
        <w:rPr>
          <w:szCs w:val="22"/>
        </w:rPr>
        <w:t xml:space="preserve"> 214 </w:t>
      </w:r>
      <w:r w:rsidR="00B67176">
        <w:rPr>
          <w:szCs w:val="22"/>
        </w:rPr>
        <w:t>Rule</w:t>
      </w:r>
      <w:r w:rsidR="00C41097">
        <w:rPr>
          <w:szCs w:val="22"/>
        </w:rPr>
        <w:t>s</w:t>
      </w:r>
      <w:r w:rsidR="00E179EE">
        <w:rPr>
          <w:szCs w:val="22"/>
        </w:rPr>
        <w:t>.</w:t>
      </w:r>
    </w:p>
    <w:p w:rsidR="00C147DA" w:rsidRPr="007C0B39" w:rsidRDefault="00C147DA" w:rsidP="000D4982">
      <w:pPr>
        <w:widowControl/>
        <w:numPr>
          <w:ilvl w:val="0"/>
          <w:numId w:val="6"/>
        </w:numPr>
        <w:tabs>
          <w:tab w:val="clear" w:pos="1224"/>
        </w:tabs>
        <w:spacing w:after="120"/>
        <w:ind w:left="1890"/>
        <w:rPr>
          <w:szCs w:val="22"/>
        </w:rPr>
      </w:pPr>
      <w:r w:rsidRPr="00C147DA">
        <w:rPr>
          <w:szCs w:val="22"/>
        </w:rPr>
        <w:t xml:space="preserve">“NAL” means the Notice of Apparent Liability for Forfeiture issued to </w:t>
      </w:r>
      <w:r w:rsidR="00116FF9">
        <w:rPr>
          <w:szCs w:val="22"/>
        </w:rPr>
        <w:t>Kajeet, Inc. and Kajeet/Airlink</w:t>
      </w:r>
      <w:r w:rsidR="00116FF9" w:rsidRPr="00C147DA">
        <w:rPr>
          <w:szCs w:val="22"/>
        </w:rPr>
        <w:t xml:space="preserve"> </w:t>
      </w:r>
      <w:r w:rsidRPr="00C147DA">
        <w:rPr>
          <w:szCs w:val="22"/>
        </w:rPr>
        <w:t xml:space="preserve">on </w:t>
      </w:r>
      <w:r w:rsidR="00116FF9">
        <w:rPr>
          <w:szCs w:val="22"/>
        </w:rPr>
        <w:t>December 5, 2011</w:t>
      </w:r>
      <w:r w:rsidRPr="00C147DA">
        <w:rPr>
          <w:szCs w:val="22"/>
        </w:rPr>
        <w:t xml:space="preserve"> proposing </w:t>
      </w:r>
      <w:r w:rsidR="00116FF9">
        <w:rPr>
          <w:szCs w:val="22"/>
        </w:rPr>
        <w:t xml:space="preserve">four </w:t>
      </w:r>
      <w:r w:rsidR="00892C25">
        <w:rPr>
          <w:szCs w:val="22"/>
        </w:rPr>
        <w:t>h</w:t>
      </w:r>
      <w:r w:rsidR="00116FF9">
        <w:rPr>
          <w:szCs w:val="22"/>
        </w:rPr>
        <w:t xml:space="preserve">undred sixty thousand, one hundred eighty-six </w:t>
      </w:r>
      <w:r w:rsidR="00E95957">
        <w:rPr>
          <w:szCs w:val="22"/>
        </w:rPr>
        <w:t>dollars</w:t>
      </w:r>
      <w:r w:rsidR="00E95957" w:rsidRPr="00C147DA">
        <w:rPr>
          <w:szCs w:val="22"/>
        </w:rPr>
        <w:t xml:space="preserve"> (</w:t>
      </w:r>
      <w:r w:rsidRPr="00C147DA">
        <w:rPr>
          <w:szCs w:val="22"/>
        </w:rPr>
        <w:t>$</w:t>
      </w:r>
      <w:r w:rsidR="00116FF9">
        <w:rPr>
          <w:szCs w:val="22"/>
        </w:rPr>
        <w:t>460,186</w:t>
      </w:r>
      <w:r w:rsidR="00D90C51">
        <w:rPr>
          <w:szCs w:val="22"/>
        </w:rPr>
        <w:t>)</w:t>
      </w:r>
      <w:r w:rsidRPr="00C147DA">
        <w:rPr>
          <w:szCs w:val="22"/>
        </w:rPr>
        <w:t xml:space="preserve"> </w:t>
      </w:r>
      <w:r w:rsidR="00116FF9">
        <w:rPr>
          <w:szCs w:val="22"/>
        </w:rPr>
        <w:t xml:space="preserve">and </w:t>
      </w:r>
      <w:r w:rsidR="00B67176">
        <w:rPr>
          <w:szCs w:val="22"/>
        </w:rPr>
        <w:t>five hundred two thousand</w:t>
      </w:r>
      <w:r w:rsidR="00D90C51">
        <w:rPr>
          <w:szCs w:val="22"/>
        </w:rPr>
        <w:t>, six hundred and forty-two dol</w:t>
      </w:r>
      <w:r w:rsidR="0048205C">
        <w:rPr>
          <w:szCs w:val="22"/>
        </w:rPr>
        <w:t>l</w:t>
      </w:r>
      <w:r w:rsidR="00D90C51">
        <w:rPr>
          <w:szCs w:val="22"/>
        </w:rPr>
        <w:t>a</w:t>
      </w:r>
      <w:r w:rsidR="0048205C">
        <w:rPr>
          <w:szCs w:val="22"/>
        </w:rPr>
        <w:t>rs</w:t>
      </w:r>
      <w:r w:rsidR="00116FF9">
        <w:rPr>
          <w:szCs w:val="22"/>
        </w:rPr>
        <w:t xml:space="preserve"> ($502,642) </w:t>
      </w:r>
      <w:r w:rsidRPr="00C147DA">
        <w:rPr>
          <w:szCs w:val="22"/>
        </w:rPr>
        <w:t>forfeiture</w:t>
      </w:r>
      <w:r w:rsidR="00116FF9">
        <w:rPr>
          <w:szCs w:val="22"/>
        </w:rPr>
        <w:t>s, respectively,</w:t>
      </w:r>
      <w:r w:rsidRPr="00C147DA">
        <w:rPr>
          <w:szCs w:val="22"/>
        </w:rPr>
        <w:t xml:space="preserve"> for apparent violations of the </w:t>
      </w:r>
      <w:r w:rsidR="00FE4FDB">
        <w:rPr>
          <w:szCs w:val="22"/>
        </w:rPr>
        <w:t xml:space="preserve">USF, TRS, and LNP Rules, </w:t>
      </w:r>
      <w:r w:rsidR="00751FAC">
        <w:rPr>
          <w:szCs w:val="22"/>
        </w:rPr>
        <w:t xml:space="preserve">and the </w:t>
      </w:r>
      <w:r w:rsidR="002A70B8">
        <w:rPr>
          <w:szCs w:val="22"/>
        </w:rPr>
        <w:t>I</w:t>
      </w:r>
      <w:r w:rsidR="00751FAC">
        <w:rPr>
          <w:szCs w:val="22"/>
        </w:rPr>
        <w:t xml:space="preserve">nternational </w:t>
      </w:r>
      <w:r w:rsidR="0022406E">
        <w:rPr>
          <w:szCs w:val="22"/>
        </w:rPr>
        <w:t>Section</w:t>
      </w:r>
      <w:r w:rsidR="00751FAC">
        <w:rPr>
          <w:szCs w:val="22"/>
        </w:rPr>
        <w:t xml:space="preserve"> 214 </w:t>
      </w:r>
      <w:r w:rsidRPr="00C147DA">
        <w:rPr>
          <w:szCs w:val="22"/>
        </w:rPr>
        <w:t>Rules.</w:t>
      </w:r>
      <w:r w:rsidR="00E179EE">
        <w:rPr>
          <w:rStyle w:val="FootnoteReference"/>
          <w:szCs w:val="22"/>
        </w:rPr>
        <w:footnoteReference w:id="14"/>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sidR="0048205C">
        <w:rPr>
          <w:szCs w:val="22"/>
        </w:rPr>
        <w:t>Kajeet</w:t>
      </w:r>
      <w:r w:rsidR="0048205C" w:rsidRPr="007C0B39">
        <w:rPr>
          <w:szCs w:val="22"/>
        </w:rPr>
        <w:t xml:space="preserve"> </w:t>
      </w:r>
      <w:r w:rsidRPr="007C0B39">
        <w:rPr>
          <w:szCs w:val="22"/>
        </w:rPr>
        <w:t>to implement the Compliance Plan.</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Parties</w:t>
      </w:r>
      <w:r w:rsidRPr="007C0B39">
        <w:rPr>
          <w:szCs w:val="22"/>
        </w:rPr>
        <w:t xml:space="preserve">” means </w:t>
      </w:r>
      <w:r w:rsidR="0048205C">
        <w:rPr>
          <w:szCs w:val="22"/>
        </w:rPr>
        <w:t>Kajeet</w:t>
      </w:r>
      <w:r w:rsidR="0048205C" w:rsidRPr="007C0B39">
        <w:rPr>
          <w:szCs w:val="22"/>
        </w:rPr>
        <w:t xml:space="preserve"> </w:t>
      </w:r>
      <w:r w:rsidRPr="007C0B39">
        <w:rPr>
          <w:szCs w:val="22"/>
        </w:rPr>
        <w:t>and the Bureau, each of which is a “Party.”</w:t>
      </w:r>
    </w:p>
    <w:p w:rsidR="0001647A" w:rsidRPr="007C0B39" w:rsidRDefault="0001647A" w:rsidP="000D4982">
      <w:pPr>
        <w:widowControl/>
        <w:numPr>
          <w:ilvl w:val="0"/>
          <w:numId w:val="6"/>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rsidR="00CD142A" w:rsidRPr="007C0B39" w:rsidRDefault="00E95957" w:rsidP="000D4982">
      <w:pPr>
        <w:widowControl/>
        <w:numPr>
          <w:ilvl w:val="0"/>
          <w:numId w:val="6"/>
        </w:numPr>
        <w:tabs>
          <w:tab w:val="clear" w:pos="1224"/>
        </w:tabs>
        <w:spacing w:after="120"/>
        <w:ind w:left="1890"/>
        <w:rPr>
          <w:szCs w:val="22"/>
        </w:rPr>
      </w:pPr>
      <w:r>
        <w:rPr>
          <w:szCs w:val="22"/>
        </w:rPr>
        <w:t xml:space="preserve">“USF, TRS, and </w:t>
      </w:r>
      <w:r w:rsidR="00CD142A">
        <w:rPr>
          <w:szCs w:val="22"/>
        </w:rPr>
        <w:t>LNP Rules”</w:t>
      </w:r>
      <w:r w:rsidR="00CD142A" w:rsidRPr="007C0B39">
        <w:rPr>
          <w:szCs w:val="22"/>
        </w:rPr>
        <w:t xml:space="preserve"> means </w:t>
      </w:r>
      <w:r w:rsidR="0022406E">
        <w:rPr>
          <w:szCs w:val="22"/>
        </w:rPr>
        <w:t>Section</w:t>
      </w:r>
      <w:r w:rsidR="00CD142A">
        <w:rPr>
          <w:szCs w:val="22"/>
        </w:rPr>
        <w:t>s</w:t>
      </w:r>
      <w:r w:rsidR="00CD142A" w:rsidRPr="00D84548">
        <w:rPr>
          <w:szCs w:val="22"/>
        </w:rPr>
        <w:t xml:space="preserve"> </w:t>
      </w:r>
      <w:r w:rsidR="00CD142A">
        <w:rPr>
          <w:szCs w:val="22"/>
        </w:rPr>
        <w:t>251(e)(2), and 254(d) of the Act,</w:t>
      </w:r>
      <w:r w:rsidR="00CD142A">
        <w:rPr>
          <w:szCs w:val="22"/>
          <w:vertAlign w:val="superscript"/>
        </w:rPr>
        <w:footnoteReference w:id="15"/>
      </w:r>
      <w:r w:rsidR="00CD142A">
        <w:rPr>
          <w:szCs w:val="22"/>
        </w:rPr>
        <w:t xml:space="preserve"> and </w:t>
      </w:r>
      <w:r w:rsidR="0022406E">
        <w:rPr>
          <w:szCs w:val="22"/>
        </w:rPr>
        <w:t>Section</w:t>
      </w:r>
      <w:r w:rsidR="00CD142A">
        <w:rPr>
          <w:szCs w:val="22"/>
        </w:rPr>
        <w:t xml:space="preserve">s 52.32(a), 54.706(a), and </w:t>
      </w:r>
      <w:r w:rsidR="00CD142A" w:rsidRPr="00D87393">
        <w:t>64.604(c)(5)(iii)(A)</w:t>
      </w:r>
      <w:r w:rsidR="00CD142A">
        <w:rPr>
          <w:szCs w:val="22"/>
        </w:rPr>
        <w:t xml:space="preserve"> of the Rules</w:t>
      </w:r>
      <w:r w:rsidR="00CD142A">
        <w:rPr>
          <w:szCs w:val="22"/>
          <w:vertAlign w:val="superscript"/>
        </w:rPr>
        <w:footnoteReference w:id="16"/>
      </w:r>
      <w:r w:rsidR="00CD142A" w:rsidRPr="007C0B39">
        <w:t xml:space="preserve"> </w:t>
      </w:r>
      <w:r w:rsidR="00CD142A" w:rsidRPr="007C0B39">
        <w:rPr>
          <w:szCs w:val="22"/>
        </w:rPr>
        <w:t xml:space="preserve">and other provisions of the Act, the Rules, and Commission orders related to </w:t>
      </w:r>
      <w:r w:rsidR="00CD142A">
        <w:rPr>
          <w:szCs w:val="22"/>
        </w:rPr>
        <w:t>the USF, the TRS</w:t>
      </w:r>
      <w:r w:rsidR="00FE4FDB">
        <w:rPr>
          <w:szCs w:val="22"/>
        </w:rPr>
        <w:t xml:space="preserve"> Fund</w:t>
      </w:r>
      <w:r w:rsidR="00CD142A">
        <w:rPr>
          <w:szCs w:val="22"/>
        </w:rPr>
        <w:t xml:space="preserve">, </w:t>
      </w:r>
      <w:r>
        <w:rPr>
          <w:szCs w:val="22"/>
        </w:rPr>
        <w:t xml:space="preserve">and </w:t>
      </w:r>
      <w:r w:rsidR="00FE4FDB">
        <w:rPr>
          <w:szCs w:val="22"/>
        </w:rPr>
        <w:t xml:space="preserve">the </w:t>
      </w:r>
      <w:r w:rsidR="00CD142A">
        <w:rPr>
          <w:szCs w:val="22"/>
        </w:rPr>
        <w:t>LNP cost recovery mechanism</w:t>
      </w:r>
      <w:r w:rsidR="00CD142A">
        <w:rPr>
          <w:b/>
          <w:szCs w:val="22"/>
        </w:rPr>
        <w:t>.</w:t>
      </w:r>
    </w:p>
    <w:p w:rsidR="0001647A" w:rsidRPr="007C0B39" w:rsidRDefault="0001647A" w:rsidP="000D4982">
      <w:pPr>
        <w:pStyle w:val="Heading1"/>
        <w:widowControl/>
        <w:rPr>
          <w:szCs w:val="22"/>
        </w:rPr>
      </w:pPr>
      <w:r w:rsidRPr="007C0B39">
        <w:t>BACKGROUND</w:t>
      </w:r>
    </w:p>
    <w:p w:rsidR="006B4FAB" w:rsidRDefault="006B4FAB" w:rsidP="000D4982">
      <w:pPr>
        <w:pStyle w:val="ParaNum0"/>
        <w:widowControl/>
        <w:tabs>
          <w:tab w:val="clear" w:pos="1080"/>
          <w:tab w:val="num" w:pos="1440"/>
        </w:tabs>
      </w:pPr>
      <w:bookmarkStart w:id="1" w:name="_Ref246392662"/>
      <w:r>
        <w:t xml:space="preserve">Telecommunications service providers are required to make timely contributions to the </w:t>
      </w:r>
      <w:r w:rsidR="00BF1124">
        <w:t>Universal Service Fund (</w:t>
      </w:r>
      <w:r w:rsidR="00BF1124" w:rsidRPr="00E72E88">
        <w:t>USF</w:t>
      </w:r>
      <w:r w:rsidR="00BF1124">
        <w:t>)</w:t>
      </w:r>
      <w:r w:rsidR="00BF1124" w:rsidRPr="00E72E88">
        <w:t xml:space="preserve">, </w:t>
      </w:r>
      <w:r w:rsidR="00BF1124">
        <w:t>the Telecommunications Relay Service (</w:t>
      </w:r>
      <w:r w:rsidR="00BF1124" w:rsidRPr="00E72E88">
        <w:t>TRS</w:t>
      </w:r>
      <w:r w:rsidR="00BF1124">
        <w:t>) fund</w:t>
      </w:r>
      <w:r w:rsidR="00BF1124" w:rsidRPr="00E72E88">
        <w:t xml:space="preserve">, </w:t>
      </w:r>
      <w:r w:rsidR="00BF1124">
        <w:t>and Local Number Portability (</w:t>
      </w:r>
      <w:r w:rsidR="00BF1124" w:rsidRPr="00E72E88">
        <w:t>LNP</w:t>
      </w:r>
      <w:r w:rsidR="00BF1124">
        <w:t xml:space="preserve">) </w:t>
      </w:r>
      <w:r w:rsidR="00BE4F94">
        <w:t>cost recovery mechanism</w:t>
      </w:r>
      <w:r w:rsidR="00BE4F94">
        <w:rPr>
          <w:szCs w:val="22"/>
        </w:rPr>
        <w:t>.</w:t>
      </w:r>
      <w:r>
        <w:t xml:space="preserve">  </w:t>
      </w:r>
      <w:r w:rsidRPr="00E72E88">
        <w:t xml:space="preserve">When telecommunications service providers fail to pay their share of obligations to </w:t>
      </w:r>
      <w:r w:rsidR="00BF1124">
        <w:t xml:space="preserve">the </w:t>
      </w:r>
      <w:r w:rsidRPr="00E72E88">
        <w:t xml:space="preserve">USF, </w:t>
      </w:r>
      <w:r w:rsidR="00BF1124">
        <w:t xml:space="preserve">the </w:t>
      </w:r>
      <w:r w:rsidRPr="00E72E88">
        <w:t>TRS</w:t>
      </w:r>
      <w:r w:rsidR="00785F35">
        <w:t xml:space="preserve"> fund</w:t>
      </w:r>
      <w:r w:rsidRPr="00E72E88">
        <w:t xml:space="preserve">, </w:t>
      </w:r>
      <w:r w:rsidR="00BE4F94">
        <w:t xml:space="preserve">and </w:t>
      </w:r>
      <w:r w:rsidR="00BF1124">
        <w:t xml:space="preserve">the </w:t>
      </w:r>
      <w:r w:rsidRPr="00E72E88">
        <w:t>LNP</w:t>
      </w:r>
      <w:r w:rsidR="00BF1124">
        <w:t xml:space="preserve"> cost recovery mechanism</w:t>
      </w:r>
      <w:r w:rsidRPr="00E72E88">
        <w:t>,</w:t>
      </w:r>
      <w:r>
        <w:t xml:space="preserve"> </w:t>
      </w:r>
      <w:r w:rsidRPr="00E72E88">
        <w:t>they undermine the effectivene</w:t>
      </w:r>
      <w:r>
        <w:t>ss of these federal programs</w:t>
      </w:r>
      <w:r w:rsidR="00BE4F94">
        <w:t xml:space="preserve"> and</w:t>
      </w:r>
      <w:r>
        <w:t xml:space="preserve"> </w:t>
      </w:r>
      <w:r w:rsidRPr="00E72E88">
        <w:t>obtain a</w:t>
      </w:r>
      <w:r>
        <w:t>n unfair</w:t>
      </w:r>
      <w:r w:rsidRPr="00E72E88">
        <w:t xml:space="preserve"> competitive advantage over companies that comply with </w:t>
      </w:r>
      <w:r w:rsidR="00916B5B">
        <w:t xml:space="preserve">the </w:t>
      </w:r>
      <w:r>
        <w:t>Act</w:t>
      </w:r>
      <w:r w:rsidRPr="00E72E88">
        <w:t xml:space="preserve"> and </w:t>
      </w:r>
      <w:r>
        <w:t>the Rules.</w:t>
      </w:r>
      <w:r>
        <w:rPr>
          <w:rStyle w:val="FootnoteReference"/>
        </w:rPr>
        <w:footnoteReference w:id="17"/>
      </w:r>
      <w:r>
        <w:t xml:space="preserve">  </w:t>
      </w:r>
    </w:p>
    <w:bookmarkEnd w:id="1"/>
    <w:p w:rsidR="00230505" w:rsidRPr="00230505" w:rsidRDefault="001C4C49" w:rsidP="000D4982">
      <w:pPr>
        <w:pStyle w:val="ParaNum0"/>
        <w:widowControl/>
        <w:tabs>
          <w:tab w:val="clear" w:pos="1080"/>
        </w:tabs>
        <w:rPr>
          <w:szCs w:val="22"/>
        </w:rPr>
      </w:pPr>
      <w:r>
        <w:t>In addition, the Act</w:t>
      </w:r>
      <w:r w:rsidR="00BE4F94">
        <w:t xml:space="preserve"> and Rules</w:t>
      </w:r>
      <w:r>
        <w:t xml:space="preserve"> prohibit any </w:t>
      </w:r>
      <w:r w:rsidR="00BE4F94">
        <w:t xml:space="preserve">international </w:t>
      </w:r>
      <w:r>
        <w:t xml:space="preserve">carrier from constructing, extending, or operating any line, and from engaging in transmission through any such line, </w:t>
      </w:r>
      <w:r w:rsidR="00BE4F94">
        <w:t xml:space="preserve">without </w:t>
      </w:r>
      <w:r w:rsidRPr="00280C71">
        <w:rPr>
          <w:color w:val="000000"/>
          <w:szCs w:val="22"/>
        </w:rPr>
        <w:t>approval from the Commission</w:t>
      </w:r>
      <w:r w:rsidR="00146B09">
        <w:rPr>
          <w:color w:val="000000"/>
          <w:szCs w:val="22"/>
        </w:rPr>
        <w:t xml:space="preserve"> through a Section 214 authorization</w:t>
      </w:r>
      <w:r w:rsidRPr="00280C71">
        <w:rPr>
          <w:color w:val="000000"/>
          <w:szCs w:val="22"/>
        </w:rPr>
        <w:t>.</w:t>
      </w:r>
      <w:bookmarkStart w:id="2" w:name="FN[FN3]"/>
      <w:bookmarkEnd w:id="2"/>
      <w:r>
        <w:rPr>
          <w:rStyle w:val="FootnoteReference"/>
          <w:color w:val="000000"/>
          <w:szCs w:val="22"/>
        </w:rPr>
        <w:footnoteReference w:id="18"/>
      </w:r>
      <w:r>
        <w:rPr>
          <w:color w:val="000000"/>
          <w:szCs w:val="22"/>
        </w:rPr>
        <w:t xml:space="preserve"> </w:t>
      </w:r>
      <w:r w:rsidRPr="00280C71">
        <w:rPr>
          <w:color w:val="000000"/>
          <w:szCs w:val="22"/>
        </w:rPr>
        <w:t xml:space="preserve"> In particular, </w:t>
      </w:r>
      <w:bookmarkStart w:id="3" w:name="FN[FN4]"/>
      <w:bookmarkEnd w:id="3"/>
      <w:r>
        <w:rPr>
          <w:color w:val="000000"/>
          <w:szCs w:val="22"/>
        </w:rPr>
        <w:t>the assignment of</w:t>
      </w:r>
      <w:r w:rsidRPr="00280C71">
        <w:rPr>
          <w:color w:val="000000"/>
          <w:szCs w:val="22"/>
        </w:rPr>
        <w:t xml:space="preserve"> an international </w:t>
      </w:r>
      <w:r w:rsidR="0022406E" w:rsidRPr="00CA4848">
        <w:rPr>
          <w:color w:val="000000"/>
          <w:szCs w:val="22"/>
        </w:rPr>
        <w:t>Section</w:t>
      </w:r>
      <w:r w:rsidRPr="00CA4848">
        <w:rPr>
          <w:color w:val="000000"/>
          <w:szCs w:val="22"/>
        </w:rPr>
        <w:t xml:space="preserve"> 214 authorization requires </w:t>
      </w:r>
      <w:r w:rsidR="00146B09" w:rsidRPr="00CA4848">
        <w:rPr>
          <w:color w:val="000000"/>
          <w:szCs w:val="22"/>
        </w:rPr>
        <w:t xml:space="preserve">an </w:t>
      </w:r>
      <w:r w:rsidRPr="00CA4848">
        <w:rPr>
          <w:color w:val="000000"/>
          <w:szCs w:val="22"/>
        </w:rPr>
        <w:t>application to, and prior approval from, the Commission.</w:t>
      </w:r>
      <w:r w:rsidRPr="00CA4848">
        <w:rPr>
          <w:rStyle w:val="FootnoteReference"/>
        </w:rPr>
        <w:footnoteReference w:id="19"/>
      </w:r>
    </w:p>
    <w:p w:rsidR="00170F2C" w:rsidRPr="00230505" w:rsidRDefault="00170F2C" w:rsidP="000D4982">
      <w:pPr>
        <w:pStyle w:val="ParaNum0"/>
        <w:widowControl/>
        <w:tabs>
          <w:tab w:val="clear" w:pos="1080"/>
        </w:tabs>
        <w:rPr>
          <w:szCs w:val="22"/>
        </w:rPr>
      </w:pPr>
      <w:r w:rsidRPr="00230505">
        <w:rPr>
          <w:szCs w:val="22"/>
        </w:rPr>
        <w:t>Kajeet</w:t>
      </w:r>
      <w:r w:rsidR="00857AA7" w:rsidRPr="00230505">
        <w:rPr>
          <w:szCs w:val="22"/>
        </w:rPr>
        <w:t>, Inc.</w:t>
      </w:r>
      <w:r w:rsidRPr="00230505">
        <w:rPr>
          <w:szCs w:val="22"/>
        </w:rPr>
        <w:t xml:space="preserve"> is a </w:t>
      </w:r>
      <w:r w:rsidR="0001789C" w:rsidRPr="00230505">
        <w:rPr>
          <w:szCs w:val="22"/>
        </w:rPr>
        <w:t>Delaware corporation headquartered</w:t>
      </w:r>
      <w:r w:rsidRPr="00230505">
        <w:rPr>
          <w:szCs w:val="22"/>
        </w:rPr>
        <w:t xml:space="preserve"> </w:t>
      </w:r>
      <w:r w:rsidR="0001789C" w:rsidRPr="00230505">
        <w:rPr>
          <w:szCs w:val="22"/>
        </w:rPr>
        <w:t>in Virginia</w:t>
      </w:r>
      <w:r w:rsidR="00CF1FD7" w:rsidRPr="00230505">
        <w:rPr>
          <w:szCs w:val="22"/>
        </w:rPr>
        <w:t xml:space="preserve"> </w:t>
      </w:r>
      <w:r w:rsidRPr="00230505">
        <w:rPr>
          <w:szCs w:val="22"/>
        </w:rPr>
        <w:t>that has provided telecommunications services since 2007.</w:t>
      </w:r>
      <w:r w:rsidRPr="00230505">
        <w:rPr>
          <w:szCs w:val="22"/>
          <w:vertAlign w:val="superscript"/>
        </w:rPr>
        <w:footnoteReference w:id="20"/>
      </w:r>
      <w:r w:rsidRPr="00230505">
        <w:rPr>
          <w:szCs w:val="22"/>
        </w:rPr>
        <w:t xml:space="preserve">  Kajeet, Inc. provides prepaid wireless services as </w:t>
      </w:r>
      <w:r w:rsidR="00916B5B" w:rsidRPr="00230505">
        <w:rPr>
          <w:szCs w:val="22"/>
        </w:rPr>
        <w:t xml:space="preserve">a </w:t>
      </w:r>
      <w:r w:rsidRPr="00230505">
        <w:rPr>
          <w:szCs w:val="22"/>
        </w:rPr>
        <w:t>reseller for a nationwide wireless carrier</w:t>
      </w:r>
      <w:r w:rsidRPr="00230505">
        <w:rPr>
          <w:szCs w:val="22"/>
          <w:vertAlign w:val="superscript"/>
        </w:rPr>
        <w:footnoteReference w:id="21"/>
      </w:r>
      <w:r w:rsidR="0001789C" w:rsidRPr="00230505">
        <w:rPr>
          <w:szCs w:val="22"/>
        </w:rPr>
        <w:t xml:space="preserve"> </w:t>
      </w:r>
      <w:r w:rsidR="00CF1FD7" w:rsidRPr="00230505">
        <w:rPr>
          <w:szCs w:val="22"/>
        </w:rPr>
        <w:t>a</w:t>
      </w:r>
      <w:r w:rsidR="0001789C" w:rsidRPr="00230505">
        <w:rPr>
          <w:szCs w:val="22"/>
        </w:rPr>
        <w:t>nd mobile broadband solutions for schools.</w:t>
      </w:r>
      <w:r w:rsidR="0001789C" w:rsidRPr="00230505">
        <w:rPr>
          <w:rStyle w:val="FootnoteReference"/>
          <w:sz w:val="22"/>
          <w:szCs w:val="22"/>
        </w:rPr>
        <w:footnoteReference w:id="22"/>
      </w:r>
      <w:r w:rsidRPr="00230505">
        <w:rPr>
          <w:szCs w:val="22"/>
        </w:rPr>
        <w:t xml:space="preserve">  Kajeet/Airlink has provided telecommunications services since April 2009.</w:t>
      </w:r>
      <w:r w:rsidRPr="00230505">
        <w:rPr>
          <w:rStyle w:val="FootnoteReference"/>
          <w:sz w:val="22"/>
          <w:szCs w:val="22"/>
        </w:rPr>
        <w:footnoteReference w:id="23"/>
      </w:r>
      <w:r w:rsidRPr="00230505">
        <w:rPr>
          <w:szCs w:val="22"/>
        </w:rPr>
        <w:t xml:space="preserve">  Kajeet/Airlink provides prepaid wireless services as a reseller for a nationwide wireless carrier.</w:t>
      </w:r>
      <w:r w:rsidRPr="00230505">
        <w:rPr>
          <w:rStyle w:val="FootnoteReference"/>
          <w:sz w:val="22"/>
          <w:szCs w:val="22"/>
        </w:rPr>
        <w:footnoteReference w:id="24"/>
      </w:r>
      <w:r w:rsidRPr="00230505">
        <w:rPr>
          <w:szCs w:val="22"/>
        </w:rPr>
        <w:t xml:space="preserve">  </w:t>
      </w:r>
      <w:r w:rsidR="00230505" w:rsidRPr="00230505">
        <w:rPr>
          <w:szCs w:val="22"/>
        </w:rPr>
        <w:t>According to t</w:t>
      </w:r>
      <w:r w:rsidR="00230505">
        <w:rPr>
          <w:szCs w:val="22"/>
        </w:rPr>
        <w:t>he CEO of Kajeet, Inc., Daniel </w:t>
      </w:r>
      <w:r w:rsidR="00230505" w:rsidRPr="00230505">
        <w:rPr>
          <w:szCs w:val="22"/>
        </w:rPr>
        <w:t>Neal, the companies were unable to meet their financial obligations to the federal USF because</w:t>
      </w:r>
      <w:r w:rsidR="00E46402">
        <w:rPr>
          <w:szCs w:val="22"/>
        </w:rPr>
        <w:t xml:space="preserve"> their</w:t>
      </w:r>
      <w:r w:rsidR="00230505" w:rsidRPr="00230505">
        <w:rPr>
          <w:szCs w:val="22"/>
        </w:rPr>
        <w:t xml:space="preserve"> operating funds were temporarily frozen as a result of the financial crisis of 2008/2009.  Once the companies’ liquidity crisis was resolved, the companies became current in their contributions to the federal USF.</w:t>
      </w:r>
      <w:r w:rsidR="00230505">
        <w:rPr>
          <w:rStyle w:val="FootnoteReference"/>
          <w:szCs w:val="22"/>
        </w:rPr>
        <w:footnoteReference w:id="25"/>
      </w:r>
    </w:p>
    <w:p w:rsidR="000042FA" w:rsidRDefault="00634CBC" w:rsidP="000D4982">
      <w:pPr>
        <w:pStyle w:val="ParaNum0"/>
        <w:widowControl/>
        <w:tabs>
          <w:tab w:val="clear" w:pos="1080"/>
          <w:tab w:val="num" w:pos="1440"/>
        </w:tabs>
        <w:rPr>
          <w:szCs w:val="22"/>
        </w:rPr>
      </w:pPr>
      <w:r w:rsidRPr="00CA4848">
        <w:rPr>
          <w:szCs w:val="22"/>
        </w:rPr>
        <w:t xml:space="preserve">After receiving a referral </w:t>
      </w:r>
      <w:r w:rsidR="00E4174C" w:rsidRPr="00CA4848">
        <w:rPr>
          <w:szCs w:val="22"/>
        </w:rPr>
        <w:t xml:space="preserve">from </w:t>
      </w:r>
      <w:r w:rsidR="004D6CFF" w:rsidRPr="00CA4848">
        <w:rPr>
          <w:szCs w:val="22"/>
        </w:rPr>
        <w:t>the Universal Service Administrative Company, administrator</w:t>
      </w:r>
      <w:r w:rsidR="004D6CFF">
        <w:rPr>
          <w:szCs w:val="22"/>
        </w:rPr>
        <w:t xml:space="preserve"> of the federal USF,</w:t>
      </w:r>
      <w:r w:rsidR="004D6CFF">
        <w:rPr>
          <w:rStyle w:val="FootnoteReference"/>
          <w:szCs w:val="22"/>
        </w:rPr>
        <w:footnoteReference w:id="26"/>
      </w:r>
      <w:r w:rsidR="004D6CFF">
        <w:rPr>
          <w:szCs w:val="22"/>
        </w:rPr>
        <w:t xml:space="preserve"> </w:t>
      </w:r>
      <w:r>
        <w:rPr>
          <w:szCs w:val="22"/>
        </w:rPr>
        <w:t>o</w:t>
      </w:r>
      <w:r w:rsidR="00892C25" w:rsidRPr="00170F2C">
        <w:rPr>
          <w:szCs w:val="22"/>
        </w:rPr>
        <w:t>n December 10, 2009, the Bureau issued an LOI to the Companies seeking information about their compliance with USF and other related regulatory obligations and Kajeet/Airlink LLC’s acquisition of certain assets of Airlink Mobile.</w:t>
      </w:r>
      <w:r w:rsidR="00892C25">
        <w:rPr>
          <w:vertAlign w:val="superscript"/>
        </w:rPr>
        <w:footnoteReference w:id="27"/>
      </w:r>
      <w:r>
        <w:rPr>
          <w:b/>
          <w:szCs w:val="22"/>
        </w:rPr>
        <w:t xml:space="preserve">  </w:t>
      </w:r>
      <w:r w:rsidR="004B5F7D">
        <w:rPr>
          <w:szCs w:val="22"/>
        </w:rPr>
        <w:t>Kajeet filed its LOI response on February 28, 2010.</w:t>
      </w:r>
      <w:r w:rsidR="004B5F7D">
        <w:rPr>
          <w:rStyle w:val="FootnoteReference"/>
          <w:szCs w:val="22"/>
        </w:rPr>
        <w:footnoteReference w:id="28"/>
      </w:r>
      <w:r w:rsidR="004B5F7D">
        <w:rPr>
          <w:szCs w:val="22"/>
        </w:rPr>
        <w:t xml:space="preserve">  </w:t>
      </w:r>
    </w:p>
    <w:p w:rsidR="00892C25" w:rsidRPr="004B5F7D" w:rsidRDefault="00892C25" w:rsidP="000D4982">
      <w:pPr>
        <w:pStyle w:val="ParaNum0"/>
        <w:widowControl/>
        <w:tabs>
          <w:tab w:val="clear" w:pos="1080"/>
          <w:tab w:val="num" w:pos="1440"/>
        </w:tabs>
        <w:rPr>
          <w:szCs w:val="22"/>
        </w:rPr>
      </w:pPr>
      <w:r w:rsidRPr="004B5F7D">
        <w:rPr>
          <w:szCs w:val="22"/>
        </w:rPr>
        <w:t>On December 5, 2011 the Commission released a</w:t>
      </w:r>
      <w:r w:rsidR="00B67176">
        <w:rPr>
          <w:szCs w:val="22"/>
        </w:rPr>
        <w:t>n</w:t>
      </w:r>
      <w:r w:rsidRPr="004B5F7D">
        <w:rPr>
          <w:szCs w:val="22"/>
        </w:rPr>
        <w:t xml:space="preserve"> NAL finding Kajeet, </w:t>
      </w:r>
      <w:r w:rsidR="00646BD9">
        <w:rPr>
          <w:szCs w:val="22"/>
        </w:rPr>
        <w:t>Inc.</w:t>
      </w:r>
      <w:r w:rsidR="00646BD9" w:rsidRPr="004B5F7D">
        <w:rPr>
          <w:szCs w:val="22"/>
        </w:rPr>
        <w:t xml:space="preserve"> </w:t>
      </w:r>
      <w:r w:rsidRPr="004B5F7D">
        <w:rPr>
          <w:szCs w:val="22"/>
        </w:rPr>
        <w:t xml:space="preserve">apparently liable for a total forfeiture of four hundred sixty thousand, one hundred eighty-six dollars ($460,186) </w:t>
      </w:r>
      <w:r w:rsidR="00634CBC" w:rsidRPr="004B5F7D">
        <w:rPr>
          <w:szCs w:val="22"/>
        </w:rPr>
        <w:t>and also found</w:t>
      </w:r>
      <w:r w:rsidRPr="004B5F7D">
        <w:rPr>
          <w:szCs w:val="22"/>
        </w:rPr>
        <w:t xml:space="preserve"> Kajeet/Airlink apparently liable for a total forfeiture of five hundred two thousand, six hundred forty-two dollars ($502,642)</w:t>
      </w:r>
      <w:r w:rsidR="00634CBC" w:rsidRPr="004B5F7D">
        <w:rPr>
          <w:szCs w:val="22"/>
        </w:rPr>
        <w:t xml:space="preserve"> for failure to contribute fully and timely to the USF, the TRS Fund, and</w:t>
      </w:r>
      <w:r w:rsidR="00634CBC">
        <w:t xml:space="preserve"> the LNP cost recovery mechanism</w:t>
      </w:r>
      <w:r w:rsidR="00634CBC" w:rsidRPr="004B5F7D">
        <w:rPr>
          <w:szCs w:val="22"/>
        </w:rPr>
        <w:t>.</w:t>
      </w:r>
      <w:r w:rsidR="000042FA" w:rsidRPr="000042FA">
        <w:rPr>
          <w:rStyle w:val="FootnoteReference"/>
          <w:szCs w:val="22"/>
        </w:rPr>
        <w:t xml:space="preserve"> </w:t>
      </w:r>
      <w:r w:rsidR="000042FA">
        <w:rPr>
          <w:rStyle w:val="FootnoteReference"/>
          <w:szCs w:val="22"/>
        </w:rPr>
        <w:footnoteReference w:id="29"/>
      </w:r>
      <w:r w:rsidR="00634CBC" w:rsidRPr="004B5F7D">
        <w:rPr>
          <w:szCs w:val="22"/>
        </w:rPr>
        <w:t xml:space="preserve">  In addition, </w:t>
      </w:r>
      <w:r w:rsidR="00332822">
        <w:rPr>
          <w:szCs w:val="22"/>
        </w:rPr>
        <w:t xml:space="preserve">the Commission concluded that </w:t>
      </w:r>
      <w:r w:rsidR="00634CBC" w:rsidRPr="004B5F7D">
        <w:rPr>
          <w:szCs w:val="22"/>
        </w:rPr>
        <w:t xml:space="preserve">Kajeet/Airlink failed to obtain Commission approval prior to consummating the assignment of an international </w:t>
      </w:r>
      <w:r w:rsidR="0022406E">
        <w:rPr>
          <w:szCs w:val="22"/>
        </w:rPr>
        <w:t>Section</w:t>
      </w:r>
      <w:r w:rsidR="00634CBC" w:rsidRPr="004B5F7D">
        <w:rPr>
          <w:szCs w:val="22"/>
        </w:rPr>
        <w:t xml:space="preserve"> 214 authorization.</w:t>
      </w:r>
      <w:r>
        <w:rPr>
          <w:rStyle w:val="FootnoteReference"/>
          <w:szCs w:val="22"/>
        </w:rPr>
        <w:footnoteReference w:id="30"/>
      </w:r>
      <w:r w:rsidR="00B67176">
        <w:rPr>
          <w:szCs w:val="22"/>
        </w:rPr>
        <w:t xml:space="preserve"> </w:t>
      </w:r>
      <w:r w:rsidR="003F4DE5" w:rsidRPr="004B5F7D">
        <w:rPr>
          <w:szCs w:val="22"/>
        </w:rPr>
        <w:t xml:space="preserve"> The combined apparent liability for the Companies was </w:t>
      </w:r>
      <w:r w:rsidR="002E3BB1" w:rsidRPr="004B5F7D">
        <w:rPr>
          <w:szCs w:val="22"/>
        </w:rPr>
        <w:t>$962,828.</w:t>
      </w:r>
    </w:p>
    <w:p w:rsidR="00B67176" w:rsidRPr="00B67176" w:rsidRDefault="001C4C49" w:rsidP="000D4982">
      <w:pPr>
        <w:pStyle w:val="ParaNum0"/>
        <w:widowControl/>
        <w:tabs>
          <w:tab w:val="clear" w:pos="1080"/>
          <w:tab w:val="num" w:pos="1440"/>
        </w:tabs>
      </w:pPr>
      <w:r>
        <w:rPr>
          <w:szCs w:val="22"/>
        </w:rPr>
        <w:t xml:space="preserve">The Parties engaged in extensive settlement discussions upon </w:t>
      </w:r>
      <w:r w:rsidR="00EC27D2">
        <w:rPr>
          <w:szCs w:val="22"/>
        </w:rPr>
        <w:t xml:space="preserve">the </w:t>
      </w:r>
      <w:r>
        <w:rPr>
          <w:szCs w:val="22"/>
        </w:rPr>
        <w:t>release</w:t>
      </w:r>
      <w:r w:rsidR="00E179EE">
        <w:rPr>
          <w:szCs w:val="22"/>
        </w:rPr>
        <w:t xml:space="preserve"> of the NAL but were ultimately unable to reach an agreement</w:t>
      </w:r>
      <w:r w:rsidR="00166AFA" w:rsidRPr="006B302F">
        <w:t xml:space="preserve">.  </w:t>
      </w:r>
      <w:r w:rsidR="00EC27D2" w:rsidRPr="006B302F">
        <w:t xml:space="preserve">Kajeet </w:t>
      </w:r>
      <w:r w:rsidR="00D65B13">
        <w:rPr>
          <w:szCs w:val="22"/>
        </w:rPr>
        <w:t>is currently in good standing with</w:t>
      </w:r>
      <w:r w:rsidR="00D65B13" w:rsidRPr="006B302F">
        <w:t xml:space="preserve"> the</w:t>
      </w:r>
      <w:r w:rsidR="00D65B13">
        <w:rPr>
          <w:szCs w:val="22"/>
        </w:rPr>
        <w:t xml:space="preserve"> </w:t>
      </w:r>
      <w:r w:rsidR="00EC27D2" w:rsidRPr="006B302F">
        <w:t>USF, the TRS Fund, and the LNP cost recovery mechanism.</w:t>
      </w:r>
      <w:r w:rsidR="00EC27D2" w:rsidRPr="00D65B13">
        <w:t xml:space="preserve">  In addition, Kajeet/Airlink</w:t>
      </w:r>
      <w:r w:rsidR="00B67176" w:rsidRPr="00D65B13">
        <w:t xml:space="preserve"> applied for and</w:t>
      </w:r>
      <w:r w:rsidR="00EC27D2" w:rsidRPr="00D65B13">
        <w:t xml:space="preserve"> received international </w:t>
      </w:r>
      <w:r w:rsidR="0022406E" w:rsidRPr="00D65B13">
        <w:t>Section</w:t>
      </w:r>
      <w:r w:rsidR="00EC27D2" w:rsidRPr="00D65B13">
        <w:t xml:space="preserve"> 214 </w:t>
      </w:r>
      <w:r w:rsidR="00C75C96" w:rsidRPr="00D65B13">
        <w:t xml:space="preserve">authority </w:t>
      </w:r>
      <w:r w:rsidR="00EC27D2" w:rsidRPr="00D65B13">
        <w:rPr>
          <w:szCs w:val="22"/>
        </w:rPr>
        <w:t>from the Commission for its previously</w:t>
      </w:r>
      <w:r w:rsidR="00EC27D2">
        <w:rPr>
          <w:szCs w:val="22"/>
        </w:rPr>
        <w:t xml:space="preserve"> una</w:t>
      </w:r>
      <w:r w:rsidR="00B67176">
        <w:rPr>
          <w:szCs w:val="22"/>
        </w:rPr>
        <w:t>uth</w:t>
      </w:r>
      <w:r w:rsidR="00EC27D2">
        <w:rPr>
          <w:szCs w:val="22"/>
        </w:rPr>
        <w:t>o</w:t>
      </w:r>
      <w:r w:rsidR="00B67176">
        <w:rPr>
          <w:szCs w:val="22"/>
        </w:rPr>
        <w:t>r</w:t>
      </w:r>
      <w:r w:rsidR="00EC27D2">
        <w:rPr>
          <w:szCs w:val="22"/>
        </w:rPr>
        <w:t>ized assignment.</w:t>
      </w:r>
      <w:r w:rsidR="00AC0019">
        <w:rPr>
          <w:rStyle w:val="FootnoteReference"/>
          <w:szCs w:val="22"/>
        </w:rPr>
        <w:footnoteReference w:id="31"/>
      </w:r>
      <w:r w:rsidR="00EC27D2">
        <w:rPr>
          <w:szCs w:val="22"/>
        </w:rPr>
        <w:t xml:space="preserve"> </w:t>
      </w:r>
    </w:p>
    <w:p w:rsidR="00146B09" w:rsidRDefault="00845297" w:rsidP="000D4982">
      <w:pPr>
        <w:pStyle w:val="ParaNum0"/>
        <w:widowControl/>
        <w:tabs>
          <w:tab w:val="clear" w:pos="1080"/>
          <w:tab w:val="num" w:pos="1440"/>
        </w:tabs>
      </w:pPr>
      <w:r w:rsidRPr="002444D9">
        <w:t>Section 503(b) of the Act authorizes the Commission to impose a forfeiture against any entity that “willfully or repeatedly fail[s] to comply substantially with any of the provisions of [the Communications Act] or of any rule, regulation, or order issued by the Commission.”</w:t>
      </w:r>
      <w:r w:rsidRPr="002444D9">
        <w:rPr>
          <w:vertAlign w:val="superscript"/>
        </w:rPr>
        <w:footnoteReference w:id="32"/>
      </w:r>
      <w:r w:rsidRPr="002444D9">
        <w:t xml:space="preserve">  In addition, the Commission has established forfeiture guidelines</w:t>
      </w:r>
      <w:r>
        <w:t>, which</w:t>
      </w:r>
      <w:r w:rsidRPr="002444D9">
        <w:t xml:space="preserve"> </w:t>
      </w:r>
      <w:r>
        <w:t xml:space="preserve">provide </w:t>
      </w:r>
      <w:r w:rsidRPr="002444D9">
        <w:t>base penalties for certain violatio</w:t>
      </w:r>
      <w:r>
        <w:t>ns and identify criteria that the Commission</w:t>
      </w:r>
      <w:r w:rsidRPr="002444D9">
        <w:t xml:space="preserve"> consider</w:t>
      </w:r>
      <w:r>
        <w:t>s</w:t>
      </w:r>
      <w:r w:rsidRPr="002444D9">
        <w:t xml:space="preserve"> when determining the appropriate penalty in any given case</w:t>
      </w:r>
      <w:r>
        <w:t>.</w:t>
      </w:r>
      <w:r>
        <w:rPr>
          <w:rStyle w:val="FootnoteReference"/>
        </w:rPr>
        <w:footnoteReference w:id="33"/>
      </w:r>
      <w:r>
        <w:t xml:space="preserve">  The Commission’s forfeiture guidelines specifically “are intended as a guide for frequently recurring violations” and not “a complete or exhaustive list of violations.”</w:t>
      </w:r>
      <w:r>
        <w:rPr>
          <w:rStyle w:val="FootnoteReference"/>
        </w:rPr>
        <w:footnoteReference w:id="34"/>
      </w:r>
      <w:r>
        <w:t xml:space="preserve">  </w:t>
      </w:r>
    </w:p>
    <w:p w:rsidR="00146B09" w:rsidRDefault="00845297" w:rsidP="000D4982">
      <w:pPr>
        <w:pStyle w:val="ParaNum0"/>
        <w:widowControl/>
        <w:tabs>
          <w:tab w:val="clear" w:pos="1080"/>
          <w:tab w:val="num" w:pos="1440"/>
        </w:tabs>
      </w:pPr>
      <w:r>
        <w:t xml:space="preserve">In accordance with Section 503(b) and the </w:t>
      </w:r>
      <w:r w:rsidRPr="0082657B">
        <w:rPr>
          <w:i/>
        </w:rPr>
        <w:t>Forfeiture Guidelines</w:t>
      </w:r>
      <w:r>
        <w:t xml:space="preserve">, </w:t>
      </w:r>
      <w:r w:rsidRPr="00845297">
        <w:rPr>
          <w:szCs w:val="22"/>
        </w:rPr>
        <w:t>o</w:t>
      </w:r>
      <w:r w:rsidR="00630C03" w:rsidRPr="00845297">
        <w:rPr>
          <w:szCs w:val="22"/>
        </w:rPr>
        <w:t>n February 3, 2015, the Commission released a Policy Statement announcing a revis</w:t>
      </w:r>
      <w:r w:rsidR="00630C03" w:rsidRPr="00B850AC">
        <w:rPr>
          <w:szCs w:val="22"/>
        </w:rPr>
        <w:t xml:space="preserve">ed </w:t>
      </w:r>
      <w:r w:rsidR="00916B5B">
        <w:rPr>
          <w:szCs w:val="22"/>
        </w:rPr>
        <w:t xml:space="preserve">base </w:t>
      </w:r>
      <w:r w:rsidR="00630C03" w:rsidRPr="00B850AC">
        <w:rPr>
          <w:szCs w:val="22"/>
        </w:rPr>
        <w:t>forfeiture methodology for violations of rules governing payment to certain federal programs</w:t>
      </w:r>
      <w:r w:rsidR="007B6BAD" w:rsidRPr="00BF7E1E">
        <w:rPr>
          <w:szCs w:val="22"/>
        </w:rPr>
        <w:t>, including, but not limited to, those at issue in this investigation</w:t>
      </w:r>
      <w:r w:rsidR="00630C03" w:rsidRPr="00BF7E1E">
        <w:rPr>
          <w:szCs w:val="22"/>
        </w:rPr>
        <w:t>.</w:t>
      </w:r>
      <w:r w:rsidR="00630C03">
        <w:rPr>
          <w:rStyle w:val="FootnoteReference"/>
          <w:szCs w:val="22"/>
        </w:rPr>
        <w:footnoteReference w:id="35"/>
      </w:r>
      <w:r w:rsidR="00630C03" w:rsidRPr="00845297">
        <w:rPr>
          <w:szCs w:val="22"/>
        </w:rPr>
        <w:t xml:space="preserve">  </w:t>
      </w:r>
      <w:r w:rsidR="00630C03">
        <w:t>As part of the process in determining any forfeiture</w:t>
      </w:r>
      <w:r w:rsidR="00630C03" w:rsidRPr="002444D9">
        <w:t xml:space="preserve">, </w:t>
      </w:r>
      <w:r>
        <w:t>Section 503(b)</w:t>
      </w:r>
      <w:r w:rsidR="00630C03">
        <w:t xml:space="preserve">, which is </w:t>
      </w:r>
      <w:r w:rsidR="00146B09">
        <w:t xml:space="preserve">the statutory basis for </w:t>
      </w:r>
      <w:r w:rsidR="00630C03">
        <w:t xml:space="preserve">the </w:t>
      </w:r>
      <w:r w:rsidR="00630C03" w:rsidRPr="00845297">
        <w:rPr>
          <w:i/>
        </w:rPr>
        <w:t>Forfeiture Policy Statement</w:t>
      </w:r>
      <w:r w:rsidR="00630C03">
        <w:t>,</w:t>
      </w:r>
      <w:r w:rsidR="00630C03">
        <w:rPr>
          <w:rStyle w:val="FootnoteReference"/>
        </w:rPr>
        <w:footnoteReference w:id="36"/>
      </w:r>
      <w:r w:rsidR="00630C03">
        <w:t xml:space="preserve"> requires the Commission </w:t>
      </w:r>
      <w:r w:rsidR="00916B5B">
        <w:t xml:space="preserve">to </w:t>
      </w:r>
      <w:r w:rsidR="00630C03" w:rsidRPr="002444D9">
        <w:t>consider the “nature, circumstances, extent, and gravity of the violation and, with respect to the violator, the degree of culpability, any history of prior offenses, ability to pay, and such other matters as justice may require.”</w:t>
      </w:r>
      <w:r w:rsidR="00630C03" w:rsidRPr="002444D9">
        <w:rPr>
          <w:vertAlign w:val="superscript"/>
        </w:rPr>
        <w:footnoteReference w:id="37"/>
      </w:r>
      <w:r w:rsidR="00630C03">
        <w:t xml:space="preserve"> </w:t>
      </w:r>
    </w:p>
    <w:p w:rsidR="00630C03" w:rsidRDefault="00146B09" w:rsidP="000D4982">
      <w:pPr>
        <w:pStyle w:val="ParaNum0"/>
        <w:widowControl/>
        <w:tabs>
          <w:tab w:val="clear" w:pos="1080"/>
          <w:tab w:val="num" w:pos="1440"/>
        </w:tabs>
      </w:pPr>
      <w:r>
        <w:t>T</w:t>
      </w:r>
      <w:r w:rsidR="00630C03">
        <w:t xml:space="preserve">he </w:t>
      </w:r>
      <w:r w:rsidR="00630C03" w:rsidRPr="00845297">
        <w:rPr>
          <w:i/>
        </w:rPr>
        <w:t>Forfeiture Policy Statement</w:t>
      </w:r>
      <w:r w:rsidR="00630C03">
        <w:t xml:space="preserve"> noted that the existing methodology</w:t>
      </w:r>
      <w:r w:rsidR="00630C03" w:rsidRPr="00EC379B">
        <w:t xml:space="preserve"> for calculating forfei</w:t>
      </w:r>
      <w:r w:rsidR="00630C03">
        <w:t>tures for violations of these rules was</w:t>
      </w:r>
      <w:r w:rsidR="00630C03" w:rsidRPr="00EC379B">
        <w:t xml:space="preserve"> overly cumbersome</w:t>
      </w:r>
      <w:r w:rsidR="000404F4">
        <w:t>,</w:t>
      </w:r>
      <w:r w:rsidR="00630C03">
        <w:t xml:space="preserve"> impaired</w:t>
      </w:r>
      <w:r w:rsidR="00630C03" w:rsidRPr="00EC379B">
        <w:t xml:space="preserve"> swift and effective e</w:t>
      </w:r>
      <w:r w:rsidR="00630C03">
        <w:t>nforcement action</w:t>
      </w:r>
      <w:r w:rsidR="000404F4">
        <w:t>,</w:t>
      </w:r>
      <w:r w:rsidR="00630C03">
        <w:t xml:space="preserve"> and </w:t>
      </w:r>
      <w:r w:rsidR="000404F4">
        <w:t xml:space="preserve">therefore </w:t>
      </w:r>
      <w:r w:rsidR="00630C03">
        <w:t>undermined</w:t>
      </w:r>
      <w:r w:rsidR="00630C03" w:rsidRPr="00EC379B">
        <w:t xml:space="preserve"> full compliance with </w:t>
      </w:r>
      <w:r w:rsidR="00630C03">
        <w:t>federal program payment requirements.</w:t>
      </w:r>
      <w:r w:rsidR="00630C03">
        <w:rPr>
          <w:rStyle w:val="FootnoteReference"/>
        </w:rPr>
        <w:footnoteReference w:id="38"/>
      </w:r>
      <w:r w:rsidR="00630C03">
        <w:t xml:space="preserve">  The Commission stated that a simplified methodology would allow resolution of payment investigations more quickly, which would lead to swifter penalties for delinquent contributors, the performance of significantly more investigations, and an ultimate increase in compliance with the payment requirements.</w:t>
      </w:r>
      <w:r w:rsidR="00630C03">
        <w:rPr>
          <w:rStyle w:val="FootnoteReference"/>
        </w:rPr>
        <w:footnoteReference w:id="39"/>
      </w:r>
    </w:p>
    <w:p w:rsidR="00630C03" w:rsidRDefault="00630C03" w:rsidP="000D4982">
      <w:pPr>
        <w:pStyle w:val="ParaNum0"/>
        <w:widowControl/>
        <w:tabs>
          <w:tab w:val="clear" w:pos="1080"/>
          <w:tab w:val="num" w:pos="1440"/>
        </w:tabs>
      </w:pPr>
      <w:r>
        <w:t>Pursuant to the</w:t>
      </w:r>
      <w:r>
        <w:rPr>
          <w:i/>
        </w:rPr>
        <w:t xml:space="preserve"> Forfeiture Policy </w:t>
      </w:r>
      <w:r w:rsidRPr="00A5121F">
        <w:rPr>
          <w:i/>
        </w:rPr>
        <w:t>Statement</w:t>
      </w:r>
      <w:r>
        <w:t>, i</w:t>
      </w:r>
      <w:r w:rsidRPr="00A5121F">
        <w:t>n</w:t>
      </w:r>
      <w:r>
        <w:t xml:space="preserve"> cases where application of the new methodology is deemed appropriate, the base </w:t>
      </w:r>
      <w:r w:rsidRPr="00EC379B">
        <w:t>apparent forfeitur</w:t>
      </w:r>
      <w:r>
        <w:t xml:space="preserve">e liability for such violations will be three times </w:t>
      </w:r>
      <w:r>
        <w:rPr>
          <w:szCs w:val="22"/>
        </w:rPr>
        <w:t xml:space="preserve">the </w:t>
      </w:r>
      <w:r w:rsidRPr="009740D1">
        <w:rPr>
          <w:szCs w:val="22"/>
        </w:rPr>
        <w:t>delinquent contributor’s debts to the programs.</w:t>
      </w:r>
      <w:r w:rsidR="00A23246">
        <w:rPr>
          <w:rStyle w:val="FootnoteReference"/>
          <w:szCs w:val="22"/>
        </w:rPr>
        <w:footnoteReference w:id="40"/>
      </w:r>
      <w:r w:rsidRPr="00EC379B">
        <w:t xml:space="preserve"> </w:t>
      </w:r>
      <w:r>
        <w:t xml:space="preserve"> The methodology’s application calculates a base forfeiture, subject to the Commission’s evaluation of </w:t>
      </w:r>
      <w:r w:rsidRPr="00323DF5">
        <w:t>each individual case on its own merits</w:t>
      </w:r>
      <w:r>
        <w:t>—as required by the Act—</w:t>
      </w:r>
      <w:r w:rsidRPr="00323DF5">
        <w:t>and</w:t>
      </w:r>
      <w:r>
        <w:t xml:space="preserve"> the adoption of</w:t>
      </w:r>
      <w:r w:rsidRPr="00323DF5">
        <w:t xml:space="preserve"> upward or </w:t>
      </w:r>
      <w:r>
        <w:t>downward adjustments when appropriate.</w:t>
      </w:r>
      <w:r>
        <w:rPr>
          <w:rStyle w:val="FootnoteReference"/>
        </w:rPr>
        <w:footnoteReference w:id="41"/>
      </w:r>
      <w:r>
        <w:t xml:space="preserve">  </w:t>
      </w:r>
      <w:r w:rsidRPr="00EC379B">
        <w:t xml:space="preserve">The Act </w:t>
      </w:r>
      <w:r w:rsidR="00845297">
        <w:t xml:space="preserve">and the </w:t>
      </w:r>
      <w:r w:rsidR="00845297">
        <w:rPr>
          <w:i/>
        </w:rPr>
        <w:t>Forfeiture Guidelines</w:t>
      </w:r>
      <w:r w:rsidR="00146B09">
        <w:t xml:space="preserve"> </w:t>
      </w:r>
      <w:r w:rsidR="00BA5111">
        <w:t>also cap potential liabilit</w:t>
      </w:r>
      <w:r w:rsidR="00480712">
        <w:t xml:space="preserve">y </w:t>
      </w:r>
      <w:r w:rsidR="00BA5111">
        <w:t>through the statutory maximum forfeiture for any single act or failure to act.</w:t>
      </w:r>
      <w:r w:rsidR="00BA5111">
        <w:rPr>
          <w:rStyle w:val="FootnoteReference"/>
        </w:rPr>
        <w:footnoteReference w:id="42"/>
      </w:r>
      <w:r w:rsidR="00BA5111">
        <w:t xml:space="preserve"> </w:t>
      </w:r>
      <w:r w:rsidR="00B3381B">
        <w:t xml:space="preserve"> </w:t>
      </w:r>
      <w:r w:rsidR="00531FCC">
        <w:t>T</w:t>
      </w:r>
      <w:r>
        <w:t xml:space="preserve">he new methodology </w:t>
      </w:r>
      <w:r w:rsidR="00531FCC">
        <w:t xml:space="preserve">thus </w:t>
      </w:r>
      <w:r>
        <w:t xml:space="preserve">provides a framework for determining the most appropriate forfeiture up to that cap.  </w:t>
      </w:r>
      <w:r w:rsidR="00931887">
        <w:t>As discussed herein, the issuance of this Consent Decree has no impact on</w:t>
      </w:r>
      <w:r w:rsidR="00B3381B">
        <w:t>,</w:t>
      </w:r>
      <w:r w:rsidR="00931887">
        <w:t xml:space="preserve"> and does not indicate that the Commission has </w:t>
      </w:r>
      <w:r w:rsidR="00B3381B">
        <w:t xml:space="preserve">made a determination as to either </w:t>
      </w:r>
      <w:r w:rsidR="00931887">
        <w:t>the Joint Petition for Reconsideration or the Joint Petition for Stay.</w:t>
      </w:r>
      <w:r w:rsidR="00931887">
        <w:rPr>
          <w:rStyle w:val="FootnoteReference"/>
        </w:rPr>
        <w:footnoteReference w:id="43"/>
      </w:r>
    </w:p>
    <w:p w:rsidR="0075478C" w:rsidRPr="0075478C" w:rsidRDefault="008E04D1" w:rsidP="000D4982">
      <w:pPr>
        <w:pStyle w:val="ParaNum0"/>
        <w:widowControl/>
        <w:tabs>
          <w:tab w:val="clear" w:pos="1080"/>
          <w:tab w:val="num" w:pos="1440"/>
        </w:tabs>
      </w:pPr>
      <w:r>
        <w:t xml:space="preserve">After the release of the </w:t>
      </w:r>
      <w:r>
        <w:rPr>
          <w:i/>
        </w:rPr>
        <w:t xml:space="preserve">Forfeiture </w:t>
      </w:r>
      <w:r w:rsidRPr="00980C2B">
        <w:rPr>
          <w:i/>
        </w:rPr>
        <w:t>Policy Statement</w:t>
      </w:r>
      <w:r>
        <w:t xml:space="preserve">, the Parties resumed settlement discussions.  </w:t>
      </w:r>
      <w:r w:rsidR="00B545E3">
        <w:t>In</w:t>
      </w:r>
      <w:r w:rsidR="009F75C8">
        <w:t xml:space="preserve"> </w:t>
      </w:r>
      <w:r w:rsidR="00531FCC">
        <w:t>this case</w:t>
      </w:r>
      <w:r w:rsidR="00B545E3">
        <w:t xml:space="preserve">, </w:t>
      </w:r>
      <w:r w:rsidR="00B545E3">
        <w:rPr>
          <w:szCs w:val="22"/>
        </w:rPr>
        <w:t xml:space="preserve">application of the methodology in the </w:t>
      </w:r>
      <w:r w:rsidR="00B545E3">
        <w:rPr>
          <w:i/>
        </w:rPr>
        <w:t>Forfeiture</w:t>
      </w:r>
      <w:r w:rsidR="00B545E3" w:rsidRPr="002E3BB1">
        <w:rPr>
          <w:i/>
          <w:szCs w:val="22"/>
        </w:rPr>
        <w:t xml:space="preserve"> Policy Statement</w:t>
      </w:r>
      <w:r w:rsidR="00B545E3">
        <w:rPr>
          <w:szCs w:val="22"/>
        </w:rPr>
        <w:t xml:space="preserve"> </w:t>
      </w:r>
      <w:r w:rsidR="00513983">
        <w:rPr>
          <w:szCs w:val="22"/>
        </w:rPr>
        <w:t>yields</w:t>
      </w:r>
      <w:r w:rsidR="00B545E3">
        <w:rPr>
          <w:szCs w:val="22"/>
        </w:rPr>
        <w:t xml:space="preserve"> a lower</w:t>
      </w:r>
      <w:r w:rsidR="00513983">
        <w:rPr>
          <w:szCs w:val="22"/>
        </w:rPr>
        <w:t xml:space="preserve"> amount of</w:t>
      </w:r>
      <w:r w:rsidR="00B545E3">
        <w:rPr>
          <w:szCs w:val="22"/>
        </w:rPr>
        <w:t xml:space="preserve"> forfeiture liability than that set forth in the </w:t>
      </w:r>
      <w:r w:rsidR="00B545E3">
        <w:rPr>
          <w:i/>
          <w:szCs w:val="22"/>
        </w:rPr>
        <w:t>Kajeet NAL</w:t>
      </w:r>
      <w:r w:rsidR="00B545E3">
        <w:rPr>
          <w:szCs w:val="22"/>
        </w:rPr>
        <w:t>.</w:t>
      </w:r>
      <w:r w:rsidR="00B545E3">
        <w:rPr>
          <w:rStyle w:val="FootnoteReference"/>
          <w:szCs w:val="22"/>
        </w:rPr>
        <w:footnoteReference w:id="44"/>
      </w:r>
      <w:r w:rsidR="00B545E3">
        <w:rPr>
          <w:szCs w:val="22"/>
        </w:rPr>
        <w:t xml:space="preserve">  In applying th</w:t>
      </w:r>
      <w:r w:rsidR="00531FCC">
        <w:rPr>
          <w:szCs w:val="22"/>
        </w:rPr>
        <w:t>at</w:t>
      </w:r>
      <w:r w:rsidR="00B545E3">
        <w:rPr>
          <w:szCs w:val="22"/>
        </w:rPr>
        <w:t xml:space="preserve"> methodology to this case</w:t>
      </w:r>
      <w:r w:rsidR="00B545E3">
        <w:rPr>
          <w:i/>
          <w:szCs w:val="22"/>
        </w:rPr>
        <w:t xml:space="preserve">, </w:t>
      </w:r>
      <w:r w:rsidR="00B545E3">
        <w:rPr>
          <w:szCs w:val="22"/>
        </w:rPr>
        <w:t>we first calculated the amounts owed to the</w:t>
      </w:r>
      <w:r w:rsidR="009F75C8">
        <w:rPr>
          <w:szCs w:val="22"/>
        </w:rPr>
        <w:t xml:space="preserve"> USF </w:t>
      </w:r>
      <w:r w:rsidR="00B545E3">
        <w:rPr>
          <w:szCs w:val="22"/>
        </w:rPr>
        <w:t>Fund</w:t>
      </w:r>
      <w:r w:rsidR="009F75C8">
        <w:rPr>
          <w:szCs w:val="22"/>
        </w:rPr>
        <w:t>, the</w:t>
      </w:r>
      <w:r w:rsidR="00190E44">
        <w:rPr>
          <w:szCs w:val="22"/>
        </w:rPr>
        <w:t xml:space="preserve"> </w:t>
      </w:r>
      <w:r w:rsidR="009F75C8">
        <w:rPr>
          <w:szCs w:val="22"/>
        </w:rPr>
        <w:t>TRS fund and the LNP cost recovery mecha</w:t>
      </w:r>
      <w:r w:rsidR="00BF1124">
        <w:rPr>
          <w:szCs w:val="22"/>
        </w:rPr>
        <w:t>nism</w:t>
      </w:r>
      <w:r w:rsidR="009F75C8">
        <w:rPr>
          <w:szCs w:val="22"/>
        </w:rPr>
        <w:t xml:space="preserve"> </w:t>
      </w:r>
      <w:r w:rsidR="00B545E3">
        <w:rPr>
          <w:szCs w:val="22"/>
        </w:rPr>
        <w:t xml:space="preserve">and trebled that amount.  This gave us a base forfeiture that was approximately one-third less than the </w:t>
      </w:r>
      <w:r w:rsidR="00476274">
        <w:rPr>
          <w:szCs w:val="22"/>
        </w:rPr>
        <w:t>forfeiture proposed</w:t>
      </w:r>
      <w:r w:rsidR="00DF0D3C">
        <w:rPr>
          <w:szCs w:val="22"/>
        </w:rPr>
        <w:t xml:space="preserve"> </w:t>
      </w:r>
      <w:r w:rsidR="00B545E3">
        <w:rPr>
          <w:szCs w:val="22"/>
        </w:rPr>
        <w:t xml:space="preserve">in the </w:t>
      </w:r>
      <w:r w:rsidR="00B545E3">
        <w:rPr>
          <w:i/>
          <w:szCs w:val="22"/>
        </w:rPr>
        <w:t>Kajeet NAL</w:t>
      </w:r>
      <w:r w:rsidR="00B545E3">
        <w:rPr>
          <w:szCs w:val="22"/>
        </w:rPr>
        <w:t xml:space="preserve">.  </w:t>
      </w:r>
      <w:r w:rsidR="00531FCC">
        <w:rPr>
          <w:szCs w:val="22"/>
        </w:rPr>
        <w:t xml:space="preserve">We then </w:t>
      </w:r>
      <w:r w:rsidR="00B545E3">
        <w:rPr>
          <w:szCs w:val="22"/>
        </w:rPr>
        <w:t>applied the statutory factors, taking into account “the nature, circumstances, extent, and gravity of the violation and, with respect to the violator, the degree of culpability, any history of prior offenses, ability to pay, and such other matters as justice may require.”</w:t>
      </w:r>
      <w:r w:rsidR="00B545E3">
        <w:rPr>
          <w:rStyle w:val="FootnoteReference"/>
          <w:szCs w:val="22"/>
        </w:rPr>
        <w:footnoteReference w:id="45"/>
      </w:r>
      <w:r w:rsidR="00B545E3">
        <w:rPr>
          <w:szCs w:val="22"/>
        </w:rPr>
        <w:t xml:space="preserve">  These statutory factors can cause a base forfeiture to rise or fall.  In this case, based on a variety of factors, the base forfeiture was lowered.  </w:t>
      </w:r>
      <w:r w:rsidR="00881B39">
        <w:t xml:space="preserve">In addition, </w:t>
      </w:r>
      <w:r w:rsidR="00B850AC">
        <w:t xml:space="preserve">as set forth herein, Kajeet acknowledges violations of the Commission’s rules and agrees to certain compliance and reporting obligations.  </w:t>
      </w:r>
      <w:r w:rsidR="00513983">
        <w:t>Therefore, c</w:t>
      </w:r>
      <w:r w:rsidR="00D463E7">
        <w:t xml:space="preserve">onsistent with our </w:t>
      </w:r>
      <w:r w:rsidR="002E3BB1" w:rsidRPr="00004064">
        <w:t>prosecutorial discretion in enforcement proceedings</w:t>
      </w:r>
      <w:r w:rsidR="00D463E7">
        <w:t>,</w:t>
      </w:r>
      <w:r w:rsidR="002E3BB1" w:rsidRPr="00004064">
        <w:rPr>
          <w:rStyle w:val="FootnoteReference"/>
        </w:rPr>
        <w:footnoteReference w:id="46"/>
      </w:r>
      <w:r w:rsidR="002E3BB1" w:rsidRPr="00004064">
        <w:t xml:space="preserve"> </w:t>
      </w:r>
      <w:r w:rsidR="00D463E7">
        <w:t xml:space="preserve">and </w:t>
      </w:r>
      <w:r w:rsidR="00513983">
        <w:t xml:space="preserve">based on </w:t>
      </w:r>
      <w:r w:rsidR="002E3BB1">
        <w:t xml:space="preserve">the totality of the circumstances, </w:t>
      </w:r>
      <w:r w:rsidR="00B850AC">
        <w:t xml:space="preserve">the </w:t>
      </w:r>
      <w:r w:rsidR="00D463E7">
        <w:t>Bureau has</w:t>
      </w:r>
      <w:r w:rsidR="00B850AC">
        <w:t xml:space="preserve"> determined that the</w:t>
      </w:r>
      <w:r w:rsidR="00513983">
        <w:t xml:space="preserve"> </w:t>
      </w:r>
      <w:r w:rsidR="004145B3">
        <w:t xml:space="preserve">public interest is served by affording Kajeet the benefit of the new methodology and the civil penalty in paragraph </w:t>
      </w:r>
      <w:r w:rsidR="003B4686">
        <w:t xml:space="preserve">25 </w:t>
      </w:r>
      <w:r w:rsidR="004145B3">
        <w:t>of t</w:t>
      </w:r>
      <w:r w:rsidR="007971D8">
        <w:t>h</w:t>
      </w:r>
      <w:r w:rsidR="004145B3">
        <w:t>is Consent Decree reflects a reasonable resolution of this enforcement matter.</w:t>
      </w:r>
    </w:p>
    <w:p w:rsidR="0001647A" w:rsidRPr="007C0B39" w:rsidRDefault="0001647A" w:rsidP="000D4982">
      <w:pPr>
        <w:pStyle w:val="Heading1"/>
        <w:widowControl/>
      </w:pPr>
      <w:bookmarkStart w:id="6" w:name="FN[FN18]"/>
      <w:bookmarkEnd w:id="6"/>
      <w:r w:rsidRPr="007C0B39">
        <w:t>TERMS OF AGREEMENT</w:t>
      </w:r>
    </w:p>
    <w:p w:rsidR="001907E6" w:rsidRDefault="0001647A" w:rsidP="000D4982">
      <w:pPr>
        <w:pStyle w:val="ParaNum0"/>
        <w:widowControl/>
        <w:tabs>
          <w:tab w:val="clear" w:pos="1080"/>
          <w:tab w:val="num" w:pos="1440"/>
        </w:tabs>
        <w:rPr>
          <w:szCs w:val="22"/>
        </w:rPr>
      </w:pPr>
      <w:r w:rsidRPr="007C0B39">
        <w:rPr>
          <w:b/>
          <w:szCs w:val="22"/>
          <w:u w:val="single"/>
        </w:rPr>
        <w:t>Adopting Order</w:t>
      </w:r>
      <w:r w:rsidRPr="007C0B39">
        <w:rPr>
          <w:szCs w:val="22"/>
        </w:rPr>
        <w:t>.  The provisions of this Consent Decree shall be incorporated by the Bureau in an Adopting Order.</w:t>
      </w:r>
    </w:p>
    <w:p w:rsidR="001907E6" w:rsidRPr="00D65B13" w:rsidRDefault="0001647A" w:rsidP="000D4982">
      <w:pPr>
        <w:pStyle w:val="ParaNum0"/>
        <w:widowControl/>
        <w:tabs>
          <w:tab w:val="clear" w:pos="1080"/>
          <w:tab w:val="num" w:pos="1440"/>
        </w:tabs>
        <w:rPr>
          <w:szCs w:val="22"/>
        </w:rPr>
      </w:pPr>
      <w:r w:rsidRPr="001907E6">
        <w:rPr>
          <w:b/>
          <w:szCs w:val="22"/>
          <w:u w:val="single"/>
        </w:rPr>
        <w:t>Jurisdiction</w:t>
      </w:r>
      <w:r w:rsidRPr="001907E6">
        <w:rPr>
          <w:szCs w:val="22"/>
        </w:rPr>
        <w:t xml:space="preserve">.  </w:t>
      </w:r>
      <w:r w:rsidR="0048205C">
        <w:rPr>
          <w:szCs w:val="22"/>
        </w:rPr>
        <w:t>Kajeet</w:t>
      </w:r>
      <w:r w:rsidR="0048205C" w:rsidRPr="001907E6">
        <w:rPr>
          <w:szCs w:val="22"/>
        </w:rPr>
        <w:t xml:space="preserve"> </w:t>
      </w:r>
      <w:r w:rsidRPr="001907E6">
        <w:rPr>
          <w:szCs w:val="22"/>
        </w:rPr>
        <w:t xml:space="preserve">agrees that the Bureau has jurisdiction over it and the matters contained in </w:t>
      </w:r>
      <w:r w:rsidRPr="00D65B13">
        <w:rPr>
          <w:szCs w:val="22"/>
        </w:rPr>
        <w:t xml:space="preserve">this Consent Decree and has the </w:t>
      </w:r>
      <w:r w:rsidRPr="00D65B13">
        <w:t>authority</w:t>
      </w:r>
      <w:r w:rsidRPr="00D65B13">
        <w:rPr>
          <w:szCs w:val="22"/>
        </w:rPr>
        <w:t xml:space="preserve"> to enter into and adopt this Consent Decree.</w:t>
      </w:r>
    </w:p>
    <w:p w:rsidR="001907E6" w:rsidRPr="00D65B13" w:rsidRDefault="0001647A" w:rsidP="000D4982">
      <w:pPr>
        <w:pStyle w:val="ParaNum0"/>
        <w:widowControl/>
        <w:tabs>
          <w:tab w:val="clear" w:pos="1080"/>
          <w:tab w:val="num" w:pos="1440"/>
        </w:tabs>
        <w:rPr>
          <w:szCs w:val="22"/>
        </w:rPr>
      </w:pPr>
      <w:r w:rsidRPr="00D65B13">
        <w:rPr>
          <w:b/>
          <w:szCs w:val="22"/>
          <w:u w:val="single"/>
        </w:rPr>
        <w:t>Effective Date; Violations</w:t>
      </w:r>
      <w:r w:rsidRPr="00D65B13">
        <w:rPr>
          <w:szCs w:val="22"/>
        </w:rPr>
        <w:t xml:space="preserve">.  The </w:t>
      </w:r>
      <w:r w:rsidRPr="00D65B13">
        <w:t>Parties</w:t>
      </w:r>
      <w:r w:rsidRPr="00D65B13">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1907E6" w:rsidRPr="006B302F" w:rsidRDefault="0001647A" w:rsidP="000D4982">
      <w:pPr>
        <w:pStyle w:val="ParaNum0"/>
        <w:widowControl/>
        <w:tabs>
          <w:tab w:val="clear" w:pos="1080"/>
          <w:tab w:val="num" w:pos="1440"/>
        </w:tabs>
      </w:pPr>
      <w:r w:rsidRPr="00D65B13">
        <w:rPr>
          <w:b/>
          <w:szCs w:val="22"/>
          <w:u w:val="single"/>
        </w:rPr>
        <w:t>Termination of Investigation</w:t>
      </w:r>
      <w:r w:rsidRPr="00D65B13">
        <w:rPr>
          <w:szCs w:val="22"/>
        </w:rPr>
        <w:t xml:space="preserve">.  In express reliance </w:t>
      </w:r>
      <w:r w:rsidRPr="00D65B13">
        <w:t>on</w:t>
      </w:r>
      <w:r w:rsidRPr="00D65B13">
        <w:rPr>
          <w:szCs w:val="22"/>
        </w:rPr>
        <w:t xml:space="preserve"> the covenants and representations in this Consent Decree and to avoid further expenditure of public resources, the Bureau agrees to terminate the Investigation</w:t>
      </w:r>
      <w:r w:rsidR="00C147DA" w:rsidRPr="00D65B13">
        <w:rPr>
          <w:szCs w:val="22"/>
        </w:rPr>
        <w:t xml:space="preserve">.  </w:t>
      </w:r>
      <w:r w:rsidRPr="00D65B13">
        <w:rPr>
          <w:szCs w:val="22"/>
        </w:rPr>
        <w:t xml:space="preserve">In consideration for the termination of the Investigation, </w:t>
      </w:r>
      <w:r w:rsidR="0048205C" w:rsidRPr="00D65B13">
        <w:rPr>
          <w:szCs w:val="22"/>
        </w:rPr>
        <w:t xml:space="preserve">Kajeet </w:t>
      </w:r>
      <w:r w:rsidRPr="00D65B13">
        <w:rPr>
          <w:szCs w:val="22"/>
        </w:rPr>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sidR="0084327D" w:rsidRPr="00D65B13">
        <w:rPr>
          <w:szCs w:val="22"/>
        </w:rPr>
        <w:t>Kajeet</w:t>
      </w:r>
      <w:r w:rsidRPr="00D65B13">
        <w:rPr>
          <w:szCs w:val="22"/>
        </w:rPr>
        <w:t xml:space="preserve"> concerning the matters that were the subject of the Investigation. </w:t>
      </w:r>
      <w:r w:rsidR="00332822" w:rsidRPr="00D65B13">
        <w:rPr>
          <w:szCs w:val="22"/>
        </w:rPr>
        <w:t xml:space="preserve"> </w:t>
      </w:r>
      <w:r w:rsidRPr="00D65B13">
        <w:rPr>
          <w:szCs w:val="22"/>
        </w:rPr>
        <w:t xml:space="preserve">The Bureau also agrees that, in the absence of new material evidence, it will not use the facts developed in the Investigation through the Effective Date, or the existence of this Consent Decree, to institute on its own motion any proceeding, formal or informal, </w:t>
      </w:r>
      <w:r w:rsidR="00232642" w:rsidRPr="00D65B13">
        <w:rPr>
          <w:szCs w:val="22"/>
        </w:rPr>
        <w:t xml:space="preserve">or set for hearing the question of Kajeet’s </w:t>
      </w:r>
      <w:r w:rsidRPr="00D65B13">
        <w:rPr>
          <w:szCs w:val="22"/>
        </w:rPr>
        <w:t>basic qualifications, including its character qualifications, to be a Commission licensee or hold Commis</w:t>
      </w:r>
      <w:r w:rsidR="0084327D" w:rsidRPr="00D65B13">
        <w:rPr>
          <w:szCs w:val="22"/>
        </w:rPr>
        <w:t>sion licenses or authorizations.</w:t>
      </w:r>
      <w:r w:rsidR="00232642" w:rsidRPr="00D65B13">
        <w:rPr>
          <w:rStyle w:val="FootnoteReference"/>
          <w:szCs w:val="22"/>
        </w:rPr>
        <w:footnoteReference w:id="47"/>
      </w:r>
      <w:r w:rsidR="0084327D" w:rsidRPr="00D65B13">
        <w:rPr>
          <w:b/>
          <w:szCs w:val="22"/>
        </w:rPr>
        <w:t xml:space="preserve"> </w:t>
      </w:r>
    </w:p>
    <w:p w:rsidR="00B67176" w:rsidRPr="00B67176" w:rsidRDefault="0001647A" w:rsidP="000D4982">
      <w:pPr>
        <w:pStyle w:val="ParaNum0"/>
        <w:widowControl/>
        <w:tabs>
          <w:tab w:val="clear" w:pos="1080"/>
          <w:tab w:val="num" w:pos="1440"/>
        </w:tabs>
        <w:rPr>
          <w:i/>
          <w:szCs w:val="22"/>
        </w:rPr>
      </w:pPr>
      <w:r w:rsidRPr="00D65B13">
        <w:rPr>
          <w:b/>
          <w:u w:val="single"/>
        </w:rPr>
        <w:t>Admission of Liability</w:t>
      </w:r>
      <w:r w:rsidRPr="00D65B13">
        <w:t xml:space="preserve">.  </w:t>
      </w:r>
      <w:r w:rsidR="0084327D" w:rsidRPr="00D65B13">
        <w:t>Kajeet</w:t>
      </w:r>
      <w:r w:rsidRPr="00D65B13">
        <w:t xml:space="preserve"> admits for the purpose of this Consent Decree and for Commission civil enforcement purposes, and in express reliance</w:t>
      </w:r>
      <w:r w:rsidR="003B4686">
        <w:t xml:space="preserve"> on the provisions of paragraph 17</w:t>
      </w:r>
      <w:r w:rsidRPr="00D65B13">
        <w:t xml:space="preserve"> herein,</w:t>
      </w:r>
      <w:r w:rsidR="00B67176" w:rsidRPr="00D65B13">
        <w:rPr>
          <w:szCs w:val="22"/>
        </w:rPr>
        <w:t xml:space="preserve"> </w:t>
      </w:r>
      <w:r w:rsidRPr="00D65B13">
        <w:rPr>
          <w:szCs w:val="22"/>
        </w:rPr>
        <w:t>that its actions that were the subject of the</w:t>
      </w:r>
      <w:r w:rsidR="009D2469" w:rsidRPr="00D65B13">
        <w:rPr>
          <w:i/>
          <w:szCs w:val="22"/>
        </w:rPr>
        <w:t xml:space="preserve"> </w:t>
      </w:r>
      <w:r w:rsidR="009D2469" w:rsidRPr="00D65B13">
        <w:rPr>
          <w:szCs w:val="22"/>
        </w:rPr>
        <w:t>Investigatio</w:t>
      </w:r>
      <w:r w:rsidR="00C75C96" w:rsidRPr="00D65B13">
        <w:rPr>
          <w:szCs w:val="22"/>
        </w:rPr>
        <w:t>n</w:t>
      </w:r>
      <w:r w:rsidRPr="00D65B13">
        <w:rPr>
          <w:i/>
          <w:szCs w:val="22"/>
        </w:rPr>
        <w:t xml:space="preserve"> </w:t>
      </w:r>
      <w:r w:rsidRPr="00D65B13">
        <w:rPr>
          <w:szCs w:val="22"/>
        </w:rPr>
        <w:t xml:space="preserve">violated </w:t>
      </w:r>
      <w:bookmarkStart w:id="7" w:name="_Ref379202869"/>
      <w:r w:rsidR="00B67176" w:rsidRPr="00D65B13">
        <w:rPr>
          <w:szCs w:val="22"/>
        </w:rPr>
        <w:t>the USF, TRS, and LNP</w:t>
      </w:r>
      <w:r w:rsidR="00B67176">
        <w:rPr>
          <w:szCs w:val="22"/>
        </w:rPr>
        <w:t xml:space="preserve"> Rules, and the </w:t>
      </w:r>
      <w:r w:rsidR="00C75C96">
        <w:rPr>
          <w:szCs w:val="22"/>
        </w:rPr>
        <w:t>I</w:t>
      </w:r>
      <w:r w:rsidR="00B67176">
        <w:rPr>
          <w:szCs w:val="22"/>
        </w:rPr>
        <w:t xml:space="preserve">nternational </w:t>
      </w:r>
      <w:r w:rsidR="0022406E">
        <w:rPr>
          <w:szCs w:val="22"/>
        </w:rPr>
        <w:t>Section</w:t>
      </w:r>
      <w:r w:rsidR="00B67176">
        <w:rPr>
          <w:szCs w:val="22"/>
        </w:rPr>
        <w:t xml:space="preserve"> 214 </w:t>
      </w:r>
      <w:r w:rsidR="00B67176" w:rsidRPr="00C147DA">
        <w:rPr>
          <w:szCs w:val="22"/>
        </w:rPr>
        <w:t>Rules</w:t>
      </w:r>
      <w:r w:rsidR="00C87F88">
        <w:rPr>
          <w:szCs w:val="22"/>
        </w:rPr>
        <w:t>.</w:t>
      </w:r>
      <w:r w:rsidR="00B67176" w:rsidRPr="007C0B39">
        <w:rPr>
          <w:szCs w:val="22"/>
        </w:rPr>
        <w:t xml:space="preserve"> </w:t>
      </w:r>
    </w:p>
    <w:p w:rsidR="0001647A" w:rsidRPr="00B67176" w:rsidRDefault="0001647A" w:rsidP="000D4982">
      <w:pPr>
        <w:pStyle w:val="ParaNum0"/>
        <w:widowControl/>
        <w:tabs>
          <w:tab w:val="clear" w:pos="1080"/>
          <w:tab w:val="num" w:pos="1440"/>
        </w:tabs>
        <w:rPr>
          <w:i/>
          <w:szCs w:val="22"/>
        </w:rPr>
      </w:pPr>
      <w:r w:rsidRPr="00B67176">
        <w:rPr>
          <w:b/>
          <w:u w:val="single"/>
        </w:rPr>
        <w:t>Compliance</w:t>
      </w:r>
      <w:r w:rsidRPr="00B67176">
        <w:rPr>
          <w:b/>
          <w:szCs w:val="22"/>
          <w:u w:val="single"/>
        </w:rPr>
        <w:t xml:space="preserve"> Officer</w:t>
      </w:r>
      <w:r w:rsidRPr="00B67176">
        <w:rPr>
          <w:szCs w:val="22"/>
        </w:rPr>
        <w:t xml:space="preserve">.  Within thirty (30) </w:t>
      </w:r>
      <w:r w:rsidRPr="007C0B39">
        <w:t>calendar</w:t>
      </w:r>
      <w:r w:rsidRPr="00B67176">
        <w:rPr>
          <w:szCs w:val="22"/>
        </w:rPr>
        <w:t xml:space="preserve"> days after the Effective Date, </w:t>
      </w:r>
      <w:r w:rsidR="0084327D" w:rsidRPr="00B67176">
        <w:rPr>
          <w:szCs w:val="22"/>
        </w:rPr>
        <w:t>Kajeet</w:t>
      </w:r>
      <w:r w:rsidRPr="00B67176">
        <w:rPr>
          <w:szCs w:val="22"/>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48205C" w:rsidRPr="00B67176">
        <w:rPr>
          <w:szCs w:val="22"/>
        </w:rPr>
        <w:t xml:space="preserve">Kajeet </w:t>
      </w:r>
      <w:r w:rsidRPr="00B67176">
        <w:rPr>
          <w:szCs w:val="22"/>
        </w:rPr>
        <w:t xml:space="preserve">complies with the terms and conditions of the Compliance Plan and this Consent Decree.  In </w:t>
      </w:r>
      <w:r w:rsidRPr="00ED419F">
        <w:t>addition</w:t>
      </w:r>
      <w:r w:rsidRPr="00B67176">
        <w:rPr>
          <w:szCs w:val="22"/>
        </w:rPr>
        <w:t xml:space="preserve"> to the general knowledge of the Communications Laws necessary to discharge his or her duties under this Consent Decree, the Compliance Officer shall have specific knowledge of </w:t>
      </w:r>
      <w:r w:rsidR="00F76E5B" w:rsidRPr="00B67176">
        <w:rPr>
          <w:szCs w:val="22"/>
        </w:rPr>
        <w:t xml:space="preserve">the </w:t>
      </w:r>
      <w:r w:rsidR="00FE4FDB" w:rsidRPr="00B67176">
        <w:rPr>
          <w:szCs w:val="22"/>
        </w:rPr>
        <w:t xml:space="preserve">USF, TRS, and LNP Rules, </w:t>
      </w:r>
      <w:r w:rsidR="00F76E5B" w:rsidRPr="00B67176">
        <w:rPr>
          <w:szCs w:val="22"/>
        </w:rPr>
        <w:t xml:space="preserve">and the </w:t>
      </w:r>
      <w:r w:rsidR="00C75C96">
        <w:rPr>
          <w:szCs w:val="22"/>
        </w:rPr>
        <w:t>I</w:t>
      </w:r>
      <w:r w:rsidR="00F76E5B" w:rsidRPr="00B67176">
        <w:rPr>
          <w:szCs w:val="22"/>
        </w:rPr>
        <w:t xml:space="preserve">nternational </w:t>
      </w:r>
      <w:r w:rsidR="0022406E">
        <w:rPr>
          <w:szCs w:val="22"/>
        </w:rPr>
        <w:t>Section</w:t>
      </w:r>
      <w:r w:rsidR="00F76E5B" w:rsidRPr="00B67176">
        <w:rPr>
          <w:szCs w:val="22"/>
        </w:rPr>
        <w:t xml:space="preserve"> 214 Rules </w:t>
      </w:r>
      <w:r w:rsidRPr="00B67176">
        <w:rPr>
          <w:szCs w:val="22"/>
        </w:rPr>
        <w:t>prior to assuming his/her duties.</w:t>
      </w:r>
      <w:bookmarkEnd w:id="7"/>
    </w:p>
    <w:p w:rsidR="0001647A" w:rsidRPr="007C0B39" w:rsidRDefault="0001647A" w:rsidP="000D4982">
      <w:pPr>
        <w:pStyle w:val="ParaNum0"/>
        <w:widowControl/>
        <w:tabs>
          <w:tab w:val="clear" w:pos="1080"/>
          <w:tab w:val="num" w:pos="1440"/>
        </w:tabs>
        <w:rPr>
          <w:szCs w:val="22"/>
        </w:rPr>
      </w:pPr>
      <w:bookmarkStart w:id="8" w:name="_Ref357521857"/>
      <w:r w:rsidRPr="007C0B39">
        <w:rPr>
          <w:b/>
          <w:szCs w:val="22"/>
          <w:u w:val="single"/>
        </w:rPr>
        <w:t>Compliance Plan</w:t>
      </w:r>
      <w:r w:rsidRPr="007C0B39">
        <w:rPr>
          <w:szCs w:val="22"/>
        </w:rPr>
        <w:t xml:space="preserve">.  For purposes of settling the matters set forth herein, </w:t>
      </w:r>
      <w:r w:rsidR="0048205C">
        <w:rPr>
          <w:szCs w:val="22"/>
        </w:rPr>
        <w:t>Kajeet</w:t>
      </w:r>
      <w:r w:rsidR="0048205C" w:rsidRPr="007C0B39">
        <w:rPr>
          <w:szCs w:val="22"/>
        </w:rPr>
        <w:t xml:space="preserve"> </w:t>
      </w:r>
      <w:r w:rsidRPr="007C0B39">
        <w:rPr>
          <w:szCs w:val="22"/>
        </w:rPr>
        <w:t xml:space="preserve">agrees that it shall, within sixty (60) calendar days after the Effective Date, develop and implement a Compliance Plan designed to ensure future compliance with the Communications Laws and with the terms and conditions of this Consent Decree.  With respect to 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Pr="007C0B39">
        <w:rPr>
          <w:szCs w:val="22"/>
        </w:rPr>
        <w:t xml:space="preserve">, </w:t>
      </w:r>
      <w:r w:rsidR="0048205C">
        <w:rPr>
          <w:szCs w:val="22"/>
        </w:rPr>
        <w:t>Kajeet</w:t>
      </w:r>
      <w:r w:rsidR="0048205C" w:rsidRPr="007C0B39">
        <w:rPr>
          <w:szCs w:val="22"/>
        </w:rPr>
        <w:t xml:space="preserve"> </w:t>
      </w:r>
      <w:r w:rsidRPr="007C0B39">
        <w:rPr>
          <w:szCs w:val="22"/>
        </w:rPr>
        <w:t>will implement, at a minimum, the following procedures:</w:t>
      </w:r>
      <w:bookmarkEnd w:id="8"/>
    </w:p>
    <w:p w:rsidR="0001647A" w:rsidRPr="007C0B39" w:rsidRDefault="0001647A" w:rsidP="000D4982">
      <w:pPr>
        <w:widowControl/>
        <w:numPr>
          <w:ilvl w:val="0"/>
          <w:numId w:val="7"/>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sidR="0048205C">
        <w:rPr>
          <w:szCs w:val="22"/>
        </w:rPr>
        <w:t>Kajeet</w:t>
      </w:r>
      <w:r w:rsidR="0048205C" w:rsidRPr="007C0B39">
        <w:rPr>
          <w:szCs w:val="22"/>
        </w:rPr>
        <w:t xml:space="preserve"> </w:t>
      </w:r>
      <w:r w:rsidRPr="007C0B39">
        <w:rPr>
          <w:szCs w:val="22"/>
        </w:rPr>
        <w:t xml:space="preserve">shall establish Operating Procedures that all Covered Employees must follow to help ensure </w:t>
      </w:r>
      <w:r w:rsidR="0048205C">
        <w:rPr>
          <w:szCs w:val="22"/>
        </w:rPr>
        <w:t>Kajeet</w:t>
      </w:r>
      <w:r w:rsidRPr="007C0B39">
        <w:rPr>
          <w:szCs w:val="22"/>
        </w:rPr>
        <w:t xml:space="preserve">’s compliance with 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Pr="007C0B39">
        <w:rPr>
          <w:szCs w:val="22"/>
        </w:rPr>
        <w:t xml:space="preserve">.  </w:t>
      </w:r>
      <w:r w:rsidR="0048205C">
        <w:rPr>
          <w:szCs w:val="22"/>
        </w:rPr>
        <w:t>Kajeet</w:t>
      </w:r>
      <w:r w:rsidRPr="007C0B39">
        <w:rPr>
          <w:szCs w:val="22"/>
        </w:rPr>
        <w:t xml:space="preserve">’s Operating Procedures shall include internal procedures and policies specifically designed to ensure that </w:t>
      </w:r>
      <w:r w:rsidR="009D2469">
        <w:rPr>
          <w:szCs w:val="22"/>
        </w:rPr>
        <w:t xml:space="preserve">compliance with </w:t>
      </w:r>
      <w:r w:rsidR="009D2469" w:rsidRPr="00C147DA">
        <w:rPr>
          <w:szCs w:val="22"/>
        </w:rPr>
        <w:t xml:space="preserve">the </w:t>
      </w:r>
      <w:r w:rsidR="009D2469">
        <w:rPr>
          <w:szCs w:val="22"/>
        </w:rPr>
        <w:t xml:space="preserve">USF, TRS, and LNP Rules, and the </w:t>
      </w:r>
      <w:r w:rsidR="00C75C96">
        <w:rPr>
          <w:szCs w:val="22"/>
        </w:rPr>
        <w:t>I</w:t>
      </w:r>
      <w:r w:rsidR="009D2469">
        <w:rPr>
          <w:szCs w:val="22"/>
        </w:rPr>
        <w:t xml:space="preserve">nternational </w:t>
      </w:r>
      <w:r w:rsidR="0022406E">
        <w:rPr>
          <w:szCs w:val="22"/>
        </w:rPr>
        <w:t>Section</w:t>
      </w:r>
      <w:r w:rsidR="009D2469">
        <w:rPr>
          <w:szCs w:val="22"/>
        </w:rPr>
        <w:t xml:space="preserve"> 214 </w:t>
      </w:r>
      <w:r w:rsidR="009D2469" w:rsidRPr="00C147DA">
        <w:rPr>
          <w:szCs w:val="22"/>
        </w:rPr>
        <w:t>Rules</w:t>
      </w:r>
      <w:r w:rsidR="009D2469">
        <w:rPr>
          <w:szCs w:val="22"/>
        </w:rPr>
        <w:t>.</w:t>
      </w:r>
      <w:r w:rsidRPr="007C0B39">
        <w:rPr>
          <w:szCs w:val="22"/>
        </w:rPr>
        <w:t xml:space="preserve">  </w:t>
      </w:r>
      <w:r w:rsidR="0048205C">
        <w:rPr>
          <w:szCs w:val="22"/>
        </w:rPr>
        <w:t>Kajeet</w:t>
      </w:r>
      <w:r w:rsidR="0048205C" w:rsidRPr="007C0B39">
        <w:rPr>
          <w:szCs w:val="22"/>
        </w:rPr>
        <w:t xml:space="preserve"> </w:t>
      </w:r>
      <w:r w:rsidRPr="007C0B39">
        <w:rPr>
          <w:szCs w:val="22"/>
        </w:rPr>
        <w:t>shall also develop a Compliance Checklist that describes the steps that a Covered Employee must follow</w:t>
      </w:r>
      <w:r w:rsidR="00F76E5B">
        <w:rPr>
          <w:szCs w:val="22"/>
        </w:rPr>
        <w:t xml:space="preserve"> to ensure compliance with </w:t>
      </w:r>
      <w:r w:rsidR="00F76E5B" w:rsidRPr="007C0B39">
        <w:rPr>
          <w:szCs w:val="22"/>
        </w:rPr>
        <w:t xml:space="preserve">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F76E5B" w:rsidRPr="007C0B39">
        <w:rPr>
          <w:szCs w:val="22"/>
        </w:rPr>
        <w:t xml:space="preserve">.  </w:t>
      </w:r>
    </w:p>
    <w:p w:rsidR="0001647A" w:rsidRPr="007C0B39" w:rsidRDefault="0001647A" w:rsidP="000D4982">
      <w:pPr>
        <w:widowControl/>
        <w:numPr>
          <w:ilvl w:val="0"/>
          <w:numId w:val="7"/>
        </w:numPr>
        <w:tabs>
          <w:tab w:val="clear" w:pos="1656"/>
        </w:tabs>
        <w:spacing w:after="120"/>
        <w:ind w:left="1886"/>
        <w:rPr>
          <w:szCs w:val="22"/>
        </w:rPr>
      </w:pPr>
      <w:r w:rsidRPr="007C0B39">
        <w:rPr>
          <w:b/>
          <w:szCs w:val="22"/>
          <w:u w:val="single"/>
        </w:rPr>
        <w:t>Compliance Manual</w:t>
      </w:r>
      <w:r w:rsidRPr="007C0B39">
        <w:rPr>
          <w:szCs w:val="22"/>
        </w:rPr>
        <w:t>.  Within sixty (60) calendar days after the Effective Date, the Compliance Officer shall develop and distribute a Compliance Manual to all Covered Employees.  The Compl</w:t>
      </w:r>
      <w:r w:rsidR="00F76E5B">
        <w:rPr>
          <w:szCs w:val="22"/>
        </w:rPr>
        <w:t xml:space="preserve">iance Manual shall explain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Pr="007C0B39">
        <w:rPr>
          <w:szCs w:val="22"/>
        </w:rPr>
        <w:t xml:space="preserve"> and set forth the Operating Procedures that Covered Employees shall follow to help ensure </w:t>
      </w:r>
      <w:r w:rsidR="0048205C">
        <w:rPr>
          <w:szCs w:val="22"/>
        </w:rPr>
        <w:t>Kajeet</w:t>
      </w:r>
      <w:r w:rsidRPr="007C0B39">
        <w:rPr>
          <w:szCs w:val="22"/>
        </w:rPr>
        <w:t xml:space="preserve">’s compliance with </w:t>
      </w:r>
      <w:r w:rsidR="00F76E5B" w:rsidRPr="007C0B39">
        <w:rPr>
          <w:szCs w:val="22"/>
        </w:rPr>
        <w:t xml:space="preserve">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F76E5B">
        <w:rPr>
          <w:szCs w:val="22"/>
        </w:rPr>
        <w:t>.</w:t>
      </w:r>
      <w:r w:rsidRPr="007C0B39">
        <w:rPr>
          <w:szCs w:val="22"/>
        </w:rPr>
        <w:t xml:space="preserve">  </w:t>
      </w:r>
      <w:r w:rsidR="0048205C">
        <w:rPr>
          <w:szCs w:val="22"/>
        </w:rPr>
        <w:t>Kajeet</w:t>
      </w:r>
      <w:r w:rsidR="0048205C" w:rsidRPr="007C0B39">
        <w:rPr>
          <w:szCs w:val="22"/>
        </w:rPr>
        <w:t xml:space="preserve"> </w:t>
      </w:r>
      <w:r w:rsidRPr="007C0B39">
        <w:rPr>
          <w:szCs w:val="22"/>
        </w:rPr>
        <w:t xml:space="preserve">shall periodically review and revise the Compliance Manual as necessary to ensure that the information set forth therein remains current and accurate.  </w:t>
      </w:r>
      <w:r w:rsidR="0048205C">
        <w:rPr>
          <w:szCs w:val="22"/>
        </w:rPr>
        <w:t>Kajeet</w:t>
      </w:r>
      <w:r w:rsidR="0048205C" w:rsidRPr="007C0B39">
        <w:rPr>
          <w:szCs w:val="22"/>
        </w:rPr>
        <w:t xml:space="preserve"> </w:t>
      </w:r>
      <w:r w:rsidRPr="007C0B39">
        <w:rPr>
          <w:szCs w:val="22"/>
        </w:rPr>
        <w:t>shall distribute any revisions to the Compliance Manual promptly to all Covered Employees.</w:t>
      </w:r>
    </w:p>
    <w:p w:rsidR="0001647A" w:rsidRPr="007C0B39" w:rsidRDefault="0001647A" w:rsidP="000D4982">
      <w:pPr>
        <w:widowControl/>
        <w:numPr>
          <w:ilvl w:val="0"/>
          <w:numId w:val="7"/>
        </w:numPr>
        <w:tabs>
          <w:tab w:val="clear" w:pos="1656"/>
        </w:tabs>
        <w:spacing w:after="120"/>
        <w:ind w:left="1886"/>
      </w:pPr>
      <w:r w:rsidRPr="007C0B39">
        <w:rPr>
          <w:b/>
          <w:szCs w:val="22"/>
          <w:u w:val="single"/>
        </w:rPr>
        <w:t>Compliance Training Program</w:t>
      </w:r>
      <w:r w:rsidRPr="007C0B39">
        <w:rPr>
          <w:szCs w:val="22"/>
        </w:rPr>
        <w:t xml:space="preserve">.  </w:t>
      </w:r>
      <w:r w:rsidR="0048205C">
        <w:rPr>
          <w:szCs w:val="22"/>
        </w:rPr>
        <w:t>Kajeet</w:t>
      </w:r>
      <w:r w:rsidR="0048205C" w:rsidRPr="007C0B39">
        <w:rPr>
          <w:szCs w:val="22"/>
        </w:rPr>
        <w:t xml:space="preserve"> </w:t>
      </w:r>
      <w:r w:rsidRPr="007C0B39">
        <w:rPr>
          <w:szCs w:val="22"/>
        </w:rPr>
        <w:t xml:space="preserve">shall establish and implement a Compliance Training Program on compliance with </w:t>
      </w:r>
      <w:r w:rsidR="00F76E5B" w:rsidRPr="007C0B39">
        <w:rPr>
          <w:szCs w:val="22"/>
        </w:rPr>
        <w:t xml:space="preserve">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F76E5B">
        <w:rPr>
          <w:szCs w:val="22"/>
        </w:rPr>
        <w:t xml:space="preserve"> </w:t>
      </w:r>
      <w:r w:rsidRPr="007C0B39">
        <w:rPr>
          <w:szCs w:val="22"/>
        </w:rPr>
        <w:t xml:space="preserve">and the Operating Procedures.  As part of the Compliance Training Program, Covered Employees shall be advised of </w:t>
      </w:r>
      <w:r w:rsidR="0048205C">
        <w:rPr>
          <w:szCs w:val="22"/>
        </w:rPr>
        <w:t>Kajeet</w:t>
      </w:r>
      <w:r w:rsidRPr="007C0B39">
        <w:rPr>
          <w:szCs w:val="22"/>
        </w:rPr>
        <w:t xml:space="preserve">’s obligation to report any noncompliance with </w:t>
      </w:r>
      <w:r w:rsidR="00F76E5B" w:rsidRPr="007C0B39">
        <w:rPr>
          <w:szCs w:val="22"/>
        </w:rPr>
        <w:t xml:space="preserve">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F76E5B">
        <w:rPr>
          <w:szCs w:val="22"/>
        </w:rPr>
        <w:t xml:space="preserve"> </w:t>
      </w:r>
      <w:r w:rsidRPr="007C0B39">
        <w:rPr>
          <w:szCs w:val="22"/>
        </w:rPr>
        <w:t xml:space="preserve">under paragraph </w:t>
      </w:r>
      <w:r w:rsidR="003B4686">
        <w:rPr>
          <w:szCs w:val="22"/>
        </w:rPr>
        <w:t xml:space="preserve">21 </w:t>
      </w:r>
      <w:r w:rsidRPr="007C0B39">
        <w:rPr>
          <w:szCs w:val="22"/>
        </w:rPr>
        <w:t xml:space="preserve">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sidR="0048205C">
        <w:rPr>
          <w:szCs w:val="22"/>
        </w:rPr>
        <w:t>Kajeet</w:t>
      </w:r>
      <w:r w:rsidR="0048205C" w:rsidRPr="007C0B39">
        <w:rPr>
          <w:szCs w:val="22"/>
        </w:rPr>
        <w:t xml:space="preserve"> </w:t>
      </w:r>
      <w:r w:rsidRPr="007C0B39">
        <w:rPr>
          <w:szCs w:val="22"/>
        </w:rPr>
        <w:t>shall repeat compliance training on an annual basis, and shall periodically review and revise the Compliance Training Program as necessary to ensure that it remains current and complete and to enhance its effectiveness.</w:t>
      </w:r>
    </w:p>
    <w:p w:rsidR="001907E6" w:rsidRDefault="0001647A" w:rsidP="000D4982">
      <w:pPr>
        <w:pStyle w:val="ParaNum0"/>
        <w:widowControl/>
        <w:tabs>
          <w:tab w:val="clear" w:pos="1080"/>
          <w:tab w:val="num" w:pos="1440"/>
        </w:tabs>
      </w:pPr>
      <w:bookmarkStart w:id="9" w:name="_Ref321323028"/>
      <w:r w:rsidRPr="007C0B39">
        <w:rPr>
          <w:b/>
          <w:u w:val="single"/>
        </w:rPr>
        <w:t>Reporting Noncompliance</w:t>
      </w:r>
      <w:r w:rsidRPr="007C0B39">
        <w:t xml:space="preserve">.  </w:t>
      </w:r>
      <w:r w:rsidR="0048205C">
        <w:rPr>
          <w:szCs w:val="22"/>
        </w:rPr>
        <w:t>Kajeet</w:t>
      </w:r>
      <w:r w:rsidR="0048205C" w:rsidRPr="007C0B39">
        <w:t xml:space="preserve"> </w:t>
      </w:r>
      <w:r w:rsidRPr="007C0B39">
        <w:t>shall rep</w:t>
      </w:r>
      <w:r w:rsidR="00F76E5B">
        <w:t xml:space="preserve">ort any noncompliance with </w:t>
      </w:r>
      <w:r w:rsidR="00F76E5B" w:rsidRPr="007C0B39">
        <w:rPr>
          <w:szCs w:val="22"/>
        </w:rPr>
        <w:t xml:space="preserve">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F76E5B" w:rsidRPr="007C0B39">
        <w:t xml:space="preserve"> </w:t>
      </w:r>
      <w:r w:rsidRPr="007C0B39">
        <w:t xml:space="preserve">and with the terms and conditions of this Consent Decree within fifteen (15) calendar days after discovery of such noncompliance.  Such reports shall include a detailed explanation of:  (i) each instance of noncompliance; (ii) the steps that </w:t>
      </w:r>
      <w:r w:rsidR="0048205C">
        <w:rPr>
          <w:szCs w:val="22"/>
        </w:rPr>
        <w:t>Kajeet</w:t>
      </w:r>
      <w:r w:rsidR="0048205C" w:rsidRPr="007C0B39">
        <w:t xml:space="preserve"> </w:t>
      </w:r>
      <w:r w:rsidRPr="007C0B39">
        <w:t xml:space="preserve">has taken or will take to remedy such noncompliance; (iii) the schedule on which such remedial actions will be taken; and (iv) </w:t>
      </w:r>
      <w:r w:rsidRPr="008B4586">
        <w:t>th</w:t>
      </w:r>
      <w:r w:rsidRPr="007C0B39">
        <w:t xml:space="preserve">e steps that the </w:t>
      </w:r>
      <w:r w:rsidR="0048205C">
        <w:rPr>
          <w:szCs w:val="22"/>
        </w:rPr>
        <w:t>Kajeet</w:t>
      </w:r>
      <w:r w:rsidR="0048205C" w:rsidRPr="007C0B39">
        <w:t xml:space="preserve"> </w:t>
      </w:r>
      <w:r w:rsidRPr="007C0B39">
        <w:t xml:space="preserve">has taken or will take to prevent the recurrence of any such noncompliance.  All reports of noncompliance shall be submitted to </w:t>
      </w:r>
      <w:r w:rsidR="00F76E5B">
        <w:t>Chief, Investigations and Hearings Division, Enforcement Bureau, Federal Communications Commission, 445 12</w:t>
      </w:r>
      <w:r w:rsidR="00F76E5B" w:rsidRPr="00DE6302">
        <w:rPr>
          <w:vertAlign w:val="superscript"/>
        </w:rPr>
        <w:t>th</w:t>
      </w:r>
      <w:r w:rsidR="00F76E5B">
        <w:t xml:space="preserve"> Street, SW, Room 4</w:t>
      </w:r>
      <w:r w:rsidR="00C87F88">
        <w:noBreakHyphen/>
      </w:r>
      <w:r w:rsidR="00F76E5B">
        <w:t>C224, Washington, DC 20554</w:t>
      </w:r>
      <w:r w:rsidR="00F76E5B" w:rsidRPr="007C0B39">
        <w:t xml:space="preserve">, with a copy submitted electronically </w:t>
      </w:r>
      <w:r w:rsidR="00F76E5B" w:rsidRPr="00DE6302">
        <w:t xml:space="preserve">to </w:t>
      </w:r>
      <w:hyperlink r:id="rId14" w:history="1">
        <w:r w:rsidR="00F76E5B" w:rsidRPr="00DE6302">
          <w:rPr>
            <w:rStyle w:val="Hyperlink"/>
            <w:color w:val="auto"/>
            <w:u w:val="none"/>
          </w:rPr>
          <w:t>Jeffrey.Gee@fcc.gov</w:t>
        </w:r>
      </w:hyperlink>
      <w:r w:rsidR="00F76E5B" w:rsidRPr="00DE6302">
        <w:t xml:space="preserve">, </w:t>
      </w:r>
      <w:hyperlink r:id="rId15" w:history="1">
        <w:r w:rsidR="00F76E5B" w:rsidRPr="00DE6302">
          <w:rPr>
            <w:rStyle w:val="Hyperlink"/>
            <w:color w:val="auto"/>
            <w:u w:val="none"/>
          </w:rPr>
          <w:t>Kalun.Lee@fcc.gov</w:t>
        </w:r>
      </w:hyperlink>
      <w:r w:rsidR="00F76E5B" w:rsidRPr="00DE6302">
        <w:t xml:space="preserve">, and </w:t>
      </w:r>
      <w:hyperlink r:id="rId16" w:history="1">
        <w:r w:rsidR="00F76E5B" w:rsidRPr="00DE6302">
          <w:rPr>
            <w:rStyle w:val="Hyperlink"/>
            <w:color w:val="auto"/>
            <w:u w:val="none"/>
          </w:rPr>
          <w:t>Pam.Slipakoff@fcc.gov</w:t>
        </w:r>
      </w:hyperlink>
      <w:r w:rsidR="000404F4">
        <w:rPr>
          <w:rStyle w:val="Hyperlink"/>
          <w:color w:val="auto"/>
          <w:u w:val="none"/>
        </w:rPr>
        <w:t>.</w:t>
      </w:r>
      <w:r w:rsidR="00F76E5B" w:rsidRPr="007C0B39">
        <w:t xml:space="preserve"> </w:t>
      </w:r>
      <w:bookmarkStart w:id="10" w:name="_Ref379202892"/>
      <w:bookmarkEnd w:id="9"/>
      <w:r w:rsidR="00F76E5B">
        <w:t xml:space="preserve"> </w:t>
      </w:r>
    </w:p>
    <w:p w:rsidR="0001647A" w:rsidRPr="001907E6" w:rsidRDefault="0001647A" w:rsidP="000D4982">
      <w:pPr>
        <w:pStyle w:val="ParaNum0"/>
        <w:widowControl/>
        <w:tabs>
          <w:tab w:val="clear" w:pos="1080"/>
          <w:tab w:val="num" w:pos="1440"/>
        </w:tabs>
      </w:pPr>
      <w:r w:rsidRPr="001907E6">
        <w:rPr>
          <w:b/>
          <w:u w:val="single"/>
        </w:rPr>
        <w:t>Compliance Reports</w:t>
      </w:r>
      <w:r w:rsidRPr="007C0B39">
        <w:t xml:space="preserve">.  </w:t>
      </w:r>
      <w:r w:rsidR="0048205C">
        <w:rPr>
          <w:szCs w:val="22"/>
        </w:rPr>
        <w:t>Kajeet</w:t>
      </w:r>
      <w:r w:rsidR="0048205C" w:rsidRPr="007C0B39">
        <w:t xml:space="preserve"> </w:t>
      </w:r>
      <w:r w:rsidRPr="007C0B39">
        <w:t>shall file compliance reports with the Commission ninety (90) calendar days after the Effective Date, twelve (12) months after the Effective Date, twenty-four (24) months after the Effective Date, thirty-six (36) months after the Effective Date</w:t>
      </w:r>
      <w:r w:rsidR="00DE6302">
        <w:t>, forty-eight (48) months after the Effective Date, and sixty (60) months after the Effective Date</w:t>
      </w:r>
      <w:r w:rsidRPr="007C0B39">
        <w:t>.</w:t>
      </w:r>
      <w:bookmarkEnd w:id="10"/>
    </w:p>
    <w:p w:rsidR="0001647A" w:rsidRPr="007C0B39" w:rsidRDefault="0001647A" w:rsidP="000D4982">
      <w:pPr>
        <w:widowControl/>
        <w:numPr>
          <w:ilvl w:val="0"/>
          <w:numId w:val="8"/>
        </w:numPr>
        <w:tabs>
          <w:tab w:val="clear" w:pos="1782"/>
        </w:tabs>
        <w:spacing w:after="120"/>
        <w:ind w:left="1886"/>
        <w:rPr>
          <w:szCs w:val="22"/>
        </w:rPr>
      </w:pPr>
      <w:r w:rsidRPr="007C0B39">
        <w:rPr>
          <w:szCs w:val="22"/>
        </w:rPr>
        <w:t xml:space="preserve">Each Compliance Report shall include a detailed description of </w:t>
      </w:r>
      <w:r w:rsidR="00DE6302">
        <w:rPr>
          <w:szCs w:val="22"/>
        </w:rPr>
        <w:t>Kajeet</w:t>
      </w:r>
      <w:r w:rsidRPr="007C0B39">
        <w:rPr>
          <w:szCs w:val="22"/>
        </w:rPr>
        <w:t>’s efforts during the relevant period to comply with the terms and conditions of this Consent Decree</w:t>
      </w:r>
      <w:r w:rsidR="00C87F88">
        <w:rPr>
          <w:szCs w:val="22"/>
        </w:rPr>
        <w:t xml:space="preserve">, </w:t>
      </w:r>
      <w:r w:rsidR="00F76E5B" w:rsidRPr="007C0B39">
        <w:rPr>
          <w:szCs w:val="22"/>
        </w:rPr>
        <w:t xml:space="preserve">the </w:t>
      </w:r>
      <w:r w:rsidR="00FE4FDB">
        <w:rPr>
          <w:szCs w:val="22"/>
        </w:rPr>
        <w:t xml:space="preserve">USF, TRS, and LNP Rules, </w:t>
      </w:r>
      <w:r w:rsidR="00F76E5B">
        <w:rPr>
          <w:szCs w:val="22"/>
        </w:rPr>
        <w:t xml:space="preserve">and the </w:t>
      </w:r>
      <w:r w:rsidR="00C75C96">
        <w:rPr>
          <w:szCs w:val="22"/>
        </w:rPr>
        <w:t>I</w:t>
      </w:r>
      <w:r w:rsidR="00F76E5B">
        <w:rPr>
          <w:szCs w:val="22"/>
        </w:rPr>
        <w:t xml:space="preserve">nternational </w:t>
      </w:r>
      <w:r w:rsidR="0022406E">
        <w:rPr>
          <w:szCs w:val="22"/>
        </w:rPr>
        <w:t>Section</w:t>
      </w:r>
      <w:r w:rsidR="00F76E5B">
        <w:rPr>
          <w:szCs w:val="22"/>
        </w:rPr>
        <w:t xml:space="preserve"> 214 </w:t>
      </w:r>
      <w:r w:rsidR="00F76E5B" w:rsidRPr="00C147DA">
        <w:rPr>
          <w:szCs w:val="22"/>
        </w:rPr>
        <w:t>Rules</w:t>
      </w:r>
      <w:r w:rsidR="00F76E5B" w:rsidRPr="007C0B39">
        <w:rPr>
          <w:szCs w:val="22"/>
        </w:rPr>
        <w:t xml:space="preserve">.  </w:t>
      </w:r>
      <w:r w:rsidRPr="007C0B39">
        <w:rPr>
          <w:szCs w:val="22"/>
        </w:rPr>
        <w:t xml:space="preserve">In addition, each Compliance Report shall include a certification by the Compliance Officer, as an agent of and on behalf of </w:t>
      </w:r>
      <w:r w:rsidR="00DE6302">
        <w:rPr>
          <w:szCs w:val="22"/>
        </w:rPr>
        <w:t>Kajeet,</w:t>
      </w:r>
      <w:r w:rsidR="00DE6302" w:rsidRPr="007C0B39">
        <w:rPr>
          <w:szCs w:val="22"/>
        </w:rPr>
        <w:t xml:space="preserve"> </w:t>
      </w:r>
      <w:r w:rsidRPr="007C0B39">
        <w:rPr>
          <w:szCs w:val="22"/>
        </w:rPr>
        <w:t xml:space="preserve">stating that the Compliance Officer has personal knowledge that </w:t>
      </w:r>
      <w:r w:rsidR="00DE6302">
        <w:rPr>
          <w:szCs w:val="22"/>
        </w:rPr>
        <w:t>Kajeet:</w:t>
      </w:r>
      <w:r w:rsidR="00DE6302" w:rsidRPr="007C0B39">
        <w:rPr>
          <w:szCs w:val="22"/>
        </w:rPr>
        <w:t xml:space="preserve"> </w:t>
      </w:r>
      <w:r w:rsidR="00DE6302">
        <w:rPr>
          <w:szCs w:val="22"/>
        </w:rPr>
        <w:t xml:space="preserve"> </w:t>
      </w:r>
      <w:r w:rsidRPr="007C0B39">
        <w:rPr>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3B4686">
        <w:rPr>
          <w:szCs w:val="22"/>
        </w:rPr>
        <w:t>21</w:t>
      </w:r>
      <w:r w:rsidRPr="007C0B39">
        <w:rPr>
          <w:b/>
          <w:szCs w:val="22"/>
        </w:rPr>
        <w:t xml:space="preserve"> </w:t>
      </w:r>
      <w:r w:rsidRPr="007C0B39">
        <w:rPr>
          <w:szCs w:val="22"/>
        </w:rPr>
        <w:t>of this Consent Decree.</w:t>
      </w:r>
    </w:p>
    <w:p w:rsidR="0001647A" w:rsidRPr="007C0B39" w:rsidRDefault="0001647A" w:rsidP="000D4982">
      <w:pPr>
        <w:widowControl/>
        <w:numPr>
          <w:ilvl w:val="0"/>
          <w:numId w:val="8"/>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48"/>
      </w:r>
    </w:p>
    <w:p w:rsidR="0001647A" w:rsidRPr="007C0B39" w:rsidRDefault="0001647A" w:rsidP="000D4982">
      <w:pPr>
        <w:widowControl/>
        <w:numPr>
          <w:ilvl w:val="0"/>
          <w:numId w:val="8"/>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DE6302">
        <w:rPr>
          <w:szCs w:val="22"/>
        </w:rPr>
        <w:t>Kajeet</w:t>
      </w:r>
      <w:r w:rsidRPr="007C0B39">
        <w:rPr>
          <w:szCs w:val="22"/>
        </w:rPr>
        <w:t xml:space="preserve">, shall provide the Commission with a detailed explanation of the reason(s) why and describe fully:  (i) each instance of noncompliance; (ii) the steps that </w:t>
      </w:r>
      <w:r w:rsidR="00DE6302">
        <w:rPr>
          <w:szCs w:val="22"/>
        </w:rPr>
        <w:t>Kajeet</w:t>
      </w:r>
      <w:r w:rsidR="00DE6302" w:rsidRPr="007C0B39">
        <w:rPr>
          <w:szCs w:val="22"/>
        </w:rPr>
        <w:t xml:space="preserve"> </w:t>
      </w:r>
      <w:r w:rsidRPr="007C0B39">
        <w:rPr>
          <w:szCs w:val="22"/>
        </w:rPr>
        <w:t xml:space="preserve">has taken or will take to remedy such noncompliance, including the schedule on which proposed remedial actions will be taken; and (iii) the steps that </w:t>
      </w:r>
      <w:r w:rsidR="00DE6302">
        <w:rPr>
          <w:szCs w:val="22"/>
        </w:rPr>
        <w:t>Kajeet</w:t>
      </w:r>
      <w:r w:rsidR="00DE6302" w:rsidRPr="007C0B39">
        <w:rPr>
          <w:szCs w:val="22"/>
        </w:rPr>
        <w:t xml:space="preserve"> </w:t>
      </w:r>
      <w:r w:rsidRPr="007C0B39">
        <w:rPr>
          <w:szCs w:val="22"/>
        </w:rPr>
        <w:t>has taken or will take to prevent the recurrence of any such noncompliance, including the schedule on which such preventive action will be taken.</w:t>
      </w:r>
    </w:p>
    <w:p w:rsidR="0001647A" w:rsidRPr="007C0B39" w:rsidRDefault="0001647A" w:rsidP="000D4982">
      <w:pPr>
        <w:widowControl/>
        <w:numPr>
          <w:ilvl w:val="0"/>
          <w:numId w:val="8"/>
        </w:numPr>
        <w:tabs>
          <w:tab w:val="clear" w:pos="1782"/>
        </w:tabs>
        <w:spacing w:after="120"/>
        <w:ind w:left="1886" w:hanging="450"/>
        <w:rPr>
          <w:szCs w:val="22"/>
        </w:rPr>
      </w:pPr>
      <w:r w:rsidRPr="007C0B39">
        <w:rPr>
          <w:szCs w:val="22"/>
        </w:rPr>
        <w:t xml:space="preserve">All Compliance Reports shall be submitted </w:t>
      </w:r>
      <w:r w:rsidR="00DE6302">
        <w:t>to the Chief, Investigations and Hearings Division, Enforcement Bureau, Federal Communications Commission, 445 12</w:t>
      </w:r>
      <w:r w:rsidR="00DE6302" w:rsidRPr="00DE6302">
        <w:rPr>
          <w:vertAlign w:val="superscript"/>
        </w:rPr>
        <w:t>th</w:t>
      </w:r>
      <w:r w:rsidR="00DE6302">
        <w:t xml:space="preserve"> Street, SW, Room 4-C224, Washington, DC 20554</w:t>
      </w:r>
      <w:r w:rsidRPr="007C0B39">
        <w:t xml:space="preserve">, with a copy submitted electronically </w:t>
      </w:r>
      <w:r w:rsidRPr="00DE6302">
        <w:t xml:space="preserve">to </w:t>
      </w:r>
      <w:hyperlink r:id="rId17" w:history="1">
        <w:r w:rsidR="00DE6302" w:rsidRPr="00DE6302">
          <w:rPr>
            <w:rStyle w:val="Hyperlink"/>
            <w:color w:val="auto"/>
            <w:u w:val="none"/>
          </w:rPr>
          <w:t>Jeffrey.Gee@fcc.gov</w:t>
        </w:r>
      </w:hyperlink>
      <w:r w:rsidR="00DE6302" w:rsidRPr="00DE6302">
        <w:t xml:space="preserve">, </w:t>
      </w:r>
      <w:hyperlink r:id="rId18" w:history="1">
        <w:r w:rsidR="00DE6302" w:rsidRPr="00DE6302">
          <w:rPr>
            <w:rStyle w:val="Hyperlink"/>
            <w:color w:val="auto"/>
            <w:u w:val="none"/>
          </w:rPr>
          <w:t>Kalun.Lee@fcc.gov</w:t>
        </w:r>
      </w:hyperlink>
      <w:r w:rsidR="00DE6302" w:rsidRPr="00DE6302">
        <w:t xml:space="preserve">, and </w:t>
      </w:r>
      <w:hyperlink r:id="rId19" w:history="1">
        <w:r w:rsidR="00DE6302" w:rsidRPr="00DE6302">
          <w:rPr>
            <w:rStyle w:val="Hyperlink"/>
            <w:color w:val="auto"/>
            <w:u w:val="none"/>
          </w:rPr>
          <w:t>Pam.Slipakoff@fcc.gov</w:t>
        </w:r>
      </w:hyperlink>
      <w:r w:rsidR="00DE6302">
        <w:t xml:space="preserve">. </w:t>
      </w:r>
    </w:p>
    <w:p w:rsidR="001907E6" w:rsidRPr="00BA20CE" w:rsidRDefault="0001647A" w:rsidP="000D4982">
      <w:pPr>
        <w:pStyle w:val="ParaNum0"/>
        <w:widowControl/>
        <w:tabs>
          <w:tab w:val="clear" w:pos="1080"/>
          <w:tab w:val="num" w:pos="1440"/>
        </w:tabs>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 </w:t>
      </w:r>
      <w:r w:rsidR="003B4686" w:rsidRPr="003B4686">
        <w:rPr>
          <w:szCs w:val="22"/>
        </w:rPr>
        <w:t xml:space="preserve">19 </w:t>
      </w:r>
      <w:r w:rsidRPr="003B4686">
        <w:rPr>
          <w:szCs w:val="22"/>
        </w:rPr>
        <w:t xml:space="preserve">through </w:t>
      </w:r>
      <w:r w:rsidR="003B4686" w:rsidRPr="003B4686">
        <w:rPr>
          <w:szCs w:val="22"/>
        </w:rPr>
        <w:t xml:space="preserve">22 </w:t>
      </w:r>
      <w:r w:rsidRPr="003B4686">
        <w:rPr>
          <w:szCs w:val="22"/>
        </w:rPr>
        <w:t>of</w:t>
      </w:r>
      <w:r w:rsidRPr="007C0B39">
        <w:rPr>
          <w:szCs w:val="22"/>
        </w:rPr>
        <w:t xml:space="preserve"> this Consent Decree shall expire </w:t>
      </w:r>
      <w:r w:rsidR="00C147DA">
        <w:rPr>
          <w:szCs w:val="22"/>
        </w:rPr>
        <w:t>sixty</w:t>
      </w:r>
      <w:r w:rsidRPr="007C0B39">
        <w:rPr>
          <w:szCs w:val="22"/>
        </w:rPr>
        <w:t xml:space="preserve"> (</w:t>
      </w:r>
      <w:r w:rsidR="00C147DA">
        <w:rPr>
          <w:szCs w:val="22"/>
        </w:rPr>
        <w:t>60</w:t>
      </w:r>
      <w:r w:rsidRPr="007C0B39">
        <w:rPr>
          <w:szCs w:val="22"/>
        </w:rPr>
        <w:t>) months after the Effective Date</w:t>
      </w:r>
      <w:r w:rsidRPr="00BA20CE">
        <w:rPr>
          <w:szCs w:val="22"/>
        </w:rPr>
        <w:t xml:space="preserve">. </w:t>
      </w:r>
    </w:p>
    <w:p w:rsidR="001907E6" w:rsidRDefault="0001647A" w:rsidP="000D4982">
      <w:pPr>
        <w:pStyle w:val="ParaNum0"/>
        <w:widowControl/>
        <w:tabs>
          <w:tab w:val="clear" w:pos="1080"/>
          <w:tab w:val="num" w:pos="1440"/>
        </w:tabs>
        <w:rPr>
          <w:szCs w:val="22"/>
        </w:rPr>
      </w:pPr>
      <w:r w:rsidRPr="001907E6">
        <w:rPr>
          <w:b/>
          <w:u w:val="single"/>
        </w:rPr>
        <w:t>Section 208 Complaints; Subsequent Investigations</w:t>
      </w:r>
      <w:r w:rsidRPr="00C147DA">
        <w:t>.</w:t>
      </w:r>
      <w:r w:rsidRPr="001907E6">
        <w:rPr>
          <w:i/>
        </w:rPr>
        <w:t xml:space="preserve">  </w:t>
      </w:r>
      <w:r w:rsidRPr="00C147DA">
        <w:t>Nothing in this Consent Decree shall prevent the Commission or its delegated authority from adjudicating complaints filed pursuant to Section 208 of the Act</w:t>
      </w:r>
      <w:r w:rsidRPr="00C147DA">
        <w:rPr>
          <w:rStyle w:val="FootnoteReference"/>
          <w:szCs w:val="22"/>
        </w:rPr>
        <w:footnoteReference w:id="49"/>
      </w:r>
      <w:r w:rsidRPr="00C147DA">
        <w:t xml:space="preserve"> against </w:t>
      </w:r>
      <w:r w:rsidR="00DE6302">
        <w:rPr>
          <w:szCs w:val="22"/>
        </w:rPr>
        <w:t>Kajeet</w:t>
      </w:r>
      <w:r w:rsidR="00DE6302" w:rsidRPr="00C147DA">
        <w:t xml:space="preserve"> </w:t>
      </w:r>
      <w:r w:rsidRPr="00C147DA">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1A160A">
        <w:rPr>
          <w:szCs w:val="22"/>
        </w:rPr>
        <w:t>Kajeet</w:t>
      </w:r>
      <w:r w:rsidR="001A160A" w:rsidRPr="00C147DA">
        <w:t xml:space="preserve"> </w:t>
      </w:r>
      <w:r w:rsidR="00C147DA" w:rsidRPr="00C147DA">
        <w:t>with the Communications Laws</w:t>
      </w:r>
      <w:r w:rsidR="00C147DA">
        <w:t>.</w:t>
      </w:r>
      <w:r w:rsidRPr="001907E6">
        <w:rPr>
          <w:b/>
        </w:rPr>
        <w:t xml:space="preserve"> </w:t>
      </w:r>
      <w:bookmarkStart w:id="11" w:name="_Ref357521957"/>
    </w:p>
    <w:p w:rsidR="0001647A" w:rsidRPr="000A0007" w:rsidRDefault="0001647A" w:rsidP="000D4982">
      <w:pPr>
        <w:pStyle w:val="ParaNum0"/>
        <w:widowControl/>
        <w:tabs>
          <w:tab w:val="clear" w:pos="1080"/>
          <w:tab w:val="num" w:pos="1440"/>
        </w:tabs>
        <w:rPr>
          <w:szCs w:val="22"/>
        </w:rPr>
      </w:pPr>
      <w:r w:rsidRPr="00DB7A07">
        <w:rPr>
          <w:b/>
          <w:u w:val="single"/>
        </w:rPr>
        <w:t>Civil Penalty</w:t>
      </w:r>
      <w:r w:rsidRPr="00C147DA">
        <w:t>.</w:t>
      </w:r>
      <w:r w:rsidRPr="007C0B39">
        <w:t xml:space="preserve">  </w:t>
      </w:r>
      <w:r w:rsidR="001A160A" w:rsidRPr="00DB7A07">
        <w:t>Kajeet</w:t>
      </w:r>
      <w:r w:rsidR="001A160A" w:rsidRPr="007C0B39">
        <w:t xml:space="preserve"> </w:t>
      </w:r>
      <w:r w:rsidRPr="007C0B39">
        <w:t xml:space="preserve">will pay a civil penalty to the United States Treasury in the amount of </w:t>
      </w:r>
      <w:r w:rsidR="00C147DA">
        <w:t>four hundred and fifty thousand dollars</w:t>
      </w:r>
      <w:r w:rsidRPr="002755D1">
        <w:t xml:space="preserve"> ($</w:t>
      </w:r>
      <w:r w:rsidR="00C147DA" w:rsidRPr="00DB7A07">
        <w:rPr>
          <w:szCs w:val="22"/>
        </w:rPr>
        <w:t>450,000</w:t>
      </w:r>
      <w:r w:rsidRPr="00DB7A07">
        <w:rPr>
          <w:szCs w:val="22"/>
        </w:rPr>
        <w:t>)</w:t>
      </w:r>
      <w:r w:rsidR="00C147DA">
        <w:t>.</w:t>
      </w:r>
      <w:r w:rsidRPr="007C0B39">
        <w:t xml:space="preserve"> </w:t>
      </w:r>
      <w:r w:rsidR="004631B8">
        <w:t xml:space="preserve"> </w:t>
      </w:r>
      <w:r w:rsidRPr="00DB7A07">
        <w:rPr>
          <w:szCs w:val="22"/>
        </w:rPr>
        <w:t xml:space="preserve">Such payment shall be made in </w:t>
      </w:r>
      <w:r w:rsidR="000C1510" w:rsidRPr="000C1510">
        <w:rPr>
          <w:szCs w:val="22"/>
        </w:rPr>
        <w:t>twenty</w:t>
      </w:r>
      <w:r w:rsidRPr="006B302F">
        <w:t xml:space="preserve"> installments (each an Installment Payment).  The first Installment Payment in the amount of </w:t>
      </w:r>
      <w:r w:rsidR="000C1510">
        <w:rPr>
          <w:szCs w:val="22"/>
        </w:rPr>
        <w:t xml:space="preserve">twenty-two thousand five hundred dollars </w:t>
      </w:r>
      <w:r w:rsidR="000C1510" w:rsidRPr="00794E59">
        <w:rPr>
          <w:szCs w:val="22"/>
        </w:rPr>
        <w:t>(</w:t>
      </w:r>
      <w:r w:rsidR="000C1510">
        <w:rPr>
          <w:szCs w:val="22"/>
        </w:rPr>
        <w:t>$22,500</w:t>
      </w:r>
      <w:r w:rsidR="000C1510" w:rsidRPr="000C1510">
        <w:rPr>
          <w:szCs w:val="22"/>
        </w:rPr>
        <w:t>)</w:t>
      </w:r>
      <w:r w:rsidR="000C1510" w:rsidRPr="006B302F">
        <w:t xml:space="preserve"> </w:t>
      </w:r>
      <w:r w:rsidRPr="006B302F">
        <w:t xml:space="preserve">is due on </w:t>
      </w:r>
      <w:r w:rsidR="000C1510">
        <w:rPr>
          <w:szCs w:val="22"/>
        </w:rPr>
        <w:t>November 2, 2015</w:t>
      </w:r>
      <w:r w:rsidRPr="00794E59">
        <w:rPr>
          <w:szCs w:val="22"/>
        </w:rPr>
        <w:t xml:space="preserve">.  </w:t>
      </w:r>
      <w:r w:rsidR="004631B8">
        <w:t>S</w:t>
      </w:r>
      <w:r w:rsidRPr="00794E59">
        <w:t>ubsequent</w:t>
      </w:r>
      <w:r w:rsidRPr="006B302F">
        <w:t xml:space="preserve"> Installment Payments</w:t>
      </w:r>
      <w:r w:rsidR="004631B8">
        <w:t>, each in the amount</w:t>
      </w:r>
      <w:r w:rsidRPr="006B302F">
        <w:t xml:space="preserve"> of </w:t>
      </w:r>
      <w:r w:rsidR="000C1510">
        <w:rPr>
          <w:szCs w:val="22"/>
        </w:rPr>
        <w:t xml:space="preserve">twenty-two thousand five hundred dollars </w:t>
      </w:r>
      <w:r w:rsidR="000C1510" w:rsidRPr="00166737">
        <w:rPr>
          <w:szCs w:val="22"/>
        </w:rPr>
        <w:t>(</w:t>
      </w:r>
      <w:r w:rsidR="000C1510">
        <w:rPr>
          <w:szCs w:val="22"/>
        </w:rPr>
        <w:t>$22,500</w:t>
      </w:r>
      <w:r w:rsidR="00C55A2F" w:rsidRPr="00166737">
        <w:rPr>
          <w:szCs w:val="22"/>
        </w:rPr>
        <w:t>)</w:t>
      </w:r>
      <w:r w:rsidR="00C55A2F" w:rsidRPr="006B302F">
        <w:t xml:space="preserve"> will</w:t>
      </w:r>
      <w:r w:rsidRPr="006B302F">
        <w:t xml:space="preserve"> be due </w:t>
      </w:r>
      <w:r w:rsidR="004631B8">
        <w:rPr>
          <w:szCs w:val="22"/>
        </w:rPr>
        <w:t xml:space="preserve">every three months thereafter </w:t>
      </w:r>
      <w:r w:rsidRPr="006B302F">
        <w:t xml:space="preserve">on </w:t>
      </w:r>
      <w:r w:rsidR="000C1510">
        <w:t xml:space="preserve">the first business day </w:t>
      </w:r>
      <w:r w:rsidR="0004750B">
        <w:t>of that month</w:t>
      </w:r>
      <w:r w:rsidR="000C1510">
        <w:t>, until such time as the civil penalty is paid in full</w:t>
      </w:r>
      <w:r w:rsidRPr="00794E59">
        <w:rPr>
          <w:szCs w:val="22"/>
        </w:rPr>
        <w:t>.</w:t>
      </w:r>
      <w:r w:rsidRPr="00DB7A07">
        <w:rPr>
          <w:szCs w:val="22"/>
        </w:rPr>
        <w:t xml:space="preserve">  </w:t>
      </w:r>
      <w:r w:rsidR="007A09F9" w:rsidRPr="00DB7A07">
        <w:rPr>
          <w:szCs w:val="22"/>
        </w:rPr>
        <w:t>Kajeet</w:t>
      </w:r>
      <w:r w:rsidRPr="00DB7A07">
        <w:rPr>
          <w:szCs w:val="22"/>
        </w:rPr>
        <w:t xml:space="preserve"> acknowledges and agrees that upon execution of this Consent Decree, the civil penalty and each Installment Payment shall become a “Claim” or “Debt” as defined in 31 U.S.C. § 3701(b)(1).</w:t>
      </w:r>
      <w:r w:rsidRPr="00C147DA">
        <w:rPr>
          <w:rStyle w:val="FootnoteReference"/>
          <w:szCs w:val="22"/>
        </w:rPr>
        <w:footnoteReference w:id="50"/>
      </w:r>
      <w:r w:rsidRPr="00DB7A07">
        <w:rPr>
          <w:szCs w:val="22"/>
        </w:rPr>
        <w:t xml:space="preserve">  Upon an Event of Default (as defined below), all procedures for collection as permitted by law may, at the Commi</w:t>
      </w:r>
      <w:r w:rsidR="00C147DA" w:rsidRPr="00DB7A07">
        <w:rPr>
          <w:szCs w:val="22"/>
        </w:rPr>
        <w:t>ssion’s discretion, be initiated.</w:t>
      </w:r>
      <w:r w:rsidR="001907E6">
        <w:t xml:space="preserve">  </w:t>
      </w:r>
      <w:r w:rsidR="007A09F9">
        <w:t>Kajeet</w:t>
      </w:r>
      <w:r w:rsidRPr="00DB7A07">
        <w:rPr>
          <w:szCs w:val="22"/>
        </w:rPr>
        <w:t xml:space="preserve"> </w:t>
      </w:r>
      <w:r w:rsidRPr="007C0B39">
        <w:t xml:space="preserve">shall send electronic notification of payment to </w:t>
      </w:r>
      <w:r w:rsidR="001A160A">
        <w:t>Chief, Investigations and Hearings Division, Enforcement Bureau, Federal Communications Commission, 445 12</w:t>
      </w:r>
      <w:r w:rsidR="001A160A" w:rsidRPr="00DB7A07">
        <w:rPr>
          <w:vertAlign w:val="superscript"/>
        </w:rPr>
        <w:t>th</w:t>
      </w:r>
      <w:r w:rsidR="001A160A">
        <w:t xml:space="preserve"> Street, SW, Room 4-C224, Washington, DC 20554</w:t>
      </w:r>
      <w:r w:rsidR="001A160A" w:rsidRPr="007C0B39">
        <w:t xml:space="preserve">, with a copy submitted electronically </w:t>
      </w:r>
      <w:r w:rsidR="001A160A" w:rsidRPr="00DE6302">
        <w:t xml:space="preserve">to </w:t>
      </w:r>
      <w:hyperlink r:id="rId20" w:history="1">
        <w:r w:rsidR="001A160A" w:rsidRPr="00DB7A07">
          <w:rPr>
            <w:rStyle w:val="Hyperlink"/>
            <w:color w:val="auto"/>
            <w:u w:val="none"/>
          </w:rPr>
          <w:t>Jeffrey.Gee@fcc.gov</w:t>
        </w:r>
      </w:hyperlink>
      <w:r w:rsidR="001A160A" w:rsidRPr="00DE6302">
        <w:t xml:space="preserve">, </w:t>
      </w:r>
      <w:hyperlink r:id="rId21" w:history="1">
        <w:r w:rsidR="001A160A" w:rsidRPr="00DB7A07">
          <w:rPr>
            <w:rStyle w:val="Hyperlink"/>
            <w:color w:val="auto"/>
            <w:u w:val="none"/>
          </w:rPr>
          <w:t>Kalun.Lee@fcc.gov</w:t>
        </w:r>
      </w:hyperlink>
      <w:r w:rsidR="001A160A" w:rsidRPr="00DE6302">
        <w:t xml:space="preserve">, and </w:t>
      </w:r>
      <w:hyperlink r:id="rId22" w:history="1">
        <w:r w:rsidR="001A160A" w:rsidRPr="00DB7A07">
          <w:rPr>
            <w:rStyle w:val="Hyperlink"/>
            <w:color w:val="auto"/>
            <w:u w:val="none"/>
          </w:rPr>
          <w:t>Pam.Slipakoff@fcc.gov</w:t>
        </w:r>
      </w:hyperlink>
      <w:r w:rsidR="001A160A">
        <w:t xml:space="preserve"> </w:t>
      </w:r>
      <w:r w:rsidRPr="007C0B39">
        <w:t>on the date said payment is made.</w:t>
      </w:r>
      <w:bookmarkEnd w:id="11"/>
      <w:r w:rsidRPr="007C0B39">
        <w:t xml:space="preserve">  </w:t>
      </w:r>
      <w:r w:rsidRPr="00DB7A07">
        <w:rPr>
          <w:szCs w:val="22"/>
        </w:rPr>
        <w:t xml:space="preserve">The </w:t>
      </w:r>
      <w:r w:rsidRPr="007C0B39">
        <w:t xml:space="preserve">payment </w:t>
      </w:r>
      <w:r w:rsidRPr="00DB7A07">
        <w:rPr>
          <w:szCs w:val="22"/>
        </w:rPr>
        <w:t xml:space="preserve">must be made by check or similar instrument, wire transfer, or credit card, and must include </w:t>
      </w:r>
      <w:r w:rsidRPr="000A0007">
        <w:rPr>
          <w:szCs w:val="22"/>
        </w:rPr>
        <w:t xml:space="preserve">Account Number </w:t>
      </w:r>
      <w:r w:rsidR="00C87F88" w:rsidRPr="000A0007">
        <w:rPr>
          <w:spacing w:val="-2"/>
          <w:szCs w:val="22"/>
        </w:rPr>
        <w:t>201232080007</w:t>
      </w:r>
      <w:r w:rsidR="00C87F88" w:rsidRPr="00DB7A07">
        <w:rPr>
          <w:spacing w:val="-2"/>
          <w:szCs w:val="22"/>
        </w:rPr>
        <w:t xml:space="preserve"> and FCC Registration Number (FRN) </w:t>
      </w:r>
      <w:r w:rsidR="00C87F88" w:rsidRPr="00373D2C">
        <w:rPr>
          <w:szCs w:val="22"/>
        </w:rPr>
        <w:t>0019614908</w:t>
      </w:r>
      <w:r w:rsidRPr="00373D2C">
        <w:rPr>
          <w:szCs w:val="22"/>
        </w:rPr>
        <w:t>.</w:t>
      </w:r>
      <w:r w:rsidRPr="00DB7A07">
        <w:rPr>
          <w:szCs w:val="22"/>
        </w:rPr>
        <w:t xml:space="preserve">  Regardless of the form of payment, a completed FCC Form 159 (Remittance Advice) must be submitted.</w:t>
      </w:r>
      <w:r w:rsidRPr="007C0B39">
        <w:rPr>
          <w:rStyle w:val="FootnoteReference"/>
          <w:szCs w:val="22"/>
        </w:rPr>
        <w:footnoteReference w:id="51"/>
      </w:r>
      <w:r w:rsidRPr="00DB7A07">
        <w:rPr>
          <w:szCs w:val="22"/>
        </w:rPr>
        <w:t xml:space="preserve">  When completing the FCC Form 159, enter the Account Number in block number 23A (call sign/other ID) and enter the letters “FORF” in block number 24A (payment type code).  Below are additional instructions that should be </w:t>
      </w:r>
      <w:r w:rsidRPr="000A0007">
        <w:rPr>
          <w:szCs w:val="22"/>
        </w:rPr>
        <w:t>followed based on the form of payment selected:</w:t>
      </w:r>
    </w:p>
    <w:p w:rsidR="0001647A" w:rsidRPr="007C0B39" w:rsidRDefault="0001647A" w:rsidP="000D4982">
      <w:pPr>
        <w:pStyle w:val="ParaNum0"/>
        <w:widowControl/>
        <w:numPr>
          <w:ilvl w:val="0"/>
          <w:numId w:val="10"/>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rsidR="0001647A" w:rsidRPr="007C0B39" w:rsidRDefault="0001647A" w:rsidP="000D4982">
      <w:pPr>
        <w:pStyle w:val="ParaNum0"/>
        <w:widowControl/>
        <w:numPr>
          <w:ilvl w:val="0"/>
          <w:numId w:val="10"/>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01647A" w:rsidRPr="007C0B39" w:rsidRDefault="0001647A" w:rsidP="000D4982">
      <w:pPr>
        <w:pStyle w:val="ParaNum0"/>
        <w:widowControl/>
        <w:numPr>
          <w:ilvl w:val="0"/>
          <w:numId w:val="10"/>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01647A" w:rsidRPr="007C0B39" w:rsidRDefault="0001647A" w:rsidP="000D4982">
      <w:pPr>
        <w:widowControl/>
        <w:spacing w:after="120"/>
        <w:rPr>
          <w:rFonts w:eastAsia="MS Mincho"/>
        </w:rPr>
      </w:pPr>
      <w:r w:rsidRPr="007C0B39">
        <w:rPr>
          <w:rFonts w:eastAsia="MS Mincho"/>
        </w:rPr>
        <w:t>Questions regarding payment procedures should be addressed to the Financial Operations Group Help Desk by phone, 1-877-480-3201, or by e-mail, ARINQUIRIES@fcc.gov.</w:t>
      </w:r>
    </w:p>
    <w:p w:rsidR="00C147DA" w:rsidRDefault="0001647A" w:rsidP="000D4982">
      <w:pPr>
        <w:pStyle w:val="ParaNum0"/>
        <w:widowControl/>
        <w:tabs>
          <w:tab w:val="clear" w:pos="1080"/>
          <w:tab w:val="num" w:pos="1440"/>
        </w:tabs>
      </w:pPr>
      <w:r w:rsidRPr="00C147DA">
        <w:rPr>
          <w:b/>
          <w:u w:val="single"/>
        </w:rPr>
        <w:t>Event of Default</w:t>
      </w:r>
      <w:r w:rsidRPr="00C147DA">
        <w:t xml:space="preserve">.  </w:t>
      </w:r>
      <w:r w:rsidR="001A160A">
        <w:rPr>
          <w:szCs w:val="22"/>
        </w:rPr>
        <w:t>Kajeet</w:t>
      </w:r>
      <w:r w:rsidRPr="00C147DA">
        <w:t xml:space="preserve"> agrees that an Event of Default shall occur upon the failure by </w:t>
      </w:r>
      <w:r w:rsidR="007A09F9">
        <w:rPr>
          <w:szCs w:val="22"/>
        </w:rPr>
        <w:t>Kajeet</w:t>
      </w:r>
      <w:r w:rsidRPr="00C147DA">
        <w:rPr>
          <w:szCs w:val="22"/>
        </w:rPr>
        <w:t xml:space="preserve"> </w:t>
      </w:r>
      <w:r w:rsidRPr="00C147DA">
        <w:t>to pay the full amount of any Installment Payment on or before the due date specified in this Consent Decree</w:t>
      </w:r>
      <w:r w:rsidR="00C147DA">
        <w:t>.</w:t>
      </w:r>
    </w:p>
    <w:p w:rsidR="0001647A" w:rsidRPr="00C147DA" w:rsidRDefault="0001647A" w:rsidP="000D4982">
      <w:pPr>
        <w:pStyle w:val="ParaNum0"/>
        <w:widowControl/>
        <w:tabs>
          <w:tab w:val="clear" w:pos="1080"/>
          <w:tab w:val="num" w:pos="1440"/>
        </w:tabs>
      </w:pPr>
      <w:r w:rsidRPr="00C147DA">
        <w:rPr>
          <w:b/>
          <w:szCs w:val="22"/>
          <w:u w:val="single"/>
        </w:rPr>
        <w:t>Interest, Charges for Collection, and Acceleration of Maturity Date</w:t>
      </w:r>
      <w:r w:rsidRPr="00C147DA">
        <w:rPr>
          <w:szCs w:val="22"/>
        </w:rPr>
        <w:t xml:space="preserve">.  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7A09F9">
        <w:rPr>
          <w:szCs w:val="22"/>
        </w:rPr>
        <w:t>Kajeet.</w:t>
      </w:r>
      <w:r w:rsidR="001476B5">
        <w:rPr>
          <w:szCs w:val="22"/>
        </w:rPr>
        <w:t xml:space="preserve"> In the event of a default, Kajeet, Inc. and K</w:t>
      </w:r>
      <w:r w:rsidR="00190E44">
        <w:rPr>
          <w:szCs w:val="22"/>
        </w:rPr>
        <w:t>a</w:t>
      </w:r>
      <w:r w:rsidR="001476B5">
        <w:rPr>
          <w:szCs w:val="22"/>
        </w:rPr>
        <w:t>jeet/Airlink will be jointly and severally liable for the unpaid amounts plus these additional amounts.</w:t>
      </w:r>
    </w:p>
    <w:p w:rsidR="001907E6" w:rsidRDefault="0001647A" w:rsidP="000D4982">
      <w:pPr>
        <w:pStyle w:val="ParaNum0"/>
        <w:widowControl/>
        <w:tabs>
          <w:tab w:val="clear" w:pos="1080"/>
          <w:tab w:val="num" w:pos="1440"/>
        </w:tabs>
      </w:pPr>
      <w:r w:rsidRPr="007C0B39">
        <w:rPr>
          <w:b/>
          <w:u w:val="single"/>
        </w:rPr>
        <w:t>Waivers</w:t>
      </w:r>
      <w:r w:rsidRPr="007C0B39">
        <w:t xml:space="preserve">.  As of the Effective Date, </w:t>
      </w:r>
      <w:r w:rsidR="001A160A">
        <w:rPr>
          <w:szCs w:val="22"/>
        </w:rPr>
        <w:t>Kajeet</w:t>
      </w:r>
      <w:r w:rsidR="001A160A" w:rsidRPr="00C147DA">
        <w:t xml:space="preserve"> </w:t>
      </w:r>
      <w:r w:rsidRPr="007C0B39">
        <w:t xml:space="preserve">waives any and all rights it may have to seek administrative or judicial reconsideration, review, appeal or stay, or to otherwise challenge or contest the validity of this Consent Decree and the Adopting Order.  </w:t>
      </w:r>
      <w:r w:rsidR="001A160A">
        <w:rPr>
          <w:szCs w:val="22"/>
        </w:rPr>
        <w:t>Kajeet</w:t>
      </w:r>
      <w:r w:rsidR="001A160A" w:rsidRPr="00C147DA">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001A160A">
        <w:rPr>
          <w:szCs w:val="22"/>
        </w:rPr>
        <w:t>Kajeet</w:t>
      </w:r>
      <w:r w:rsidR="001A160A" w:rsidRPr="00C147DA">
        <w:t xml:space="preserve"> </w:t>
      </w:r>
      <w:r w:rsidRPr="007C0B39">
        <w:t xml:space="preserve">nor the Commission shall contest the validity of the Consent Decree or the Adopting Order, and </w:t>
      </w:r>
      <w:r w:rsidR="0092200C">
        <w:rPr>
          <w:szCs w:val="22"/>
        </w:rPr>
        <w:t>Kajeet</w:t>
      </w:r>
      <w:r w:rsidR="0092200C" w:rsidRPr="00C147DA">
        <w:t xml:space="preserve"> </w:t>
      </w:r>
      <w:r w:rsidRPr="007C0B39">
        <w:t xml:space="preserve">shall waive any statutory right to a trial </w:t>
      </w:r>
      <w:r w:rsidRPr="007C0B39">
        <w:rPr>
          <w:i/>
        </w:rPr>
        <w:t>de novo</w:t>
      </w:r>
      <w:r w:rsidRPr="007C0B39">
        <w:t xml:space="preserve">.  </w:t>
      </w:r>
      <w:r w:rsidR="007A09F9">
        <w:rPr>
          <w:szCs w:val="22"/>
        </w:rPr>
        <w:t>Kajeet</w:t>
      </w:r>
      <w:r w:rsidR="007A09F9" w:rsidRPr="007C0B39">
        <w:t xml:space="preserve"> </w:t>
      </w:r>
      <w:r w:rsidRPr="007C0B39">
        <w:t>hereby agrees to waive any claims it may otherwise have under the Equal Access to Justice Act</w:t>
      </w:r>
      <w:r w:rsidR="00956F53" w:rsidRPr="00831C65">
        <w:rPr>
          <w:rStyle w:val="FootnoteReference"/>
        </w:rPr>
        <w:footnoteReference w:id="52"/>
      </w:r>
      <w:r w:rsidR="00956F53" w:rsidRPr="00831C65">
        <w:t xml:space="preserve"> </w:t>
      </w:r>
      <w:r w:rsidRPr="007C0B39">
        <w:t xml:space="preserve"> relating to the matters addressed in this Consent Decree.</w:t>
      </w:r>
    </w:p>
    <w:p w:rsidR="001907E6" w:rsidRDefault="0001647A" w:rsidP="000D4982">
      <w:pPr>
        <w:pStyle w:val="ParaNum0"/>
        <w:widowControl/>
        <w:tabs>
          <w:tab w:val="clear" w:pos="1080"/>
          <w:tab w:val="num" w:pos="1440"/>
        </w:tabs>
      </w:pPr>
      <w:r w:rsidRPr="001907E6">
        <w:rPr>
          <w:b/>
          <w:szCs w:val="22"/>
          <w:u w:val="single"/>
        </w:rPr>
        <w:t>Severability</w:t>
      </w:r>
      <w:r w:rsidRPr="001907E6">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907E6" w:rsidRDefault="0001647A" w:rsidP="000D4982">
      <w:pPr>
        <w:pStyle w:val="ParaNum0"/>
        <w:widowControl/>
        <w:tabs>
          <w:tab w:val="clear" w:pos="1080"/>
          <w:tab w:val="num" w:pos="1440"/>
        </w:tabs>
      </w:pPr>
      <w:r w:rsidRPr="001907E6">
        <w:rPr>
          <w:b/>
          <w:szCs w:val="22"/>
          <w:u w:val="single"/>
        </w:rPr>
        <w:t>Invalidity</w:t>
      </w:r>
      <w:r w:rsidRPr="001907E6">
        <w:rPr>
          <w:szCs w:val="22"/>
        </w:rPr>
        <w:t>.  In the event that this Consent Decree in its entirety is rendered invalid by any court of competent jurisdiction, it shall become null and void and may not be used in any manner in any legal proceeding.</w:t>
      </w:r>
    </w:p>
    <w:p w:rsidR="001907E6" w:rsidRDefault="0001647A" w:rsidP="000D4982">
      <w:pPr>
        <w:pStyle w:val="ParaNum0"/>
        <w:widowControl/>
        <w:tabs>
          <w:tab w:val="clear" w:pos="1080"/>
          <w:tab w:val="num" w:pos="1440"/>
        </w:tabs>
      </w:pPr>
      <w:r w:rsidRPr="001907E6">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rsidR="0092200C">
        <w:rPr>
          <w:szCs w:val="22"/>
        </w:rPr>
        <w:t>Kajeet</w:t>
      </w:r>
      <w:r w:rsidR="0092200C" w:rsidRPr="00C147DA">
        <w:t xml:space="preserve"> </w:t>
      </w:r>
      <w:r w:rsidRPr="007C0B39">
        <w:t>does not expressly consent) that provision will be superseded by such Rule or Order.</w:t>
      </w:r>
    </w:p>
    <w:p w:rsidR="001907E6" w:rsidRDefault="0001647A" w:rsidP="000D4982">
      <w:pPr>
        <w:pStyle w:val="ParaNum0"/>
        <w:widowControl/>
        <w:tabs>
          <w:tab w:val="clear" w:pos="1080"/>
          <w:tab w:val="num" w:pos="1440"/>
        </w:tabs>
      </w:pPr>
      <w:r w:rsidRPr="001907E6">
        <w:rPr>
          <w:b/>
          <w:u w:val="single"/>
        </w:rPr>
        <w:t>Successors and Assigns</w:t>
      </w:r>
      <w:r w:rsidRPr="007C0B39">
        <w:t xml:space="preserve">.  </w:t>
      </w:r>
      <w:r w:rsidR="0092200C">
        <w:rPr>
          <w:szCs w:val="22"/>
        </w:rPr>
        <w:t>Kajeet</w:t>
      </w:r>
      <w:r w:rsidR="0092200C" w:rsidRPr="00C147DA">
        <w:t xml:space="preserve"> </w:t>
      </w:r>
      <w:r w:rsidRPr="007C0B39">
        <w:t>agrees that the provisions of this Consent Decree shall be binding on its successors, assigns, and transferees.</w:t>
      </w:r>
    </w:p>
    <w:p w:rsidR="001907E6" w:rsidRDefault="0001647A" w:rsidP="000D4982">
      <w:pPr>
        <w:pStyle w:val="ParaNum0"/>
        <w:widowControl/>
        <w:tabs>
          <w:tab w:val="clear" w:pos="1080"/>
          <w:tab w:val="num" w:pos="1440"/>
        </w:tabs>
      </w:pPr>
      <w:r w:rsidRPr="001907E6">
        <w:rPr>
          <w:b/>
          <w:szCs w:val="22"/>
          <w:u w:val="single"/>
        </w:rPr>
        <w:t>Final Settlement</w:t>
      </w:r>
      <w:r w:rsidRPr="001907E6">
        <w:rPr>
          <w:szCs w:val="22"/>
        </w:rPr>
        <w:t>.  The Parties agree and acknowledge that this Consent Decree shall constitute a final settlement between the Parties with respect to the Investigation</w:t>
      </w:r>
      <w:r w:rsidR="001907E6">
        <w:rPr>
          <w:szCs w:val="22"/>
        </w:rPr>
        <w:t>.</w:t>
      </w:r>
    </w:p>
    <w:p w:rsidR="001907E6" w:rsidRDefault="0001647A" w:rsidP="000D4982">
      <w:pPr>
        <w:pStyle w:val="ParaNum0"/>
        <w:widowControl/>
        <w:tabs>
          <w:tab w:val="clear" w:pos="1080"/>
          <w:tab w:val="num" w:pos="1440"/>
        </w:tabs>
      </w:pPr>
      <w:r w:rsidRPr="001907E6">
        <w:rPr>
          <w:b/>
          <w:szCs w:val="22"/>
          <w:u w:val="single"/>
        </w:rPr>
        <w:t>Modifications</w:t>
      </w:r>
      <w:r w:rsidRPr="001907E6">
        <w:rPr>
          <w:szCs w:val="22"/>
        </w:rPr>
        <w:t xml:space="preserve">.  This Consent Decree cannot </w:t>
      </w:r>
      <w:r w:rsidRPr="007C0B39">
        <w:t>be</w:t>
      </w:r>
      <w:r w:rsidRPr="001907E6">
        <w:rPr>
          <w:szCs w:val="22"/>
        </w:rPr>
        <w:t xml:space="preserve"> modified without the advance written consent of both Parties.</w:t>
      </w:r>
    </w:p>
    <w:p w:rsidR="001907E6" w:rsidRDefault="0001647A" w:rsidP="000D4982">
      <w:pPr>
        <w:pStyle w:val="ParaNum0"/>
        <w:widowControl/>
        <w:tabs>
          <w:tab w:val="clear" w:pos="1080"/>
          <w:tab w:val="num" w:pos="1440"/>
        </w:tabs>
      </w:pPr>
      <w:r w:rsidRPr="001907E6">
        <w:rPr>
          <w:b/>
          <w:szCs w:val="22"/>
          <w:u w:val="single"/>
        </w:rPr>
        <w:t>Paragraph Headings</w:t>
      </w:r>
      <w:r w:rsidRPr="001907E6">
        <w:rPr>
          <w:szCs w:val="22"/>
        </w:rPr>
        <w:t xml:space="preserve">.  The headings of the </w:t>
      </w:r>
      <w:r w:rsidRPr="007C0B39">
        <w:t>paragraphs</w:t>
      </w:r>
      <w:r w:rsidRPr="001907E6">
        <w:rPr>
          <w:szCs w:val="22"/>
        </w:rPr>
        <w:t xml:space="preserve"> in this Consent Decree are inserted for convenience only and are not intended to affect the meaning or interpretation of this Consent Decree.</w:t>
      </w:r>
    </w:p>
    <w:p w:rsidR="00BD7DBD" w:rsidRDefault="0001647A" w:rsidP="000D4982">
      <w:pPr>
        <w:pStyle w:val="ParaNum0"/>
        <w:widowControl/>
        <w:tabs>
          <w:tab w:val="clear" w:pos="1080"/>
          <w:tab w:val="num" w:pos="1440"/>
        </w:tabs>
        <w:rPr>
          <w:szCs w:val="22"/>
        </w:rPr>
      </w:pPr>
      <w:r w:rsidRPr="001907E6">
        <w:rPr>
          <w:b/>
          <w:szCs w:val="22"/>
          <w:u w:val="single"/>
        </w:rPr>
        <w:t>Authorized Representative</w:t>
      </w:r>
      <w:r w:rsidRPr="001907E6">
        <w:rPr>
          <w:szCs w:val="22"/>
        </w:rPr>
        <w:t xml:space="preserve">.  Each Party </w:t>
      </w:r>
      <w:r w:rsidRPr="007C0B39">
        <w:t>represents</w:t>
      </w:r>
      <w:r w:rsidRPr="001907E6">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B0A80" w:rsidRDefault="007B0A80" w:rsidP="007B0A80">
      <w:pPr>
        <w:pStyle w:val="ParaNum0"/>
        <w:widowControl/>
        <w:numPr>
          <w:ilvl w:val="0"/>
          <w:numId w:val="0"/>
        </w:numPr>
        <w:rPr>
          <w:b/>
          <w:szCs w:val="22"/>
          <w:u w:val="single"/>
        </w:rPr>
      </w:pPr>
      <w:r>
        <w:rPr>
          <w:b/>
          <w:szCs w:val="22"/>
          <w:u w:val="single"/>
        </w:rPr>
        <w:br w:type="page"/>
      </w:r>
    </w:p>
    <w:p w:rsidR="007B0A80" w:rsidRDefault="007B0A80" w:rsidP="007B0A80">
      <w:pPr>
        <w:pStyle w:val="ParaNum0"/>
        <w:widowControl/>
        <w:numPr>
          <w:ilvl w:val="0"/>
          <w:numId w:val="0"/>
        </w:numPr>
        <w:rPr>
          <w:szCs w:val="22"/>
        </w:rPr>
      </w:pPr>
    </w:p>
    <w:p w:rsidR="0001647A" w:rsidRPr="00BD7DBD" w:rsidRDefault="0001647A" w:rsidP="000D4982">
      <w:pPr>
        <w:pStyle w:val="ParaNum0"/>
        <w:widowControl/>
        <w:tabs>
          <w:tab w:val="clear" w:pos="1080"/>
          <w:tab w:val="num" w:pos="1440"/>
        </w:tabs>
        <w:rPr>
          <w:szCs w:val="22"/>
        </w:rPr>
      </w:pPr>
      <w:r w:rsidRPr="00BD7DBD">
        <w:rPr>
          <w:b/>
          <w:u w:val="single"/>
        </w:rPr>
        <w:t>Counterparts</w:t>
      </w:r>
      <w:r w:rsidRPr="00BD7DBD">
        <w:rPr>
          <w:szCs w:val="22"/>
        </w:rPr>
        <w:t xml:space="preserve">.  This Consent Decree may be </w:t>
      </w:r>
      <w:r w:rsidRPr="007C0B39">
        <w:t>signed</w:t>
      </w:r>
      <w:r w:rsidRPr="00BD7DBD">
        <w:rPr>
          <w:szCs w:val="22"/>
        </w:rPr>
        <w:t xml:space="preserve"> in counterpart (including electronically or by facsimile).  Each counterpart, when executed and delivered, shall be an original, and all of the counterparts together shall constitute one and the same fully executed instrument.</w:t>
      </w:r>
    </w:p>
    <w:p w:rsidR="0001647A" w:rsidRPr="007C0B39" w:rsidRDefault="0001647A" w:rsidP="000D4982">
      <w:pPr>
        <w:keepNext/>
        <w:keepLines/>
        <w:widowControl/>
      </w:pPr>
    </w:p>
    <w:p w:rsidR="0001647A" w:rsidRDefault="0001647A" w:rsidP="000D4982">
      <w:pPr>
        <w:keepNext/>
        <w:keepLines/>
        <w:widowControl/>
      </w:pPr>
    </w:p>
    <w:p w:rsidR="007B0A80" w:rsidRDefault="007B0A80" w:rsidP="000D4982">
      <w:pPr>
        <w:keepNext/>
        <w:keepLines/>
        <w:widowControl/>
      </w:pPr>
    </w:p>
    <w:p w:rsidR="007B0A80" w:rsidRDefault="007B0A80" w:rsidP="000D4982">
      <w:pPr>
        <w:keepNext/>
        <w:keepLines/>
        <w:widowControl/>
      </w:pPr>
    </w:p>
    <w:p w:rsidR="007B0A80" w:rsidRDefault="007B0A80" w:rsidP="000D4982">
      <w:pPr>
        <w:keepNext/>
        <w:keepLines/>
        <w:widowControl/>
      </w:pPr>
    </w:p>
    <w:p w:rsidR="007B0A80" w:rsidRPr="007C0B39" w:rsidRDefault="007B0A80" w:rsidP="000D4982">
      <w:pPr>
        <w:keepNext/>
        <w:keepLines/>
        <w:widowControl/>
      </w:pPr>
    </w:p>
    <w:p w:rsidR="0001647A" w:rsidRPr="007C0B39" w:rsidRDefault="0001647A" w:rsidP="000D4982">
      <w:pPr>
        <w:keepNext/>
        <w:keepLines/>
        <w:widowControl/>
      </w:pPr>
      <w:r w:rsidRPr="007C0B39">
        <w:t>________________________________</w:t>
      </w:r>
    </w:p>
    <w:p w:rsidR="0001647A" w:rsidRPr="007C0B39" w:rsidRDefault="00D01CA9" w:rsidP="000D4982">
      <w:pPr>
        <w:keepNext/>
        <w:keepLines/>
        <w:widowControl/>
      </w:pPr>
      <w:r>
        <w:t>Travis LeBlanc</w:t>
      </w:r>
    </w:p>
    <w:p w:rsidR="0001647A" w:rsidRPr="007C0B39" w:rsidRDefault="00D01CA9" w:rsidP="000D4982">
      <w:pPr>
        <w:keepNext/>
        <w:keepLines/>
        <w:widowControl/>
      </w:pPr>
      <w:r>
        <w:t>Chief</w:t>
      </w:r>
    </w:p>
    <w:p w:rsidR="0001647A" w:rsidRPr="007C0B39" w:rsidRDefault="0001647A" w:rsidP="000D4982">
      <w:pPr>
        <w:keepNext/>
        <w:keepLines/>
        <w:widowControl/>
      </w:pPr>
      <w:r w:rsidRPr="007C0B39">
        <w:t>Enforcement Bureau</w:t>
      </w:r>
    </w:p>
    <w:p w:rsidR="0001647A" w:rsidRPr="007C0B39" w:rsidRDefault="0001647A" w:rsidP="000D4982">
      <w:pPr>
        <w:keepNext/>
        <w:keepLines/>
        <w:widowControl/>
      </w:pPr>
    </w:p>
    <w:p w:rsidR="0001647A" w:rsidRPr="007C0B39" w:rsidRDefault="0001647A" w:rsidP="000D4982">
      <w:pPr>
        <w:keepNext/>
        <w:keepLines/>
        <w:widowControl/>
      </w:pPr>
    </w:p>
    <w:p w:rsidR="0001647A" w:rsidRPr="007C0B39" w:rsidRDefault="0001647A" w:rsidP="000D4982">
      <w:pPr>
        <w:keepNext/>
        <w:keepLines/>
        <w:widowControl/>
      </w:pPr>
      <w:r w:rsidRPr="007C0B39">
        <w:t>________________________________</w:t>
      </w:r>
    </w:p>
    <w:p w:rsidR="0001647A" w:rsidRPr="007C0B39" w:rsidRDefault="0001647A" w:rsidP="000D4982">
      <w:pPr>
        <w:keepNext/>
        <w:keepLines/>
        <w:widowControl/>
      </w:pPr>
      <w:r w:rsidRPr="007C0B39">
        <w:t>Date</w:t>
      </w:r>
    </w:p>
    <w:p w:rsidR="0001647A" w:rsidRPr="007C0B39" w:rsidRDefault="0001647A" w:rsidP="000D4982">
      <w:pPr>
        <w:keepNext/>
        <w:keepLines/>
        <w:widowControl/>
      </w:pPr>
    </w:p>
    <w:p w:rsidR="0001647A" w:rsidRDefault="0001647A" w:rsidP="000D4982">
      <w:pPr>
        <w:keepLines/>
        <w:widowControl/>
      </w:pPr>
    </w:p>
    <w:p w:rsidR="007B0A80" w:rsidRDefault="007B0A80" w:rsidP="000D4982">
      <w:pPr>
        <w:keepLines/>
        <w:widowControl/>
      </w:pPr>
    </w:p>
    <w:p w:rsidR="007B0A80" w:rsidRPr="007C0B39" w:rsidRDefault="007B0A80" w:rsidP="000D4982">
      <w:pPr>
        <w:keepLines/>
        <w:widowControl/>
      </w:pPr>
    </w:p>
    <w:p w:rsidR="0001647A" w:rsidRPr="007C0B39" w:rsidRDefault="0001647A" w:rsidP="000D4982">
      <w:pPr>
        <w:keepLines/>
        <w:widowControl/>
      </w:pPr>
    </w:p>
    <w:p w:rsidR="0001647A" w:rsidRPr="007C0B39" w:rsidRDefault="0001647A" w:rsidP="000D4982">
      <w:pPr>
        <w:keepLines/>
        <w:widowControl/>
      </w:pPr>
      <w:r w:rsidRPr="007C0B39">
        <w:t>________________________________</w:t>
      </w:r>
    </w:p>
    <w:p w:rsidR="0001647A" w:rsidRPr="007C0B39" w:rsidRDefault="00D01CA9" w:rsidP="000D4982">
      <w:pPr>
        <w:keepLines/>
        <w:widowControl/>
      </w:pPr>
      <w:r>
        <w:t>Daniel J. Neal</w:t>
      </w:r>
    </w:p>
    <w:p w:rsidR="0001647A" w:rsidRPr="007C0B39" w:rsidRDefault="00D01CA9" w:rsidP="000D4982">
      <w:pPr>
        <w:keepLines/>
        <w:widowControl/>
      </w:pPr>
      <w:r>
        <w:t>Chief Executive Officer</w:t>
      </w:r>
    </w:p>
    <w:p w:rsidR="0001647A" w:rsidRPr="0092200C" w:rsidRDefault="00D01CA9" w:rsidP="000D4982">
      <w:pPr>
        <w:keepLines/>
        <w:widowControl/>
        <w:rPr>
          <w:b/>
        </w:rPr>
      </w:pPr>
      <w:r>
        <w:t>Kajeet</w:t>
      </w:r>
      <w:r w:rsidR="001830AA">
        <w:t>, Inc. and Kajeet/Airlink, LLC.</w:t>
      </w:r>
    </w:p>
    <w:p w:rsidR="0001647A" w:rsidRDefault="0001647A" w:rsidP="000D4982">
      <w:pPr>
        <w:keepLines/>
        <w:widowControl/>
      </w:pPr>
    </w:p>
    <w:p w:rsidR="007B0A80" w:rsidRPr="007C0B39" w:rsidRDefault="007B0A80" w:rsidP="000D4982">
      <w:pPr>
        <w:keepLines/>
        <w:widowControl/>
      </w:pPr>
    </w:p>
    <w:p w:rsidR="007B0A80" w:rsidRDefault="007B0A80" w:rsidP="000D4982">
      <w:pPr>
        <w:keepLines/>
        <w:widowControl/>
      </w:pPr>
    </w:p>
    <w:p w:rsidR="0001647A" w:rsidRPr="007C0B39" w:rsidRDefault="0001647A" w:rsidP="000D4982">
      <w:pPr>
        <w:keepLines/>
        <w:widowControl/>
      </w:pPr>
      <w:r w:rsidRPr="007C0B39">
        <w:t>________________________________</w:t>
      </w:r>
    </w:p>
    <w:p w:rsidR="0001647A" w:rsidRPr="002C00E8" w:rsidRDefault="0001647A" w:rsidP="000D4982">
      <w:pPr>
        <w:keepLines/>
        <w:widowControl/>
      </w:pPr>
      <w:r w:rsidRPr="007C0B39">
        <w:t>Date</w:t>
      </w:r>
    </w:p>
    <w:p w:rsidR="00F84BCA" w:rsidRDefault="00F84BCA" w:rsidP="000D4982">
      <w:pPr>
        <w:widowControl/>
        <w:ind w:left="2880" w:firstLine="720"/>
        <w:outlineLvl w:val="0"/>
        <w:rPr>
          <w:szCs w:val="22"/>
        </w:rPr>
      </w:pPr>
    </w:p>
    <w:p w:rsidR="00412FC5" w:rsidRPr="008C4282" w:rsidRDefault="00412FC5" w:rsidP="000D4982">
      <w:pPr>
        <w:widowControl/>
        <w:rPr>
          <w:szCs w:val="22"/>
        </w:rPr>
      </w:pPr>
    </w:p>
    <w:sectPr w:rsidR="00412FC5" w:rsidRPr="008C4282" w:rsidSect="008921F4">
      <w:footnotePr>
        <w:numRestart w:val="eachSect"/>
      </w:footnotePr>
      <w:endnotePr>
        <w:numFmt w:val="decimal"/>
      </w:endnotePr>
      <w:type w:val="continuous"/>
      <w:pgSz w:w="12240" w:h="15840"/>
      <w:pgMar w:top="1095"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F2" w:rsidRDefault="00EE58F2">
      <w:pPr>
        <w:spacing w:line="20" w:lineRule="exact"/>
      </w:pPr>
    </w:p>
  </w:endnote>
  <w:endnote w:type="continuationSeparator" w:id="0">
    <w:p w:rsidR="00EE58F2" w:rsidRDefault="00EE58F2">
      <w:r>
        <w:t xml:space="preserve"> </w:t>
      </w:r>
    </w:p>
  </w:endnote>
  <w:endnote w:type="continuationNotice" w:id="1">
    <w:p w:rsidR="00EE58F2" w:rsidRDefault="00EE58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88" w:rsidRDefault="00C87F88" w:rsidP="0055614C">
    <w:pPr>
      <w:pStyle w:val="Footer"/>
      <w:framePr w:wrap="around" w:vAnchor="text" w:hAnchor="margin" w:xAlign="center" w:y="1"/>
    </w:pPr>
    <w:r>
      <w:fldChar w:fldCharType="begin"/>
    </w:r>
    <w:r>
      <w:instrText xml:space="preserve">PAGE  </w:instrText>
    </w:r>
    <w:r>
      <w:fldChar w:fldCharType="end"/>
    </w:r>
  </w:p>
  <w:p w:rsidR="00C87F88" w:rsidRDefault="00C87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87443"/>
      <w:docPartObj>
        <w:docPartGallery w:val="Page Numbers (Bottom of Page)"/>
        <w:docPartUnique/>
      </w:docPartObj>
    </w:sdtPr>
    <w:sdtEndPr>
      <w:rPr>
        <w:noProof/>
      </w:rPr>
    </w:sdtEndPr>
    <w:sdtContent>
      <w:p w:rsidR="00C87F88" w:rsidRDefault="00C87F88">
        <w:pPr>
          <w:pStyle w:val="Footer"/>
          <w:jc w:val="center"/>
        </w:pPr>
        <w:r>
          <w:fldChar w:fldCharType="begin"/>
        </w:r>
        <w:r>
          <w:instrText xml:space="preserve"> PAGE   \* MERGEFORMAT </w:instrText>
        </w:r>
        <w:r>
          <w:fldChar w:fldCharType="separate"/>
        </w:r>
        <w:r w:rsidR="0067379D">
          <w:rPr>
            <w:noProof/>
          </w:rPr>
          <w:t>2</w:t>
        </w:r>
        <w:r>
          <w:rPr>
            <w:noProof/>
          </w:rPr>
          <w:fldChar w:fldCharType="end"/>
        </w:r>
      </w:p>
    </w:sdtContent>
  </w:sdt>
  <w:p w:rsidR="00C87F88" w:rsidRPr="007B3BDA" w:rsidRDefault="00C87F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88" w:rsidRDefault="00C87F8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F2" w:rsidRDefault="00EE58F2">
      <w:pPr>
        <w:rPr>
          <w:noProof/>
        </w:rPr>
      </w:pPr>
      <w:r>
        <w:rPr>
          <w:noProof/>
        </w:rPr>
        <w:separator/>
      </w:r>
    </w:p>
  </w:footnote>
  <w:footnote w:type="continuationSeparator" w:id="0">
    <w:p w:rsidR="00EE58F2" w:rsidRDefault="00EE58F2">
      <w:pPr>
        <w:rPr>
          <w:sz w:val="20"/>
        </w:rPr>
      </w:pPr>
      <w:r>
        <w:rPr>
          <w:sz w:val="20"/>
        </w:rPr>
        <w:t xml:space="preserve">(Continued from previous page)  </w:t>
      </w:r>
      <w:r>
        <w:rPr>
          <w:sz w:val="20"/>
        </w:rPr>
        <w:separator/>
      </w:r>
    </w:p>
  </w:footnote>
  <w:footnote w:type="continuationNotice" w:id="1">
    <w:p w:rsidR="00EE58F2" w:rsidRDefault="00EE58F2">
      <w:pPr>
        <w:rPr>
          <w:sz w:val="20"/>
        </w:rPr>
      </w:pPr>
      <w:r>
        <w:rPr>
          <w:sz w:val="20"/>
        </w:rPr>
        <w:t>(continued….)</w:t>
      </w:r>
    </w:p>
  </w:footnote>
  <w:footnote w:id="2">
    <w:p w:rsidR="00C87F88" w:rsidRDefault="00C87F88" w:rsidP="00A62713">
      <w:pPr>
        <w:pStyle w:val="FootnoteText"/>
      </w:pPr>
      <w:r>
        <w:rPr>
          <w:rStyle w:val="FootnoteReference"/>
        </w:rPr>
        <w:footnoteRef/>
      </w:r>
      <w:r>
        <w:t xml:space="preserve"> This investigation, initiated under File No. EB-09-IH-1972, was subsequently assigned File No. EB-IHD-13-00011158.</w:t>
      </w:r>
    </w:p>
  </w:footnote>
  <w:footnote w:id="3">
    <w:p w:rsidR="00C87F88" w:rsidRDefault="00C87F88" w:rsidP="007A09F9">
      <w:pPr>
        <w:pStyle w:val="FootnoteText"/>
      </w:pPr>
      <w:r>
        <w:rPr>
          <w:rStyle w:val="FootnoteReference"/>
        </w:rPr>
        <w:footnoteRef/>
      </w:r>
      <w:r>
        <w:t xml:space="preserve"> 47 U.S.C. §§ 214, 251(e)(2), 254(d).</w:t>
      </w:r>
    </w:p>
  </w:footnote>
  <w:footnote w:id="4">
    <w:p w:rsidR="00C87F88" w:rsidRDefault="00C87F88" w:rsidP="007A09F9">
      <w:pPr>
        <w:pStyle w:val="FootnoteText"/>
      </w:pPr>
      <w:r>
        <w:rPr>
          <w:rStyle w:val="FootnoteReference"/>
        </w:rPr>
        <w:footnoteRef/>
      </w:r>
      <w:r>
        <w:t xml:space="preserve"> 47 C.F.R. §§ 52.32(a), 54.706(a), 63.24, </w:t>
      </w:r>
      <w:r w:rsidRPr="00D87393">
        <w:t>64.604(c)(5)(iii)(A)</w:t>
      </w:r>
      <w:r>
        <w:t xml:space="preserve">. </w:t>
      </w:r>
    </w:p>
  </w:footnote>
  <w:footnote w:id="5">
    <w:p w:rsidR="00ED399C" w:rsidRDefault="00ED399C" w:rsidP="00ED399C">
      <w:pPr>
        <w:pStyle w:val="FootnoteText"/>
      </w:pPr>
      <w:r>
        <w:rPr>
          <w:rStyle w:val="FootnoteReference"/>
        </w:rPr>
        <w:footnoteRef/>
      </w:r>
      <w:r>
        <w:t xml:space="preserve"> </w:t>
      </w:r>
      <w:r w:rsidRPr="002D79A1">
        <w:rPr>
          <w:i/>
        </w:rPr>
        <w:t>See</w:t>
      </w:r>
      <w:r>
        <w:t xml:space="preserve"> 47 C</w:t>
      </w:r>
      <w:r w:rsidR="004D6CFF">
        <w:t>.</w:t>
      </w:r>
      <w:r>
        <w:t>F</w:t>
      </w:r>
      <w:r w:rsidR="004D6CFF">
        <w:t>.</w:t>
      </w:r>
      <w:r>
        <w:t>R</w:t>
      </w:r>
      <w:r w:rsidR="004D6CFF">
        <w:t>.</w:t>
      </w:r>
      <w:r>
        <w:t xml:space="preserve"> </w:t>
      </w:r>
      <w:r w:rsidR="007A6734">
        <w:t xml:space="preserve">§ </w:t>
      </w:r>
      <w:r>
        <w:t>1.93(b).</w:t>
      </w:r>
    </w:p>
  </w:footnote>
  <w:footnote w:id="6">
    <w:p w:rsidR="00C87F88" w:rsidRPr="00D84548" w:rsidRDefault="00C87F88">
      <w:pPr>
        <w:pStyle w:val="FootnoteText"/>
      </w:pPr>
      <w:r w:rsidRPr="00D84548">
        <w:rPr>
          <w:rStyle w:val="FootnoteReference"/>
        </w:rPr>
        <w:footnoteRef/>
      </w:r>
      <w:r w:rsidRPr="00D84548">
        <w:t xml:space="preserve"> </w:t>
      </w:r>
      <w:r>
        <w:rPr>
          <w:szCs w:val="22"/>
        </w:rPr>
        <w:t xml:space="preserve">47 U.S.C. </w:t>
      </w:r>
      <w:r w:rsidRPr="00D84548">
        <w:rPr>
          <w:szCs w:val="22"/>
        </w:rPr>
        <w:t>§§</w:t>
      </w:r>
      <w:r>
        <w:rPr>
          <w:szCs w:val="22"/>
        </w:rPr>
        <w:t xml:space="preserve"> 154(i)</w:t>
      </w:r>
      <w:r w:rsidRPr="00D84548">
        <w:rPr>
          <w:szCs w:val="22"/>
        </w:rPr>
        <w:t>, 503(b)</w:t>
      </w:r>
      <w:r>
        <w:rPr>
          <w:szCs w:val="22"/>
        </w:rPr>
        <w:t>.</w:t>
      </w:r>
    </w:p>
  </w:footnote>
  <w:footnote w:id="7">
    <w:p w:rsidR="00C87F88" w:rsidRDefault="00C87F88">
      <w:pPr>
        <w:pStyle w:val="FootnoteText"/>
      </w:pPr>
      <w:r w:rsidRPr="00D84548">
        <w:rPr>
          <w:rStyle w:val="FootnoteReference"/>
        </w:rPr>
        <w:footnoteRef/>
      </w:r>
      <w:r w:rsidRPr="00D84548">
        <w:t xml:space="preserve"> </w:t>
      </w:r>
      <w:r w:rsidRPr="00D84548">
        <w:rPr>
          <w:szCs w:val="22"/>
        </w:rPr>
        <w:t>47 C.F.R §§ 0.111, 0.311.</w:t>
      </w:r>
    </w:p>
  </w:footnote>
  <w:footnote w:id="8">
    <w:p w:rsidR="00C87F88" w:rsidRDefault="00C87F88" w:rsidP="00A62713">
      <w:pPr>
        <w:pStyle w:val="FootnoteText"/>
      </w:pPr>
      <w:r>
        <w:rPr>
          <w:rStyle w:val="FootnoteReference"/>
        </w:rPr>
        <w:footnoteRef/>
      </w:r>
      <w:r>
        <w:t xml:space="preserve"> This investigation, initiated under File No. EB-09-IH-1972, was subsequently assigned File No. EB-IHD-13-00011158.</w:t>
      </w:r>
    </w:p>
  </w:footnote>
  <w:footnote w:id="9">
    <w:p w:rsidR="00035A53" w:rsidRDefault="00035A53">
      <w:pPr>
        <w:pStyle w:val="FootnoteText"/>
      </w:pPr>
      <w:r>
        <w:rPr>
          <w:rStyle w:val="FootnoteReference"/>
        </w:rPr>
        <w:footnoteRef/>
      </w:r>
      <w:r>
        <w:t xml:space="preserve"> 47 U.S.C. §§, 251(e)(2), 254(d)</w:t>
      </w:r>
    </w:p>
  </w:footnote>
  <w:footnote w:id="10">
    <w:p w:rsidR="00035A53" w:rsidRDefault="00035A53">
      <w:pPr>
        <w:pStyle w:val="FootnoteText"/>
      </w:pPr>
      <w:r>
        <w:rPr>
          <w:rStyle w:val="FootnoteReference"/>
        </w:rPr>
        <w:footnoteRef/>
      </w:r>
      <w:r>
        <w:t xml:space="preserve"> </w:t>
      </w:r>
      <w:r>
        <w:rPr>
          <w:color w:val="000000"/>
          <w:szCs w:val="22"/>
        </w:rPr>
        <w:t xml:space="preserve">47 U.S.C. § 214; </w:t>
      </w:r>
      <w:r w:rsidRPr="00E179EE">
        <w:rPr>
          <w:szCs w:val="22"/>
        </w:rPr>
        <w:t xml:space="preserve">47 C.F.R. </w:t>
      </w:r>
      <w:r w:rsidRPr="00E179EE">
        <w:rPr>
          <w:color w:val="000000"/>
          <w:szCs w:val="22"/>
        </w:rPr>
        <w:t>§</w:t>
      </w:r>
      <w:r w:rsidR="00652A33">
        <w:rPr>
          <w:color w:val="000000"/>
          <w:szCs w:val="22"/>
        </w:rPr>
        <w:t xml:space="preserve"> </w:t>
      </w:r>
      <w:r>
        <w:rPr>
          <w:color w:val="000000"/>
          <w:szCs w:val="22"/>
        </w:rPr>
        <w:t>63.24</w:t>
      </w:r>
      <w:r w:rsidRPr="00E179EE">
        <w:rPr>
          <w:color w:val="000000"/>
          <w:szCs w:val="22"/>
        </w:rPr>
        <w:t>.</w:t>
      </w:r>
    </w:p>
  </w:footnote>
  <w:footnote w:id="11">
    <w:p w:rsidR="00C87F88" w:rsidRDefault="00C87F88">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2">
    <w:p w:rsidR="00C87F88" w:rsidRDefault="00C87F88" w:rsidP="004922AA">
      <w:pPr>
        <w:pStyle w:val="FootnoteText"/>
      </w:pPr>
      <w:r>
        <w:rPr>
          <w:rStyle w:val="FootnoteReference"/>
        </w:rPr>
        <w:footnoteRef/>
      </w:r>
      <w:r>
        <w:t xml:space="preserve"> This investigation, initiated under File No. EB-09-IH-1972, was subsequently assigned File No. EB-IHD-13-00011158.</w:t>
      </w:r>
    </w:p>
  </w:footnote>
  <w:footnote w:id="13">
    <w:p w:rsidR="00C87F88" w:rsidRPr="00170F2C" w:rsidRDefault="00C87F88">
      <w:pPr>
        <w:pStyle w:val="FootnoteText"/>
        <w:rPr>
          <w:i/>
        </w:rPr>
      </w:pPr>
      <w:r>
        <w:rPr>
          <w:rStyle w:val="FootnoteReference"/>
        </w:rPr>
        <w:footnoteRef/>
      </w:r>
      <w:r>
        <w:t xml:space="preserve"> </w:t>
      </w:r>
      <w:r>
        <w:rPr>
          <w:i/>
        </w:rPr>
        <w:t xml:space="preserve">See </w:t>
      </w:r>
      <w:r w:rsidRPr="00373D2C">
        <w:t>Letter from Trent B. Harkrader, Deputy Chief, Investigations &amp; Hearings Division, FCC Enforcement Bureau, to Daniel Neal, Chief Executive Officer, Kajeet Inc. and Kajeet/Airlink LLC</w:t>
      </w:r>
      <w:r w:rsidRPr="00B076E3">
        <w:t xml:space="preserve"> </w:t>
      </w:r>
      <w:r w:rsidRPr="00C75C96">
        <w:t>(Dec.</w:t>
      </w:r>
      <w:r>
        <w:t xml:space="preserve"> 10, 2009</w:t>
      </w:r>
      <w:r w:rsidR="00703F9F">
        <w:t>)</w:t>
      </w:r>
      <w:r>
        <w:t xml:space="preserve"> (LOI).</w:t>
      </w:r>
    </w:p>
  </w:footnote>
  <w:footnote w:id="14">
    <w:p w:rsidR="00C87F88" w:rsidRDefault="00C87F88">
      <w:pPr>
        <w:pStyle w:val="FootnoteText"/>
      </w:pPr>
      <w:r>
        <w:rPr>
          <w:rStyle w:val="FootnoteReference"/>
        </w:rPr>
        <w:footnoteRef/>
      </w:r>
      <w:r>
        <w:t xml:space="preserve"> </w:t>
      </w:r>
      <w:r>
        <w:rPr>
          <w:i/>
        </w:rPr>
        <w:t>See</w:t>
      </w:r>
      <w:r>
        <w:t xml:space="preserve"> </w:t>
      </w:r>
      <w:r>
        <w:rPr>
          <w:i/>
        </w:rPr>
        <w:t>Kajeet, Inc. and Kajeet/Airlink, LLC</w:t>
      </w:r>
      <w:r>
        <w:t>, Notice of Apparent Liability for Forfeiture and Order, 26 FCC Rcd 16684 (2011) (</w:t>
      </w:r>
      <w:r>
        <w:rPr>
          <w:i/>
        </w:rPr>
        <w:t>Kajeet NAL</w:t>
      </w:r>
      <w:r>
        <w:t>).</w:t>
      </w:r>
    </w:p>
  </w:footnote>
  <w:footnote w:id="15">
    <w:p w:rsidR="00C87F88" w:rsidRDefault="00C87F88" w:rsidP="00CD142A">
      <w:pPr>
        <w:pStyle w:val="FootnoteText"/>
      </w:pPr>
      <w:r>
        <w:rPr>
          <w:rStyle w:val="FootnoteReference"/>
        </w:rPr>
        <w:footnoteRef/>
      </w:r>
      <w:r>
        <w:t xml:space="preserve"> 47 U.S.C. §§, 251(e)(2), 254(d).</w:t>
      </w:r>
    </w:p>
  </w:footnote>
  <w:footnote w:id="16">
    <w:p w:rsidR="00C87F88" w:rsidRDefault="00C87F88" w:rsidP="00CD142A">
      <w:pPr>
        <w:pStyle w:val="FootnoteText"/>
      </w:pPr>
      <w:r>
        <w:rPr>
          <w:rStyle w:val="FootnoteReference"/>
        </w:rPr>
        <w:footnoteRef/>
      </w:r>
      <w:r>
        <w:t xml:space="preserve"> 47 C.F.R. §§ 52.32(a), 54.706(a), </w:t>
      </w:r>
      <w:r w:rsidRPr="00D87393">
        <w:t>64.604(c)(5)(iii)(A)</w:t>
      </w:r>
      <w:r>
        <w:t xml:space="preserve">. </w:t>
      </w:r>
    </w:p>
  </w:footnote>
  <w:footnote w:id="17">
    <w:p w:rsidR="00C87F88" w:rsidRDefault="00C87F88">
      <w:pPr>
        <w:pStyle w:val="FootnoteText"/>
      </w:pPr>
      <w:r>
        <w:rPr>
          <w:rStyle w:val="FootnoteReference"/>
        </w:rPr>
        <w:footnoteRef/>
      </w:r>
      <w:r>
        <w:rPr>
          <w:i/>
        </w:rPr>
        <w:t xml:space="preserve"> See Forfeiture Methodology for Violations of Rules Governing Payment to Certain Federal Programs</w:t>
      </w:r>
      <w:r>
        <w:t>, Policy Statement, 30 FCC Rcd 1622 (2015)</w:t>
      </w:r>
      <w:r w:rsidR="00857AA7">
        <w:t xml:space="preserve"> </w:t>
      </w:r>
      <w:r>
        <w:t>(</w:t>
      </w:r>
      <w:r w:rsidR="00BA516E" w:rsidRPr="00BA516E">
        <w:rPr>
          <w:i/>
        </w:rPr>
        <w:t xml:space="preserve">Forfeiture </w:t>
      </w:r>
      <w:r w:rsidRPr="00BA516E">
        <w:rPr>
          <w:i/>
        </w:rPr>
        <w:t>Policy Statement</w:t>
      </w:r>
      <w:r>
        <w:t>).</w:t>
      </w:r>
    </w:p>
  </w:footnote>
  <w:footnote w:id="18">
    <w:p w:rsidR="00C87F88" w:rsidRDefault="00C87F88" w:rsidP="001C4C49">
      <w:pPr>
        <w:pStyle w:val="FootnoteText"/>
      </w:pPr>
      <w:r>
        <w:rPr>
          <w:rStyle w:val="FootnoteReference"/>
        </w:rPr>
        <w:footnoteRef/>
      </w:r>
      <w:r>
        <w:t xml:space="preserve"> </w:t>
      </w:r>
      <w:r w:rsidR="00BE4F94">
        <w:t xml:space="preserve">47 U.S.C. § 214(a); </w:t>
      </w:r>
      <w:r w:rsidRPr="00280C71">
        <w:t xml:space="preserve">47 C.F.R. §§ 63.12, 63.18. </w:t>
      </w:r>
      <w:r>
        <w:t xml:space="preserve"> </w:t>
      </w:r>
    </w:p>
  </w:footnote>
  <w:footnote w:id="19">
    <w:p w:rsidR="00C87F88" w:rsidRDefault="00C87F88" w:rsidP="001C4C49">
      <w:pPr>
        <w:pStyle w:val="FootnoteText"/>
      </w:pPr>
      <w:r>
        <w:rPr>
          <w:rStyle w:val="FootnoteReference"/>
        </w:rPr>
        <w:footnoteRef/>
      </w:r>
      <w:r>
        <w:t xml:space="preserve"> </w:t>
      </w:r>
      <w:r w:rsidR="00146B09" w:rsidRPr="00280C71">
        <w:t>47 C.F.R. § 63.24.</w:t>
      </w:r>
      <w:r w:rsidR="00146B09">
        <w:t xml:space="preserve">  For purposes of Section 63.24 of the Commission’s rules, “an assignment of an authorization is a transaction in which the authorization is assigned from one entity to another entity.  Following an assignment, the authorization is held by an entity other than the one to which it was originally granted.”  </w:t>
      </w:r>
      <w:r w:rsidR="00146B09" w:rsidRPr="00280C71">
        <w:t>47 C.F.R. § 63.24</w:t>
      </w:r>
      <w:r w:rsidR="00146B09">
        <w:t>(b)</w:t>
      </w:r>
      <w:r w:rsidR="00146B09" w:rsidRPr="00280C71">
        <w:t>.</w:t>
      </w:r>
      <w:r w:rsidR="00146B09">
        <w:t xml:space="preserve">  Section 63.24(e) requires that the proposed assignee apply to the Commission for approval prior to the consummation of the proposed assignment.</w:t>
      </w:r>
      <w:r>
        <w:t xml:space="preserve">47 C.F.R. § 63.24(e); </w:t>
      </w:r>
      <w:r>
        <w:rPr>
          <w:i/>
        </w:rPr>
        <w:t xml:space="preserve">see also </w:t>
      </w:r>
      <w:r>
        <w:t xml:space="preserve">47 C.F.R. § 63.24(d) (excluding </w:t>
      </w:r>
      <w:r>
        <w:rPr>
          <w:i/>
        </w:rPr>
        <w:t>pro forma</w:t>
      </w:r>
      <w:r>
        <w:t xml:space="preserve"> applications,</w:t>
      </w:r>
      <w:r>
        <w:rPr>
          <w:i/>
        </w:rPr>
        <w:t xml:space="preserve"> </w:t>
      </w:r>
      <w:r>
        <w:t>or non-substantial assignments and transfers of control that do not result in a change in the actual controlling party or do not require prior Commission approval) and Note 1 to paragraph (d) (listing the factors relevant to a determination of control).</w:t>
      </w:r>
    </w:p>
  </w:footnote>
  <w:footnote w:id="20">
    <w:p w:rsidR="00C87F88" w:rsidRPr="00E8532D" w:rsidRDefault="00C87F88" w:rsidP="00170F2C">
      <w:pPr>
        <w:pStyle w:val="FootnoteText"/>
        <w:rPr>
          <w:b/>
        </w:rPr>
      </w:pPr>
      <w:r>
        <w:rPr>
          <w:rStyle w:val="FootnoteReference"/>
        </w:rPr>
        <w:footnoteRef/>
      </w:r>
      <w:r>
        <w:t xml:space="preserve"> </w:t>
      </w:r>
      <w:r w:rsidR="000404F4">
        <w:rPr>
          <w:i/>
        </w:rPr>
        <w:t xml:space="preserve">See </w:t>
      </w:r>
      <w:r w:rsidR="000404F4">
        <w:t xml:space="preserve">Virginia State Corporation Commission, </w:t>
      </w:r>
      <w:r w:rsidR="00E84BA7" w:rsidRPr="00310242">
        <w:t>https://sccefile.scc.virginia.gov/Business/</w:t>
      </w:r>
      <w:r w:rsidR="00E84BA7" w:rsidRPr="00BD7DBD">
        <w:t>F197378</w:t>
      </w:r>
      <w:r w:rsidR="000404F4" w:rsidRPr="00BD7DBD">
        <w:t xml:space="preserve"> (last visited </w:t>
      </w:r>
      <w:r w:rsidR="00BD7DBD" w:rsidRPr="00BD7DBD">
        <w:t>S</w:t>
      </w:r>
      <w:r w:rsidR="00BD7DBD">
        <w:t xml:space="preserve">ept. </w:t>
      </w:r>
      <w:r w:rsidR="00BD7DBD" w:rsidRPr="00BD7DBD">
        <w:t>21</w:t>
      </w:r>
      <w:r w:rsidR="000404F4" w:rsidRPr="00BD7DBD">
        <w:t>, 2015).</w:t>
      </w:r>
    </w:p>
  </w:footnote>
  <w:footnote w:id="21">
    <w:p w:rsidR="00C87F88" w:rsidRPr="008B7BC2" w:rsidRDefault="00C87F88" w:rsidP="00170F2C">
      <w:pPr>
        <w:pStyle w:val="FootnoteText"/>
        <w:rPr>
          <w:b/>
        </w:rPr>
      </w:pPr>
      <w:r>
        <w:rPr>
          <w:rStyle w:val="FootnoteReference"/>
        </w:rPr>
        <w:footnoteRef/>
      </w:r>
      <w:r>
        <w:t xml:space="preserve"> </w:t>
      </w:r>
      <w:r w:rsidR="0001789C" w:rsidRPr="009F75C8">
        <w:t>Response of Kajeet, Inc. and Kajeet/Airlink, LLC to the Enforcement Bureau’s December 10, 2009 Letter of Inquir</w:t>
      </w:r>
      <w:r w:rsidR="0001789C">
        <w:rPr>
          <w:i/>
        </w:rPr>
        <w:t>y</w:t>
      </w:r>
      <w:r w:rsidR="0001789C">
        <w:t>, dated February 28, 2010, at response to Questions 3 and 9 (LOI Response).</w:t>
      </w:r>
    </w:p>
  </w:footnote>
  <w:footnote w:id="22">
    <w:p w:rsidR="0001789C" w:rsidRPr="006B302F" w:rsidRDefault="0001789C">
      <w:pPr>
        <w:pStyle w:val="FootnoteText"/>
      </w:pPr>
      <w:r>
        <w:rPr>
          <w:rStyle w:val="FootnoteReference"/>
        </w:rPr>
        <w:footnoteRef/>
      </w:r>
      <w:r>
        <w:t xml:space="preserve"> </w:t>
      </w:r>
      <w:r w:rsidR="00C55A2F">
        <w:rPr>
          <w:i/>
        </w:rPr>
        <w:t>See</w:t>
      </w:r>
      <w:r w:rsidR="00C55A2F">
        <w:t xml:space="preserve"> Kajeet, </w:t>
      </w:r>
      <w:r w:rsidR="00E84BA7" w:rsidRPr="00310242">
        <w:t>http://www.kajeet.net/education-broadband</w:t>
      </w:r>
      <w:r w:rsidR="00C55A2F">
        <w:t xml:space="preserve"> </w:t>
      </w:r>
      <w:r w:rsidR="00C55A2F" w:rsidRPr="00BD7DBD">
        <w:t xml:space="preserve">(last visited </w:t>
      </w:r>
      <w:r w:rsidR="00BD7DBD" w:rsidRPr="00BD7DBD">
        <w:t>S</w:t>
      </w:r>
      <w:r w:rsidR="00BD7DBD">
        <w:t>ept.</w:t>
      </w:r>
      <w:r w:rsidR="00BD7DBD" w:rsidRPr="00BD7DBD">
        <w:t xml:space="preserve"> 21</w:t>
      </w:r>
      <w:r w:rsidR="00C55A2F" w:rsidRPr="00BD7DBD">
        <w:t>, 2015).</w:t>
      </w:r>
    </w:p>
  </w:footnote>
  <w:footnote w:id="23">
    <w:p w:rsidR="00C87F88" w:rsidRDefault="00C87F88" w:rsidP="00170F2C">
      <w:pPr>
        <w:pStyle w:val="FootnoteText"/>
      </w:pPr>
      <w:r>
        <w:rPr>
          <w:rStyle w:val="FootnoteReference"/>
        </w:rPr>
        <w:footnoteRef/>
      </w:r>
      <w:r>
        <w:t xml:space="preserve"> </w:t>
      </w:r>
      <w:r w:rsidR="0001789C">
        <w:t xml:space="preserve"> LOI Response  at </w:t>
      </w:r>
      <w:r w:rsidR="00CF1FD7">
        <w:t>response to</w:t>
      </w:r>
      <w:r w:rsidR="0001789C">
        <w:t xml:space="preserve"> Question 10</w:t>
      </w:r>
    </w:p>
  </w:footnote>
  <w:footnote w:id="24">
    <w:p w:rsidR="00C87F88" w:rsidRDefault="00C87F88" w:rsidP="00170F2C">
      <w:pPr>
        <w:pStyle w:val="FootnoteText"/>
      </w:pPr>
      <w:r>
        <w:rPr>
          <w:rStyle w:val="FootnoteReference"/>
        </w:rPr>
        <w:footnoteRef/>
      </w:r>
      <w:r>
        <w:t xml:space="preserve"> </w:t>
      </w:r>
      <w:r>
        <w:rPr>
          <w:i/>
        </w:rPr>
        <w:t>Id.</w:t>
      </w:r>
      <w:r>
        <w:t xml:space="preserve"> at response to Question 9.</w:t>
      </w:r>
    </w:p>
  </w:footnote>
  <w:footnote w:id="25">
    <w:p w:rsidR="00230505" w:rsidRPr="00230505" w:rsidRDefault="00230505">
      <w:pPr>
        <w:pStyle w:val="FootnoteText"/>
        <w:rPr>
          <w:i/>
        </w:rPr>
      </w:pPr>
      <w:r>
        <w:rPr>
          <w:rStyle w:val="FootnoteReference"/>
        </w:rPr>
        <w:footnoteRef/>
      </w:r>
      <w:r>
        <w:t xml:space="preserve"> </w:t>
      </w:r>
      <w:r>
        <w:rPr>
          <w:i/>
        </w:rPr>
        <w:t xml:space="preserve">See </w:t>
      </w:r>
      <w:r w:rsidR="00E84BA7" w:rsidRPr="00310242">
        <w:t>http://www.wsj.com/articles/SB10001424052748704017904575409332774283668</w:t>
      </w:r>
      <w:r>
        <w:rPr>
          <w:color w:val="1F497D"/>
        </w:rPr>
        <w:t xml:space="preserve"> </w:t>
      </w:r>
      <w:r w:rsidR="00BD7DBD" w:rsidRPr="00BD7DBD">
        <w:t>(last visited Sept. 21</w:t>
      </w:r>
      <w:r w:rsidRPr="00BD7DBD">
        <w:t>, 2015).</w:t>
      </w:r>
    </w:p>
  </w:footnote>
  <w:footnote w:id="26">
    <w:p w:rsidR="004D6CFF" w:rsidRDefault="004D6CFF">
      <w:pPr>
        <w:pStyle w:val="FootnoteText"/>
      </w:pPr>
      <w:r>
        <w:rPr>
          <w:rStyle w:val="FootnoteReference"/>
        </w:rPr>
        <w:footnoteRef/>
      </w:r>
      <w:r>
        <w:t xml:space="preserve"> 47 C.F.R. § 54.701.</w:t>
      </w:r>
    </w:p>
  </w:footnote>
  <w:footnote w:id="27">
    <w:p w:rsidR="00C87F88" w:rsidRDefault="00C87F88" w:rsidP="00892C25">
      <w:pPr>
        <w:pStyle w:val="FootnoteText"/>
      </w:pPr>
      <w:r>
        <w:rPr>
          <w:rStyle w:val="FootnoteReference"/>
        </w:rPr>
        <w:footnoteRef/>
      </w:r>
      <w:r>
        <w:t xml:space="preserve"> </w:t>
      </w:r>
      <w:r w:rsidR="00703F9F">
        <w:rPr>
          <w:i/>
        </w:rPr>
        <w:t>See</w:t>
      </w:r>
      <w:r w:rsidR="00703F9F">
        <w:t xml:space="preserve"> LOI.</w:t>
      </w:r>
      <w:r>
        <w:t xml:space="preserve">  Previously, </w:t>
      </w:r>
      <w:r>
        <w:rPr>
          <w:szCs w:val="22"/>
        </w:rPr>
        <w:t xml:space="preserve">in </w:t>
      </w:r>
      <w:r w:rsidRPr="00446A88">
        <w:rPr>
          <w:szCs w:val="22"/>
        </w:rPr>
        <w:t>July 2009,</w:t>
      </w:r>
      <w:r>
        <w:rPr>
          <w:szCs w:val="22"/>
        </w:rPr>
        <w:t xml:space="preserve"> USAC referred Airlink Mobile, Inc. (Airlink Mobile) to the Bureau for potential enforcement action, alleging that Airlink Mobile had failed to comply with the Commission’s USF contribution rules.  On August 10, 2009, the Bureau issued a LOI to Airlink Mobile seeking information about its compliance with USF and other related regulatory obligations.</w:t>
      </w:r>
      <w:r>
        <w:rPr>
          <w:szCs w:val="22"/>
          <w:vertAlign w:val="superscript"/>
        </w:rPr>
        <w:footnoteRef/>
      </w:r>
      <w:r>
        <w:rPr>
          <w:szCs w:val="22"/>
        </w:rPr>
        <w:t xml:space="preserve">  </w:t>
      </w:r>
      <w:bookmarkStart w:id="4" w:name="_Ref170101234"/>
      <w:bookmarkStart w:id="5" w:name="_Ref170874736"/>
      <w:r>
        <w:rPr>
          <w:szCs w:val="22"/>
        </w:rPr>
        <w:t>Airlink Mobile did not respond to the LOI.</w:t>
      </w:r>
      <w:bookmarkEnd w:id="4"/>
      <w:bookmarkEnd w:id="5"/>
      <w:r>
        <w:rPr>
          <w:szCs w:val="22"/>
        </w:rPr>
        <w:t xml:space="preserve">  Subsequent investigation revealed that Airlink Mobile was no longer in business and that its assets had apparently been purchased by the Companies.</w:t>
      </w:r>
    </w:p>
  </w:footnote>
  <w:footnote w:id="28">
    <w:p w:rsidR="00C87F88" w:rsidRDefault="00C87F88">
      <w:pPr>
        <w:pStyle w:val="FootnoteText"/>
      </w:pPr>
      <w:r>
        <w:rPr>
          <w:rStyle w:val="FootnoteReference"/>
        </w:rPr>
        <w:footnoteRef/>
      </w:r>
      <w:r>
        <w:t xml:space="preserve"> </w:t>
      </w:r>
      <w:r w:rsidR="00652A33">
        <w:rPr>
          <w:i/>
        </w:rPr>
        <w:t xml:space="preserve">See </w:t>
      </w:r>
      <w:r>
        <w:t>LOI Response</w:t>
      </w:r>
      <w:r w:rsidR="00652A33">
        <w:t>.</w:t>
      </w:r>
    </w:p>
  </w:footnote>
  <w:footnote w:id="29">
    <w:p w:rsidR="00C87F88" w:rsidRPr="00892C25" w:rsidRDefault="00C87F88" w:rsidP="000042FA">
      <w:pPr>
        <w:pStyle w:val="FootnoteText"/>
      </w:pPr>
      <w:r>
        <w:rPr>
          <w:rStyle w:val="FootnoteReference"/>
        </w:rPr>
        <w:footnoteRef/>
      </w:r>
      <w:r>
        <w:t xml:space="preserve"> </w:t>
      </w:r>
      <w:r>
        <w:rPr>
          <w:i/>
        </w:rPr>
        <w:t>See</w:t>
      </w:r>
      <w:r>
        <w:t xml:space="preserve"> </w:t>
      </w:r>
      <w:r>
        <w:rPr>
          <w:i/>
        </w:rPr>
        <w:t>Kajeet NAL</w:t>
      </w:r>
      <w:r>
        <w:t>.</w:t>
      </w:r>
    </w:p>
  </w:footnote>
  <w:footnote w:id="30">
    <w:p w:rsidR="00C87F88" w:rsidRPr="00892C25" w:rsidRDefault="00C87F88">
      <w:pPr>
        <w:pStyle w:val="FootnoteText"/>
      </w:pPr>
      <w:r>
        <w:rPr>
          <w:rStyle w:val="FootnoteReference"/>
        </w:rPr>
        <w:footnoteRef/>
      </w:r>
      <w:r>
        <w:t xml:space="preserve"> </w:t>
      </w:r>
      <w:r>
        <w:rPr>
          <w:i/>
        </w:rPr>
        <w:t>See</w:t>
      </w:r>
      <w:r>
        <w:t xml:space="preserve"> </w:t>
      </w:r>
      <w:r>
        <w:rPr>
          <w:i/>
        </w:rPr>
        <w:t>id</w:t>
      </w:r>
      <w:r>
        <w:t>.</w:t>
      </w:r>
    </w:p>
  </w:footnote>
  <w:footnote w:id="31">
    <w:p w:rsidR="00AC0019" w:rsidRPr="00AC0019" w:rsidRDefault="00AC0019">
      <w:pPr>
        <w:pStyle w:val="FootnoteText"/>
        <w:rPr>
          <w:b/>
        </w:rPr>
      </w:pPr>
      <w:r>
        <w:rPr>
          <w:rStyle w:val="FootnoteReference"/>
        </w:rPr>
        <w:footnoteRef/>
      </w:r>
      <w:r>
        <w:t xml:space="preserve"> </w:t>
      </w:r>
      <w:r w:rsidR="00236EB9" w:rsidRPr="004A05D0">
        <w:rPr>
          <w:i/>
        </w:rPr>
        <w:t xml:space="preserve">See International </w:t>
      </w:r>
      <w:r w:rsidR="00236EB9">
        <w:rPr>
          <w:i/>
        </w:rPr>
        <w:t>Authorizations Granted</w:t>
      </w:r>
      <w:r w:rsidR="00236EB9">
        <w:t xml:space="preserve">, Public Notice, Rep. No. TEL-01667, DA No. 14-513 (rel. April 17, 2014); </w:t>
      </w:r>
      <w:r w:rsidR="00236EB9" w:rsidRPr="004A05D0">
        <w:rPr>
          <w:i/>
        </w:rPr>
        <w:t xml:space="preserve">See International </w:t>
      </w:r>
      <w:r w:rsidR="00236EB9">
        <w:rPr>
          <w:i/>
        </w:rPr>
        <w:t>Authorizations Granted</w:t>
      </w:r>
      <w:r w:rsidR="00236EB9">
        <w:t>, Public Notice, Rep. No. TEL-01669, DA No. 14-583 (rel. May 1, 2014).</w:t>
      </w:r>
    </w:p>
  </w:footnote>
  <w:footnote w:id="32">
    <w:p w:rsidR="00845297" w:rsidRPr="000C584E" w:rsidRDefault="00845297" w:rsidP="00845297">
      <w:pPr>
        <w:pStyle w:val="FootnoteText"/>
        <w:widowControl w:val="0"/>
      </w:pPr>
      <w:r w:rsidRPr="000C584E">
        <w:rPr>
          <w:rStyle w:val="FootnoteReference"/>
        </w:rPr>
        <w:footnoteRef/>
      </w:r>
      <w:r w:rsidRPr="000C584E">
        <w:t xml:space="preserve"> </w:t>
      </w:r>
      <w:r w:rsidRPr="000C584E">
        <w:rPr>
          <w:i/>
        </w:rPr>
        <w:t>See</w:t>
      </w:r>
      <w:r w:rsidRPr="000C584E">
        <w:t xml:space="preserve"> 47 U.S.C. § 503(b)(1)(B). </w:t>
      </w:r>
    </w:p>
  </w:footnote>
  <w:footnote w:id="33">
    <w:p w:rsidR="00845297" w:rsidRDefault="00845297" w:rsidP="00845297">
      <w:pPr>
        <w:pStyle w:val="FootnoteText"/>
      </w:pPr>
      <w:r>
        <w:rPr>
          <w:rStyle w:val="FootnoteReference"/>
        </w:rPr>
        <w:footnoteRef/>
      </w:r>
      <w:r>
        <w:t xml:space="preserve"> </w:t>
      </w:r>
      <w:r w:rsidRPr="000C584E">
        <w:rPr>
          <w:color w:val="000000" w:themeColor="text1"/>
        </w:rPr>
        <w:t>47 C.F.R. § 1.80(b)(8), note to paragraph (b)(8).</w:t>
      </w:r>
    </w:p>
  </w:footnote>
  <w:footnote w:id="34">
    <w:p w:rsidR="00845297" w:rsidRPr="000C584E" w:rsidRDefault="00845297" w:rsidP="00845297">
      <w:pPr>
        <w:pStyle w:val="FootnoteText"/>
        <w:widowControl w:val="0"/>
      </w:pPr>
      <w:r w:rsidRPr="000C584E">
        <w:rPr>
          <w:rStyle w:val="FootnoteReference"/>
        </w:rPr>
        <w:footnoteRef/>
      </w:r>
      <w:r w:rsidRPr="000C584E">
        <w:t xml:space="preserve"> </w:t>
      </w:r>
      <w:r w:rsidRPr="000C584E">
        <w:rPr>
          <w:i/>
        </w:rPr>
        <w:t>The Commission’s Forfeiture Policy Statement and Amendment of Section 1.80 of the Rules to Incorporate the Forfeiture Guidelines</w:t>
      </w:r>
      <w:r w:rsidRPr="000C584E">
        <w:t>, Report and Order, 12 FCC Rcd 17087, 17109-10 (1997)</w:t>
      </w:r>
      <w:r>
        <w:t xml:space="preserve"> </w:t>
      </w:r>
      <w:r w:rsidRPr="000C584E">
        <w:t>(</w:t>
      </w:r>
      <w:r w:rsidRPr="000C584E">
        <w:rPr>
          <w:i/>
        </w:rPr>
        <w:t>Forfeiture Guidelines</w:t>
      </w:r>
      <w:r w:rsidRPr="000C584E">
        <w:t>).</w:t>
      </w:r>
    </w:p>
  </w:footnote>
  <w:footnote w:id="35">
    <w:p w:rsidR="00630C03" w:rsidRPr="00097EBB" w:rsidRDefault="00630C03" w:rsidP="00630C03">
      <w:pPr>
        <w:pStyle w:val="FootnoteText"/>
      </w:pPr>
      <w:r>
        <w:rPr>
          <w:rStyle w:val="FootnoteReference"/>
        </w:rPr>
        <w:footnoteRef/>
      </w:r>
      <w:r>
        <w:t xml:space="preserve"> </w:t>
      </w:r>
      <w:r w:rsidR="00F27F24">
        <w:rPr>
          <w:i/>
        </w:rPr>
        <w:t>See Forfeiture</w:t>
      </w:r>
      <w:r w:rsidR="00F27F24">
        <w:t xml:space="preserve"> </w:t>
      </w:r>
      <w:r w:rsidR="00F27F24" w:rsidRPr="00630C03">
        <w:rPr>
          <w:i/>
        </w:rPr>
        <w:t>Policy Statement</w:t>
      </w:r>
      <w:r w:rsidR="00F27F24">
        <w:t>.</w:t>
      </w:r>
      <w:r w:rsidR="00097EBB">
        <w:t xml:space="preserve"> </w:t>
      </w:r>
      <w:r w:rsidR="00E84BA7">
        <w:t xml:space="preserve"> </w:t>
      </w:r>
      <w:r w:rsidR="00097EBB">
        <w:t>A Petition for Reconsideration and</w:t>
      </w:r>
      <w:r w:rsidR="005308D6">
        <w:t xml:space="preserve"> </w:t>
      </w:r>
      <w:r w:rsidR="00097EBB">
        <w:t xml:space="preserve">a Stay Request of the </w:t>
      </w:r>
      <w:r w:rsidR="00097EBB">
        <w:rPr>
          <w:i/>
        </w:rPr>
        <w:t>Forfeiture Policy Statement</w:t>
      </w:r>
      <w:r w:rsidR="00097EBB">
        <w:t xml:space="preserve"> were filed </w:t>
      </w:r>
      <w:r w:rsidR="00B3381B">
        <w:t>o</w:t>
      </w:r>
      <w:r w:rsidR="00097EBB">
        <w:t xml:space="preserve">n March </w:t>
      </w:r>
      <w:r w:rsidR="00B3381B">
        <w:t xml:space="preserve">6, </w:t>
      </w:r>
      <w:r w:rsidR="00097EBB">
        <w:t>2015.</w:t>
      </w:r>
      <w:r w:rsidR="00E84BA7">
        <w:t xml:space="preserve">  </w:t>
      </w:r>
      <w:r w:rsidR="00097EBB">
        <w:rPr>
          <w:i/>
        </w:rPr>
        <w:t>See</w:t>
      </w:r>
      <w:r w:rsidR="00097EBB">
        <w:t xml:space="preserve"> </w:t>
      </w:r>
      <w:r w:rsidR="00DB0B9F">
        <w:t xml:space="preserve">Petition for </w:t>
      </w:r>
      <w:r w:rsidR="00513983">
        <w:t>Stay</w:t>
      </w:r>
      <w:r w:rsidR="00DB0B9F">
        <w:t xml:space="preserve"> by </w:t>
      </w:r>
      <w:r w:rsidR="00097EBB">
        <w:t>CTIA – The Wireless Association, National Cable &amp; Telecommunications Association, United States Telecom Association</w:t>
      </w:r>
      <w:r w:rsidR="005308D6">
        <w:t>, and COMPTEL</w:t>
      </w:r>
      <w:r w:rsidR="00097EBB">
        <w:t xml:space="preserve">, </w:t>
      </w:r>
      <w:r w:rsidR="005308D6">
        <w:rPr>
          <w:i/>
        </w:rPr>
        <w:t>Forfeiture Methodology for Violations of Rules Governing Payment to certain Federal Programs</w:t>
      </w:r>
      <w:r w:rsidR="00B3381B">
        <w:t>, FCC 15-15</w:t>
      </w:r>
      <w:r w:rsidR="005308D6">
        <w:rPr>
          <w:i/>
        </w:rPr>
        <w:t xml:space="preserve"> </w:t>
      </w:r>
      <w:r w:rsidR="00F92CFF">
        <w:t>(filed Mar. 6, 2015</w:t>
      </w:r>
      <w:r w:rsidR="00513983">
        <w:t>) (Joint Petition for Reco</w:t>
      </w:r>
      <w:r w:rsidR="00931887">
        <w:t>n</w:t>
      </w:r>
      <w:r w:rsidR="00513983">
        <w:t>sideration)</w:t>
      </w:r>
      <w:r w:rsidR="005308D6">
        <w:t xml:space="preserve">; Petition for Stay by CTIA – The Wireless Association, National Cable &amp; Telecommunications Association, United States Telecom Association, and COMPTEL, </w:t>
      </w:r>
      <w:r w:rsidR="005308D6">
        <w:rPr>
          <w:i/>
        </w:rPr>
        <w:t>Forfeiture Methodology for Violations of Rules Governing Payment to certain Federal Programs</w:t>
      </w:r>
      <w:r w:rsidR="00B3381B">
        <w:t>, FCC 15-15</w:t>
      </w:r>
      <w:r w:rsidR="005308D6">
        <w:rPr>
          <w:i/>
        </w:rPr>
        <w:t xml:space="preserve"> </w:t>
      </w:r>
      <w:r w:rsidR="005308D6">
        <w:t>(filed Mar. 6, 2015)</w:t>
      </w:r>
      <w:r w:rsidR="00513983">
        <w:t xml:space="preserve"> (Joint Petition for Stay).</w:t>
      </w:r>
      <w:r w:rsidR="00D178A6">
        <w:t xml:space="preserve">  The</w:t>
      </w:r>
      <w:r w:rsidR="00483444">
        <w:t xml:space="preserve"> Bureau’s</w:t>
      </w:r>
      <w:r w:rsidR="00D178A6">
        <w:t xml:space="preserve"> issuance of the Consent Decree has no impact on</w:t>
      </w:r>
      <w:r w:rsidR="004341F0">
        <w:t xml:space="preserve"> </w:t>
      </w:r>
      <w:r w:rsidR="00476274">
        <w:t xml:space="preserve">the </w:t>
      </w:r>
      <w:r w:rsidR="00D178A6">
        <w:t>Commission</w:t>
      </w:r>
      <w:r w:rsidR="00476274">
        <w:t xml:space="preserve">’s consideration of </w:t>
      </w:r>
      <w:r w:rsidR="00D178A6">
        <w:t xml:space="preserve"> </w:t>
      </w:r>
      <w:r w:rsidR="00B3381B">
        <w:t>either the Joint Petition for Reconsideration or the Joint Petition for Stay</w:t>
      </w:r>
      <w:r w:rsidR="00476274">
        <w:t xml:space="preserve">, which remain </w:t>
      </w:r>
      <w:r w:rsidR="00B23785">
        <w:t>p</w:t>
      </w:r>
      <w:r w:rsidR="00476274">
        <w:t>ending, and in no way indicate</w:t>
      </w:r>
      <w:r w:rsidR="00B23785">
        <w:t>s</w:t>
      </w:r>
      <w:r w:rsidR="00476274">
        <w:t xml:space="preserve"> that the Commission has prejudged the resolution of either filing</w:t>
      </w:r>
      <w:r w:rsidR="00D178A6">
        <w:t xml:space="preserve">  </w:t>
      </w:r>
    </w:p>
  </w:footnote>
  <w:footnote w:id="36">
    <w:p w:rsidR="00630C03" w:rsidRDefault="00630C03" w:rsidP="00630C03">
      <w:pPr>
        <w:pStyle w:val="FootnoteText"/>
        <w:widowControl w:val="0"/>
      </w:pPr>
      <w:r>
        <w:rPr>
          <w:rStyle w:val="FootnoteReference"/>
        </w:rPr>
        <w:footnoteRef/>
      </w:r>
      <w:r>
        <w:t xml:space="preserve"> </w:t>
      </w:r>
      <w:r w:rsidR="00B3381B">
        <w:rPr>
          <w:i/>
        </w:rPr>
        <w:t>Forfeiture</w:t>
      </w:r>
      <w:r w:rsidR="00B3381B">
        <w:t xml:space="preserve"> </w:t>
      </w:r>
      <w:r w:rsidR="00B3381B" w:rsidRPr="00630C03">
        <w:rPr>
          <w:i/>
        </w:rPr>
        <w:t>Policy Statement</w:t>
      </w:r>
      <w:r w:rsidR="00B3381B">
        <w:t xml:space="preserve"> at para. </w:t>
      </w:r>
      <w:r w:rsidR="00310242">
        <w:t>3</w:t>
      </w:r>
      <w:r w:rsidR="008B4586">
        <w:t>.</w:t>
      </w:r>
    </w:p>
  </w:footnote>
  <w:footnote w:id="37">
    <w:p w:rsidR="00630C03" w:rsidRPr="000C584E" w:rsidRDefault="00630C03" w:rsidP="00630C03">
      <w:pPr>
        <w:pStyle w:val="FootnoteText"/>
        <w:widowControl w:val="0"/>
        <w:rPr>
          <w:color w:val="000000" w:themeColor="text1"/>
          <w:lang w:val="es-ES"/>
        </w:rPr>
      </w:pPr>
      <w:r w:rsidRPr="000C584E">
        <w:rPr>
          <w:rStyle w:val="FootnoteReference"/>
          <w:color w:val="000000" w:themeColor="text1"/>
        </w:rPr>
        <w:footnoteRef/>
      </w:r>
      <w:r w:rsidRPr="000C584E">
        <w:rPr>
          <w:color w:val="000000" w:themeColor="text1"/>
          <w:lang w:val="es-ES"/>
        </w:rPr>
        <w:t xml:space="preserve"> 47 U.S.C. § 503(b)(2)(E).</w:t>
      </w:r>
    </w:p>
  </w:footnote>
  <w:footnote w:id="38">
    <w:p w:rsidR="00630C03" w:rsidRPr="000404F4" w:rsidRDefault="00630C03" w:rsidP="00630C03">
      <w:pPr>
        <w:pStyle w:val="FootnoteText"/>
        <w:widowControl w:val="0"/>
      </w:pPr>
      <w:r w:rsidRPr="000C584E">
        <w:rPr>
          <w:rStyle w:val="FootnoteReference"/>
        </w:rPr>
        <w:footnoteRef/>
      </w:r>
      <w:r w:rsidRPr="000C584E">
        <w:t xml:space="preserve"> </w:t>
      </w:r>
      <w:r w:rsidR="000404F4">
        <w:rPr>
          <w:i/>
        </w:rPr>
        <w:t>Forfeiture Policy Statement</w:t>
      </w:r>
      <w:r w:rsidR="000404F4">
        <w:t xml:space="preserve"> at para. 2.</w:t>
      </w:r>
    </w:p>
  </w:footnote>
  <w:footnote w:id="39">
    <w:p w:rsidR="00630C03" w:rsidRPr="000C584E" w:rsidRDefault="00630C03" w:rsidP="00630C03">
      <w:pPr>
        <w:pStyle w:val="FootnoteText"/>
        <w:widowControl w:val="0"/>
      </w:pPr>
      <w:r w:rsidRPr="000C584E">
        <w:rPr>
          <w:rStyle w:val="FootnoteReference"/>
        </w:rPr>
        <w:footnoteRef/>
      </w:r>
      <w:r w:rsidRPr="000C584E">
        <w:t xml:space="preserve"> </w:t>
      </w:r>
      <w:r w:rsidRPr="000C584E">
        <w:rPr>
          <w:i/>
        </w:rPr>
        <w:t>Id.</w:t>
      </w:r>
      <w:r w:rsidRPr="000C584E">
        <w:t xml:space="preserve"> at </w:t>
      </w:r>
      <w:r>
        <w:t>para.</w:t>
      </w:r>
      <w:r w:rsidRPr="000C584E">
        <w:t xml:space="preserve"> 7.</w:t>
      </w:r>
    </w:p>
  </w:footnote>
  <w:footnote w:id="40">
    <w:p w:rsidR="00A23246" w:rsidRDefault="00A23246">
      <w:pPr>
        <w:pStyle w:val="FootnoteText"/>
      </w:pPr>
      <w:r>
        <w:rPr>
          <w:rStyle w:val="FootnoteReference"/>
        </w:rPr>
        <w:footnoteRef/>
      </w:r>
      <w:r>
        <w:t xml:space="preserve"> </w:t>
      </w:r>
      <w:r w:rsidR="00BA516E">
        <w:rPr>
          <w:i/>
        </w:rPr>
        <w:t>Id</w:t>
      </w:r>
      <w:r w:rsidR="00BA516E">
        <w:t>.</w:t>
      </w:r>
      <w:r w:rsidR="00236EB9" w:rsidRPr="00630C03">
        <w:t xml:space="preserve"> at para</w:t>
      </w:r>
      <w:r w:rsidR="00236EB9">
        <w:t>s</w:t>
      </w:r>
      <w:r w:rsidR="00236EB9" w:rsidRPr="00630C03">
        <w:t>. 2</w:t>
      </w:r>
      <w:r w:rsidR="00236EB9">
        <w:t>, 6.</w:t>
      </w:r>
    </w:p>
  </w:footnote>
  <w:footnote w:id="41">
    <w:p w:rsidR="00630C03" w:rsidRPr="000C584E" w:rsidRDefault="00630C03" w:rsidP="00630C03">
      <w:pPr>
        <w:pStyle w:val="FootnoteText"/>
        <w:widowControl w:val="0"/>
      </w:pPr>
      <w:r w:rsidRPr="000C584E">
        <w:rPr>
          <w:rStyle w:val="FootnoteReference"/>
        </w:rPr>
        <w:footnoteRef/>
      </w:r>
      <w:r w:rsidRPr="000C584E">
        <w:t xml:space="preserve"> </w:t>
      </w:r>
      <w:r w:rsidRPr="000C584E">
        <w:rPr>
          <w:i/>
          <w:color w:val="000000"/>
        </w:rPr>
        <w:t xml:space="preserve">See Forfeiture Guidelines, </w:t>
      </w:r>
      <w:r w:rsidRPr="000C584E">
        <w:rPr>
          <w:color w:val="000000"/>
        </w:rPr>
        <w:t xml:space="preserve">12 FCC Rcd at 17110 (citing </w:t>
      </w:r>
      <w:r w:rsidRPr="000C584E">
        <w:rPr>
          <w:color w:val="000000" w:themeColor="text1"/>
        </w:rPr>
        <w:t>47 U.S.C. § 503(b)(2)(E)).</w:t>
      </w:r>
    </w:p>
  </w:footnote>
  <w:footnote w:id="42">
    <w:p w:rsidR="00BA5111" w:rsidRDefault="00BA5111">
      <w:pPr>
        <w:pStyle w:val="FootnoteText"/>
      </w:pPr>
      <w:r>
        <w:rPr>
          <w:rStyle w:val="FootnoteReference"/>
        </w:rPr>
        <w:footnoteRef/>
      </w:r>
      <w:r>
        <w:t xml:space="preserve"> </w:t>
      </w:r>
      <w:r w:rsidRPr="00D749CC">
        <w:t>47 U.S.C. § 503(b)(2)(B); 47 C.F.R. § 1.80(b)(2))</w:t>
      </w:r>
      <w:r>
        <w:t>.</w:t>
      </w:r>
    </w:p>
  </w:footnote>
  <w:footnote w:id="43">
    <w:p w:rsidR="00931887" w:rsidRPr="00931887" w:rsidRDefault="00931887">
      <w:pPr>
        <w:pStyle w:val="FootnoteText"/>
      </w:pPr>
      <w:r w:rsidRPr="00BD7DBD">
        <w:rPr>
          <w:rStyle w:val="FootnoteReference"/>
        </w:rPr>
        <w:footnoteRef/>
      </w:r>
      <w:r w:rsidRPr="00BD7DBD">
        <w:t xml:space="preserve"> </w:t>
      </w:r>
      <w:r w:rsidRPr="00BD7DBD">
        <w:rPr>
          <w:i/>
        </w:rPr>
        <w:t>See supra</w:t>
      </w:r>
      <w:r w:rsidRPr="00BD7DBD">
        <w:t xml:space="preserve"> n.28.</w:t>
      </w:r>
    </w:p>
  </w:footnote>
  <w:footnote w:id="44">
    <w:p w:rsidR="00B545E3" w:rsidRPr="0057545E" w:rsidRDefault="00B545E3">
      <w:pPr>
        <w:pStyle w:val="FootnoteText"/>
      </w:pPr>
      <w:r>
        <w:rPr>
          <w:rStyle w:val="FootnoteReference"/>
        </w:rPr>
        <w:footnoteRef/>
      </w:r>
      <w:r>
        <w:t xml:space="preserve"> </w:t>
      </w:r>
      <w:r w:rsidR="0057545E">
        <w:t xml:space="preserve">If the </w:t>
      </w:r>
      <w:r w:rsidR="0057545E" w:rsidRPr="00630C03">
        <w:rPr>
          <w:i/>
        </w:rPr>
        <w:t>Forfeiture Policy Statement</w:t>
      </w:r>
      <w:r w:rsidR="0057545E">
        <w:rPr>
          <w:i/>
        </w:rPr>
        <w:t xml:space="preserve"> </w:t>
      </w:r>
      <w:r w:rsidR="0057545E">
        <w:t xml:space="preserve">had resulted in a higher forfeiture, it would not have been applied.  The Bureau does not intend to retroactively apply the </w:t>
      </w:r>
      <w:r w:rsidR="0057545E" w:rsidRPr="00630C03">
        <w:rPr>
          <w:i/>
        </w:rPr>
        <w:t>Forfeiture Policy Statement</w:t>
      </w:r>
      <w:r w:rsidR="0057545E">
        <w:t xml:space="preserve"> unless it results in a lower forfeiture.  </w:t>
      </w:r>
    </w:p>
  </w:footnote>
  <w:footnote w:id="45">
    <w:p w:rsidR="00B545E3" w:rsidRDefault="00B545E3" w:rsidP="00B545E3">
      <w:pPr>
        <w:pStyle w:val="FootnoteText"/>
      </w:pPr>
      <w:r>
        <w:rPr>
          <w:rStyle w:val="FootnoteReference"/>
        </w:rPr>
        <w:footnoteRef/>
      </w:r>
      <w:r>
        <w:t xml:space="preserve"> 47 </w:t>
      </w:r>
      <w:r w:rsidRPr="000C584E">
        <w:rPr>
          <w:color w:val="000000" w:themeColor="text1"/>
          <w:lang w:val="es-ES"/>
        </w:rPr>
        <w:t>U.S.C. § 503(b)(2)(E).</w:t>
      </w:r>
    </w:p>
  </w:footnote>
  <w:footnote w:id="46">
    <w:p w:rsidR="00C87F88" w:rsidRPr="001402C3" w:rsidRDefault="00C87F88" w:rsidP="001402C3">
      <w:pPr>
        <w:pStyle w:val="FootnoteText"/>
        <w:rPr>
          <w:color w:val="1F497D"/>
        </w:rPr>
      </w:pPr>
      <w:r w:rsidRPr="00755160">
        <w:rPr>
          <w:rStyle w:val="FootnoteReference"/>
        </w:rPr>
        <w:footnoteRef/>
      </w:r>
      <w:r>
        <w:rPr>
          <w:i/>
        </w:rPr>
        <w:t xml:space="preserve"> </w:t>
      </w:r>
      <w:r w:rsidR="001402C3">
        <w:rPr>
          <w:i/>
        </w:rPr>
        <w:t xml:space="preserve">See </w:t>
      </w:r>
      <w:r w:rsidR="001402C3" w:rsidRPr="001402C3">
        <w:rPr>
          <w:i/>
          <w:iCs/>
        </w:rPr>
        <w:t xml:space="preserve">Radio One Licenses, LLC, </w:t>
      </w:r>
      <w:r w:rsidR="001402C3" w:rsidRPr="001402C3">
        <w:t>Forfeiture Order, 19 FCC Rcd 23922, 23932 (2004), citing</w:t>
      </w:r>
      <w:r w:rsidR="001402C3" w:rsidRPr="001402C3">
        <w:rPr>
          <w:vertAlign w:val="superscript"/>
        </w:rPr>
        <w:t xml:space="preserve"> </w:t>
      </w:r>
      <w:r w:rsidR="001402C3" w:rsidRPr="001402C3">
        <w:t> </w:t>
      </w:r>
      <w:r w:rsidR="001402C3" w:rsidRPr="001402C3">
        <w:rPr>
          <w:i/>
          <w:iCs/>
        </w:rPr>
        <w:t>Emery Telephone</w:t>
      </w:r>
      <w:r w:rsidR="001402C3" w:rsidRPr="001402C3">
        <w:t>, Memorandum Opinion and Order, 15 FCC Rcd 7181, 7186 (1999)</w:t>
      </w:r>
      <w:r w:rsidR="001402C3">
        <w:t>.</w:t>
      </w:r>
    </w:p>
  </w:footnote>
  <w:footnote w:id="47">
    <w:p w:rsidR="00232642" w:rsidRPr="00232642" w:rsidRDefault="00232642">
      <w:pPr>
        <w:pStyle w:val="FootnoteText"/>
      </w:pPr>
      <w:r>
        <w:rPr>
          <w:rStyle w:val="FootnoteReference"/>
        </w:rPr>
        <w:footnoteRef/>
      </w:r>
      <w:r>
        <w:t xml:space="preserve"> </w:t>
      </w:r>
      <w:r>
        <w:rPr>
          <w:i/>
        </w:rPr>
        <w:t>See</w:t>
      </w:r>
      <w:r>
        <w:t xml:space="preserve"> 47 C.F.R. § 1.93.</w:t>
      </w:r>
    </w:p>
  </w:footnote>
  <w:footnote w:id="48">
    <w:p w:rsidR="00C87F88" w:rsidRDefault="00C87F88" w:rsidP="00C87F88">
      <w:pPr>
        <w:pStyle w:val="FootnoteText"/>
      </w:pPr>
      <w:r w:rsidRPr="00A07FCB">
        <w:rPr>
          <w:rStyle w:val="FootnoteReference"/>
        </w:rPr>
        <w:footnoteRef/>
      </w:r>
      <w:r w:rsidRPr="00A07FCB">
        <w:t xml:space="preserve"> 47 C.F.R. § 1.16.</w:t>
      </w:r>
    </w:p>
  </w:footnote>
  <w:footnote w:id="49">
    <w:p w:rsidR="00C87F88" w:rsidRDefault="00C87F88" w:rsidP="00C87F88">
      <w:pPr>
        <w:pStyle w:val="FootnoteText"/>
        <w:tabs>
          <w:tab w:val="left" w:pos="810"/>
        </w:tabs>
      </w:pPr>
      <w:r w:rsidRPr="00A07FCB">
        <w:rPr>
          <w:rStyle w:val="FootnoteReference"/>
        </w:rPr>
        <w:footnoteRef/>
      </w:r>
      <w:r w:rsidRPr="003F6349">
        <w:t xml:space="preserve"> </w:t>
      </w:r>
      <w:r w:rsidRPr="00A07FCB">
        <w:t>47 U.S.C. § 208.</w:t>
      </w:r>
    </w:p>
  </w:footnote>
  <w:footnote w:id="50">
    <w:p w:rsidR="00C87F88" w:rsidRDefault="00C87F88" w:rsidP="00C87F88">
      <w:pPr>
        <w:pStyle w:val="FootnoteText"/>
      </w:pPr>
      <w:r>
        <w:rPr>
          <w:rStyle w:val="FootnoteReference"/>
        </w:rPr>
        <w:footnoteRef/>
      </w:r>
      <w:r>
        <w:t xml:space="preserve"> Debt Collection Improvement Act of 1996, Pub. L. No. 104-134, 110 Stat. 1321, 1358 (Apr. 26, 1996).</w:t>
      </w:r>
    </w:p>
  </w:footnote>
  <w:footnote w:id="51">
    <w:p w:rsidR="00C87F88" w:rsidRPr="00042447" w:rsidRDefault="00C87F88" w:rsidP="00C87F88">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52">
    <w:p w:rsidR="00956F53" w:rsidRPr="00B4755B" w:rsidRDefault="00956F53" w:rsidP="00956F53">
      <w:pPr>
        <w:pStyle w:val="FootnoteText"/>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AD" w:rsidRDefault="00343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88" w:rsidRPr="00AA4B16" w:rsidRDefault="00C87F88" w:rsidP="00AA4B16">
    <w:pPr>
      <w:pStyle w:val="Header"/>
      <w:pBdr>
        <w:bottom w:val="single" w:sz="12" w:space="1" w:color="auto"/>
      </w:pBdr>
      <w:rPr>
        <w:b w:val="0"/>
      </w:rPr>
    </w:pPr>
    <w:r w:rsidRPr="00AA4B16">
      <w:tab/>
    </w:r>
    <w:r>
      <w:t>Federal Communications Commission</w:t>
    </w:r>
    <w:r>
      <w:tab/>
    </w:r>
    <w:r w:rsidR="00DB7A07">
      <w:rPr>
        <w:spacing w:val="-2"/>
      </w:rPr>
      <w:t>DA</w:t>
    </w:r>
    <w:r w:rsidRPr="00AA4B16">
      <w:rPr>
        <w:spacing w:val="-2"/>
      </w:rPr>
      <w:t xml:space="preserve"> </w:t>
    </w:r>
    <w:r>
      <w:rPr>
        <w:spacing w:val="-2"/>
      </w:rPr>
      <w:t>15</w:t>
    </w:r>
    <w:r w:rsidRPr="00AA4B16">
      <w:rPr>
        <w:spacing w:val="-2"/>
      </w:rPr>
      <w:t>-</w:t>
    </w:r>
    <w:r w:rsidR="006F2031">
      <w:rPr>
        <w:spacing w:val="-2"/>
      </w:rPr>
      <w:t>1079</w:t>
    </w:r>
  </w:p>
  <w:p w:rsidR="00C87F88" w:rsidRPr="00B277A4" w:rsidRDefault="00C87F88" w:rsidP="00B27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88" w:rsidRDefault="00C87F88" w:rsidP="009C2ED6">
    <w:pPr>
      <w:pStyle w:val="Header"/>
      <w:rPr>
        <w:noProof/>
        <w:snapToGrid/>
      </w:rPr>
    </w:pPr>
    <w:r>
      <w:rPr>
        <w:noProof/>
        <w:snapToGrid/>
      </w:rPr>
      <w:t xml:space="preserve"> </w:t>
    </w:r>
  </w:p>
  <w:p w:rsidR="00C87F88" w:rsidRDefault="00C87F88" w:rsidP="009C2ED6">
    <w:pPr>
      <w:pStyle w:val="Header"/>
      <w:rPr>
        <w:b w:val="0"/>
      </w:rPr>
    </w:pPr>
    <w:r>
      <w:rPr>
        <w:noProof/>
        <w:snapToGrid/>
      </w:rPr>
      <mc:AlternateContent>
        <mc:Choice Requires="wps">
          <w:drawing>
            <wp:anchor distT="0" distB="0" distL="114300" distR="114300" simplePos="0" relativeHeight="251659264" behindDoc="1" locked="0" layoutInCell="0" allowOverlap="1" wp14:anchorId="6F556BD6" wp14:editId="3B16DA04">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63CAC1" id="Rectangle 4"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DB7A07">
      <w:rPr>
        <w:spacing w:val="-2"/>
      </w:rPr>
      <w:t>DA</w:t>
    </w:r>
    <w:r>
      <w:rPr>
        <w:spacing w:val="-2"/>
      </w:rPr>
      <w:t xml:space="preserve"> 15</w:t>
    </w:r>
    <w:r w:rsidR="006F2031">
      <w:rPr>
        <w:spacing w:val="-2"/>
      </w:rPr>
      <w:t>-1079</w:t>
    </w:r>
  </w:p>
  <w:p w:rsidR="00C87F88" w:rsidRPr="008921F4" w:rsidRDefault="00C87F88" w:rsidP="0089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2A0864"/>
    <w:multiLevelType w:val="hybridMultilevel"/>
    <w:tmpl w:val="85EAF340"/>
    <w:lvl w:ilvl="0" w:tplc="FFFFFFFF">
      <w:start w:val="1"/>
      <w:numFmt w:val="lowerLetter"/>
      <w:lvlText w:val="(%1)"/>
      <w:lvlJc w:val="left"/>
      <w:pPr>
        <w:ind w:left="2880" w:hanging="360"/>
      </w:pPr>
      <w:rPr>
        <w:rFonts w:hint="default"/>
        <w:b w:val="0"/>
        <w:i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182925"/>
    <w:multiLevelType w:val="singleLevel"/>
    <w:tmpl w:val="241A70BE"/>
    <w:lvl w:ilvl="0">
      <w:start w:val="1"/>
      <w:numFmt w:val="decimal"/>
      <w:pStyle w:val="ParaNum0"/>
      <w:lvlText w:val="%1."/>
      <w:lvlJc w:val="left"/>
      <w:pPr>
        <w:tabs>
          <w:tab w:val="num" w:pos="1080"/>
        </w:tabs>
        <w:ind w:left="0" w:firstLine="720"/>
      </w:pPr>
      <w:rPr>
        <w:i w:val="0"/>
      </w:rPr>
    </w:lvl>
  </w:abstractNum>
  <w:abstractNum w:abstractNumId="10">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5"/>
  </w:num>
  <w:num w:numId="3">
    <w:abstractNumId w:val="10"/>
  </w:num>
  <w:num w:numId="4">
    <w:abstractNumId w:val="8"/>
  </w:num>
  <w:num w:numId="5">
    <w:abstractNumId w:val="7"/>
  </w:num>
  <w:num w:numId="6">
    <w:abstractNumId w:val="2"/>
  </w:num>
  <w:num w:numId="7">
    <w:abstractNumId w:val="11"/>
  </w:num>
  <w:num w:numId="8">
    <w:abstractNumId w:val="1"/>
  </w:num>
  <w:num w:numId="9">
    <w:abstractNumId w:val="9"/>
    <w:lvlOverride w:ilvl="0">
      <w:startOverride w:val="1"/>
    </w:lvlOverride>
  </w:num>
  <w:num w:numId="10">
    <w:abstractNumId w:val="6"/>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4"/>
  </w:num>
  <w:num w:numId="26">
    <w:abstractNumId w:val="9"/>
  </w:num>
  <w:num w:numId="27">
    <w:abstractNumId w:val="9"/>
  </w:num>
  <w:num w:numId="28">
    <w:abstractNumId w:val="9"/>
    <w:lvlOverride w:ilvl="0">
      <w:startOverride w:val="1"/>
    </w:lvlOverride>
  </w:num>
  <w:num w:numId="29">
    <w:abstractNumId w:val="0"/>
  </w:num>
  <w:num w:numId="30">
    <w:abstractNumId w:val="3"/>
  </w:num>
  <w:num w:numId="31">
    <w:abstractNumId w:val="9"/>
  </w:num>
  <w:num w:numId="32">
    <w:abstractNumId w:val="9"/>
  </w:num>
  <w:num w:numId="33">
    <w:abstractNumId w:val="9"/>
  </w:num>
  <w:num w:numId="3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2FA"/>
    <w:rsid w:val="000046D1"/>
    <w:rsid w:val="00010E77"/>
    <w:rsid w:val="0001137C"/>
    <w:rsid w:val="00012135"/>
    <w:rsid w:val="00013878"/>
    <w:rsid w:val="000156B8"/>
    <w:rsid w:val="0001647A"/>
    <w:rsid w:val="0001789C"/>
    <w:rsid w:val="00020F52"/>
    <w:rsid w:val="000239E2"/>
    <w:rsid w:val="00023CBD"/>
    <w:rsid w:val="00032EB3"/>
    <w:rsid w:val="00035A53"/>
    <w:rsid w:val="00036039"/>
    <w:rsid w:val="00036EBB"/>
    <w:rsid w:val="00037506"/>
    <w:rsid w:val="000375D4"/>
    <w:rsid w:val="00037F90"/>
    <w:rsid w:val="000404F4"/>
    <w:rsid w:val="000409A7"/>
    <w:rsid w:val="00041FA4"/>
    <w:rsid w:val="00043776"/>
    <w:rsid w:val="00044329"/>
    <w:rsid w:val="000474B4"/>
    <w:rsid w:val="0004750B"/>
    <w:rsid w:val="000510A7"/>
    <w:rsid w:val="00051D08"/>
    <w:rsid w:val="000546E3"/>
    <w:rsid w:val="00060B19"/>
    <w:rsid w:val="00060E3B"/>
    <w:rsid w:val="00064FCE"/>
    <w:rsid w:val="00077556"/>
    <w:rsid w:val="00080528"/>
    <w:rsid w:val="000812CD"/>
    <w:rsid w:val="00084844"/>
    <w:rsid w:val="000866EF"/>
    <w:rsid w:val="000875BF"/>
    <w:rsid w:val="000918E6"/>
    <w:rsid w:val="00093012"/>
    <w:rsid w:val="00094FF2"/>
    <w:rsid w:val="00096D8C"/>
    <w:rsid w:val="00097EBB"/>
    <w:rsid w:val="000A0007"/>
    <w:rsid w:val="000A1DBA"/>
    <w:rsid w:val="000A22F1"/>
    <w:rsid w:val="000A69D0"/>
    <w:rsid w:val="000A747B"/>
    <w:rsid w:val="000A78D2"/>
    <w:rsid w:val="000B076B"/>
    <w:rsid w:val="000B4C5A"/>
    <w:rsid w:val="000C0B65"/>
    <w:rsid w:val="000C1510"/>
    <w:rsid w:val="000C3C46"/>
    <w:rsid w:val="000C4982"/>
    <w:rsid w:val="000C5E7E"/>
    <w:rsid w:val="000D2CE7"/>
    <w:rsid w:val="000D2FF2"/>
    <w:rsid w:val="000D4423"/>
    <w:rsid w:val="000D4982"/>
    <w:rsid w:val="000E156D"/>
    <w:rsid w:val="000E1A32"/>
    <w:rsid w:val="000E3D42"/>
    <w:rsid w:val="000E57DB"/>
    <w:rsid w:val="000E5FE3"/>
    <w:rsid w:val="000F1739"/>
    <w:rsid w:val="000F2290"/>
    <w:rsid w:val="000F5AE0"/>
    <w:rsid w:val="000F71E7"/>
    <w:rsid w:val="0010417C"/>
    <w:rsid w:val="00104AE7"/>
    <w:rsid w:val="00107438"/>
    <w:rsid w:val="00111B57"/>
    <w:rsid w:val="001130D9"/>
    <w:rsid w:val="001163D2"/>
    <w:rsid w:val="00116FF9"/>
    <w:rsid w:val="00122BD5"/>
    <w:rsid w:val="00122F40"/>
    <w:rsid w:val="00123544"/>
    <w:rsid w:val="00123DC5"/>
    <w:rsid w:val="001251A4"/>
    <w:rsid w:val="0012535E"/>
    <w:rsid w:val="00125D22"/>
    <w:rsid w:val="001278F9"/>
    <w:rsid w:val="00130E75"/>
    <w:rsid w:val="00131135"/>
    <w:rsid w:val="0013481A"/>
    <w:rsid w:val="0013545C"/>
    <w:rsid w:val="001402C3"/>
    <w:rsid w:val="00146B09"/>
    <w:rsid w:val="001476B5"/>
    <w:rsid w:val="00150039"/>
    <w:rsid w:val="00151AF8"/>
    <w:rsid w:val="00152144"/>
    <w:rsid w:val="0015292D"/>
    <w:rsid w:val="00152E7C"/>
    <w:rsid w:val="001540D5"/>
    <w:rsid w:val="001569B9"/>
    <w:rsid w:val="00161F7D"/>
    <w:rsid w:val="00163419"/>
    <w:rsid w:val="00164854"/>
    <w:rsid w:val="001659BF"/>
    <w:rsid w:val="001664A0"/>
    <w:rsid w:val="00166AFA"/>
    <w:rsid w:val="00170F2C"/>
    <w:rsid w:val="00171161"/>
    <w:rsid w:val="0017171A"/>
    <w:rsid w:val="00172BF5"/>
    <w:rsid w:val="00174F9E"/>
    <w:rsid w:val="00176197"/>
    <w:rsid w:val="0017677C"/>
    <w:rsid w:val="00180D54"/>
    <w:rsid w:val="00182E46"/>
    <w:rsid w:val="001830AA"/>
    <w:rsid w:val="001850F1"/>
    <w:rsid w:val="001877EB"/>
    <w:rsid w:val="001907E6"/>
    <w:rsid w:val="00190E44"/>
    <w:rsid w:val="00193512"/>
    <w:rsid w:val="001955C8"/>
    <w:rsid w:val="00196CFD"/>
    <w:rsid w:val="001A160A"/>
    <w:rsid w:val="001A5074"/>
    <w:rsid w:val="001A6AEF"/>
    <w:rsid w:val="001A7A02"/>
    <w:rsid w:val="001B4BAE"/>
    <w:rsid w:val="001C1D91"/>
    <w:rsid w:val="001C1EB0"/>
    <w:rsid w:val="001C36E6"/>
    <w:rsid w:val="001C4C49"/>
    <w:rsid w:val="001C50A9"/>
    <w:rsid w:val="001C7762"/>
    <w:rsid w:val="001D10CF"/>
    <w:rsid w:val="001D63ED"/>
    <w:rsid w:val="001D6BCF"/>
    <w:rsid w:val="001D7A3C"/>
    <w:rsid w:val="001E01CA"/>
    <w:rsid w:val="001E4EF0"/>
    <w:rsid w:val="001E7454"/>
    <w:rsid w:val="001F0CA8"/>
    <w:rsid w:val="001F11C8"/>
    <w:rsid w:val="001F1433"/>
    <w:rsid w:val="001F278E"/>
    <w:rsid w:val="001F2BAB"/>
    <w:rsid w:val="00202B90"/>
    <w:rsid w:val="00206D2E"/>
    <w:rsid w:val="0020707F"/>
    <w:rsid w:val="0021043C"/>
    <w:rsid w:val="0021060B"/>
    <w:rsid w:val="00211D92"/>
    <w:rsid w:val="00211EE2"/>
    <w:rsid w:val="0022121A"/>
    <w:rsid w:val="00221D7C"/>
    <w:rsid w:val="00223374"/>
    <w:rsid w:val="00223894"/>
    <w:rsid w:val="0022406E"/>
    <w:rsid w:val="002265DD"/>
    <w:rsid w:val="00230505"/>
    <w:rsid w:val="00231522"/>
    <w:rsid w:val="00232642"/>
    <w:rsid w:val="002352DC"/>
    <w:rsid w:val="00236EB9"/>
    <w:rsid w:val="00237F53"/>
    <w:rsid w:val="00240F56"/>
    <w:rsid w:val="00243018"/>
    <w:rsid w:val="002551FD"/>
    <w:rsid w:val="002626EB"/>
    <w:rsid w:val="002645F4"/>
    <w:rsid w:val="002717A9"/>
    <w:rsid w:val="00273B9A"/>
    <w:rsid w:val="00273D16"/>
    <w:rsid w:val="00276796"/>
    <w:rsid w:val="00276DAE"/>
    <w:rsid w:val="00277598"/>
    <w:rsid w:val="00277F32"/>
    <w:rsid w:val="00283BBC"/>
    <w:rsid w:val="00284170"/>
    <w:rsid w:val="00284E12"/>
    <w:rsid w:val="00285017"/>
    <w:rsid w:val="00286AD9"/>
    <w:rsid w:val="00287BA4"/>
    <w:rsid w:val="00291DFD"/>
    <w:rsid w:val="0029201C"/>
    <w:rsid w:val="00295C0F"/>
    <w:rsid w:val="002A1D20"/>
    <w:rsid w:val="002A2D2E"/>
    <w:rsid w:val="002A70B8"/>
    <w:rsid w:val="002B22CB"/>
    <w:rsid w:val="002B2AA5"/>
    <w:rsid w:val="002B3194"/>
    <w:rsid w:val="002B4338"/>
    <w:rsid w:val="002B518C"/>
    <w:rsid w:val="002C0646"/>
    <w:rsid w:val="002C30EE"/>
    <w:rsid w:val="002C67F6"/>
    <w:rsid w:val="002D2357"/>
    <w:rsid w:val="002E1DC8"/>
    <w:rsid w:val="002E3BB1"/>
    <w:rsid w:val="002E4C64"/>
    <w:rsid w:val="002E5543"/>
    <w:rsid w:val="002F0F20"/>
    <w:rsid w:val="002F7BE9"/>
    <w:rsid w:val="0030082F"/>
    <w:rsid w:val="003016ED"/>
    <w:rsid w:val="00301CF6"/>
    <w:rsid w:val="00302BBF"/>
    <w:rsid w:val="00304783"/>
    <w:rsid w:val="00310242"/>
    <w:rsid w:val="00320448"/>
    <w:rsid w:val="00320BE0"/>
    <w:rsid w:val="00321818"/>
    <w:rsid w:val="00327A56"/>
    <w:rsid w:val="003303C9"/>
    <w:rsid w:val="00331532"/>
    <w:rsid w:val="003317A6"/>
    <w:rsid w:val="00332822"/>
    <w:rsid w:val="00334F59"/>
    <w:rsid w:val="00340918"/>
    <w:rsid w:val="00343749"/>
    <w:rsid w:val="003439AD"/>
    <w:rsid w:val="00343B8B"/>
    <w:rsid w:val="003447A3"/>
    <w:rsid w:val="00345A78"/>
    <w:rsid w:val="003504B7"/>
    <w:rsid w:val="00351188"/>
    <w:rsid w:val="00351C94"/>
    <w:rsid w:val="00352167"/>
    <w:rsid w:val="00355126"/>
    <w:rsid w:val="00355AB3"/>
    <w:rsid w:val="00357963"/>
    <w:rsid w:val="00357FDE"/>
    <w:rsid w:val="00361141"/>
    <w:rsid w:val="003628A3"/>
    <w:rsid w:val="00367050"/>
    <w:rsid w:val="00373D2C"/>
    <w:rsid w:val="0038137F"/>
    <w:rsid w:val="003820CD"/>
    <w:rsid w:val="00383733"/>
    <w:rsid w:val="003869A9"/>
    <w:rsid w:val="00386C09"/>
    <w:rsid w:val="00387DC6"/>
    <w:rsid w:val="00393892"/>
    <w:rsid w:val="00395BCD"/>
    <w:rsid w:val="003A0A67"/>
    <w:rsid w:val="003A0CEB"/>
    <w:rsid w:val="003A10AC"/>
    <w:rsid w:val="003A1CBF"/>
    <w:rsid w:val="003A24DA"/>
    <w:rsid w:val="003A2932"/>
    <w:rsid w:val="003A398D"/>
    <w:rsid w:val="003A45E5"/>
    <w:rsid w:val="003A4AB4"/>
    <w:rsid w:val="003A764B"/>
    <w:rsid w:val="003B0550"/>
    <w:rsid w:val="003B1CF4"/>
    <w:rsid w:val="003B1E06"/>
    <w:rsid w:val="003B4686"/>
    <w:rsid w:val="003B5217"/>
    <w:rsid w:val="003B694F"/>
    <w:rsid w:val="003B6F58"/>
    <w:rsid w:val="003C6BBA"/>
    <w:rsid w:val="003C6DEB"/>
    <w:rsid w:val="003D49D5"/>
    <w:rsid w:val="003F1126"/>
    <w:rsid w:val="003F171C"/>
    <w:rsid w:val="003F4DE5"/>
    <w:rsid w:val="004008FF"/>
    <w:rsid w:val="00400BCE"/>
    <w:rsid w:val="00402F7A"/>
    <w:rsid w:val="00404B01"/>
    <w:rsid w:val="0041095B"/>
    <w:rsid w:val="00412FC5"/>
    <w:rsid w:val="004145B3"/>
    <w:rsid w:val="00414A07"/>
    <w:rsid w:val="00414BD8"/>
    <w:rsid w:val="00414F00"/>
    <w:rsid w:val="0041680B"/>
    <w:rsid w:val="004172DB"/>
    <w:rsid w:val="00422276"/>
    <w:rsid w:val="004242F1"/>
    <w:rsid w:val="00425A6B"/>
    <w:rsid w:val="00433E5E"/>
    <w:rsid w:val="004341F0"/>
    <w:rsid w:val="00434575"/>
    <w:rsid w:val="004348F7"/>
    <w:rsid w:val="004357FC"/>
    <w:rsid w:val="004359DD"/>
    <w:rsid w:val="00435FB8"/>
    <w:rsid w:val="004409D9"/>
    <w:rsid w:val="00445A00"/>
    <w:rsid w:val="004479E5"/>
    <w:rsid w:val="00450242"/>
    <w:rsid w:val="00451B0F"/>
    <w:rsid w:val="00452FFD"/>
    <w:rsid w:val="004631B8"/>
    <w:rsid w:val="00463506"/>
    <w:rsid w:val="0046402A"/>
    <w:rsid w:val="004655CB"/>
    <w:rsid w:val="00465FD1"/>
    <w:rsid w:val="00471DDB"/>
    <w:rsid w:val="004737E2"/>
    <w:rsid w:val="00476274"/>
    <w:rsid w:val="00480712"/>
    <w:rsid w:val="0048205C"/>
    <w:rsid w:val="00483444"/>
    <w:rsid w:val="00484691"/>
    <w:rsid w:val="00486ADC"/>
    <w:rsid w:val="00490FA1"/>
    <w:rsid w:val="00491CAC"/>
    <w:rsid w:val="00492284"/>
    <w:rsid w:val="004922AA"/>
    <w:rsid w:val="0049610C"/>
    <w:rsid w:val="004A1DD7"/>
    <w:rsid w:val="004A21C7"/>
    <w:rsid w:val="004A25AB"/>
    <w:rsid w:val="004A296D"/>
    <w:rsid w:val="004A4478"/>
    <w:rsid w:val="004B441D"/>
    <w:rsid w:val="004B5795"/>
    <w:rsid w:val="004B5871"/>
    <w:rsid w:val="004B5F7D"/>
    <w:rsid w:val="004C2EE3"/>
    <w:rsid w:val="004C693C"/>
    <w:rsid w:val="004C6AC5"/>
    <w:rsid w:val="004C7120"/>
    <w:rsid w:val="004C7963"/>
    <w:rsid w:val="004D14D2"/>
    <w:rsid w:val="004D1DB2"/>
    <w:rsid w:val="004D6CFF"/>
    <w:rsid w:val="004E2022"/>
    <w:rsid w:val="004E347E"/>
    <w:rsid w:val="004E4A22"/>
    <w:rsid w:val="004E5936"/>
    <w:rsid w:val="004E6DDD"/>
    <w:rsid w:val="004F0A35"/>
    <w:rsid w:val="004F3A1A"/>
    <w:rsid w:val="004F4B62"/>
    <w:rsid w:val="004F5449"/>
    <w:rsid w:val="004F5E64"/>
    <w:rsid w:val="0050401D"/>
    <w:rsid w:val="005050D6"/>
    <w:rsid w:val="0051080A"/>
    <w:rsid w:val="00511968"/>
    <w:rsid w:val="0051245D"/>
    <w:rsid w:val="005124D9"/>
    <w:rsid w:val="00513983"/>
    <w:rsid w:val="005145CB"/>
    <w:rsid w:val="00515F62"/>
    <w:rsid w:val="00522A30"/>
    <w:rsid w:val="00525103"/>
    <w:rsid w:val="00526103"/>
    <w:rsid w:val="0052710C"/>
    <w:rsid w:val="005278FD"/>
    <w:rsid w:val="005308D6"/>
    <w:rsid w:val="00531FCC"/>
    <w:rsid w:val="005404E4"/>
    <w:rsid w:val="00540959"/>
    <w:rsid w:val="00541410"/>
    <w:rsid w:val="00541786"/>
    <w:rsid w:val="005419E0"/>
    <w:rsid w:val="00541F03"/>
    <w:rsid w:val="005508BF"/>
    <w:rsid w:val="00551532"/>
    <w:rsid w:val="0055614C"/>
    <w:rsid w:val="00561D23"/>
    <w:rsid w:val="005626D4"/>
    <w:rsid w:val="005645B1"/>
    <w:rsid w:val="00566077"/>
    <w:rsid w:val="00567FCE"/>
    <w:rsid w:val="00572218"/>
    <w:rsid w:val="00572A65"/>
    <w:rsid w:val="005742F2"/>
    <w:rsid w:val="0057545E"/>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D6171"/>
    <w:rsid w:val="005D7905"/>
    <w:rsid w:val="005E221D"/>
    <w:rsid w:val="005E2EA3"/>
    <w:rsid w:val="005E31E1"/>
    <w:rsid w:val="005E6453"/>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0C03"/>
    <w:rsid w:val="006313E2"/>
    <w:rsid w:val="006337F6"/>
    <w:rsid w:val="00634CBC"/>
    <w:rsid w:val="0063630A"/>
    <w:rsid w:val="00646BD9"/>
    <w:rsid w:val="006520A5"/>
    <w:rsid w:val="00652A33"/>
    <w:rsid w:val="006554F4"/>
    <w:rsid w:val="00655D03"/>
    <w:rsid w:val="006561B9"/>
    <w:rsid w:val="00661747"/>
    <w:rsid w:val="00663A6F"/>
    <w:rsid w:val="006663EC"/>
    <w:rsid w:val="00671673"/>
    <w:rsid w:val="0067379D"/>
    <w:rsid w:val="0067516C"/>
    <w:rsid w:val="00675F97"/>
    <w:rsid w:val="00676723"/>
    <w:rsid w:val="006776B4"/>
    <w:rsid w:val="006804A8"/>
    <w:rsid w:val="006811E0"/>
    <w:rsid w:val="006811F1"/>
    <w:rsid w:val="00683EA2"/>
    <w:rsid w:val="00683F84"/>
    <w:rsid w:val="00684BE6"/>
    <w:rsid w:val="00686A51"/>
    <w:rsid w:val="00696E22"/>
    <w:rsid w:val="006A05CA"/>
    <w:rsid w:val="006A0BEC"/>
    <w:rsid w:val="006A1C87"/>
    <w:rsid w:val="006A2A50"/>
    <w:rsid w:val="006A3260"/>
    <w:rsid w:val="006A331D"/>
    <w:rsid w:val="006A581E"/>
    <w:rsid w:val="006A6157"/>
    <w:rsid w:val="006A6A81"/>
    <w:rsid w:val="006B302F"/>
    <w:rsid w:val="006B4FAB"/>
    <w:rsid w:val="006B6017"/>
    <w:rsid w:val="006C1944"/>
    <w:rsid w:val="006C59E3"/>
    <w:rsid w:val="006D015E"/>
    <w:rsid w:val="006D2DF3"/>
    <w:rsid w:val="006D6923"/>
    <w:rsid w:val="006E2904"/>
    <w:rsid w:val="006E3099"/>
    <w:rsid w:val="006E4326"/>
    <w:rsid w:val="006E4A96"/>
    <w:rsid w:val="006E6CFC"/>
    <w:rsid w:val="006F2031"/>
    <w:rsid w:val="006F35AB"/>
    <w:rsid w:val="006F6AE9"/>
    <w:rsid w:val="006F7393"/>
    <w:rsid w:val="0070224F"/>
    <w:rsid w:val="0070289F"/>
    <w:rsid w:val="00702DD3"/>
    <w:rsid w:val="00703F9F"/>
    <w:rsid w:val="0070589D"/>
    <w:rsid w:val="007115F7"/>
    <w:rsid w:val="00714014"/>
    <w:rsid w:val="0071473B"/>
    <w:rsid w:val="00722CD3"/>
    <w:rsid w:val="0072328A"/>
    <w:rsid w:val="00725C20"/>
    <w:rsid w:val="0072645F"/>
    <w:rsid w:val="007279D7"/>
    <w:rsid w:val="00733B04"/>
    <w:rsid w:val="00736852"/>
    <w:rsid w:val="00741DB7"/>
    <w:rsid w:val="007447A7"/>
    <w:rsid w:val="0074605C"/>
    <w:rsid w:val="007511CA"/>
    <w:rsid w:val="00751FAC"/>
    <w:rsid w:val="0075478C"/>
    <w:rsid w:val="0075516F"/>
    <w:rsid w:val="007570F2"/>
    <w:rsid w:val="00763ED6"/>
    <w:rsid w:val="00764026"/>
    <w:rsid w:val="007661E4"/>
    <w:rsid w:val="00775907"/>
    <w:rsid w:val="0077592C"/>
    <w:rsid w:val="00781593"/>
    <w:rsid w:val="00782791"/>
    <w:rsid w:val="00785675"/>
    <w:rsid w:val="00785689"/>
    <w:rsid w:val="00785DDD"/>
    <w:rsid w:val="00785EA8"/>
    <w:rsid w:val="00785F35"/>
    <w:rsid w:val="007875C0"/>
    <w:rsid w:val="007916AE"/>
    <w:rsid w:val="00792CB1"/>
    <w:rsid w:val="00793ABE"/>
    <w:rsid w:val="00794E59"/>
    <w:rsid w:val="0079527C"/>
    <w:rsid w:val="00795338"/>
    <w:rsid w:val="007953B5"/>
    <w:rsid w:val="0079587C"/>
    <w:rsid w:val="007971D8"/>
    <w:rsid w:val="0079754B"/>
    <w:rsid w:val="007A09F9"/>
    <w:rsid w:val="007A1E6D"/>
    <w:rsid w:val="007A247C"/>
    <w:rsid w:val="007A6734"/>
    <w:rsid w:val="007A7BA1"/>
    <w:rsid w:val="007B0A80"/>
    <w:rsid w:val="007B0C25"/>
    <w:rsid w:val="007B37B7"/>
    <w:rsid w:val="007B3BDA"/>
    <w:rsid w:val="007B4F15"/>
    <w:rsid w:val="007B4F9B"/>
    <w:rsid w:val="007B6BAD"/>
    <w:rsid w:val="007C4B67"/>
    <w:rsid w:val="007C6255"/>
    <w:rsid w:val="007D3344"/>
    <w:rsid w:val="007D3BC9"/>
    <w:rsid w:val="007D6426"/>
    <w:rsid w:val="007E10BA"/>
    <w:rsid w:val="007E1B57"/>
    <w:rsid w:val="007E2BD7"/>
    <w:rsid w:val="007E2D92"/>
    <w:rsid w:val="007E460A"/>
    <w:rsid w:val="007F017F"/>
    <w:rsid w:val="007F1AC1"/>
    <w:rsid w:val="007F25D2"/>
    <w:rsid w:val="008044E4"/>
    <w:rsid w:val="00805856"/>
    <w:rsid w:val="008067EA"/>
    <w:rsid w:val="00811D58"/>
    <w:rsid w:val="008128B3"/>
    <w:rsid w:val="00815E84"/>
    <w:rsid w:val="008169B5"/>
    <w:rsid w:val="008217DF"/>
    <w:rsid w:val="00822CE0"/>
    <w:rsid w:val="00823DB9"/>
    <w:rsid w:val="00824015"/>
    <w:rsid w:val="0082410C"/>
    <w:rsid w:val="0082657B"/>
    <w:rsid w:val="0082670C"/>
    <w:rsid w:val="0082735A"/>
    <w:rsid w:val="00831C59"/>
    <w:rsid w:val="008346E7"/>
    <w:rsid w:val="00841AB1"/>
    <w:rsid w:val="0084327D"/>
    <w:rsid w:val="00844998"/>
    <w:rsid w:val="00845297"/>
    <w:rsid w:val="008472AC"/>
    <w:rsid w:val="00850DBC"/>
    <w:rsid w:val="008511B9"/>
    <w:rsid w:val="00852F69"/>
    <w:rsid w:val="00857AA7"/>
    <w:rsid w:val="00860B3E"/>
    <w:rsid w:val="00861A75"/>
    <w:rsid w:val="008644A6"/>
    <w:rsid w:val="0086518D"/>
    <w:rsid w:val="00867B1A"/>
    <w:rsid w:val="00880BA8"/>
    <w:rsid w:val="00881B39"/>
    <w:rsid w:val="00881DA6"/>
    <w:rsid w:val="00883302"/>
    <w:rsid w:val="00885F49"/>
    <w:rsid w:val="00890101"/>
    <w:rsid w:val="008921F4"/>
    <w:rsid w:val="00892C25"/>
    <w:rsid w:val="008947F4"/>
    <w:rsid w:val="00897120"/>
    <w:rsid w:val="008A0994"/>
    <w:rsid w:val="008A267C"/>
    <w:rsid w:val="008A37FE"/>
    <w:rsid w:val="008A5341"/>
    <w:rsid w:val="008A7EA5"/>
    <w:rsid w:val="008B4586"/>
    <w:rsid w:val="008C14DE"/>
    <w:rsid w:val="008C2D54"/>
    <w:rsid w:val="008C4282"/>
    <w:rsid w:val="008D046F"/>
    <w:rsid w:val="008D579C"/>
    <w:rsid w:val="008D66A7"/>
    <w:rsid w:val="008D7060"/>
    <w:rsid w:val="008E04D1"/>
    <w:rsid w:val="008E08DB"/>
    <w:rsid w:val="008E0BB6"/>
    <w:rsid w:val="008E252C"/>
    <w:rsid w:val="008F2788"/>
    <w:rsid w:val="008F546F"/>
    <w:rsid w:val="008F5609"/>
    <w:rsid w:val="008F6354"/>
    <w:rsid w:val="009000B2"/>
    <w:rsid w:val="00903487"/>
    <w:rsid w:val="00903E19"/>
    <w:rsid w:val="009052A4"/>
    <w:rsid w:val="009102C4"/>
    <w:rsid w:val="00910F04"/>
    <w:rsid w:val="00911882"/>
    <w:rsid w:val="00912507"/>
    <w:rsid w:val="009125FA"/>
    <w:rsid w:val="00912A4B"/>
    <w:rsid w:val="00916B5B"/>
    <w:rsid w:val="00917CD4"/>
    <w:rsid w:val="00921803"/>
    <w:rsid w:val="0092200C"/>
    <w:rsid w:val="0092218F"/>
    <w:rsid w:val="00922F5C"/>
    <w:rsid w:val="00925EC6"/>
    <w:rsid w:val="00926503"/>
    <w:rsid w:val="0092745B"/>
    <w:rsid w:val="00931485"/>
    <w:rsid w:val="009317FB"/>
    <w:rsid w:val="00931887"/>
    <w:rsid w:val="009319F8"/>
    <w:rsid w:val="009332A1"/>
    <w:rsid w:val="0093490E"/>
    <w:rsid w:val="00935E3A"/>
    <w:rsid w:val="0094240B"/>
    <w:rsid w:val="00943560"/>
    <w:rsid w:val="00950EB7"/>
    <w:rsid w:val="00956027"/>
    <w:rsid w:val="00956337"/>
    <w:rsid w:val="00956F53"/>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96B"/>
    <w:rsid w:val="00992F4D"/>
    <w:rsid w:val="009942A1"/>
    <w:rsid w:val="009A40C2"/>
    <w:rsid w:val="009A4C16"/>
    <w:rsid w:val="009A7EE4"/>
    <w:rsid w:val="009B4D17"/>
    <w:rsid w:val="009B5A50"/>
    <w:rsid w:val="009C00C6"/>
    <w:rsid w:val="009C2ED6"/>
    <w:rsid w:val="009C42B0"/>
    <w:rsid w:val="009D2469"/>
    <w:rsid w:val="009D332B"/>
    <w:rsid w:val="009D66D5"/>
    <w:rsid w:val="009E2677"/>
    <w:rsid w:val="009E4675"/>
    <w:rsid w:val="009E4E15"/>
    <w:rsid w:val="009E58C9"/>
    <w:rsid w:val="009E5BD6"/>
    <w:rsid w:val="009F04D5"/>
    <w:rsid w:val="009F286B"/>
    <w:rsid w:val="009F3A92"/>
    <w:rsid w:val="009F75C8"/>
    <w:rsid w:val="009F77E2"/>
    <w:rsid w:val="009F7C04"/>
    <w:rsid w:val="00A00B66"/>
    <w:rsid w:val="00A027EA"/>
    <w:rsid w:val="00A03DB3"/>
    <w:rsid w:val="00A05473"/>
    <w:rsid w:val="00A06315"/>
    <w:rsid w:val="00A0704F"/>
    <w:rsid w:val="00A12F28"/>
    <w:rsid w:val="00A161BA"/>
    <w:rsid w:val="00A16466"/>
    <w:rsid w:val="00A17A3B"/>
    <w:rsid w:val="00A20FF3"/>
    <w:rsid w:val="00A214C3"/>
    <w:rsid w:val="00A23246"/>
    <w:rsid w:val="00A23AF4"/>
    <w:rsid w:val="00A27ACB"/>
    <w:rsid w:val="00A31A16"/>
    <w:rsid w:val="00A35CE8"/>
    <w:rsid w:val="00A3732E"/>
    <w:rsid w:val="00A453E0"/>
    <w:rsid w:val="00A45F4F"/>
    <w:rsid w:val="00A4658E"/>
    <w:rsid w:val="00A465A0"/>
    <w:rsid w:val="00A5227B"/>
    <w:rsid w:val="00A55695"/>
    <w:rsid w:val="00A5729D"/>
    <w:rsid w:val="00A57B31"/>
    <w:rsid w:val="00A57DAB"/>
    <w:rsid w:val="00A600A9"/>
    <w:rsid w:val="00A60258"/>
    <w:rsid w:val="00A606BF"/>
    <w:rsid w:val="00A6117C"/>
    <w:rsid w:val="00A61ED7"/>
    <w:rsid w:val="00A62713"/>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0019"/>
    <w:rsid w:val="00AC12AD"/>
    <w:rsid w:val="00AC2247"/>
    <w:rsid w:val="00AC3D20"/>
    <w:rsid w:val="00AC5A7C"/>
    <w:rsid w:val="00AC5BC9"/>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6E3"/>
    <w:rsid w:val="00B07E5C"/>
    <w:rsid w:val="00B10576"/>
    <w:rsid w:val="00B13350"/>
    <w:rsid w:val="00B141B4"/>
    <w:rsid w:val="00B14FAF"/>
    <w:rsid w:val="00B15877"/>
    <w:rsid w:val="00B170CE"/>
    <w:rsid w:val="00B17176"/>
    <w:rsid w:val="00B1792B"/>
    <w:rsid w:val="00B211FD"/>
    <w:rsid w:val="00B23785"/>
    <w:rsid w:val="00B239D9"/>
    <w:rsid w:val="00B277A4"/>
    <w:rsid w:val="00B302CB"/>
    <w:rsid w:val="00B32157"/>
    <w:rsid w:val="00B3381B"/>
    <w:rsid w:val="00B44A4F"/>
    <w:rsid w:val="00B44FD3"/>
    <w:rsid w:val="00B47311"/>
    <w:rsid w:val="00B508D0"/>
    <w:rsid w:val="00B517BE"/>
    <w:rsid w:val="00B5414A"/>
    <w:rsid w:val="00B545E3"/>
    <w:rsid w:val="00B64EC5"/>
    <w:rsid w:val="00B65EF8"/>
    <w:rsid w:val="00B66445"/>
    <w:rsid w:val="00B66F5A"/>
    <w:rsid w:val="00B67077"/>
    <w:rsid w:val="00B67176"/>
    <w:rsid w:val="00B75912"/>
    <w:rsid w:val="00B761CF"/>
    <w:rsid w:val="00B80DF6"/>
    <w:rsid w:val="00B811F7"/>
    <w:rsid w:val="00B816A7"/>
    <w:rsid w:val="00B84E6C"/>
    <w:rsid w:val="00B850AC"/>
    <w:rsid w:val="00B860D7"/>
    <w:rsid w:val="00B87679"/>
    <w:rsid w:val="00B95446"/>
    <w:rsid w:val="00BA20CE"/>
    <w:rsid w:val="00BA3B91"/>
    <w:rsid w:val="00BA5111"/>
    <w:rsid w:val="00BA516E"/>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D7DBD"/>
    <w:rsid w:val="00BE2581"/>
    <w:rsid w:val="00BE2B2B"/>
    <w:rsid w:val="00BE4F94"/>
    <w:rsid w:val="00BE506E"/>
    <w:rsid w:val="00BE56B5"/>
    <w:rsid w:val="00BE73DC"/>
    <w:rsid w:val="00BE7722"/>
    <w:rsid w:val="00BE7AAA"/>
    <w:rsid w:val="00BF0234"/>
    <w:rsid w:val="00BF1124"/>
    <w:rsid w:val="00BF1EEC"/>
    <w:rsid w:val="00BF7E1E"/>
    <w:rsid w:val="00C02FA9"/>
    <w:rsid w:val="00C04D36"/>
    <w:rsid w:val="00C06E84"/>
    <w:rsid w:val="00C10ADD"/>
    <w:rsid w:val="00C147DA"/>
    <w:rsid w:val="00C217F4"/>
    <w:rsid w:val="00C218DC"/>
    <w:rsid w:val="00C26F5F"/>
    <w:rsid w:val="00C34006"/>
    <w:rsid w:val="00C41097"/>
    <w:rsid w:val="00C4174C"/>
    <w:rsid w:val="00C426B1"/>
    <w:rsid w:val="00C447D2"/>
    <w:rsid w:val="00C473A8"/>
    <w:rsid w:val="00C47A0C"/>
    <w:rsid w:val="00C518D0"/>
    <w:rsid w:val="00C523B9"/>
    <w:rsid w:val="00C52CF8"/>
    <w:rsid w:val="00C55A2F"/>
    <w:rsid w:val="00C6071D"/>
    <w:rsid w:val="00C612AC"/>
    <w:rsid w:val="00C67932"/>
    <w:rsid w:val="00C700F9"/>
    <w:rsid w:val="00C713BD"/>
    <w:rsid w:val="00C7579F"/>
    <w:rsid w:val="00C75C96"/>
    <w:rsid w:val="00C76BB9"/>
    <w:rsid w:val="00C85DCF"/>
    <w:rsid w:val="00C87F88"/>
    <w:rsid w:val="00C90D6A"/>
    <w:rsid w:val="00C9246B"/>
    <w:rsid w:val="00C92F97"/>
    <w:rsid w:val="00C93A14"/>
    <w:rsid w:val="00C95D80"/>
    <w:rsid w:val="00CA21C0"/>
    <w:rsid w:val="00CA22E9"/>
    <w:rsid w:val="00CA247E"/>
    <w:rsid w:val="00CA4848"/>
    <w:rsid w:val="00CA7078"/>
    <w:rsid w:val="00CB260B"/>
    <w:rsid w:val="00CB51FE"/>
    <w:rsid w:val="00CC2691"/>
    <w:rsid w:val="00CC28B3"/>
    <w:rsid w:val="00CC532C"/>
    <w:rsid w:val="00CC596B"/>
    <w:rsid w:val="00CC72B6"/>
    <w:rsid w:val="00CC746A"/>
    <w:rsid w:val="00CD0180"/>
    <w:rsid w:val="00CD142A"/>
    <w:rsid w:val="00CD2C9B"/>
    <w:rsid w:val="00CD45F8"/>
    <w:rsid w:val="00CD5D72"/>
    <w:rsid w:val="00CE1849"/>
    <w:rsid w:val="00CE1A0C"/>
    <w:rsid w:val="00CE428F"/>
    <w:rsid w:val="00CE632C"/>
    <w:rsid w:val="00CE76C6"/>
    <w:rsid w:val="00CF1C0F"/>
    <w:rsid w:val="00CF1FD7"/>
    <w:rsid w:val="00CF2F47"/>
    <w:rsid w:val="00CF77B7"/>
    <w:rsid w:val="00D01CA9"/>
    <w:rsid w:val="00D0218D"/>
    <w:rsid w:val="00D03AD8"/>
    <w:rsid w:val="00D046D2"/>
    <w:rsid w:val="00D05A77"/>
    <w:rsid w:val="00D1069B"/>
    <w:rsid w:val="00D10745"/>
    <w:rsid w:val="00D15C14"/>
    <w:rsid w:val="00D162D4"/>
    <w:rsid w:val="00D178A6"/>
    <w:rsid w:val="00D23376"/>
    <w:rsid w:val="00D23E19"/>
    <w:rsid w:val="00D257FE"/>
    <w:rsid w:val="00D25892"/>
    <w:rsid w:val="00D25C5E"/>
    <w:rsid w:val="00D25ED7"/>
    <w:rsid w:val="00D26289"/>
    <w:rsid w:val="00D3032A"/>
    <w:rsid w:val="00D31663"/>
    <w:rsid w:val="00D34498"/>
    <w:rsid w:val="00D34844"/>
    <w:rsid w:val="00D3490E"/>
    <w:rsid w:val="00D35731"/>
    <w:rsid w:val="00D377A5"/>
    <w:rsid w:val="00D42D5D"/>
    <w:rsid w:val="00D44790"/>
    <w:rsid w:val="00D463E7"/>
    <w:rsid w:val="00D52151"/>
    <w:rsid w:val="00D52555"/>
    <w:rsid w:val="00D55448"/>
    <w:rsid w:val="00D55632"/>
    <w:rsid w:val="00D5619D"/>
    <w:rsid w:val="00D56630"/>
    <w:rsid w:val="00D630D3"/>
    <w:rsid w:val="00D65B13"/>
    <w:rsid w:val="00D67F84"/>
    <w:rsid w:val="00D704AA"/>
    <w:rsid w:val="00D70822"/>
    <w:rsid w:val="00D71CDA"/>
    <w:rsid w:val="00D72804"/>
    <w:rsid w:val="00D81FA0"/>
    <w:rsid w:val="00D82EB7"/>
    <w:rsid w:val="00D83129"/>
    <w:rsid w:val="00D84548"/>
    <w:rsid w:val="00D86532"/>
    <w:rsid w:val="00D907E2"/>
    <w:rsid w:val="00D90C51"/>
    <w:rsid w:val="00D91240"/>
    <w:rsid w:val="00D943A2"/>
    <w:rsid w:val="00D95AC5"/>
    <w:rsid w:val="00D95C94"/>
    <w:rsid w:val="00D9774A"/>
    <w:rsid w:val="00D978A8"/>
    <w:rsid w:val="00D97B34"/>
    <w:rsid w:val="00DA2529"/>
    <w:rsid w:val="00DA2BA0"/>
    <w:rsid w:val="00DA2CFF"/>
    <w:rsid w:val="00DA2DB9"/>
    <w:rsid w:val="00DA7E2A"/>
    <w:rsid w:val="00DB0422"/>
    <w:rsid w:val="00DB0B9F"/>
    <w:rsid w:val="00DB130A"/>
    <w:rsid w:val="00DB17D4"/>
    <w:rsid w:val="00DB4B14"/>
    <w:rsid w:val="00DB5B28"/>
    <w:rsid w:val="00DB7A07"/>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39D8"/>
    <w:rsid w:val="00DE6302"/>
    <w:rsid w:val="00DE704A"/>
    <w:rsid w:val="00DE7126"/>
    <w:rsid w:val="00DF05A3"/>
    <w:rsid w:val="00DF0D3C"/>
    <w:rsid w:val="00DF1C0C"/>
    <w:rsid w:val="00DF4504"/>
    <w:rsid w:val="00DF47DF"/>
    <w:rsid w:val="00DF5AF8"/>
    <w:rsid w:val="00DF5C09"/>
    <w:rsid w:val="00DF62B6"/>
    <w:rsid w:val="00DF7138"/>
    <w:rsid w:val="00E03633"/>
    <w:rsid w:val="00E037E1"/>
    <w:rsid w:val="00E069F9"/>
    <w:rsid w:val="00E07225"/>
    <w:rsid w:val="00E141AE"/>
    <w:rsid w:val="00E142AC"/>
    <w:rsid w:val="00E179EE"/>
    <w:rsid w:val="00E211FE"/>
    <w:rsid w:val="00E32005"/>
    <w:rsid w:val="00E3204A"/>
    <w:rsid w:val="00E3378C"/>
    <w:rsid w:val="00E34234"/>
    <w:rsid w:val="00E35272"/>
    <w:rsid w:val="00E4174C"/>
    <w:rsid w:val="00E41B30"/>
    <w:rsid w:val="00E421F8"/>
    <w:rsid w:val="00E440DF"/>
    <w:rsid w:val="00E44AC6"/>
    <w:rsid w:val="00E46402"/>
    <w:rsid w:val="00E465A8"/>
    <w:rsid w:val="00E514C0"/>
    <w:rsid w:val="00E52DC7"/>
    <w:rsid w:val="00E5409F"/>
    <w:rsid w:val="00E54C87"/>
    <w:rsid w:val="00E54D63"/>
    <w:rsid w:val="00E70486"/>
    <w:rsid w:val="00E73616"/>
    <w:rsid w:val="00E76A80"/>
    <w:rsid w:val="00E76AE5"/>
    <w:rsid w:val="00E828C5"/>
    <w:rsid w:val="00E843BC"/>
    <w:rsid w:val="00E84BA7"/>
    <w:rsid w:val="00E87831"/>
    <w:rsid w:val="00E93679"/>
    <w:rsid w:val="00E94865"/>
    <w:rsid w:val="00E95957"/>
    <w:rsid w:val="00E95C94"/>
    <w:rsid w:val="00EA1A3D"/>
    <w:rsid w:val="00EA21F8"/>
    <w:rsid w:val="00EA296C"/>
    <w:rsid w:val="00EB0F91"/>
    <w:rsid w:val="00EB1673"/>
    <w:rsid w:val="00EB2E40"/>
    <w:rsid w:val="00EB356C"/>
    <w:rsid w:val="00EB6225"/>
    <w:rsid w:val="00EB752D"/>
    <w:rsid w:val="00EC19D6"/>
    <w:rsid w:val="00EC27D2"/>
    <w:rsid w:val="00EC5684"/>
    <w:rsid w:val="00EC58BD"/>
    <w:rsid w:val="00EC663A"/>
    <w:rsid w:val="00EC767E"/>
    <w:rsid w:val="00ED1A85"/>
    <w:rsid w:val="00ED1EA7"/>
    <w:rsid w:val="00ED399C"/>
    <w:rsid w:val="00ED48FF"/>
    <w:rsid w:val="00ED5746"/>
    <w:rsid w:val="00ED64B0"/>
    <w:rsid w:val="00EE0C8E"/>
    <w:rsid w:val="00EE58F2"/>
    <w:rsid w:val="00EE6488"/>
    <w:rsid w:val="00EF1C44"/>
    <w:rsid w:val="00EF28F5"/>
    <w:rsid w:val="00EF3095"/>
    <w:rsid w:val="00EF4CF7"/>
    <w:rsid w:val="00EF7F44"/>
    <w:rsid w:val="00F021FA"/>
    <w:rsid w:val="00F038E2"/>
    <w:rsid w:val="00F05FD0"/>
    <w:rsid w:val="00F125D4"/>
    <w:rsid w:val="00F162E3"/>
    <w:rsid w:val="00F240C3"/>
    <w:rsid w:val="00F24FF8"/>
    <w:rsid w:val="00F27F24"/>
    <w:rsid w:val="00F360F9"/>
    <w:rsid w:val="00F361E6"/>
    <w:rsid w:val="00F3638F"/>
    <w:rsid w:val="00F3676D"/>
    <w:rsid w:val="00F43E41"/>
    <w:rsid w:val="00F442BB"/>
    <w:rsid w:val="00F44F3A"/>
    <w:rsid w:val="00F53B40"/>
    <w:rsid w:val="00F62E97"/>
    <w:rsid w:val="00F64209"/>
    <w:rsid w:val="00F6525C"/>
    <w:rsid w:val="00F65CE9"/>
    <w:rsid w:val="00F70E6D"/>
    <w:rsid w:val="00F71F68"/>
    <w:rsid w:val="00F723E4"/>
    <w:rsid w:val="00F76E5B"/>
    <w:rsid w:val="00F80663"/>
    <w:rsid w:val="00F810BC"/>
    <w:rsid w:val="00F82C43"/>
    <w:rsid w:val="00F84126"/>
    <w:rsid w:val="00F84BCA"/>
    <w:rsid w:val="00F85EA2"/>
    <w:rsid w:val="00F87A23"/>
    <w:rsid w:val="00F90847"/>
    <w:rsid w:val="00F92977"/>
    <w:rsid w:val="00F92CFF"/>
    <w:rsid w:val="00F9306A"/>
    <w:rsid w:val="00F931E1"/>
    <w:rsid w:val="00F93BF5"/>
    <w:rsid w:val="00F9410F"/>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CC4"/>
    <w:rsid w:val="00FC6D19"/>
    <w:rsid w:val="00FD134C"/>
    <w:rsid w:val="00FD2F8B"/>
    <w:rsid w:val="00FD32B6"/>
    <w:rsid w:val="00FD3E8B"/>
    <w:rsid w:val="00FD5FA7"/>
    <w:rsid w:val="00FE0139"/>
    <w:rsid w:val="00FE1E94"/>
    <w:rsid w:val="00FE44B4"/>
    <w:rsid w:val="00FE4FDB"/>
    <w:rsid w:val="00FE6A5A"/>
    <w:rsid w:val="00FE7172"/>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88"/>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uiPriority w:val="99"/>
    <w:rsid w:val="009E58C9"/>
    <w:pPr>
      <w:numPr>
        <w:numId w:val="1"/>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Style 7,Footnote Reference1,Style 34,Style 9"/>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4"/>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ocked/>
    <w:rsid w:val="004A4478"/>
    <w:rPr>
      <w:sz w:val="24"/>
      <w:lang w:val="en-US" w:eastAsia="en-US"/>
    </w:rPr>
  </w:style>
  <w:style w:type="character" w:customStyle="1" w:styleId="ParaNumChar">
    <w:name w:val="ParaNum Char"/>
    <w:link w:val="ParaNum0"/>
    <w:uiPriority w:val="99"/>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01647A"/>
    <w:rPr>
      <w:rFonts w:ascii="Times New Roman Bold" w:hAnsi="Times New Roman Bold"/>
      <w:b/>
      <w:caps/>
      <w:snapToGrid w:val="0"/>
      <w:kern w:val="28"/>
      <w:sz w:val="22"/>
    </w:rPr>
  </w:style>
  <w:style w:type="character" w:customStyle="1" w:styleId="FooterChar">
    <w:name w:val="Footer Char"/>
    <w:basedOn w:val="DefaultParagraphFont"/>
    <w:link w:val="Footer"/>
    <w:uiPriority w:val="99"/>
    <w:rsid w:val="0001647A"/>
    <w:rPr>
      <w:snapToGrid w:val="0"/>
      <w:kern w:val="28"/>
      <w:sz w:val="22"/>
    </w:rPr>
  </w:style>
  <w:style w:type="character" w:customStyle="1" w:styleId="FootnoteTextChar2">
    <w:name w:val="Footnote Text Char2"/>
    <w:aliases w:val="Footnote Text Char Char Char Char Char Char Char,f Char,Footnote Text Char1 Char Char1,Footnote Text Char Char Char Char1,Footnote Text Char1 Char Char Char Char1,Footnote Text Char Char Char Char Char Char1"/>
    <w:basedOn w:val="DefaultParagraphFont"/>
    <w:locked/>
    <w:rsid w:val="002E3BB1"/>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basedOn w:val="DefaultParagraphFont"/>
    <w:locked/>
    <w:rsid w:val="005D7905"/>
    <w:rPr>
      <w:sz w:val="20"/>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rsid w:val="00630C03"/>
  </w:style>
  <w:style w:type="paragraph" w:styleId="Revision">
    <w:name w:val="Revision"/>
    <w:hidden/>
    <w:uiPriority w:val="99"/>
    <w:semiHidden/>
    <w:rsid w:val="00531FC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88"/>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uiPriority w:val="99"/>
    <w:rsid w:val="009E58C9"/>
    <w:pPr>
      <w:numPr>
        <w:numId w:val="1"/>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Style 7,Footnote Reference1,Style 34,Style 9"/>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4"/>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ocked/>
    <w:rsid w:val="004A4478"/>
    <w:rPr>
      <w:sz w:val="24"/>
      <w:lang w:val="en-US" w:eastAsia="en-US"/>
    </w:rPr>
  </w:style>
  <w:style w:type="character" w:customStyle="1" w:styleId="ParaNumChar">
    <w:name w:val="ParaNum Char"/>
    <w:link w:val="ParaNum0"/>
    <w:uiPriority w:val="99"/>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01647A"/>
    <w:rPr>
      <w:rFonts w:ascii="Times New Roman Bold" w:hAnsi="Times New Roman Bold"/>
      <w:b/>
      <w:caps/>
      <w:snapToGrid w:val="0"/>
      <w:kern w:val="28"/>
      <w:sz w:val="22"/>
    </w:rPr>
  </w:style>
  <w:style w:type="character" w:customStyle="1" w:styleId="FooterChar">
    <w:name w:val="Footer Char"/>
    <w:basedOn w:val="DefaultParagraphFont"/>
    <w:link w:val="Footer"/>
    <w:uiPriority w:val="99"/>
    <w:rsid w:val="0001647A"/>
    <w:rPr>
      <w:snapToGrid w:val="0"/>
      <w:kern w:val="28"/>
      <w:sz w:val="22"/>
    </w:rPr>
  </w:style>
  <w:style w:type="character" w:customStyle="1" w:styleId="FootnoteTextChar2">
    <w:name w:val="Footnote Text Char2"/>
    <w:aliases w:val="Footnote Text Char Char Char Char Char Char Char,f Char,Footnote Text Char1 Char Char1,Footnote Text Char Char Char Char1,Footnote Text Char1 Char Char Char Char1,Footnote Text Char Char Char Char Char Char1"/>
    <w:basedOn w:val="DefaultParagraphFont"/>
    <w:locked/>
    <w:rsid w:val="002E3BB1"/>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basedOn w:val="DefaultParagraphFont"/>
    <w:locked/>
    <w:rsid w:val="005D7905"/>
    <w:rPr>
      <w:sz w:val="20"/>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rsid w:val="00630C03"/>
  </w:style>
  <w:style w:type="paragraph" w:styleId="Revision">
    <w:name w:val="Revision"/>
    <w:hidden/>
    <w:uiPriority w:val="99"/>
    <w:semiHidden/>
    <w:rsid w:val="00531FC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559557601">
      <w:bodyDiv w:val="1"/>
      <w:marLeft w:val="0"/>
      <w:marRight w:val="0"/>
      <w:marTop w:val="0"/>
      <w:marBottom w:val="0"/>
      <w:divBdr>
        <w:top w:val="none" w:sz="0" w:space="0" w:color="auto"/>
        <w:left w:val="none" w:sz="0" w:space="0" w:color="auto"/>
        <w:bottom w:val="none" w:sz="0" w:space="0" w:color="auto"/>
        <w:right w:val="none" w:sz="0" w:space="0" w:color="auto"/>
      </w:divBdr>
    </w:div>
    <w:div w:id="735051852">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lun.Lee@fcc.gov" TargetMode="External"/><Relationship Id="rId3" Type="http://schemas.microsoft.com/office/2007/relationships/stylesWithEffects" Target="stylesWithEffects.xml"/><Relationship Id="rId21" Type="http://schemas.openxmlformats.org/officeDocument/2006/relationships/hyperlink" Target="mailto:Kalun.Lee@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effrey.Gee@fcc.gov" TargetMode="External"/><Relationship Id="rId2" Type="http://schemas.openxmlformats.org/officeDocument/2006/relationships/styles" Target="styles.xml"/><Relationship Id="rId16" Type="http://schemas.openxmlformats.org/officeDocument/2006/relationships/hyperlink" Target="mailto:Pam.Slipakoff@fcc.gov" TargetMode="External"/><Relationship Id="rId20" Type="http://schemas.openxmlformats.org/officeDocument/2006/relationships/hyperlink" Target="mailto:Jeffrey.Ge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lun.Lee@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am.Slipakoff@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ffrey.Gee@fcc.gov" TargetMode="External"/><Relationship Id="rId22" Type="http://schemas.openxmlformats.org/officeDocument/2006/relationships/hyperlink" Target="mailto:Pam.Slipakoff@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4911</Words>
  <Characters>27557</Characters>
  <Application>Microsoft Office Word</Application>
  <DocSecurity>0</DocSecurity>
  <PresentationFormat>[Compatibility Mode]</PresentationFormat>
  <Lines>483</Lines>
  <Paragraphs>134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32498</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2015-10-06T17:22:00Z</dcterms:created>
  <dcterms:modified xsi:type="dcterms:W3CDTF">2015-10-06T17:22:00Z</dcterms:modified>
  <cp:category> </cp:category>
  <cp:contentStatus> </cp:contentStatus>
</cp:coreProperties>
</file>