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085F3" w14:textId="77777777" w:rsidR="004C2EE3" w:rsidRPr="00912E96" w:rsidRDefault="004C2EE3">
      <w:pPr>
        <w:jc w:val="center"/>
        <w:rPr>
          <w:rFonts w:ascii="Times New Roman" w:hAnsi="Times New Roman" w:cs="Times New Roman"/>
          <w:b/>
        </w:rPr>
      </w:pPr>
      <w:bookmarkStart w:id="0" w:name="_GoBack"/>
      <w:bookmarkEnd w:id="0"/>
      <w:r w:rsidRPr="00912E96">
        <w:rPr>
          <w:rFonts w:ascii="Times New Roman" w:hAnsi="Times New Roman" w:cs="Times New Roman"/>
          <w:b/>
        </w:rPr>
        <w:t>Before the</w:t>
      </w:r>
    </w:p>
    <w:p w14:paraId="789F987C" w14:textId="77777777" w:rsidR="00921803" w:rsidRPr="00912E96" w:rsidRDefault="00921803" w:rsidP="00921803">
      <w:pPr>
        <w:pStyle w:val="StyleBoldCentered"/>
        <w:rPr>
          <w:rFonts w:ascii="Times New Roman" w:hAnsi="Times New Roman" w:cs="Times New Roman"/>
        </w:rPr>
      </w:pPr>
      <w:r w:rsidRPr="00912E96">
        <w:rPr>
          <w:rFonts w:ascii="Times New Roman" w:hAnsi="Times New Roman" w:cs="Times New Roman"/>
        </w:rPr>
        <w:t>F</w:t>
      </w:r>
      <w:r w:rsidRPr="00912E96">
        <w:rPr>
          <w:rFonts w:ascii="Times New Roman" w:hAnsi="Times New Roman" w:cs="Times New Roman"/>
          <w:caps w:val="0"/>
        </w:rPr>
        <w:t>ederal Communications Commission</w:t>
      </w:r>
    </w:p>
    <w:p w14:paraId="1DA9CBC1" w14:textId="77777777" w:rsidR="004C2EE3" w:rsidRPr="00912E96" w:rsidRDefault="00810B6F" w:rsidP="00096D8C">
      <w:pPr>
        <w:pStyle w:val="StyleBoldCentered"/>
        <w:rPr>
          <w:rFonts w:ascii="Times New Roman" w:hAnsi="Times New Roman" w:cs="Times New Roman"/>
        </w:rPr>
      </w:pPr>
      <w:r w:rsidRPr="00912E96">
        <w:rPr>
          <w:rFonts w:ascii="Times New Roman" w:hAnsi="Times New Roman" w:cs="Times New Roman"/>
          <w:caps w:val="0"/>
        </w:rPr>
        <w:t>Washington, D.C. 20554</w:t>
      </w:r>
    </w:p>
    <w:p w14:paraId="15FA6496" w14:textId="77777777" w:rsidR="004C2EE3" w:rsidRPr="00912E96" w:rsidRDefault="004C2EE3" w:rsidP="0070224F">
      <w:pPr>
        <w:rPr>
          <w:rFonts w:ascii="Times New Roman" w:hAnsi="Times New Roman" w:cs="Times New Roman"/>
        </w:rPr>
      </w:pPr>
    </w:p>
    <w:p w14:paraId="41F18E2E" w14:textId="77777777" w:rsidR="004C2EE3" w:rsidRPr="00912E96" w:rsidRDefault="004C2EE3" w:rsidP="0070224F">
      <w:pPr>
        <w:rPr>
          <w:rFonts w:ascii="Times New Roman" w:hAnsi="Times New Roman" w:cs="Times New Roman"/>
        </w:rPr>
      </w:pPr>
    </w:p>
    <w:tbl>
      <w:tblPr>
        <w:tblW w:w="0" w:type="auto"/>
        <w:tblLayout w:type="fixed"/>
        <w:tblLook w:val="0000" w:firstRow="0" w:lastRow="0" w:firstColumn="0" w:lastColumn="0" w:noHBand="0" w:noVBand="0"/>
      </w:tblPr>
      <w:tblGrid>
        <w:gridCol w:w="4698"/>
        <w:gridCol w:w="630"/>
        <w:gridCol w:w="4248"/>
      </w:tblGrid>
      <w:tr w:rsidR="004C2EE3" w:rsidRPr="003C57D4" w14:paraId="10B800BD" w14:textId="77777777">
        <w:tc>
          <w:tcPr>
            <w:tcW w:w="4698" w:type="dxa"/>
          </w:tcPr>
          <w:p w14:paraId="6AE863AF" w14:textId="77777777" w:rsidR="004C2EE3" w:rsidRPr="00912E96" w:rsidRDefault="004C2EE3">
            <w:pPr>
              <w:tabs>
                <w:tab w:val="center" w:pos="4680"/>
              </w:tabs>
              <w:suppressAutoHyphens/>
              <w:rPr>
                <w:rFonts w:ascii="Times New Roman" w:hAnsi="Times New Roman" w:cs="Times New Roman"/>
                <w:spacing w:val="-2"/>
              </w:rPr>
            </w:pPr>
            <w:r w:rsidRPr="00912E96">
              <w:rPr>
                <w:rFonts w:ascii="Times New Roman" w:hAnsi="Times New Roman" w:cs="Times New Roman"/>
                <w:spacing w:val="-2"/>
              </w:rPr>
              <w:t>In the Matter of</w:t>
            </w:r>
          </w:p>
          <w:p w14:paraId="70451CC5" w14:textId="77777777" w:rsidR="004C2EE3" w:rsidRPr="00912E96" w:rsidRDefault="004C2EE3">
            <w:pPr>
              <w:tabs>
                <w:tab w:val="center" w:pos="4680"/>
              </w:tabs>
              <w:suppressAutoHyphens/>
              <w:rPr>
                <w:rFonts w:ascii="Times New Roman" w:hAnsi="Times New Roman" w:cs="Times New Roman"/>
                <w:spacing w:val="-2"/>
              </w:rPr>
            </w:pPr>
          </w:p>
          <w:p w14:paraId="266D967F" w14:textId="028B041B" w:rsidR="004C2EE3" w:rsidRDefault="00926ECC" w:rsidP="007115F7">
            <w:pPr>
              <w:tabs>
                <w:tab w:val="center" w:pos="4680"/>
              </w:tabs>
              <w:suppressAutoHyphens/>
              <w:rPr>
                <w:rFonts w:ascii="Times New Roman" w:hAnsi="Times New Roman" w:cs="Times New Roman"/>
                <w:spacing w:val="-2"/>
              </w:rPr>
            </w:pPr>
            <w:r>
              <w:rPr>
                <w:rFonts w:ascii="Times New Roman" w:hAnsi="Times New Roman" w:cs="Times New Roman"/>
                <w:spacing w:val="-2"/>
              </w:rPr>
              <w:t>Video Voice, Inc.</w:t>
            </w:r>
          </w:p>
          <w:p w14:paraId="55335363" w14:textId="0A33E29A" w:rsidR="005037C9" w:rsidRPr="00912E96" w:rsidRDefault="005037C9" w:rsidP="007115F7">
            <w:pPr>
              <w:tabs>
                <w:tab w:val="center" w:pos="4680"/>
              </w:tabs>
              <w:suppressAutoHyphens/>
              <w:rPr>
                <w:rFonts w:ascii="Times New Roman" w:hAnsi="Times New Roman" w:cs="Times New Roman"/>
                <w:spacing w:val="-2"/>
              </w:rPr>
            </w:pPr>
            <w:r w:rsidRPr="00912E96">
              <w:rPr>
                <w:rFonts w:ascii="Times New Roman" w:hAnsi="Times New Roman" w:cs="Times New Roman"/>
                <w:spacing w:val="-2"/>
              </w:rPr>
              <w:t xml:space="preserve">Licensee of Station </w:t>
            </w:r>
            <w:r w:rsidR="00926ECC">
              <w:rPr>
                <w:rFonts w:ascii="Times New Roman" w:hAnsi="Times New Roman" w:cs="Times New Roman"/>
                <w:spacing w:val="-2"/>
              </w:rPr>
              <w:t>WVVH</w:t>
            </w:r>
            <w:r w:rsidR="000C70DF">
              <w:rPr>
                <w:rFonts w:ascii="Times New Roman" w:hAnsi="Times New Roman" w:cs="Times New Roman"/>
                <w:spacing w:val="-2"/>
              </w:rPr>
              <w:t>-CD</w:t>
            </w:r>
          </w:p>
          <w:p w14:paraId="2D12E138" w14:textId="2D8F15C1" w:rsidR="005037C9" w:rsidRPr="00912E96" w:rsidRDefault="00926ECC" w:rsidP="00926ECC">
            <w:pPr>
              <w:tabs>
                <w:tab w:val="center" w:pos="4680"/>
              </w:tabs>
              <w:suppressAutoHyphens/>
              <w:rPr>
                <w:rFonts w:ascii="Times New Roman" w:hAnsi="Times New Roman" w:cs="Times New Roman"/>
                <w:spacing w:val="-2"/>
              </w:rPr>
            </w:pPr>
            <w:r>
              <w:rPr>
                <w:rFonts w:ascii="Times New Roman" w:hAnsi="Times New Roman" w:cs="Times New Roman"/>
                <w:spacing w:val="-2"/>
              </w:rPr>
              <w:t>Southampton, NY</w:t>
            </w:r>
          </w:p>
        </w:tc>
        <w:tc>
          <w:tcPr>
            <w:tcW w:w="630" w:type="dxa"/>
          </w:tcPr>
          <w:p w14:paraId="4856FC88" w14:textId="77777777" w:rsidR="004C2EE3" w:rsidRPr="00912E96" w:rsidRDefault="004C2EE3">
            <w:pPr>
              <w:tabs>
                <w:tab w:val="center" w:pos="4680"/>
              </w:tabs>
              <w:suppressAutoHyphens/>
              <w:rPr>
                <w:rFonts w:ascii="Times New Roman" w:hAnsi="Times New Roman" w:cs="Times New Roman"/>
                <w:b/>
                <w:spacing w:val="-2"/>
              </w:rPr>
            </w:pPr>
            <w:r w:rsidRPr="00912E96">
              <w:rPr>
                <w:rFonts w:ascii="Times New Roman" w:hAnsi="Times New Roman" w:cs="Times New Roman"/>
                <w:b/>
                <w:spacing w:val="-2"/>
              </w:rPr>
              <w:t>)</w:t>
            </w:r>
          </w:p>
          <w:p w14:paraId="4C22C96B" w14:textId="77777777" w:rsidR="004C2EE3" w:rsidRPr="00912E96" w:rsidRDefault="004C2EE3">
            <w:pPr>
              <w:tabs>
                <w:tab w:val="center" w:pos="4680"/>
              </w:tabs>
              <w:suppressAutoHyphens/>
              <w:rPr>
                <w:rFonts w:ascii="Times New Roman" w:hAnsi="Times New Roman" w:cs="Times New Roman"/>
                <w:b/>
                <w:spacing w:val="-2"/>
              </w:rPr>
            </w:pPr>
            <w:r w:rsidRPr="00912E96">
              <w:rPr>
                <w:rFonts w:ascii="Times New Roman" w:hAnsi="Times New Roman" w:cs="Times New Roman"/>
                <w:b/>
                <w:spacing w:val="-2"/>
              </w:rPr>
              <w:t>)</w:t>
            </w:r>
          </w:p>
          <w:p w14:paraId="6D95E9CE" w14:textId="77777777" w:rsidR="004C2EE3" w:rsidRPr="00912E96" w:rsidRDefault="004C2EE3">
            <w:pPr>
              <w:tabs>
                <w:tab w:val="center" w:pos="4680"/>
              </w:tabs>
              <w:suppressAutoHyphens/>
              <w:rPr>
                <w:rFonts w:ascii="Times New Roman" w:hAnsi="Times New Roman" w:cs="Times New Roman"/>
                <w:b/>
                <w:spacing w:val="-2"/>
              </w:rPr>
            </w:pPr>
            <w:r w:rsidRPr="00912E96">
              <w:rPr>
                <w:rFonts w:ascii="Times New Roman" w:hAnsi="Times New Roman" w:cs="Times New Roman"/>
                <w:b/>
                <w:spacing w:val="-2"/>
              </w:rPr>
              <w:t>)</w:t>
            </w:r>
          </w:p>
          <w:p w14:paraId="2B377F2B" w14:textId="77777777" w:rsidR="004C2EE3" w:rsidRPr="00912E96" w:rsidRDefault="004C2EE3">
            <w:pPr>
              <w:tabs>
                <w:tab w:val="center" w:pos="4680"/>
              </w:tabs>
              <w:suppressAutoHyphens/>
              <w:rPr>
                <w:rFonts w:ascii="Times New Roman" w:hAnsi="Times New Roman" w:cs="Times New Roman"/>
                <w:b/>
                <w:spacing w:val="-2"/>
              </w:rPr>
            </w:pPr>
            <w:r w:rsidRPr="00912E96">
              <w:rPr>
                <w:rFonts w:ascii="Times New Roman" w:hAnsi="Times New Roman" w:cs="Times New Roman"/>
                <w:b/>
                <w:spacing w:val="-2"/>
              </w:rPr>
              <w:t>)</w:t>
            </w:r>
          </w:p>
          <w:p w14:paraId="0B166DDD" w14:textId="77777777" w:rsidR="004C2EE3" w:rsidRPr="00912E96" w:rsidRDefault="004C2EE3">
            <w:pPr>
              <w:tabs>
                <w:tab w:val="center" w:pos="4680"/>
              </w:tabs>
              <w:suppressAutoHyphens/>
              <w:rPr>
                <w:rFonts w:ascii="Times New Roman" w:hAnsi="Times New Roman" w:cs="Times New Roman"/>
                <w:b/>
                <w:spacing w:val="-2"/>
              </w:rPr>
            </w:pPr>
            <w:r w:rsidRPr="00912E96">
              <w:rPr>
                <w:rFonts w:ascii="Times New Roman" w:hAnsi="Times New Roman" w:cs="Times New Roman"/>
                <w:b/>
                <w:spacing w:val="-2"/>
              </w:rPr>
              <w:t>)</w:t>
            </w:r>
          </w:p>
        </w:tc>
        <w:tc>
          <w:tcPr>
            <w:tcW w:w="4248" w:type="dxa"/>
          </w:tcPr>
          <w:p w14:paraId="76817792" w14:textId="77777777" w:rsidR="004C2EE3" w:rsidRPr="00912E96" w:rsidRDefault="004C2EE3">
            <w:pPr>
              <w:tabs>
                <w:tab w:val="center" w:pos="4680"/>
              </w:tabs>
              <w:suppressAutoHyphens/>
              <w:rPr>
                <w:rFonts w:ascii="Times New Roman" w:hAnsi="Times New Roman" w:cs="Times New Roman"/>
                <w:spacing w:val="-2"/>
              </w:rPr>
            </w:pPr>
          </w:p>
          <w:p w14:paraId="5FD51665" w14:textId="77777777" w:rsidR="004C2EE3" w:rsidRPr="00912E96" w:rsidRDefault="004C2EE3">
            <w:pPr>
              <w:pStyle w:val="TOAHeading"/>
              <w:tabs>
                <w:tab w:val="clear" w:pos="9360"/>
                <w:tab w:val="center" w:pos="4680"/>
              </w:tabs>
              <w:rPr>
                <w:rFonts w:ascii="Times New Roman" w:hAnsi="Times New Roman" w:cs="Times New Roman"/>
                <w:spacing w:val="-2"/>
              </w:rPr>
            </w:pPr>
          </w:p>
          <w:p w14:paraId="0CC9125C" w14:textId="35DDB6AA" w:rsidR="004C2EE3" w:rsidRPr="00912E96" w:rsidRDefault="005037C9">
            <w:pPr>
              <w:tabs>
                <w:tab w:val="center" w:pos="4680"/>
              </w:tabs>
              <w:suppressAutoHyphens/>
              <w:rPr>
                <w:rFonts w:ascii="Times New Roman" w:hAnsi="Times New Roman" w:cs="Times New Roman"/>
                <w:spacing w:val="-2"/>
              </w:rPr>
            </w:pPr>
            <w:r w:rsidRPr="00912E96">
              <w:rPr>
                <w:rFonts w:ascii="Times New Roman" w:hAnsi="Times New Roman" w:cs="Times New Roman"/>
                <w:spacing w:val="-2"/>
              </w:rPr>
              <w:t xml:space="preserve">Facility ID No. </w:t>
            </w:r>
            <w:r w:rsidR="00926ECC">
              <w:rPr>
                <w:rFonts w:ascii="Times New Roman" w:hAnsi="Times New Roman" w:cs="Times New Roman"/>
                <w:spacing w:val="-2"/>
              </w:rPr>
              <w:t>70158</w:t>
            </w:r>
          </w:p>
          <w:p w14:paraId="18D21BF5" w14:textId="15C39ED6" w:rsidR="005037C9" w:rsidRPr="00912E96" w:rsidRDefault="005037C9">
            <w:pPr>
              <w:tabs>
                <w:tab w:val="center" w:pos="4680"/>
              </w:tabs>
              <w:suppressAutoHyphens/>
              <w:rPr>
                <w:rFonts w:ascii="Times New Roman" w:hAnsi="Times New Roman" w:cs="Times New Roman"/>
                <w:spacing w:val="-2"/>
              </w:rPr>
            </w:pPr>
            <w:r w:rsidRPr="00912E96">
              <w:rPr>
                <w:rFonts w:ascii="Times New Roman" w:hAnsi="Times New Roman" w:cs="Times New Roman"/>
                <w:spacing w:val="-2"/>
              </w:rPr>
              <w:t>NAL/Acct. No.:</w:t>
            </w:r>
            <w:r w:rsidR="00C6545E" w:rsidRPr="00912E96">
              <w:rPr>
                <w:rFonts w:ascii="Times New Roman" w:hAnsi="Times New Roman" w:cs="Times New Roman"/>
                <w:spacing w:val="-2"/>
              </w:rPr>
              <w:t xml:space="preserve"> </w:t>
            </w:r>
            <w:r w:rsidR="00911910" w:rsidRPr="00911910">
              <w:rPr>
                <w:rFonts w:ascii="Times New Roman" w:hAnsi="Times New Roman" w:cs="Times New Roman"/>
                <w:spacing w:val="-2"/>
              </w:rPr>
              <w:t>2015414200</w:t>
            </w:r>
            <w:r w:rsidR="000044FC">
              <w:rPr>
                <w:rFonts w:ascii="Times New Roman" w:hAnsi="Times New Roman" w:cs="Times New Roman"/>
                <w:spacing w:val="-2"/>
              </w:rPr>
              <w:t>26</w:t>
            </w:r>
          </w:p>
          <w:p w14:paraId="4F8732E3" w14:textId="023B68F2" w:rsidR="005037C9" w:rsidRPr="00912E96" w:rsidRDefault="005037C9" w:rsidP="00926ECC">
            <w:pPr>
              <w:tabs>
                <w:tab w:val="center" w:pos="4680"/>
              </w:tabs>
              <w:suppressAutoHyphens/>
              <w:rPr>
                <w:rFonts w:ascii="Times New Roman" w:hAnsi="Times New Roman" w:cs="Times New Roman"/>
                <w:spacing w:val="-2"/>
              </w:rPr>
            </w:pPr>
            <w:r w:rsidRPr="00912E96">
              <w:rPr>
                <w:rFonts w:ascii="Times New Roman" w:hAnsi="Times New Roman" w:cs="Times New Roman"/>
                <w:spacing w:val="-2"/>
              </w:rPr>
              <w:t xml:space="preserve">FRN:  </w:t>
            </w:r>
            <w:r w:rsidR="00112DD8">
              <w:rPr>
                <w:rFonts w:ascii="Times New Roman" w:hAnsi="Times New Roman" w:cs="Times New Roman"/>
                <w:spacing w:val="-2"/>
              </w:rPr>
              <w:t>0004934246</w:t>
            </w:r>
          </w:p>
        </w:tc>
      </w:tr>
    </w:tbl>
    <w:p w14:paraId="7E011711" w14:textId="77777777" w:rsidR="004C2EE3" w:rsidRPr="00912E96" w:rsidRDefault="004C2EE3" w:rsidP="0070224F">
      <w:pPr>
        <w:rPr>
          <w:rFonts w:ascii="Times New Roman" w:hAnsi="Times New Roman" w:cs="Times New Roman"/>
        </w:rPr>
      </w:pPr>
    </w:p>
    <w:p w14:paraId="0ADEE12A" w14:textId="77777777" w:rsidR="00841AB1" w:rsidRPr="00912E96" w:rsidRDefault="005037C9" w:rsidP="00F021FA">
      <w:pPr>
        <w:pStyle w:val="StyleBoldCentered"/>
        <w:rPr>
          <w:rFonts w:ascii="Times New Roman" w:hAnsi="Times New Roman" w:cs="Times New Roman"/>
        </w:rPr>
      </w:pPr>
      <w:r w:rsidRPr="00912E96">
        <w:rPr>
          <w:rFonts w:ascii="Times New Roman" w:hAnsi="Times New Roman" w:cs="Times New Roman"/>
        </w:rPr>
        <w:t>notice of apparent liability for forfeiture</w:t>
      </w:r>
    </w:p>
    <w:p w14:paraId="2370B0A5" w14:textId="77777777" w:rsidR="004C2EE3" w:rsidRPr="00912E96" w:rsidRDefault="004C2EE3">
      <w:pPr>
        <w:tabs>
          <w:tab w:val="left" w:pos="-720"/>
        </w:tabs>
        <w:suppressAutoHyphens/>
        <w:spacing w:line="227" w:lineRule="auto"/>
        <w:rPr>
          <w:rFonts w:ascii="Times New Roman" w:hAnsi="Times New Roman" w:cs="Times New Roman"/>
          <w:spacing w:val="-2"/>
        </w:rPr>
      </w:pPr>
    </w:p>
    <w:p w14:paraId="3535801C" w14:textId="22BEDBC1" w:rsidR="004C2EE3" w:rsidRPr="00912E96" w:rsidRDefault="004C2EE3" w:rsidP="00133F79">
      <w:pPr>
        <w:tabs>
          <w:tab w:val="left" w:pos="720"/>
          <w:tab w:val="right" w:pos="9360"/>
        </w:tabs>
        <w:suppressAutoHyphens/>
        <w:spacing w:line="227" w:lineRule="auto"/>
        <w:rPr>
          <w:rFonts w:ascii="Times New Roman" w:hAnsi="Times New Roman" w:cs="Times New Roman"/>
          <w:spacing w:val="-2"/>
        </w:rPr>
      </w:pPr>
      <w:r w:rsidRPr="00912E96">
        <w:rPr>
          <w:rFonts w:ascii="Times New Roman" w:hAnsi="Times New Roman" w:cs="Times New Roman"/>
          <w:b/>
          <w:spacing w:val="-2"/>
        </w:rPr>
        <w:t xml:space="preserve">Adopted:  </w:t>
      </w:r>
      <w:r w:rsidR="00926ECC">
        <w:rPr>
          <w:rFonts w:ascii="Times New Roman" w:hAnsi="Times New Roman" w:cs="Times New Roman"/>
          <w:b/>
          <w:spacing w:val="-2"/>
        </w:rPr>
        <w:t>September</w:t>
      </w:r>
      <w:r w:rsidR="005037C9" w:rsidRPr="00912E96">
        <w:rPr>
          <w:rFonts w:ascii="Times New Roman" w:hAnsi="Times New Roman" w:cs="Times New Roman"/>
          <w:b/>
          <w:spacing w:val="-2"/>
        </w:rPr>
        <w:t xml:space="preserve"> </w:t>
      </w:r>
      <w:r w:rsidR="0018201F">
        <w:rPr>
          <w:rFonts w:ascii="Times New Roman" w:hAnsi="Times New Roman" w:cs="Times New Roman"/>
          <w:b/>
          <w:spacing w:val="-2"/>
        </w:rPr>
        <w:t>28</w:t>
      </w:r>
      <w:r w:rsidR="005037C9" w:rsidRPr="00912E96">
        <w:rPr>
          <w:rFonts w:ascii="Times New Roman" w:hAnsi="Times New Roman" w:cs="Times New Roman"/>
          <w:b/>
          <w:spacing w:val="-2"/>
        </w:rPr>
        <w:t>, 2015</w:t>
      </w:r>
      <w:r w:rsidRPr="00912E96">
        <w:rPr>
          <w:rFonts w:ascii="Times New Roman" w:hAnsi="Times New Roman" w:cs="Times New Roman"/>
          <w:b/>
          <w:spacing w:val="-2"/>
        </w:rPr>
        <w:tab/>
      </w:r>
      <w:r w:rsidR="00822CE0" w:rsidRPr="00912E96">
        <w:rPr>
          <w:rFonts w:ascii="Times New Roman" w:hAnsi="Times New Roman" w:cs="Times New Roman"/>
          <w:b/>
          <w:spacing w:val="-2"/>
        </w:rPr>
        <w:t>Released</w:t>
      </w:r>
      <w:r w:rsidRPr="00912E96">
        <w:rPr>
          <w:rFonts w:ascii="Times New Roman" w:hAnsi="Times New Roman" w:cs="Times New Roman"/>
          <w:b/>
          <w:spacing w:val="-2"/>
        </w:rPr>
        <w:t>:</w:t>
      </w:r>
      <w:r w:rsidR="00822CE0" w:rsidRPr="00912E96">
        <w:rPr>
          <w:rFonts w:ascii="Times New Roman" w:hAnsi="Times New Roman" w:cs="Times New Roman"/>
          <w:b/>
          <w:spacing w:val="-2"/>
        </w:rPr>
        <w:t xml:space="preserve"> </w:t>
      </w:r>
      <w:r w:rsidRPr="00912E96">
        <w:rPr>
          <w:rFonts w:ascii="Times New Roman" w:hAnsi="Times New Roman" w:cs="Times New Roman"/>
          <w:b/>
          <w:spacing w:val="-2"/>
        </w:rPr>
        <w:t xml:space="preserve"> </w:t>
      </w:r>
      <w:r w:rsidR="00926ECC">
        <w:rPr>
          <w:rFonts w:ascii="Times New Roman" w:hAnsi="Times New Roman" w:cs="Times New Roman"/>
          <w:b/>
          <w:spacing w:val="-2"/>
        </w:rPr>
        <w:t>September</w:t>
      </w:r>
      <w:r w:rsidR="005037C9" w:rsidRPr="00912E96">
        <w:rPr>
          <w:rFonts w:ascii="Times New Roman" w:hAnsi="Times New Roman" w:cs="Times New Roman"/>
          <w:b/>
          <w:spacing w:val="-2"/>
        </w:rPr>
        <w:t xml:space="preserve"> </w:t>
      </w:r>
      <w:r w:rsidR="0018201F">
        <w:rPr>
          <w:rFonts w:ascii="Times New Roman" w:hAnsi="Times New Roman" w:cs="Times New Roman"/>
          <w:b/>
          <w:spacing w:val="-2"/>
        </w:rPr>
        <w:t>28</w:t>
      </w:r>
      <w:r w:rsidR="005037C9" w:rsidRPr="00912E96">
        <w:rPr>
          <w:rFonts w:ascii="Times New Roman" w:hAnsi="Times New Roman" w:cs="Times New Roman"/>
          <w:b/>
          <w:spacing w:val="-2"/>
        </w:rPr>
        <w:t>, 2015</w:t>
      </w:r>
    </w:p>
    <w:p w14:paraId="608087AA" w14:textId="77777777" w:rsidR="00822CE0" w:rsidRPr="00912E96" w:rsidRDefault="00822CE0">
      <w:pPr>
        <w:rPr>
          <w:rFonts w:ascii="Times New Roman" w:hAnsi="Times New Roman" w:cs="Times New Roman"/>
        </w:rPr>
      </w:pPr>
    </w:p>
    <w:p w14:paraId="3DE16843" w14:textId="77777777" w:rsidR="004C2EE3" w:rsidRPr="00912E96" w:rsidRDefault="004C2EE3">
      <w:pPr>
        <w:rPr>
          <w:rFonts w:ascii="Times New Roman" w:hAnsi="Times New Roman" w:cs="Times New Roman"/>
          <w:spacing w:val="-2"/>
        </w:rPr>
      </w:pPr>
      <w:r w:rsidRPr="00912E96">
        <w:rPr>
          <w:rFonts w:ascii="Times New Roman" w:hAnsi="Times New Roman" w:cs="Times New Roman"/>
        </w:rPr>
        <w:t xml:space="preserve">By </w:t>
      </w:r>
      <w:r w:rsidR="004E4A22" w:rsidRPr="00912E96">
        <w:rPr>
          <w:rFonts w:ascii="Times New Roman" w:hAnsi="Times New Roman" w:cs="Times New Roman"/>
        </w:rPr>
        <w:t>the</w:t>
      </w:r>
      <w:r w:rsidR="002A2D2E" w:rsidRPr="00912E96">
        <w:rPr>
          <w:rFonts w:ascii="Times New Roman" w:hAnsi="Times New Roman" w:cs="Times New Roman"/>
        </w:rPr>
        <w:t xml:space="preserve"> </w:t>
      </w:r>
      <w:r w:rsidR="005037C9" w:rsidRPr="00912E96">
        <w:rPr>
          <w:rFonts w:ascii="Times New Roman" w:hAnsi="Times New Roman" w:cs="Times New Roman"/>
          <w:spacing w:val="-2"/>
        </w:rPr>
        <w:t>Chief, Video Division, Media Bureau</w:t>
      </w:r>
    </w:p>
    <w:p w14:paraId="0B69B493" w14:textId="77777777" w:rsidR="00412FC5" w:rsidRPr="00912E96" w:rsidRDefault="00412FC5" w:rsidP="00412FC5">
      <w:pPr>
        <w:rPr>
          <w:rFonts w:ascii="Times New Roman" w:hAnsi="Times New Roman" w:cs="Times New Roman"/>
        </w:rPr>
      </w:pPr>
    </w:p>
    <w:p w14:paraId="714123E5" w14:textId="77777777" w:rsidR="002C00E8" w:rsidRPr="00436E1C" w:rsidRDefault="005037C9" w:rsidP="002C00E8">
      <w:pPr>
        <w:pStyle w:val="Heading1"/>
        <w:rPr>
          <w:rFonts w:ascii="Times New Roman" w:hAnsi="Times New Roman" w:cs="Times New Roman"/>
        </w:rPr>
      </w:pPr>
      <w:r w:rsidRPr="00436E1C">
        <w:rPr>
          <w:rFonts w:ascii="Times New Roman" w:hAnsi="Times New Roman" w:cs="Times New Roman"/>
        </w:rPr>
        <w:t>Introduction</w:t>
      </w:r>
    </w:p>
    <w:p w14:paraId="6B0B06BE" w14:textId="6231B8D3" w:rsidR="005037C9" w:rsidRPr="00436E1C" w:rsidRDefault="005037C9" w:rsidP="003D2B4C">
      <w:pPr>
        <w:pStyle w:val="ParaNum"/>
        <w:rPr>
          <w:rFonts w:ascii="Times New Roman" w:hAnsi="Times New Roman" w:cs="Times New Roman"/>
        </w:rPr>
      </w:pPr>
      <w:r w:rsidRPr="00436E1C">
        <w:rPr>
          <w:rFonts w:ascii="Times New Roman" w:hAnsi="Times New Roman" w:cs="Times New Roman"/>
        </w:rPr>
        <w:t xml:space="preserve">In this </w:t>
      </w:r>
      <w:r w:rsidRPr="00436E1C">
        <w:rPr>
          <w:rFonts w:ascii="Times New Roman" w:hAnsi="Times New Roman" w:cs="Times New Roman"/>
          <w:i/>
        </w:rPr>
        <w:t>Notice of Apparent</w:t>
      </w:r>
      <w:r w:rsidRPr="00436E1C">
        <w:rPr>
          <w:rFonts w:ascii="Times New Roman" w:hAnsi="Times New Roman" w:cs="Times New Roman"/>
        </w:rPr>
        <w:t xml:space="preserve"> </w:t>
      </w:r>
      <w:r w:rsidRPr="00436E1C">
        <w:rPr>
          <w:rFonts w:ascii="Times New Roman" w:hAnsi="Times New Roman" w:cs="Times New Roman"/>
          <w:i/>
        </w:rPr>
        <w:t xml:space="preserve">Liability for Forfeiture </w:t>
      </w:r>
      <w:r w:rsidRPr="00436E1C">
        <w:rPr>
          <w:rFonts w:ascii="Times New Roman" w:hAnsi="Times New Roman" w:cs="Times New Roman"/>
        </w:rPr>
        <w:t>(“NAL”) issued pursuant to Section 503(b) of the Communications Act of 1934, as amended</w:t>
      </w:r>
      <w:r w:rsidR="00BB55D2" w:rsidRPr="00436E1C">
        <w:rPr>
          <w:rFonts w:ascii="Times New Roman" w:hAnsi="Times New Roman" w:cs="Times New Roman"/>
        </w:rPr>
        <w:t>, (the “Act”)</w:t>
      </w:r>
      <w:r w:rsidRPr="00436E1C">
        <w:rPr>
          <w:rFonts w:ascii="Times New Roman" w:hAnsi="Times New Roman" w:cs="Times New Roman"/>
        </w:rPr>
        <w:t xml:space="preserve"> and Section 1.80 of the Commission’s Rules (the “Rules”),</w:t>
      </w:r>
      <w:r w:rsidRPr="00436E1C">
        <w:rPr>
          <w:rStyle w:val="FootnoteReference"/>
          <w:rFonts w:cs="Times New Roman"/>
          <w:sz w:val="22"/>
        </w:rPr>
        <w:footnoteReference w:id="2"/>
      </w:r>
      <w:r w:rsidRPr="00436E1C">
        <w:rPr>
          <w:rFonts w:ascii="Times New Roman" w:hAnsi="Times New Roman" w:cs="Times New Roman"/>
        </w:rPr>
        <w:t xml:space="preserve"> </w:t>
      </w:r>
      <w:r w:rsidR="00AA2070" w:rsidRPr="00436E1C">
        <w:rPr>
          <w:rFonts w:ascii="Times New Roman" w:hAnsi="Times New Roman" w:cs="Times New Roman"/>
        </w:rPr>
        <w:t xml:space="preserve">we </w:t>
      </w:r>
      <w:r w:rsidRPr="00436E1C">
        <w:rPr>
          <w:rFonts w:ascii="Times New Roman" w:hAnsi="Times New Roman" w:cs="Times New Roman"/>
        </w:rPr>
        <w:t xml:space="preserve">find that </w:t>
      </w:r>
      <w:r w:rsidR="00926ECC" w:rsidRPr="00436E1C">
        <w:rPr>
          <w:rFonts w:ascii="Times New Roman" w:hAnsi="Times New Roman" w:cs="Times New Roman"/>
        </w:rPr>
        <w:t>Video Voice, Inc.</w:t>
      </w:r>
      <w:r w:rsidRPr="00436E1C">
        <w:rPr>
          <w:rFonts w:ascii="Times New Roman" w:hAnsi="Times New Roman" w:cs="Times New Roman"/>
        </w:rPr>
        <w:t xml:space="preserve"> (the “Licensee”), licensee of Station </w:t>
      </w:r>
      <w:r w:rsidR="00926ECC" w:rsidRPr="00436E1C">
        <w:rPr>
          <w:rFonts w:ascii="Times New Roman" w:hAnsi="Times New Roman" w:cs="Times New Roman"/>
        </w:rPr>
        <w:t>WVVH</w:t>
      </w:r>
      <w:r w:rsidR="000C70DF" w:rsidRPr="00436E1C">
        <w:rPr>
          <w:rFonts w:ascii="Times New Roman" w:hAnsi="Times New Roman" w:cs="Times New Roman"/>
        </w:rPr>
        <w:t>-CD,</w:t>
      </w:r>
      <w:r w:rsidRPr="00436E1C">
        <w:rPr>
          <w:rFonts w:ascii="Times New Roman" w:hAnsi="Times New Roman" w:cs="Times New Roman"/>
        </w:rPr>
        <w:t xml:space="preserve"> </w:t>
      </w:r>
      <w:r w:rsidR="00926ECC" w:rsidRPr="00436E1C">
        <w:rPr>
          <w:rFonts w:ascii="Times New Roman" w:hAnsi="Times New Roman" w:cs="Times New Roman"/>
        </w:rPr>
        <w:t>Southampton</w:t>
      </w:r>
      <w:r w:rsidR="00CC5B4F" w:rsidRPr="00436E1C">
        <w:rPr>
          <w:rFonts w:ascii="Times New Roman" w:hAnsi="Times New Roman" w:cs="Times New Roman"/>
        </w:rPr>
        <w:t xml:space="preserve">, </w:t>
      </w:r>
      <w:r w:rsidR="00926ECC" w:rsidRPr="00436E1C">
        <w:rPr>
          <w:rFonts w:ascii="Times New Roman" w:hAnsi="Times New Roman" w:cs="Times New Roman"/>
        </w:rPr>
        <w:t>New York</w:t>
      </w:r>
      <w:r w:rsidRPr="00436E1C">
        <w:rPr>
          <w:rFonts w:ascii="Times New Roman" w:hAnsi="Times New Roman" w:cs="Times New Roman"/>
        </w:rPr>
        <w:t xml:space="preserve"> (the “Sta</w:t>
      </w:r>
      <w:r w:rsidR="003D2B4C" w:rsidRPr="00436E1C">
        <w:rPr>
          <w:rFonts w:ascii="Times New Roman" w:hAnsi="Times New Roman" w:cs="Times New Roman"/>
        </w:rPr>
        <w:t xml:space="preserve">tion”), apparently willfully </w:t>
      </w:r>
      <w:r w:rsidRPr="00436E1C">
        <w:rPr>
          <w:rFonts w:ascii="Times New Roman" w:hAnsi="Times New Roman" w:cs="Times New Roman"/>
        </w:rPr>
        <w:t>and</w:t>
      </w:r>
      <w:r w:rsidR="003D2B4C" w:rsidRPr="00436E1C">
        <w:rPr>
          <w:rFonts w:ascii="Times New Roman" w:hAnsi="Times New Roman" w:cs="Times New Roman"/>
        </w:rPr>
        <w:t>/or</w:t>
      </w:r>
      <w:r w:rsidRPr="00436E1C">
        <w:rPr>
          <w:rFonts w:ascii="Times New Roman" w:hAnsi="Times New Roman" w:cs="Times New Roman"/>
        </w:rPr>
        <w:t xml:space="preserve"> repeatedly violated Section 73.3526(e)(11)(iii) of the Rules</w:t>
      </w:r>
      <w:r w:rsidRPr="00436E1C">
        <w:rPr>
          <w:rStyle w:val="FootnoteReference"/>
          <w:rFonts w:cs="Times New Roman"/>
          <w:sz w:val="22"/>
        </w:rPr>
        <w:footnoteReference w:id="3"/>
      </w:r>
      <w:r w:rsidRPr="00436E1C">
        <w:rPr>
          <w:rFonts w:ascii="Times New Roman" w:hAnsi="Times New Roman" w:cs="Times New Roman"/>
        </w:rPr>
        <w:t xml:space="preserve"> by failing to file with the Commission</w:t>
      </w:r>
      <w:r w:rsidR="003F7570" w:rsidRPr="00436E1C">
        <w:rPr>
          <w:rFonts w:ascii="Times New Roman" w:hAnsi="Times New Roman" w:cs="Times New Roman"/>
        </w:rPr>
        <w:t xml:space="preserve"> in a timely manner</w:t>
      </w:r>
      <w:r w:rsidRPr="00436E1C">
        <w:rPr>
          <w:rFonts w:ascii="Times New Roman" w:hAnsi="Times New Roman" w:cs="Times New Roman"/>
        </w:rPr>
        <w:t xml:space="preserve"> its Children’s Televis</w:t>
      </w:r>
      <w:r w:rsidR="00CC5B4F" w:rsidRPr="00436E1C">
        <w:rPr>
          <w:rFonts w:ascii="Times New Roman" w:hAnsi="Times New Roman" w:cs="Times New Roman"/>
        </w:rPr>
        <w:t xml:space="preserve">ion Programming Reports for </w:t>
      </w:r>
      <w:r w:rsidR="00112DD8">
        <w:rPr>
          <w:rFonts w:ascii="Times New Roman" w:hAnsi="Times New Roman" w:cs="Times New Roman"/>
        </w:rPr>
        <w:t>eight</w:t>
      </w:r>
      <w:r w:rsidR="009918D2" w:rsidRPr="00436E1C">
        <w:rPr>
          <w:rFonts w:ascii="Times New Roman" w:hAnsi="Times New Roman" w:cs="Times New Roman"/>
        </w:rPr>
        <w:t xml:space="preserve"> </w:t>
      </w:r>
      <w:r w:rsidR="006D4E71" w:rsidRPr="00436E1C">
        <w:rPr>
          <w:rFonts w:ascii="Times New Roman" w:hAnsi="Times New Roman" w:cs="Times New Roman"/>
        </w:rPr>
        <w:t>(</w:t>
      </w:r>
      <w:r w:rsidR="00112DD8">
        <w:rPr>
          <w:rFonts w:ascii="Times New Roman" w:hAnsi="Times New Roman" w:cs="Times New Roman"/>
        </w:rPr>
        <w:t>8</w:t>
      </w:r>
      <w:r w:rsidRPr="00436E1C">
        <w:rPr>
          <w:rFonts w:ascii="Times New Roman" w:hAnsi="Times New Roman" w:cs="Times New Roman"/>
        </w:rPr>
        <w:t>)</w:t>
      </w:r>
      <w:r w:rsidR="002132C4" w:rsidRPr="00436E1C">
        <w:rPr>
          <w:rFonts w:ascii="Times New Roman" w:hAnsi="Times New Roman" w:cs="Times New Roman"/>
        </w:rPr>
        <w:t xml:space="preserve"> quarters</w:t>
      </w:r>
      <w:r w:rsidR="00926ECC" w:rsidRPr="00436E1C">
        <w:rPr>
          <w:rFonts w:ascii="Times New Roman" w:hAnsi="Times New Roman" w:cs="Times New Roman"/>
        </w:rPr>
        <w:t xml:space="preserve"> and Section 73.3514(a) of the Rules for failing to report these violations in its license renewal application</w:t>
      </w:r>
      <w:r w:rsidRPr="00436E1C">
        <w:rPr>
          <w:rFonts w:ascii="Times New Roman" w:hAnsi="Times New Roman" w:cs="Times New Roman"/>
        </w:rPr>
        <w:t>.</w:t>
      </w:r>
      <w:r w:rsidR="00436E1C" w:rsidRPr="00436E1C">
        <w:rPr>
          <w:rStyle w:val="FootnoteReference"/>
          <w:rFonts w:cs="Times New Roman"/>
          <w:sz w:val="22"/>
        </w:rPr>
        <w:footnoteReference w:id="4"/>
      </w:r>
      <w:r w:rsidRPr="00436E1C">
        <w:rPr>
          <w:rFonts w:ascii="Times New Roman" w:hAnsi="Times New Roman" w:cs="Times New Roman"/>
        </w:rPr>
        <w:t xml:space="preserve">  Based upon our review of the facts and circumstances before us, we conclude that the Licensee is apparently liable for a monetary forfeiture in the amount of </w:t>
      </w:r>
      <w:r w:rsidR="00112DD8">
        <w:rPr>
          <w:rFonts w:ascii="Times New Roman" w:hAnsi="Times New Roman" w:cs="Times New Roman"/>
        </w:rPr>
        <w:t>six</w:t>
      </w:r>
      <w:r w:rsidR="00694E7F" w:rsidRPr="00436E1C">
        <w:rPr>
          <w:rFonts w:ascii="Times New Roman" w:hAnsi="Times New Roman" w:cs="Times New Roman"/>
        </w:rPr>
        <w:t xml:space="preserve"> </w:t>
      </w:r>
      <w:r w:rsidRPr="00436E1C">
        <w:rPr>
          <w:rFonts w:ascii="Times New Roman" w:hAnsi="Times New Roman" w:cs="Times New Roman"/>
        </w:rPr>
        <w:t xml:space="preserve">thousand </w:t>
      </w:r>
      <w:r w:rsidR="006D4E71" w:rsidRPr="00436E1C">
        <w:rPr>
          <w:rFonts w:ascii="Times New Roman" w:hAnsi="Times New Roman" w:cs="Times New Roman"/>
        </w:rPr>
        <w:t>dollars ($</w:t>
      </w:r>
      <w:r w:rsidR="00112DD8">
        <w:rPr>
          <w:rFonts w:ascii="Times New Roman" w:hAnsi="Times New Roman" w:cs="Times New Roman"/>
        </w:rPr>
        <w:t>6</w:t>
      </w:r>
      <w:r w:rsidRPr="00436E1C">
        <w:rPr>
          <w:rFonts w:ascii="Times New Roman" w:hAnsi="Times New Roman" w:cs="Times New Roman"/>
        </w:rPr>
        <w:t xml:space="preserve">,000). </w:t>
      </w:r>
    </w:p>
    <w:p w14:paraId="210E9F49" w14:textId="77777777" w:rsidR="005037C9" w:rsidRPr="00436E1C" w:rsidRDefault="005037C9" w:rsidP="005037C9">
      <w:pPr>
        <w:pStyle w:val="Heading1"/>
        <w:rPr>
          <w:rFonts w:ascii="Times New Roman" w:hAnsi="Times New Roman" w:cs="Times New Roman"/>
        </w:rPr>
      </w:pPr>
      <w:r w:rsidRPr="00436E1C">
        <w:rPr>
          <w:rFonts w:ascii="Times New Roman" w:hAnsi="Times New Roman" w:cs="Times New Roman"/>
        </w:rPr>
        <w:t>Background</w:t>
      </w:r>
    </w:p>
    <w:p w14:paraId="49017B87" w14:textId="3C8BD9F1" w:rsidR="005037C9" w:rsidRPr="00436E1C" w:rsidRDefault="005037C9" w:rsidP="005037C9">
      <w:pPr>
        <w:pStyle w:val="ParaNum"/>
        <w:rPr>
          <w:rFonts w:ascii="Times New Roman" w:hAnsi="Times New Roman" w:cs="Times New Roman"/>
        </w:rPr>
      </w:pPr>
      <w:r w:rsidRPr="00436E1C">
        <w:rPr>
          <w:rFonts w:ascii="Times New Roman" w:hAnsi="Times New Roman" w:cs="Times New Roman"/>
        </w:rPr>
        <w:t>Section 73.3526 of the Rules requires each commercial broadcast licensee to maintain a public inspection file containing specific types of information related to station operations.</w:t>
      </w:r>
      <w:r w:rsidRPr="00436E1C">
        <w:rPr>
          <w:rStyle w:val="FootnoteReference"/>
          <w:rFonts w:cs="Times New Roman"/>
          <w:sz w:val="22"/>
        </w:rPr>
        <w:footnoteReference w:id="5"/>
      </w:r>
      <w:r w:rsidRPr="00436E1C">
        <w:rPr>
          <w:rFonts w:ascii="Times New Roman" w:hAnsi="Times New Roman" w:cs="Times New Roman"/>
        </w:rPr>
        <w:t xml:space="preserve">  As set forth in subsection 73.3526(e)(11)(iii), each commercial television licensee is required to prepare and place in its public inspection file a Children’s Television Programming Report (FCC Form 398) for each calendar quarter reflecting, </w:t>
      </w:r>
      <w:r w:rsidRPr="00436E1C">
        <w:rPr>
          <w:rFonts w:ascii="Times New Roman" w:hAnsi="Times New Roman" w:cs="Times New Roman"/>
          <w:i/>
        </w:rPr>
        <w:t>inter alia</w:t>
      </w:r>
      <w:r w:rsidRPr="00436E1C">
        <w:rPr>
          <w:rFonts w:ascii="Times New Roman" w:hAnsi="Times New Roman" w:cs="Times New Roman"/>
        </w:rPr>
        <w:t>, the efforts that it made during that quarter to serve the educational and informational needs of children. That subsection also requires licensees to file the reports with the Commission</w:t>
      </w:r>
      <w:r w:rsidR="00BC07BD" w:rsidRPr="00436E1C">
        <w:rPr>
          <w:rFonts w:ascii="Times New Roman" w:hAnsi="Times New Roman" w:cs="Times New Roman"/>
        </w:rPr>
        <w:t>,</w:t>
      </w:r>
      <w:r w:rsidR="00AA2070" w:rsidRPr="00436E1C">
        <w:rPr>
          <w:rFonts w:ascii="Times New Roman" w:hAnsi="Times New Roman" w:cs="Times New Roman"/>
        </w:rPr>
        <w:t xml:space="preserve"> place them in their public file by the tenth day of the succeeding calendar quarter, </w:t>
      </w:r>
      <w:r w:rsidRPr="00436E1C">
        <w:rPr>
          <w:rFonts w:ascii="Times New Roman" w:hAnsi="Times New Roman" w:cs="Times New Roman"/>
        </w:rPr>
        <w:t>and</w:t>
      </w:r>
      <w:r w:rsidR="00BC07BD" w:rsidRPr="00436E1C">
        <w:rPr>
          <w:rFonts w:ascii="Times New Roman" w:hAnsi="Times New Roman" w:cs="Times New Roman"/>
        </w:rPr>
        <w:t xml:space="preserve"> </w:t>
      </w:r>
      <w:r w:rsidRPr="00436E1C">
        <w:rPr>
          <w:rFonts w:ascii="Times New Roman" w:hAnsi="Times New Roman" w:cs="Times New Roman"/>
        </w:rPr>
        <w:t>publicize the existence and location of the reports.</w:t>
      </w:r>
      <w:r w:rsidRPr="00436E1C">
        <w:rPr>
          <w:rStyle w:val="FootnoteReference"/>
          <w:rFonts w:cs="Times New Roman"/>
          <w:sz w:val="22"/>
        </w:rPr>
        <w:footnoteReference w:id="6"/>
      </w:r>
      <w:r w:rsidRPr="00436E1C">
        <w:rPr>
          <w:rFonts w:ascii="Times New Roman" w:hAnsi="Times New Roman" w:cs="Times New Roman"/>
        </w:rPr>
        <w:t xml:space="preserve">  </w:t>
      </w:r>
    </w:p>
    <w:p w14:paraId="64A6CC17" w14:textId="0782900D" w:rsidR="00926ECC" w:rsidRPr="00436E1C" w:rsidRDefault="00926ECC" w:rsidP="00926ECC">
      <w:pPr>
        <w:pStyle w:val="ParaNum"/>
        <w:rPr>
          <w:rFonts w:ascii="Times New Roman" w:hAnsi="Times New Roman" w:cs="Times New Roman"/>
        </w:rPr>
      </w:pPr>
      <w:r w:rsidRPr="00436E1C">
        <w:rPr>
          <w:rFonts w:ascii="Times New Roman" w:hAnsi="Times New Roman" w:cs="Times New Roman"/>
        </w:rPr>
        <w:t>Section 73.3514(a) of the Rules provides that “[e]ach application shall include all information called for by the particular form on which the application is required to be filed. . . .”</w:t>
      </w:r>
      <w:r w:rsidR="00436E1C" w:rsidRPr="00436E1C">
        <w:rPr>
          <w:rStyle w:val="FootnoteReference"/>
          <w:rFonts w:cs="Times New Roman"/>
          <w:sz w:val="22"/>
        </w:rPr>
        <w:footnoteReference w:id="7"/>
      </w:r>
      <w:r w:rsidRPr="00436E1C">
        <w:rPr>
          <w:rFonts w:ascii="Times New Roman" w:hAnsi="Times New Roman" w:cs="Times New Roman"/>
        </w:rPr>
        <w:t xml:space="preserve">  Section IV, Question 3 of the Form 303-S license renewal application requires licensees to certify “that the documentation, required by 47 C.F.R. Section 73.3526 . . . has been placed in the station’s public </w:t>
      </w:r>
      <w:r w:rsidRPr="00436E1C">
        <w:rPr>
          <w:rFonts w:ascii="Times New Roman" w:hAnsi="Times New Roman" w:cs="Times New Roman"/>
        </w:rPr>
        <w:lastRenderedPageBreak/>
        <w:t>inspection file at the appropriate times.”</w:t>
      </w:r>
      <w:r w:rsidRPr="00436E1C">
        <w:rPr>
          <w:rStyle w:val="FootnoteReference"/>
          <w:rFonts w:cs="Times New Roman"/>
          <w:sz w:val="22"/>
        </w:rPr>
        <w:footnoteReference w:id="8"/>
      </w:r>
      <w:r w:rsidRPr="00436E1C">
        <w:rPr>
          <w:rFonts w:ascii="Times New Roman" w:hAnsi="Times New Roman" w:cs="Times New Roman"/>
        </w:rPr>
        <w:t xml:space="preserve">  Section IV, Question 6 of the license renewal application requires licensees to certify that it has filed with the Commission its Children’s Television Programming Reports according to the requirements of Section 73.3526 of the Commission’s rules and requires the Licensee to submit a statement of explanation as an exhibit if the Licensee has failed to do so.</w:t>
      </w:r>
      <w:r w:rsidRPr="00436E1C">
        <w:rPr>
          <w:rStyle w:val="FootnoteReference"/>
          <w:rFonts w:cs="Times New Roman"/>
          <w:sz w:val="22"/>
        </w:rPr>
        <w:footnoteReference w:id="9"/>
      </w:r>
    </w:p>
    <w:p w14:paraId="6DF06C17" w14:textId="01FCE509" w:rsidR="00926ECC" w:rsidRPr="00436E1C" w:rsidRDefault="00926ECC" w:rsidP="00926ECC">
      <w:pPr>
        <w:pStyle w:val="ParaNum"/>
        <w:rPr>
          <w:rFonts w:ascii="Times New Roman" w:hAnsi="Times New Roman" w:cs="Times New Roman"/>
        </w:rPr>
      </w:pPr>
      <w:r w:rsidRPr="00436E1C">
        <w:rPr>
          <w:rFonts w:ascii="Times New Roman" w:hAnsi="Times New Roman" w:cs="Times New Roman"/>
        </w:rPr>
        <w:t>On January 20, 2015, the Licensee filed its license renewal application (FCC Form 303-S) for the Station.</w:t>
      </w:r>
      <w:r w:rsidRPr="00436E1C">
        <w:rPr>
          <w:rStyle w:val="FootnoteReference"/>
          <w:rFonts w:cs="Times New Roman"/>
          <w:sz w:val="22"/>
        </w:rPr>
        <w:footnoteReference w:id="10"/>
      </w:r>
      <w:r w:rsidRPr="00436E1C">
        <w:rPr>
          <w:rFonts w:ascii="Times New Roman" w:hAnsi="Times New Roman" w:cs="Times New Roman"/>
        </w:rPr>
        <w:t xml:space="preserve">  Although the Licensee did not report the violations in its renewal application, a staff review of the Station’s online public file revealed that the Station did not file its Children’s Television Programming Reports for </w:t>
      </w:r>
      <w:r w:rsidR="00112DD8">
        <w:rPr>
          <w:rFonts w:ascii="Times New Roman" w:hAnsi="Times New Roman" w:cs="Times New Roman"/>
        </w:rPr>
        <w:t>eight</w:t>
      </w:r>
      <w:r w:rsidRPr="00436E1C">
        <w:rPr>
          <w:rFonts w:ascii="Times New Roman" w:hAnsi="Times New Roman" w:cs="Times New Roman"/>
        </w:rPr>
        <w:t xml:space="preserve"> (</w:t>
      </w:r>
      <w:r w:rsidR="00112DD8">
        <w:rPr>
          <w:rFonts w:ascii="Times New Roman" w:hAnsi="Times New Roman" w:cs="Times New Roman"/>
        </w:rPr>
        <w:t>8</w:t>
      </w:r>
      <w:r w:rsidRPr="00436E1C">
        <w:rPr>
          <w:rFonts w:ascii="Times New Roman" w:hAnsi="Times New Roman" w:cs="Times New Roman"/>
        </w:rPr>
        <w:t>) quarters in a timely manner.</w:t>
      </w:r>
      <w:r w:rsidRPr="00436E1C">
        <w:rPr>
          <w:rStyle w:val="FootnoteReference"/>
          <w:rFonts w:cs="Times New Roman"/>
          <w:sz w:val="22"/>
        </w:rPr>
        <w:footnoteReference w:id="11"/>
      </w:r>
    </w:p>
    <w:p w14:paraId="0B970422" w14:textId="77777777" w:rsidR="005037C9" w:rsidRPr="00436E1C" w:rsidRDefault="005037C9" w:rsidP="005037C9">
      <w:pPr>
        <w:pStyle w:val="Heading1"/>
        <w:rPr>
          <w:rFonts w:ascii="Times New Roman" w:hAnsi="Times New Roman" w:cs="Times New Roman"/>
        </w:rPr>
      </w:pPr>
      <w:r w:rsidRPr="00436E1C">
        <w:rPr>
          <w:rFonts w:ascii="Times New Roman" w:hAnsi="Times New Roman" w:cs="Times New Roman"/>
        </w:rPr>
        <w:t>Discussion</w:t>
      </w:r>
    </w:p>
    <w:p w14:paraId="601643FB" w14:textId="1D74DD58" w:rsidR="00926ECC" w:rsidRPr="00436E1C" w:rsidRDefault="00926ECC" w:rsidP="00926ECC">
      <w:pPr>
        <w:pStyle w:val="ParaNum"/>
        <w:rPr>
          <w:rFonts w:ascii="Times New Roman" w:hAnsi="Times New Roman" w:cs="Times New Roman"/>
        </w:rPr>
      </w:pPr>
      <w:r w:rsidRPr="00436E1C">
        <w:rPr>
          <w:rFonts w:ascii="Times New Roman" w:hAnsi="Times New Roman" w:cs="Times New Roman"/>
        </w:rPr>
        <w:t xml:space="preserve">The Licensee’s failure to file electronically the Station’s Children’s Television Programming Reports in a timely manner for </w:t>
      </w:r>
      <w:r w:rsidR="00112DD8">
        <w:rPr>
          <w:rFonts w:ascii="Times New Roman" w:hAnsi="Times New Roman" w:cs="Times New Roman"/>
        </w:rPr>
        <w:t>eight</w:t>
      </w:r>
      <w:r w:rsidRPr="00436E1C">
        <w:rPr>
          <w:rFonts w:ascii="Times New Roman" w:hAnsi="Times New Roman" w:cs="Times New Roman"/>
        </w:rPr>
        <w:t xml:space="preserve"> (</w:t>
      </w:r>
      <w:r w:rsidR="00112DD8">
        <w:rPr>
          <w:rFonts w:ascii="Times New Roman" w:hAnsi="Times New Roman" w:cs="Times New Roman"/>
        </w:rPr>
        <w:t>8</w:t>
      </w:r>
      <w:r w:rsidRPr="00436E1C">
        <w:rPr>
          <w:rFonts w:ascii="Times New Roman" w:hAnsi="Times New Roman" w:cs="Times New Roman"/>
        </w:rPr>
        <w:t>) quarters constitutes an apparent willful and/or repeated violation of Section 73.3526(e)(11)(iii) of the Rules.</w:t>
      </w:r>
      <w:r w:rsidRPr="00436E1C">
        <w:rPr>
          <w:rStyle w:val="FootnoteReference"/>
          <w:rFonts w:cs="Times New Roman"/>
          <w:sz w:val="22"/>
        </w:rPr>
        <w:footnoteReference w:id="12"/>
      </w:r>
      <w:r w:rsidRPr="00436E1C">
        <w:rPr>
          <w:rFonts w:ascii="Times New Roman" w:hAnsi="Times New Roman" w:cs="Times New Roman"/>
        </w:rPr>
        <w:t xml:space="preserve"> The Licensee’s failure to report these violations constitutes an apparent willful and/or repeated violation of Section 73.3514(a).</w:t>
      </w:r>
      <w:r w:rsidRPr="00436E1C">
        <w:rPr>
          <w:rStyle w:val="FootnoteReference"/>
          <w:rFonts w:cs="Times New Roman"/>
          <w:sz w:val="22"/>
        </w:rPr>
        <w:footnoteReference w:id="13"/>
      </w:r>
      <w:r w:rsidRPr="00436E1C">
        <w:rPr>
          <w:rFonts w:ascii="Times New Roman" w:hAnsi="Times New Roman" w:cs="Times New Roman"/>
        </w:rPr>
        <w:t xml:space="preserve"> </w:t>
      </w:r>
    </w:p>
    <w:p w14:paraId="2A7080FD" w14:textId="6CA4A810" w:rsidR="005037C9" w:rsidRPr="00436E1C" w:rsidRDefault="005037C9" w:rsidP="005037C9">
      <w:pPr>
        <w:pStyle w:val="ParaNum"/>
        <w:rPr>
          <w:rFonts w:ascii="Times New Roman" w:hAnsi="Times New Roman" w:cs="Times New Roman"/>
        </w:rPr>
      </w:pPr>
      <w:r w:rsidRPr="00436E1C">
        <w:rPr>
          <w:rFonts w:ascii="Times New Roman" w:hAnsi="Times New Roman" w:cs="Times New Roman"/>
        </w:rPr>
        <w:t xml:space="preserve">This </w:t>
      </w:r>
      <w:r w:rsidRPr="00436E1C">
        <w:rPr>
          <w:rFonts w:ascii="Times New Roman" w:hAnsi="Times New Roman" w:cs="Times New Roman"/>
          <w:i/>
        </w:rPr>
        <w:t>NAL</w:t>
      </w:r>
      <w:r w:rsidRPr="00436E1C">
        <w:rPr>
          <w:rFonts w:ascii="Times New Roman" w:hAnsi="Times New Roman" w:cs="Times New Roman"/>
        </w:rPr>
        <w:t xml:space="preserve"> is issued pursuant to Section 503(b)(1)(B) of the Act.  Under that provision, any person who is determined by the Commission to have willfully or repeatedly failed to comply with any provision of the Act or any rule, regulation, or order issued by the Commission shall be liable to the United States for a forfeiture penalty.</w:t>
      </w:r>
      <w:r w:rsidRPr="00436E1C">
        <w:rPr>
          <w:rStyle w:val="FootnoteReference"/>
          <w:rFonts w:cs="Times New Roman"/>
          <w:sz w:val="22"/>
        </w:rPr>
        <w:footnoteReference w:id="14"/>
      </w:r>
      <w:r w:rsidRPr="00436E1C">
        <w:rPr>
          <w:rFonts w:ascii="Times New Roman" w:hAnsi="Times New Roman" w:cs="Times New Roman"/>
        </w:rPr>
        <w:t xml:space="preserve">  Section 312(f)(1) of the Act defines willful as “the conscious and deliberate commission or omission of [any] act, irrespective of any intent to violate” the law.</w:t>
      </w:r>
      <w:r w:rsidRPr="00436E1C">
        <w:rPr>
          <w:rStyle w:val="FootnoteReference"/>
          <w:rFonts w:cs="Times New Roman"/>
          <w:sz w:val="22"/>
        </w:rPr>
        <w:footnoteReference w:id="15"/>
      </w:r>
      <w:r w:rsidRPr="00436E1C">
        <w:rPr>
          <w:rFonts w:ascii="Times New Roman" w:hAnsi="Times New Roman" w:cs="Times New Roman"/>
        </w:rPr>
        <w:t xml:space="preserve">  The legislative history to Section 312(f)(1) of the Act clarifies that this definition of willful applies to both Sections 312 and 503(b) of the Act,</w:t>
      </w:r>
      <w:r w:rsidRPr="00436E1C">
        <w:rPr>
          <w:rStyle w:val="FootnoteReference"/>
          <w:rFonts w:cs="Times New Roman"/>
          <w:sz w:val="22"/>
        </w:rPr>
        <w:footnoteReference w:id="16"/>
      </w:r>
      <w:r w:rsidRPr="00436E1C">
        <w:rPr>
          <w:rFonts w:ascii="Times New Roman" w:hAnsi="Times New Roman" w:cs="Times New Roman"/>
        </w:rPr>
        <w:t xml:space="preserve"> and the Commission has so interpreted the term in the Section 503(b) context.</w:t>
      </w:r>
      <w:r w:rsidRPr="00436E1C">
        <w:rPr>
          <w:rStyle w:val="FootnoteReference"/>
          <w:rFonts w:cs="Times New Roman"/>
          <w:sz w:val="22"/>
        </w:rPr>
        <w:footnoteReference w:id="17"/>
      </w:r>
      <w:r w:rsidRPr="00436E1C">
        <w:rPr>
          <w:rFonts w:ascii="Times New Roman" w:hAnsi="Times New Roman" w:cs="Times New Roman"/>
        </w:rPr>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sidRPr="00436E1C">
        <w:rPr>
          <w:rStyle w:val="FootnoteReference"/>
          <w:rFonts w:cs="Times New Roman"/>
          <w:sz w:val="22"/>
        </w:rPr>
        <w:footnoteReference w:id="18"/>
      </w:r>
      <w:r w:rsidRPr="00436E1C">
        <w:rPr>
          <w:rFonts w:ascii="Times New Roman" w:hAnsi="Times New Roman" w:cs="Times New Roman"/>
        </w:rPr>
        <w:t xml:space="preserve">  </w:t>
      </w:r>
    </w:p>
    <w:p w14:paraId="39112F72" w14:textId="77777777" w:rsidR="005037C9" w:rsidRPr="00436E1C" w:rsidRDefault="005037C9" w:rsidP="005037C9">
      <w:pPr>
        <w:pStyle w:val="ParaNum"/>
        <w:rPr>
          <w:rFonts w:ascii="Times New Roman" w:hAnsi="Times New Roman" w:cs="Times New Roman"/>
        </w:rPr>
      </w:pPr>
      <w:r w:rsidRPr="00436E1C">
        <w:rPr>
          <w:rFonts w:ascii="Times New Roman" w:hAnsi="Times New Roman" w:cs="Times New Roman"/>
        </w:rPr>
        <w:t>The</w:t>
      </w:r>
      <w:r w:rsidRPr="00436E1C">
        <w:rPr>
          <w:rFonts w:ascii="Times New Roman" w:hAnsi="Times New Roman" w:cs="Times New Roman"/>
          <w:i/>
        </w:rPr>
        <w:t xml:space="preserve"> </w:t>
      </w:r>
      <w:r w:rsidRPr="00436E1C">
        <w:rPr>
          <w:rFonts w:ascii="Times New Roman" w:hAnsi="Times New Roman" w:cs="Times New Roman"/>
        </w:rPr>
        <w:t>Commission’s</w:t>
      </w:r>
      <w:r w:rsidRPr="00436E1C">
        <w:rPr>
          <w:rFonts w:ascii="Times New Roman" w:hAnsi="Times New Roman" w:cs="Times New Roman"/>
          <w:i/>
        </w:rPr>
        <w:t xml:space="preserve"> Forfeiture Policy Statement</w:t>
      </w:r>
      <w:r w:rsidRPr="00436E1C">
        <w:rPr>
          <w:rFonts w:ascii="Times New Roman" w:hAnsi="Times New Roman" w:cs="Times New Roman"/>
        </w:rPr>
        <w:t xml:space="preserve"> and </w:t>
      </w:r>
      <w:r w:rsidR="0050371E" w:rsidRPr="00436E1C">
        <w:rPr>
          <w:rFonts w:ascii="Times New Roman" w:hAnsi="Times New Roman" w:cs="Times New Roman"/>
        </w:rPr>
        <w:t xml:space="preserve">the note to </w:t>
      </w:r>
      <w:r w:rsidRPr="00436E1C">
        <w:rPr>
          <w:rFonts w:ascii="Times New Roman" w:hAnsi="Times New Roman" w:cs="Times New Roman"/>
        </w:rPr>
        <w:t>Section 1.80(b)(</w:t>
      </w:r>
      <w:r w:rsidR="0050371E" w:rsidRPr="00436E1C">
        <w:rPr>
          <w:rFonts w:ascii="Times New Roman" w:hAnsi="Times New Roman" w:cs="Times New Roman"/>
        </w:rPr>
        <w:t>8</w:t>
      </w:r>
      <w:r w:rsidRPr="00436E1C">
        <w:rPr>
          <w:rFonts w:ascii="Times New Roman" w:hAnsi="Times New Roman" w:cs="Times New Roman"/>
        </w:rPr>
        <w:t>) of the Rules establishes a base forfeiture amount of $3,000 for failure to file a required form or information.</w:t>
      </w:r>
      <w:r w:rsidRPr="00436E1C">
        <w:rPr>
          <w:rStyle w:val="FootnoteReference"/>
          <w:rFonts w:cs="Times New Roman"/>
          <w:sz w:val="22"/>
        </w:rPr>
        <w:footnoteReference w:id="19"/>
      </w:r>
      <w:r w:rsidR="0050371E" w:rsidRPr="00436E1C">
        <w:rPr>
          <w:rFonts w:ascii="Times New Roman" w:hAnsi="Times New Roman" w:cs="Times New Roman"/>
        </w:rPr>
        <w:t xml:space="preserve">  </w:t>
      </w:r>
      <w:r w:rsidRPr="00436E1C">
        <w:rPr>
          <w:rFonts w:ascii="Times New Roman" w:hAnsi="Times New Roman" w:cs="Times New Roman"/>
        </w:rPr>
        <w:t>In determining the appropriate forfeiture amount, we may adjust the base amount upward or downward by considering the factors enumerated in Section 503(b)(2)(</w:t>
      </w:r>
      <w:r w:rsidR="00096EC0" w:rsidRPr="00436E1C">
        <w:rPr>
          <w:rFonts w:ascii="Times New Roman" w:hAnsi="Times New Roman" w:cs="Times New Roman"/>
        </w:rPr>
        <w:t>E</w:t>
      </w:r>
      <w:r w:rsidRPr="00436E1C">
        <w:rPr>
          <w:rFonts w:ascii="Times New Roman" w:hAnsi="Times New Roman" w:cs="Times New Roman"/>
        </w:rPr>
        <w:t xml:space="preserve">) of the Act, including “the nature, </w:t>
      </w:r>
      <w:r w:rsidRPr="00436E1C">
        <w:rPr>
          <w:rFonts w:ascii="Times New Roman" w:hAnsi="Times New Roman" w:cs="Times New Roman"/>
        </w:rPr>
        <w:lastRenderedPageBreak/>
        <w:t>circumstances, extent, and gravity of the violation and, with respect to the violator, the degree of culpability, any history of prior offenses, ability to pay, and such other matters as justice may require.”</w:t>
      </w:r>
      <w:r w:rsidRPr="00436E1C">
        <w:rPr>
          <w:rStyle w:val="FootnoteReference"/>
          <w:rFonts w:cs="Times New Roman"/>
          <w:sz w:val="22"/>
        </w:rPr>
        <w:footnoteReference w:id="20"/>
      </w:r>
    </w:p>
    <w:p w14:paraId="762D4F02" w14:textId="76A3EEBD" w:rsidR="00926ECC" w:rsidRPr="00436E1C" w:rsidRDefault="00926ECC" w:rsidP="00926ECC">
      <w:pPr>
        <w:pStyle w:val="ParaNum"/>
        <w:rPr>
          <w:rFonts w:ascii="Times New Roman" w:hAnsi="Times New Roman" w:cs="Times New Roman"/>
        </w:rPr>
      </w:pPr>
      <w:r w:rsidRPr="00436E1C">
        <w:rPr>
          <w:rFonts w:ascii="Times New Roman" w:hAnsi="Times New Roman" w:cs="Times New Roman"/>
        </w:rPr>
        <w:t>Based on our review of the facts and circumstances before us, we find that a forfeiture in the amount of $</w:t>
      </w:r>
      <w:r w:rsidR="00112DD8">
        <w:rPr>
          <w:rFonts w:ascii="Times New Roman" w:hAnsi="Times New Roman" w:cs="Times New Roman"/>
        </w:rPr>
        <w:t>3</w:t>
      </w:r>
      <w:r w:rsidRPr="00436E1C">
        <w:rPr>
          <w:rFonts w:ascii="Times New Roman" w:hAnsi="Times New Roman" w:cs="Times New Roman"/>
        </w:rPr>
        <w:t xml:space="preserve">,000 for failing to file its Children’s Television Programming Reports in a timely manner for </w:t>
      </w:r>
      <w:r w:rsidR="00112DD8">
        <w:rPr>
          <w:rFonts w:ascii="Times New Roman" w:hAnsi="Times New Roman" w:cs="Times New Roman"/>
        </w:rPr>
        <w:t>eight</w:t>
      </w:r>
      <w:r w:rsidRPr="00436E1C">
        <w:rPr>
          <w:rFonts w:ascii="Times New Roman" w:hAnsi="Times New Roman" w:cs="Times New Roman"/>
        </w:rPr>
        <w:t xml:space="preserve"> (</w:t>
      </w:r>
      <w:r w:rsidR="00112DD8">
        <w:rPr>
          <w:rFonts w:ascii="Times New Roman" w:hAnsi="Times New Roman" w:cs="Times New Roman"/>
        </w:rPr>
        <w:t>8</w:t>
      </w:r>
      <w:r w:rsidRPr="00436E1C">
        <w:rPr>
          <w:rFonts w:ascii="Times New Roman" w:hAnsi="Times New Roman" w:cs="Times New Roman"/>
        </w:rPr>
        <w:t>) quarters is appropriate.  Furthermore, we find that a forfeiture in the amount of $3,000</w:t>
      </w:r>
      <w:r w:rsidRPr="00436E1C">
        <w:rPr>
          <w:rFonts w:ascii="Times New Roman" w:eastAsia="Times New Roman" w:hAnsi="Times New Roman" w:cs="Times New Roman"/>
        </w:rPr>
        <w:t xml:space="preserve"> for the Licensee’s failure to report the aforementioned violations in its renewal application is warranted.  Accordingly, we find that the Licensee is apparently liable in the amount of $</w:t>
      </w:r>
      <w:r w:rsidR="00112DD8">
        <w:rPr>
          <w:rFonts w:ascii="Times New Roman" w:eastAsia="Times New Roman" w:hAnsi="Times New Roman" w:cs="Times New Roman"/>
        </w:rPr>
        <w:t>6</w:t>
      </w:r>
      <w:r w:rsidRPr="00436E1C">
        <w:rPr>
          <w:rFonts w:ascii="Times New Roman" w:eastAsia="Times New Roman" w:hAnsi="Times New Roman" w:cs="Times New Roman"/>
        </w:rPr>
        <w:t>,000 for its willful and/or repeated violations of Section 73.3526(e)(11)(iii)</w:t>
      </w:r>
      <w:r w:rsidRPr="00436E1C">
        <w:rPr>
          <w:rFonts w:ascii="Times New Roman" w:hAnsi="Times New Roman" w:cs="Times New Roman"/>
        </w:rPr>
        <w:t xml:space="preserve"> and 73.3514(a) </w:t>
      </w:r>
      <w:r w:rsidRPr="00436E1C">
        <w:rPr>
          <w:rFonts w:ascii="Times New Roman" w:eastAsia="Times New Roman" w:hAnsi="Times New Roman" w:cs="Times New Roman"/>
        </w:rPr>
        <w:t>of the Rules.</w:t>
      </w:r>
      <w:r w:rsidRPr="00436E1C">
        <w:rPr>
          <w:rStyle w:val="FootnoteReference"/>
          <w:rFonts w:cs="Times New Roman"/>
          <w:sz w:val="22"/>
        </w:rPr>
        <w:footnoteReference w:id="21"/>
      </w:r>
    </w:p>
    <w:p w14:paraId="433CFE35" w14:textId="77777777" w:rsidR="00926ECC" w:rsidRPr="00436E1C" w:rsidRDefault="00926ECC" w:rsidP="00926ECC">
      <w:pPr>
        <w:pStyle w:val="ParaNum"/>
        <w:widowControl w:val="0"/>
        <w:rPr>
          <w:rFonts w:ascii="Times New Roman" w:hAnsi="Times New Roman" w:cs="Times New Roman"/>
        </w:rPr>
      </w:pPr>
      <w:r w:rsidRPr="00436E1C">
        <w:rPr>
          <w:rFonts w:ascii="Times New Roman" w:hAnsi="Times New Roman" w:cs="Times New Roman"/>
        </w:rPr>
        <w:t>We also find, pursuant to Section 309(k) of the Act,</w:t>
      </w:r>
      <w:r w:rsidRPr="00436E1C">
        <w:rPr>
          <w:rStyle w:val="FootnoteReference"/>
          <w:rFonts w:cs="Times New Roman"/>
          <w:sz w:val="22"/>
        </w:rPr>
        <w:footnoteReference w:id="22"/>
      </w:r>
      <w:r w:rsidRPr="00436E1C">
        <w:rPr>
          <w:rFonts w:ascii="Times New Roman" w:hAnsi="Times New Roman" w:cs="Times New Roman"/>
        </w:rPr>
        <w:t xml:space="preserve"> that the Licensee's apparent violation does not constitute a “serious violation” warranting designation for evidentiary hearing.  Moreover, we find no evidence that the violations, when considered together, evidence a pattern of abuse.  </w:t>
      </w:r>
    </w:p>
    <w:p w14:paraId="49E8A766" w14:textId="77777777" w:rsidR="005037C9" w:rsidRPr="00436E1C" w:rsidRDefault="005037C9" w:rsidP="005037C9">
      <w:pPr>
        <w:pStyle w:val="Heading1"/>
        <w:rPr>
          <w:rFonts w:ascii="Times New Roman" w:hAnsi="Times New Roman" w:cs="Times New Roman"/>
        </w:rPr>
      </w:pPr>
      <w:r w:rsidRPr="00436E1C">
        <w:rPr>
          <w:rFonts w:ascii="Times New Roman" w:hAnsi="Times New Roman" w:cs="Times New Roman"/>
        </w:rPr>
        <w:t>Ordering clauses</w:t>
      </w:r>
    </w:p>
    <w:p w14:paraId="7D6AE186" w14:textId="6D7C56BD" w:rsidR="005037C9" w:rsidRPr="00436E1C" w:rsidRDefault="005037C9" w:rsidP="005037C9">
      <w:pPr>
        <w:pStyle w:val="ParaNum"/>
        <w:rPr>
          <w:rFonts w:ascii="Times New Roman" w:hAnsi="Times New Roman" w:cs="Times New Roman"/>
        </w:rPr>
      </w:pPr>
      <w:r w:rsidRPr="00436E1C">
        <w:rPr>
          <w:rFonts w:ascii="Times New Roman" w:hAnsi="Times New Roman" w:cs="Times New Roman"/>
        </w:rPr>
        <w:t xml:space="preserve">Accordingly, </w:t>
      </w:r>
      <w:r w:rsidRPr="00436E1C">
        <w:rPr>
          <w:rFonts w:ascii="Times New Roman" w:hAnsi="Times New Roman" w:cs="Times New Roman"/>
          <w:b/>
        </w:rPr>
        <w:t>IT IS ORDERED</w:t>
      </w:r>
      <w:r w:rsidRPr="00436E1C">
        <w:rPr>
          <w:rFonts w:ascii="Times New Roman" w:hAnsi="Times New Roman" w:cs="Times New Roman"/>
        </w:rPr>
        <w:t xml:space="preserve">, pursuant to Section 503(b) of the Communications Act of 1934, as amended, </w:t>
      </w:r>
      <w:r w:rsidR="003D2B4C" w:rsidRPr="00436E1C">
        <w:rPr>
          <w:rFonts w:ascii="Times New Roman" w:hAnsi="Times New Roman" w:cs="Times New Roman"/>
        </w:rPr>
        <w:t xml:space="preserve">47 U.S.C. § 503(b), </w:t>
      </w:r>
      <w:r w:rsidRPr="00436E1C">
        <w:rPr>
          <w:rFonts w:ascii="Times New Roman" w:hAnsi="Times New Roman" w:cs="Times New Roman"/>
        </w:rPr>
        <w:t xml:space="preserve">and Section 1.80 of the Commission’s Rules, </w:t>
      </w:r>
      <w:r w:rsidR="003D2B4C" w:rsidRPr="00436E1C">
        <w:rPr>
          <w:rFonts w:ascii="Times New Roman" w:hAnsi="Times New Roman" w:cs="Times New Roman"/>
        </w:rPr>
        <w:t xml:space="preserve">47 C.F.R. § 1.80, </w:t>
      </w:r>
      <w:r w:rsidRPr="00436E1C">
        <w:rPr>
          <w:rFonts w:ascii="Times New Roman" w:hAnsi="Times New Roman" w:cs="Times New Roman"/>
        </w:rPr>
        <w:t xml:space="preserve">that </w:t>
      </w:r>
      <w:r w:rsidR="00926ECC" w:rsidRPr="00436E1C">
        <w:rPr>
          <w:rFonts w:ascii="Times New Roman" w:hAnsi="Times New Roman" w:cs="Times New Roman"/>
        </w:rPr>
        <w:t>Video Voice, Inc.</w:t>
      </w:r>
      <w:r w:rsidRPr="00436E1C">
        <w:rPr>
          <w:rFonts w:ascii="Times New Roman" w:hAnsi="Times New Roman" w:cs="Times New Roman"/>
        </w:rPr>
        <w:t xml:space="preserve">, the licensee of Station </w:t>
      </w:r>
      <w:r w:rsidR="00926ECC" w:rsidRPr="00436E1C">
        <w:rPr>
          <w:rFonts w:ascii="Times New Roman" w:hAnsi="Times New Roman" w:cs="Times New Roman"/>
        </w:rPr>
        <w:t>WVVH</w:t>
      </w:r>
      <w:r w:rsidR="00056F48" w:rsidRPr="00436E1C">
        <w:rPr>
          <w:rFonts w:ascii="Times New Roman" w:hAnsi="Times New Roman" w:cs="Times New Roman"/>
        </w:rPr>
        <w:t>-CD</w:t>
      </w:r>
      <w:r w:rsidR="00AA152F" w:rsidRPr="00436E1C">
        <w:rPr>
          <w:rFonts w:ascii="Times New Roman" w:hAnsi="Times New Roman" w:cs="Times New Roman"/>
        </w:rPr>
        <w:t xml:space="preserve">, </w:t>
      </w:r>
      <w:r w:rsidR="00926ECC" w:rsidRPr="00436E1C">
        <w:rPr>
          <w:rFonts w:ascii="Times New Roman" w:hAnsi="Times New Roman" w:cs="Times New Roman"/>
          <w:spacing w:val="-2"/>
        </w:rPr>
        <w:t>Southampton</w:t>
      </w:r>
      <w:r w:rsidR="00D26D4C" w:rsidRPr="00436E1C">
        <w:rPr>
          <w:rFonts w:ascii="Times New Roman" w:hAnsi="Times New Roman" w:cs="Times New Roman"/>
          <w:spacing w:val="-2"/>
        </w:rPr>
        <w:t xml:space="preserve">, </w:t>
      </w:r>
      <w:r w:rsidR="00926ECC" w:rsidRPr="00436E1C">
        <w:rPr>
          <w:rFonts w:ascii="Times New Roman" w:hAnsi="Times New Roman" w:cs="Times New Roman"/>
          <w:spacing w:val="-2"/>
        </w:rPr>
        <w:t>New York</w:t>
      </w:r>
      <w:r w:rsidRPr="00436E1C">
        <w:rPr>
          <w:rFonts w:ascii="Times New Roman" w:hAnsi="Times New Roman" w:cs="Times New Roman"/>
        </w:rPr>
        <w:t xml:space="preserve">, is hereby NOTIFIED of its APPARENT LIABILITY FOR FORFEITURE in the amount of </w:t>
      </w:r>
      <w:r w:rsidR="00112DD8">
        <w:rPr>
          <w:rFonts w:ascii="Times New Roman" w:hAnsi="Times New Roman" w:cs="Times New Roman"/>
        </w:rPr>
        <w:t>six</w:t>
      </w:r>
      <w:r w:rsidR="00D26D4C" w:rsidRPr="00436E1C">
        <w:rPr>
          <w:rFonts w:ascii="Times New Roman" w:hAnsi="Times New Roman" w:cs="Times New Roman"/>
        </w:rPr>
        <w:t xml:space="preserve"> </w:t>
      </w:r>
      <w:r w:rsidR="003202C8" w:rsidRPr="00436E1C">
        <w:rPr>
          <w:rFonts w:ascii="Times New Roman" w:hAnsi="Times New Roman" w:cs="Times New Roman"/>
        </w:rPr>
        <w:t>thousand dollars ($</w:t>
      </w:r>
      <w:r w:rsidR="00112DD8">
        <w:rPr>
          <w:rFonts w:ascii="Times New Roman" w:hAnsi="Times New Roman" w:cs="Times New Roman"/>
        </w:rPr>
        <w:t>6</w:t>
      </w:r>
      <w:r w:rsidRPr="00436E1C">
        <w:rPr>
          <w:rFonts w:ascii="Times New Roman" w:hAnsi="Times New Roman" w:cs="Times New Roman"/>
        </w:rPr>
        <w:t>,000) for its apparent willful and/or repeated violatio</w:t>
      </w:r>
      <w:r w:rsidR="00AA152F" w:rsidRPr="00436E1C">
        <w:rPr>
          <w:rFonts w:ascii="Times New Roman" w:hAnsi="Times New Roman" w:cs="Times New Roman"/>
        </w:rPr>
        <w:t>ns of Section</w:t>
      </w:r>
      <w:r w:rsidR="00926ECC" w:rsidRPr="00436E1C">
        <w:rPr>
          <w:rFonts w:ascii="Times New Roman" w:hAnsi="Times New Roman" w:cs="Times New Roman"/>
        </w:rPr>
        <w:t>s</w:t>
      </w:r>
      <w:r w:rsidRPr="00436E1C">
        <w:rPr>
          <w:rFonts w:ascii="Times New Roman" w:hAnsi="Times New Roman" w:cs="Times New Roman"/>
        </w:rPr>
        <w:t xml:space="preserve"> 73.</w:t>
      </w:r>
      <w:r w:rsidR="00AA152F" w:rsidRPr="00436E1C">
        <w:rPr>
          <w:rFonts w:ascii="Times New Roman" w:hAnsi="Times New Roman" w:cs="Times New Roman"/>
        </w:rPr>
        <w:t xml:space="preserve">3526(e)(11)(iii) </w:t>
      </w:r>
      <w:r w:rsidR="00926ECC" w:rsidRPr="00436E1C">
        <w:rPr>
          <w:rFonts w:ascii="Times New Roman" w:hAnsi="Times New Roman" w:cs="Times New Roman"/>
        </w:rPr>
        <w:t>and 73.3514(a)</w:t>
      </w:r>
      <w:r w:rsidRPr="00436E1C">
        <w:rPr>
          <w:rFonts w:ascii="Times New Roman" w:hAnsi="Times New Roman" w:cs="Times New Roman"/>
        </w:rPr>
        <w:t>of the Commission’s Rules</w:t>
      </w:r>
      <w:r w:rsidR="00BB55D2" w:rsidRPr="00436E1C">
        <w:rPr>
          <w:rFonts w:ascii="Times New Roman" w:hAnsi="Times New Roman" w:cs="Times New Roman"/>
        </w:rPr>
        <w:t xml:space="preserve">, 47 C.F.R. </w:t>
      </w:r>
      <w:r w:rsidR="003D2B4C" w:rsidRPr="00436E1C">
        <w:rPr>
          <w:rFonts w:ascii="Times New Roman" w:hAnsi="Times New Roman" w:cs="Times New Roman"/>
        </w:rPr>
        <w:t>§</w:t>
      </w:r>
      <w:r w:rsidR="00926ECC" w:rsidRPr="00436E1C">
        <w:rPr>
          <w:rFonts w:ascii="Times New Roman" w:hAnsi="Times New Roman" w:cs="Times New Roman"/>
        </w:rPr>
        <w:t>§</w:t>
      </w:r>
      <w:r w:rsidR="003D2B4C" w:rsidRPr="00436E1C">
        <w:rPr>
          <w:rFonts w:ascii="Times New Roman" w:hAnsi="Times New Roman" w:cs="Times New Roman"/>
        </w:rPr>
        <w:t xml:space="preserve"> 73.3526(e)(11)(iii)</w:t>
      </w:r>
      <w:r w:rsidR="00926ECC" w:rsidRPr="00436E1C">
        <w:rPr>
          <w:rFonts w:ascii="Times New Roman" w:hAnsi="Times New Roman" w:cs="Times New Roman"/>
        </w:rPr>
        <w:t xml:space="preserve"> and 73.3514(a)</w:t>
      </w:r>
      <w:r w:rsidRPr="00436E1C">
        <w:rPr>
          <w:rFonts w:ascii="Times New Roman" w:hAnsi="Times New Roman" w:cs="Times New Roman"/>
        </w:rPr>
        <w:t xml:space="preserve">. </w:t>
      </w:r>
    </w:p>
    <w:p w14:paraId="085AB9FC" w14:textId="21B32236" w:rsidR="005037C9" w:rsidRPr="00436E1C" w:rsidRDefault="005037C9" w:rsidP="005037C9">
      <w:pPr>
        <w:pStyle w:val="ParaNum"/>
        <w:rPr>
          <w:rFonts w:ascii="Times New Roman" w:hAnsi="Times New Roman" w:cs="Times New Roman"/>
        </w:rPr>
      </w:pPr>
      <w:r w:rsidRPr="00436E1C">
        <w:rPr>
          <w:rFonts w:ascii="Times New Roman" w:hAnsi="Times New Roman" w:cs="Times New Roman"/>
          <w:b/>
        </w:rPr>
        <w:t>IT IS FURTHER ORDERED</w:t>
      </w:r>
      <w:r w:rsidRPr="00436E1C">
        <w:rPr>
          <w:rFonts w:ascii="Times New Roman" w:hAnsi="Times New Roman" w:cs="Times New Roman"/>
        </w:rPr>
        <w:t xml:space="preserve">, pursuant to Section 1.80 of the Commission’s Rules, </w:t>
      </w:r>
      <w:r w:rsidR="003D2B4C" w:rsidRPr="00436E1C">
        <w:rPr>
          <w:rFonts w:ascii="Times New Roman" w:hAnsi="Times New Roman" w:cs="Times New Roman"/>
        </w:rPr>
        <w:t xml:space="preserve">47 C.F.R. § 1.80, </w:t>
      </w:r>
      <w:r w:rsidRPr="00436E1C">
        <w:rPr>
          <w:rFonts w:ascii="Times New Roman" w:hAnsi="Times New Roman" w:cs="Times New Roman"/>
        </w:rPr>
        <w:t xml:space="preserve">that within thirty (30) days of the release date of this </w:t>
      </w:r>
      <w:r w:rsidRPr="00436E1C">
        <w:rPr>
          <w:rFonts w:ascii="Times New Roman" w:hAnsi="Times New Roman" w:cs="Times New Roman"/>
          <w:i/>
        </w:rPr>
        <w:t>NAL</w:t>
      </w:r>
      <w:r w:rsidRPr="00436E1C">
        <w:rPr>
          <w:rFonts w:ascii="Times New Roman" w:hAnsi="Times New Roman" w:cs="Times New Roman"/>
        </w:rPr>
        <w:t xml:space="preserve"> </w:t>
      </w:r>
      <w:r w:rsidR="00436E1C" w:rsidRPr="00436E1C">
        <w:rPr>
          <w:rFonts w:ascii="Times New Roman" w:hAnsi="Times New Roman" w:cs="Times New Roman"/>
        </w:rPr>
        <w:t>Video Voice, Inc.</w:t>
      </w:r>
      <w:r w:rsidRPr="00436E1C">
        <w:rPr>
          <w:rFonts w:ascii="Times New Roman" w:hAnsi="Times New Roman" w:cs="Times New Roman"/>
        </w:rPr>
        <w:t xml:space="preserve"> SHALL PAY the full amount of the proposed forfeiture or SHALL FILE a written statement seeking reduction or cancellation of the proposed forfeiture.</w:t>
      </w:r>
    </w:p>
    <w:p w14:paraId="75C39956" w14:textId="0ACDAB22" w:rsidR="00436E1C" w:rsidRPr="00436E1C" w:rsidRDefault="00436E1C" w:rsidP="00436E1C">
      <w:pPr>
        <w:pStyle w:val="ParaNum"/>
        <w:rPr>
          <w:rFonts w:ascii="Times New Roman" w:hAnsi="Times New Roman" w:cs="Times New Roman"/>
        </w:rPr>
      </w:pPr>
      <w:r w:rsidRPr="00436E1C">
        <w:rPr>
          <w:rFonts w:ascii="Times New Roman" w:hAnsi="Times New Roman" w:cs="Times New Roman"/>
        </w:rPr>
        <w:t xml:space="preserve">In the event that the Licensee wishes to revert </w:t>
      </w:r>
      <w:r>
        <w:rPr>
          <w:rFonts w:ascii="Times New Roman" w:hAnsi="Times New Roman" w:cs="Times New Roman"/>
        </w:rPr>
        <w:t>WVVH</w:t>
      </w:r>
      <w:r w:rsidRPr="00436E1C">
        <w:rPr>
          <w:rFonts w:ascii="Times New Roman" w:hAnsi="Times New Roman" w:cs="Times New Roman"/>
        </w:rPr>
        <w:t>-CD to low power television status, the Licensee need only notify us of this election and request a change in status for the station.</w:t>
      </w:r>
      <w:r w:rsidRPr="00436E1C">
        <w:rPr>
          <w:rStyle w:val="FootnoteReference"/>
          <w:rFonts w:cs="Times New Roman"/>
          <w:sz w:val="22"/>
        </w:rPr>
        <w:footnoteReference w:id="23"/>
      </w:r>
      <w:r w:rsidRPr="00436E1C">
        <w:rPr>
          <w:rFonts w:ascii="Times New Roman" w:hAnsi="Times New Roman" w:cs="Times New Roman"/>
        </w:rPr>
        <w:t xml:space="preserve">  Should the Licensee elect to revert WVVH-CD to low power status, the Licensee would no longer be apparently liable for the forfeiture amount described herein</w:t>
      </w:r>
      <w:r>
        <w:rPr>
          <w:rFonts w:ascii="Times New Roman" w:hAnsi="Times New Roman" w:cs="Times New Roman"/>
        </w:rPr>
        <w:t>.</w:t>
      </w:r>
    </w:p>
    <w:p w14:paraId="1B9DA608" w14:textId="70343354" w:rsidR="007F5BDD" w:rsidRPr="00436E1C" w:rsidRDefault="007F5BDD" w:rsidP="007F5BDD">
      <w:pPr>
        <w:pStyle w:val="ParaNum"/>
        <w:rPr>
          <w:rFonts w:ascii="Times New Roman" w:hAnsi="Times New Roman" w:cs="Times New Roman"/>
        </w:rPr>
      </w:pPr>
      <w:r w:rsidRPr="00436E1C">
        <w:rPr>
          <w:rFonts w:ascii="Times New Roman" w:hAnsi="Times New Roman" w:cs="Times New Roman"/>
        </w:rPr>
        <w:t>Payments of the proposed forfeiture must be made by check or similar instrument, wire transfer, or credit card, and must include the FRN referenced above.  Regardless of the form of payment, a completed FCC Form 159 (Remittance Advice) must be submitted.</w:t>
      </w:r>
      <w:r w:rsidRPr="00436E1C">
        <w:rPr>
          <w:rStyle w:val="FootnoteReference"/>
          <w:rFonts w:cs="Times New Roman"/>
          <w:sz w:val="22"/>
        </w:rPr>
        <w:footnoteReference w:id="24"/>
      </w:r>
      <w:r w:rsidRPr="00436E1C">
        <w:rPr>
          <w:rFonts w:ascii="Times New Roman" w:hAnsi="Times New Roman" w:cs="Times New Roman"/>
        </w:rPr>
        <w:t xml:space="preserve">   When completing the FCC Form 159, enter the Account Number in block number 23A (call sign/other ID) and enter the letters “FORF” in block </w:t>
      </w:r>
      <w:r w:rsidR="00BB55D2" w:rsidRPr="00436E1C">
        <w:rPr>
          <w:rFonts w:ascii="Times New Roman" w:hAnsi="Times New Roman" w:cs="Times New Roman"/>
        </w:rPr>
        <w:t>number 24A (payment type code).</w:t>
      </w:r>
      <w:r w:rsidRPr="00436E1C">
        <w:rPr>
          <w:rFonts w:ascii="Times New Roman" w:hAnsi="Times New Roman" w:cs="Times New Roman"/>
        </w:rPr>
        <w:t xml:space="preserve">  Below are additional instructions you should follow based on the form of payment you select:</w:t>
      </w:r>
      <w:r w:rsidRPr="00436E1C">
        <w:rPr>
          <w:rStyle w:val="FootnoteReference"/>
          <w:rFonts w:cs="Times New Roman"/>
          <w:sz w:val="22"/>
        </w:rPr>
        <w:footnoteReference w:id="25"/>
      </w:r>
      <w:r w:rsidRPr="00436E1C">
        <w:rPr>
          <w:rFonts w:ascii="Times New Roman" w:hAnsi="Times New Roman" w:cs="Times New Roman"/>
        </w:rPr>
        <w:t xml:space="preserve"> </w:t>
      </w:r>
    </w:p>
    <w:p w14:paraId="09F73E34" w14:textId="77777777" w:rsidR="007F5BDD" w:rsidRPr="00436E1C" w:rsidRDefault="007F5BDD" w:rsidP="007F5BDD">
      <w:pPr>
        <w:pStyle w:val="ParaNum"/>
        <w:numPr>
          <w:ilvl w:val="0"/>
          <w:numId w:val="7"/>
        </w:numPr>
        <w:rPr>
          <w:rFonts w:ascii="Times New Roman" w:hAnsi="Times New Roman" w:cs="Times New Roman"/>
          <w:spacing w:val="-2"/>
        </w:rPr>
      </w:pPr>
      <w:r w:rsidRPr="00436E1C">
        <w:rPr>
          <w:rFonts w:ascii="Times New Roman" w:hAnsi="Times New Roman" w:cs="Times New Roman"/>
          <w:spacing w:val="-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6D19F454" w14:textId="77777777" w:rsidR="007F5BDD" w:rsidRPr="00436E1C" w:rsidRDefault="007F5BDD" w:rsidP="007F5BDD">
      <w:pPr>
        <w:pStyle w:val="ParaNum"/>
        <w:numPr>
          <w:ilvl w:val="0"/>
          <w:numId w:val="7"/>
        </w:numPr>
        <w:rPr>
          <w:rFonts w:ascii="Times New Roman" w:hAnsi="Times New Roman" w:cs="Times New Roman"/>
          <w:spacing w:val="-2"/>
        </w:rPr>
      </w:pPr>
      <w:r w:rsidRPr="00436E1C">
        <w:rPr>
          <w:rFonts w:ascii="Times New Roman" w:hAnsi="Times New Roman" w:cs="Times New Roman"/>
          <w:spacing w:val="-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17BF3780" w14:textId="77777777" w:rsidR="007F5BDD" w:rsidRPr="00436E1C" w:rsidRDefault="007F5BDD" w:rsidP="007F5BDD">
      <w:pPr>
        <w:pStyle w:val="ParaNum"/>
        <w:numPr>
          <w:ilvl w:val="0"/>
          <w:numId w:val="7"/>
        </w:numPr>
        <w:rPr>
          <w:rFonts w:ascii="Times New Roman" w:hAnsi="Times New Roman" w:cs="Times New Roman"/>
          <w:spacing w:val="-2"/>
        </w:rPr>
      </w:pPr>
      <w:r w:rsidRPr="00436E1C">
        <w:rPr>
          <w:rFonts w:ascii="Times New Roman" w:hAnsi="Times New Roman" w:cs="Times New Roman"/>
          <w:spacing w:val="-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14:paraId="1DC0DC14" w14:textId="77777777" w:rsidR="005037C9" w:rsidRPr="00436E1C" w:rsidRDefault="005037C9" w:rsidP="005037C9">
      <w:pPr>
        <w:pStyle w:val="ParaNum"/>
        <w:rPr>
          <w:rFonts w:ascii="Times New Roman" w:hAnsi="Times New Roman" w:cs="Times New Roman"/>
        </w:rPr>
      </w:pPr>
      <w:r w:rsidRPr="00436E1C">
        <w:rPr>
          <w:rFonts w:ascii="Times New Roman" w:hAnsi="Times New Roman" w:cs="Times New Roman"/>
        </w:rPr>
        <w:t xml:space="preserve"> The response, if any, must be mailed to Office of the Secretary, Federal Communications Commission, 445 12</w:t>
      </w:r>
      <w:r w:rsidRPr="00436E1C">
        <w:rPr>
          <w:rFonts w:ascii="Times New Roman" w:hAnsi="Times New Roman" w:cs="Times New Roman"/>
          <w:vertAlign w:val="superscript"/>
        </w:rPr>
        <w:t>th</w:t>
      </w:r>
      <w:r w:rsidRPr="00436E1C">
        <w:rPr>
          <w:rFonts w:ascii="Times New Roman" w:hAnsi="Times New Roman" w:cs="Times New Roman"/>
        </w:rPr>
        <w:t xml:space="preserve"> Street, S.W., Washington, D.C. 20554, ATTN:  Evan S. Morris, Attorney-Advisor, Room 2-C827, Video Division, Media Bureau, and MUST INCLUDE the NAL/Acct. No. referenced above.</w:t>
      </w:r>
    </w:p>
    <w:p w14:paraId="0AC7B60C" w14:textId="77777777" w:rsidR="005037C9" w:rsidRPr="00436E1C" w:rsidRDefault="005037C9" w:rsidP="005037C9">
      <w:pPr>
        <w:pStyle w:val="ParaNum"/>
        <w:rPr>
          <w:rFonts w:ascii="Times New Roman" w:hAnsi="Times New Roman" w:cs="Times New Roman"/>
        </w:rPr>
      </w:pPr>
      <w:r w:rsidRPr="00436E1C">
        <w:rPr>
          <w:rFonts w:ascii="Times New Roman" w:hAnsi="Times New Roman" w:cs="Times New Roman"/>
        </w:rPr>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sidRPr="00436E1C">
        <w:rPr>
          <w:rStyle w:val="FootnoteReference"/>
          <w:rFonts w:cs="Times New Roman"/>
          <w:sz w:val="22"/>
        </w:rPr>
        <w:footnoteReference w:id="26"/>
      </w:r>
      <w:r w:rsidRPr="00436E1C">
        <w:rPr>
          <w:rFonts w:ascii="Times New Roman" w:hAnsi="Times New Roman" w:cs="Times New Roman"/>
        </w:rPr>
        <w:t xml:space="preserve"> </w:t>
      </w:r>
    </w:p>
    <w:p w14:paraId="2A9FA87A" w14:textId="77777777" w:rsidR="005037C9" w:rsidRPr="00436E1C" w:rsidRDefault="005037C9" w:rsidP="005037C9">
      <w:pPr>
        <w:pStyle w:val="ParaNum"/>
        <w:rPr>
          <w:rFonts w:ascii="Times New Roman" w:hAnsi="Times New Roman" w:cs="Times New Roman"/>
        </w:rPr>
      </w:pPr>
      <w:r w:rsidRPr="00436E1C">
        <w:rPr>
          <w:rFonts w:ascii="Times New Roman" w:hAnsi="Times New Roman" w:cs="Times New Roman"/>
        </w:rPr>
        <w:t xml:space="preserve">Requests for full payment of the forfeiture proposed in this </w:t>
      </w:r>
      <w:r w:rsidRPr="00436E1C">
        <w:rPr>
          <w:rFonts w:ascii="Times New Roman" w:hAnsi="Times New Roman" w:cs="Times New Roman"/>
          <w:i/>
        </w:rPr>
        <w:t>NAL</w:t>
      </w:r>
      <w:r w:rsidRPr="00436E1C">
        <w:rPr>
          <w:rFonts w:ascii="Times New Roman" w:hAnsi="Times New Roman" w:cs="Times New Roman"/>
        </w:rPr>
        <w:t xml:space="preserve"> under the installment plan should be sent to:  Associate Managing Director- Financial Operations, 445 12th Street, S.W., Room 1-A625, Washington, D.C. 20554.</w:t>
      </w:r>
      <w:r w:rsidRPr="00436E1C">
        <w:rPr>
          <w:rStyle w:val="FootnoteReference"/>
          <w:rFonts w:cs="Times New Roman"/>
          <w:sz w:val="22"/>
        </w:rPr>
        <w:footnoteReference w:id="27"/>
      </w:r>
    </w:p>
    <w:p w14:paraId="4A0F1A0D" w14:textId="6DAE94D7" w:rsidR="005037C9" w:rsidRPr="00436E1C" w:rsidRDefault="005037C9" w:rsidP="00112DD8">
      <w:pPr>
        <w:pStyle w:val="ParaNum"/>
        <w:spacing w:after="0"/>
        <w:rPr>
          <w:rFonts w:ascii="Times New Roman" w:hAnsi="Times New Roman" w:cs="Times New Roman"/>
          <w:b/>
        </w:rPr>
      </w:pPr>
      <w:r w:rsidRPr="00436E1C">
        <w:rPr>
          <w:rFonts w:ascii="Times New Roman" w:hAnsi="Times New Roman" w:cs="Times New Roman"/>
          <w:b/>
        </w:rPr>
        <w:t>IT IS FURTHER ORDERED</w:t>
      </w:r>
      <w:r w:rsidRPr="00436E1C">
        <w:rPr>
          <w:rFonts w:ascii="Times New Roman" w:hAnsi="Times New Roman" w:cs="Times New Roman"/>
        </w:rPr>
        <w:t xml:space="preserve"> that copies of this </w:t>
      </w:r>
      <w:r w:rsidRPr="00436E1C">
        <w:rPr>
          <w:rFonts w:ascii="Times New Roman" w:hAnsi="Times New Roman" w:cs="Times New Roman"/>
          <w:i/>
        </w:rPr>
        <w:t>NAL</w:t>
      </w:r>
      <w:r w:rsidRPr="00436E1C">
        <w:rPr>
          <w:rFonts w:ascii="Times New Roman" w:hAnsi="Times New Roman" w:cs="Times New Roman"/>
        </w:rPr>
        <w:t xml:space="preserve"> shall be sent by First Class and Certified Mail, Return Receipt Requested, to </w:t>
      </w:r>
      <w:r w:rsidR="00436E1C" w:rsidRPr="00436E1C">
        <w:rPr>
          <w:rFonts w:ascii="Times New Roman" w:hAnsi="Times New Roman" w:cs="Times New Roman"/>
        </w:rPr>
        <w:t>Video Voice, Inc., P.O. Box 769, Wainscott, NY 11975 and to its counsel Jerold L. Jacobs, Esq., Law Office of Jerold L. Jacobs, 1629 K Street, NW, Suite 300, Washington, DC 20006</w:t>
      </w:r>
      <w:r w:rsidR="00D26D4C" w:rsidRPr="00436E1C">
        <w:rPr>
          <w:rFonts w:ascii="Times New Roman" w:hAnsi="Times New Roman" w:cs="Times New Roman"/>
        </w:rPr>
        <w:t>.</w:t>
      </w:r>
    </w:p>
    <w:p w14:paraId="419D9C31" w14:textId="77777777" w:rsidR="00436E1C" w:rsidRDefault="00436E1C" w:rsidP="005037C9">
      <w:pPr>
        <w:tabs>
          <w:tab w:val="left" w:pos="0"/>
        </w:tabs>
        <w:jc w:val="both"/>
        <w:rPr>
          <w:rFonts w:ascii="Times New Roman" w:hAnsi="Times New Roman" w:cs="Times New Roman"/>
        </w:rPr>
      </w:pPr>
    </w:p>
    <w:p w14:paraId="513758D6" w14:textId="77777777" w:rsidR="005037C9" w:rsidRPr="00436E1C" w:rsidRDefault="005037C9" w:rsidP="00112DD8">
      <w:pPr>
        <w:tabs>
          <w:tab w:val="left" w:pos="0"/>
        </w:tabs>
        <w:jc w:val="both"/>
        <w:rPr>
          <w:rFonts w:ascii="Times New Roman" w:hAnsi="Times New Roman" w:cs="Times New Roman"/>
        </w:rPr>
      </w:pP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t>FEDERAL COMMUNICATIONS COMMISSION</w:t>
      </w:r>
    </w:p>
    <w:p w14:paraId="5357E813" w14:textId="77777777" w:rsidR="005037C9" w:rsidRPr="00436E1C" w:rsidRDefault="005037C9" w:rsidP="00112DD8">
      <w:pPr>
        <w:tabs>
          <w:tab w:val="left" w:pos="0"/>
        </w:tabs>
        <w:jc w:val="both"/>
        <w:rPr>
          <w:rFonts w:ascii="Times New Roman" w:hAnsi="Times New Roman" w:cs="Times New Roman"/>
        </w:rPr>
      </w:pPr>
    </w:p>
    <w:p w14:paraId="6E6F150A" w14:textId="77777777" w:rsidR="005037C9" w:rsidRDefault="005037C9" w:rsidP="00112DD8">
      <w:pPr>
        <w:ind w:firstLine="720"/>
        <w:jc w:val="both"/>
        <w:rPr>
          <w:rFonts w:ascii="Times New Roman" w:hAnsi="Times New Roman" w:cs="Times New Roman"/>
        </w:rPr>
      </w:pPr>
    </w:p>
    <w:p w14:paraId="6A564453" w14:textId="77777777" w:rsidR="00112DD8" w:rsidRPr="00436E1C" w:rsidRDefault="00112DD8" w:rsidP="00112DD8">
      <w:pPr>
        <w:ind w:firstLine="720"/>
        <w:jc w:val="both"/>
        <w:rPr>
          <w:rFonts w:ascii="Times New Roman" w:hAnsi="Times New Roman" w:cs="Times New Roman"/>
        </w:rPr>
      </w:pPr>
    </w:p>
    <w:p w14:paraId="7662E1C0" w14:textId="034FCFF1" w:rsidR="005037C9" w:rsidRPr="00436E1C" w:rsidRDefault="005037C9" w:rsidP="00112DD8">
      <w:pPr>
        <w:tabs>
          <w:tab w:val="left" w:pos="0"/>
        </w:tabs>
        <w:jc w:val="both"/>
        <w:rPr>
          <w:rFonts w:ascii="Times New Roman" w:hAnsi="Times New Roman" w:cs="Times New Roman"/>
        </w:rPr>
      </w:pP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t>Barbara A. Kreisman</w:t>
      </w:r>
    </w:p>
    <w:p w14:paraId="4A7B685A" w14:textId="77777777" w:rsidR="005037C9" w:rsidRPr="00436E1C" w:rsidRDefault="005037C9" w:rsidP="00112DD8">
      <w:pPr>
        <w:tabs>
          <w:tab w:val="left" w:pos="0"/>
        </w:tabs>
        <w:jc w:val="both"/>
        <w:rPr>
          <w:rFonts w:ascii="Times New Roman" w:hAnsi="Times New Roman" w:cs="Times New Roman"/>
        </w:rPr>
      </w:pP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t>Chief, Video Division</w:t>
      </w:r>
    </w:p>
    <w:p w14:paraId="1DDF3BA6" w14:textId="3056850F" w:rsidR="00D16E5A" w:rsidRPr="00912E96" w:rsidRDefault="005037C9" w:rsidP="00112DD8">
      <w:pPr>
        <w:tabs>
          <w:tab w:val="left" w:pos="0"/>
        </w:tabs>
        <w:jc w:val="both"/>
        <w:rPr>
          <w:rFonts w:ascii="Times New Roman" w:hAnsi="Times New Roman" w:cs="Times New Roman"/>
        </w:rPr>
      </w:pP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r>
      <w:r w:rsidRPr="00436E1C">
        <w:rPr>
          <w:rFonts w:ascii="Times New Roman" w:hAnsi="Times New Roman" w:cs="Times New Roman"/>
        </w:rPr>
        <w:tab/>
        <w:t>Media Bureau</w:t>
      </w:r>
    </w:p>
    <w:sectPr w:rsidR="00D16E5A" w:rsidRPr="00912E96"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403C4" w14:textId="77777777" w:rsidR="006B065B" w:rsidRDefault="006B065B">
      <w:pPr>
        <w:spacing w:line="20" w:lineRule="exact"/>
      </w:pPr>
    </w:p>
  </w:endnote>
  <w:endnote w:type="continuationSeparator" w:id="0">
    <w:p w14:paraId="60844336" w14:textId="77777777" w:rsidR="006B065B" w:rsidRDefault="006B065B">
      <w:r>
        <w:t xml:space="preserve"> </w:t>
      </w:r>
    </w:p>
  </w:endnote>
  <w:endnote w:type="continuationNotice" w:id="1">
    <w:p w14:paraId="7CCEA89F" w14:textId="77777777" w:rsidR="006B065B" w:rsidRDefault="006B065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627D3"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7D92825F"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A1D22"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5A2502">
      <w:rPr>
        <w:noProof/>
      </w:rPr>
      <w:t>2</w:t>
    </w:r>
    <w:r>
      <w:fldChar w:fldCharType="end"/>
    </w:r>
  </w:p>
  <w:p w14:paraId="50DC6383"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BC019"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4216D" w14:textId="77777777" w:rsidR="006B065B" w:rsidRDefault="006B065B">
      <w:r>
        <w:separator/>
      </w:r>
    </w:p>
  </w:footnote>
  <w:footnote w:type="continuationSeparator" w:id="0">
    <w:p w14:paraId="3540DAD0" w14:textId="77777777" w:rsidR="006B065B" w:rsidRDefault="006B065B" w:rsidP="00C721AC">
      <w:pPr>
        <w:spacing w:before="120"/>
        <w:rPr>
          <w:sz w:val="20"/>
        </w:rPr>
      </w:pPr>
      <w:r>
        <w:rPr>
          <w:sz w:val="20"/>
        </w:rPr>
        <w:t xml:space="preserve">(Continued from previous page)  </w:t>
      </w:r>
      <w:r>
        <w:rPr>
          <w:sz w:val="20"/>
        </w:rPr>
        <w:separator/>
      </w:r>
    </w:p>
  </w:footnote>
  <w:footnote w:type="continuationNotice" w:id="1">
    <w:p w14:paraId="5A5354FA" w14:textId="77777777" w:rsidR="006B065B" w:rsidRDefault="006B065B" w:rsidP="00C721AC">
      <w:pPr>
        <w:jc w:val="right"/>
        <w:rPr>
          <w:sz w:val="20"/>
        </w:rPr>
      </w:pPr>
      <w:r>
        <w:rPr>
          <w:sz w:val="20"/>
        </w:rPr>
        <w:t>(continued….)</w:t>
      </w:r>
    </w:p>
  </w:footnote>
  <w:footnote w:id="2">
    <w:p w14:paraId="59B34311" w14:textId="77777777" w:rsidR="005037C9" w:rsidRDefault="005037C9" w:rsidP="005037C9">
      <w:pPr>
        <w:pStyle w:val="FootnoteText"/>
      </w:pPr>
      <w:r>
        <w:rPr>
          <w:rStyle w:val="FootnoteReference"/>
        </w:rPr>
        <w:footnoteRef/>
      </w:r>
      <w:r>
        <w:t xml:space="preserve"> 47 U.S.C. § 503(b); 47 C.F.R. § 1.80.</w:t>
      </w:r>
    </w:p>
  </w:footnote>
  <w:footnote w:id="3">
    <w:p w14:paraId="4D20D01F" w14:textId="77777777" w:rsidR="005037C9" w:rsidRDefault="005037C9" w:rsidP="005037C9">
      <w:pPr>
        <w:pStyle w:val="FootnoteText"/>
      </w:pPr>
      <w:r>
        <w:rPr>
          <w:rStyle w:val="FootnoteReference"/>
        </w:rPr>
        <w:footnoteRef/>
      </w:r>
      <w:r>
        <w:t xml:space="preserve"> 47 C.F.R. § 73.3526(e)(11)(iii).</w:t>
      </w:r>
    </w:p>
  </w:footnote>
  <w:footnote w:id="4">
    <w:p w14:paraId="1D04A275" w14:textId="6A1A2176" w:rsidR="00436E1C" w:rsidRDefault="00436E1C">
      <w:pPr>
        <w:pStyle w:val="FootnoteText"/>
      </w:pPr>
      <w:r>
        <w:rPr>
          <w:rStyle w:val="FootnoteReference"/>
        </w:rPr>
        <w:footnoteRef/>
      </w:r>
      <w:r>
        <w:t xml:space="preserve"> 47 C.F.R. § 73.3514(a).</w:t>
      </w:r>
    </w:p>
  </w:footnote>
  <w:footnote w:id="5">
    <w:p w14:paraId="7EDD1325" w14:textId="77777777" w:rsidR="005037C9" w:rsidRDefault="005037C9" w:rsidP="005037C9">
      <w:pPr>
        <w:pStyle w:val="FootnoteText"/>
      </w:pPr>
      <w:r>
        <w:rPr>
          <w:rStyle w:val="FootnoteReference"/>
        </w:rPr>
        <w:footnoteRef/>
      </w:r>
      <w:r>
        <w:t xml:space="preserve"> </w:t>
      </w:r>
      <w:r w:rsidRPr="007D100B">
        <w:rPr>
          <w:i/>
        </w:rPr>
        <w:t>See generally</w:t>
      </w:r>
      <w:r>
        <w:t>, 47 C.F.R. § 73.3526.</w:t>
      </w:r>
    </w:p>
  </w:footnote>
  <w:footnote w:id="6">
    <w:p w14:paraId="02346323" w14:textId="77777777" w:rsidR="005037C9" w:rsidRDefault="005037C9" w:rsidP="005037C9">
      <w:pPr>
        <w:pStyle w:val="FootnoteText"/>
      </w:pPr>
      <w:r>
        <w:rPr>
          <w:rStyle w:val="FootnoteReference"/>
        </w:rPr>
        <w:footnoteRef/>
      </w:r>
      <w:r>
        <w:t xml:space="preserve"> 47 C.F.R. § 73.3526(e)(11)(iii).</w:t>
      </w:r>
    </w:p>
  </w:footnote>
  <w:footnote w:id="7">
    <w:p w14:paraId="36DCF094" w14:textId="00709C1C" w:rsidR="00436E1C" w:rsidRDefault="00436E1C">
      <w:pPr>
        <w:pStyle w:val="FootnoteText"/>
      </w:pPr>
      <w:r>
        <w:rPr>
          <w:rStyle w:val="FootnoteReference"/>
        </w:rPr>
        <w:footnoteRef/>
      </w:r>
      <w:r>
        <w:t xml:space="preserve"> 47 C.F.R. § 73.3514(a).</w:t>
      </w:r>
    </w:p>
  </w:footnote>
  <w:footnote w:id="8">
    <w:p w14:paraId="3B6F911D" w14:textId="77777777" w:rsidR="00926ECC" w:rsidRDefault="00926ECC" w:rsidP="00926ECC">
      <w:pPr>
        <w:pStyle w:val="FootnoteText"/>
      </w:pPr>
      <w:r>
        <w:rPr>
          <w:rStyle w:val="FootnoteReference"/>
        </w:rPr>
        <w:footnoteRef/>
      </w:r>
      <w:r>
        <w:t xml:space="preserve"> </w:t>
      </w:r>
      <w:r w:rsidRPr="0062623B">
        <w:t>FCC Form 303-S available at:  http://transition.fcc.gov/Forms/Form303-S/303s.pdf.</w:t>
      </w:r>
    </w:p>
  </w:footnote>
  <w:footnote w:id="9">
    <w:p w14:paraId="421EC899" w14:textId="77777777" w:rsidR="00926ECC" w:rsidRPr="00DD3E6B" w:rsidRDefault="00926ECC" w:rsidP="00926ECC">
      <w:pPr>
        <w:pStyle w:val="FootnoteText"/>
      </w:pPr>
      <w:r>
        <w:rPr>
          <w:rStyle w:val="FootnoteReference"/>
        </w:rPr>
        <w:footnoteRef/>
      </w:r>
      <w:r>
        <w:t xml:space="preserve"> </w:t>
      </w:r>
      <w:r w:rsidRPr="0062623B">
        <w:rPr>
          <w:i/>
        </w:rPr>
        <w:t>Id.</w:t>
      </w:r>
      <w:r>
        <w:t xml:space="preserve"> </w:t>
      </w:r>
    </w:p>
  </w:footnote>
  <w:footnote w:id="10">
    <w:p w14:paraId="32025EDD" w14:textId="5B156BDF" w:rsidR="00926ECC" w:rsidRPr="003C136D" w:rsidRDefault="00926ECC" w:rsidP="00926ECC">
      <w:pPr>
        <w:pStyle w:val="FootnoteText"/>
      </w:pPr>
      <w:r w:rsidRPr="003C136D">
        <w:rPr>
          <w:rStyle w:val="FootnoteReference"/>
        </w:rPr>
        <w:footnoteRef/>
      </w:r>
      <w:r w:rsidRPr="003C136D">
        <w:t xml:space="preserve"> </w:t>
      </w:r>
      <w:r>
        <w:t xml:space="preserve">File No. </w:t>
      </w:r>
      <w:r w:rsidR="00436E1C">
        <w:t>BRDTA-20150120AIG.</w:t>
      </w:r>
      <w:r>
        <w:t xml:space="preserve">  </w:t>
      </w:r>
    </w:p>
  </w:footnote>
  <w:footnote w:id="11">
    <w:p w14:paraId="1FFE107D" w14:textId="111C41C6" w:rsidR="00926ECC" w:rsidRPr="00E40715" w:rsidRDefault="00926ECC" w:rsidP="00926ECC">
      <w:pPr>
        <w:pStyle w:val="FootnoteText"/>
        <w:rPr>
          <w:b/>
        </w:rPr>
      </w:pPr>
      <w:r>
        <w:rPr>
          <w:rStyle w:val="FootnoteReference"/>
        </w:rPr>
        <w:footnoteRef/>
      </w:r>
      <w:r>
        <w:t xml:space="preserve"> According to Commission records, the Licensee filed its Children’s Television Programming Reports late for the following </w:t>
      </w:r>
      <w:r w:rsidR="00071417">
        <w:t>eight</w:t>
      </w:r>
      <w:r>
        <w:t xml:space="preserve"> quarters: (1) </w:t>
      </w:r>
      <w:r w:rsidR="00112DD8">
        <w:t>fourth quarter 2007</w:t>
      </w:r>
      <w:r>
        <w:t xml:space="preserve"> (</w:t>
      </w:r>
      <w:r w:rsidR="00112DD8">
        <w:t>days</w:t>
      </w:r>
      <w:r>
        <w:t xml:space="preserve"> late); (2) </w:t>
      </w:r>
      <w:r w:rsidR="00112DD8">
        <w:t>first</w:t>
      </w:r>
      <w:r>
        <w:t xml:space="preserve"> quarter 200</w:t>
      </w:r>
      <w:r w:rsidR="00112DD8">
        <w:t>8</w:t>
      </w:r>
      <w:r>
        <w:t xml:space="preserve"> (days late); (3) </w:t>
      </w:r>
      <w:r w:rsidR="00112DD8">
        <w:t>second</w:t>
      </w:r>
      <w:r>
        <w:t xml:space="preserve"> quarter 200</w:t>
      </w:r>
      <w:r w:rsidR="00112DD8">
        <w:t>9</w:t>
      </w:r>
      <w:r>
        <w:t xml:space="preserve"> (day</w:t>
      </w:r>
      <w:r w:rsidR="00112DD8">
        <w:t>s</w:t>
      </w:r>
      <w:r>
        <w:t xml:space="preserve"> late);</w:t>
      </w:r>
      <w:r w:rsidR="00112DD8">
        <w:t xml:space="preserve"> (4) second quarter 2010 (months);</w:t>
      </w:r>
      <w:r>
        <w:t xml:space="preserve"> (</w:t>
      </w:r>
      <w:r w:rsidR="00112DD8">
        <w:t>5</w:t>
      </w:r>
      <w:r>
        <w:t xml:space="preserve">) </w:t>
      </w:r>
      <w:r w:rsidR="00112DD8">
        <w:t xml:space="preserve">first quarter 2011 </w:t>
      </w:r>
      <w:r>
        <w:t>(days late); (</w:t>
      </w:r>
      <w:r w:rsidR="00112DD8">
        <w:t>6</w:t>
      </w:r>
      <w:r>
        <w:t xml:space="preserve">) </w:t>
      </w:r>
      <w:r w:rsidR="00112DD8">
        <w:t>second</w:t>
      </w:r>
      <w:r>
        <w:t xml:space="preserve"> quarter 201</w:t>
      </w:r>
      <w:r w:rsidR="00112DD8">
        <w:t>1</w:t>
      </w:r>
      <w:r w:rsidRPr="00173086">
        <w:t xml:space="preserve"> </w:t>
      </w:r>
      <w:r>
        <w:t>(</w:t>
      </w:r>
      <w:r w:rsidR="00112DD8">
        <w:t>days l</w:t>
      </w:r>
      <w:r>
        <w:t>ate</w:t>
      </w:r>
      <w:r w:rsidRPr="00173086">
        <w:t xml:space="preserve">); </w:t>
      </w:r>
      <w:r>
        <w:t>(</w:t>
      </w:r>
      <w:r w:rsidR="00112DD8">
        <w:t>7</w:t>
      </w:r>
      <w:r>
        <w:t xml:space="preserve">) </w:t>
      </w:r>
      <w:r w:rsidR="00112DD8">
        <w:t>first</w:t>
      </w:r>
      <w:r w:rsidRPr="00173086">
        <w:t xml:space="preserve"> qua</w:t>
      </w:r>
      <w:r>
        <w:t>rter 2012 (</w:t>
      </w:r>
      <w:r w:rsidR="00112DD8">
        <w:t>days late</w:t>
      </w:r>
      <w:r>
        <w:t>);</w:t>
      </w:r>
      <w:r w:rsidR="00112DD8">
        <w:t xml:space="preserve"> and</w:t>
      </w:r>
      <w:r>
        <w:t xml:space="preserve"> (</w:t>
      </w:r>
      <w:r w:rsidR="00112DD8">
        <w:t>8</w:t>
      </w:r>
      <w:r>
        <w:t>)</w:t>
      </w:r>
      <w:r w:rsidRPr="00173086">
        <w:t xml:space="preserve"> </w:t>
      </w:r>
      <w:r w:rsidR="00112DD8">
        <w:t>second quarter 2012</w:t>
      </w:r>
      <w:r w:rsidRPr="00173086">
        <w:t xml:space="preserve"> (</w:t>
      </w:r>
      <w:r w:rsidR="00112DD8">
        <w:t>days</w:t>
      </w:r>
      <w:r>
        <w:t xml:space="preserve"> late</w:t>
      </w:r>
      <w:r w:rsidR="00112DD8">
        <w:t>).</w:t>
      </w:r>
      <w:r>
        <w:t xml:space="preserve"> </w:t>
      </w:r>
    </w:p>
  </w:footnote>
  <w:footnote w:id="12">
    <w:p w14:paraId="513AD3CB" w14:textId="77777777" w:rsidR="00926ECC" w:rsidRDefault="00926ECC" w:rsidP="00926ECC">
      <w:pPr>
        <w:pStyle w:val="FootnoteText"/>
      </w:pPr>
      <w:r>
        <w:rPr>
          <w:rStyle w:val="FootnoteReference"/>
        </w:rPr>
        <w:footnoteRef/>
      </w:r>
      <w:r>
        <w:t xml:space="preserve"> 47 C.F.R. § </w:t>
      </w:r>
      <w:r w:rsidRPr="00F42D6B">
        <w:t>73.3526(e)(11)(iii)</w:t>
      </w:r>
      <w:r>
        <w:t>.</w:t>
      </w:r>
    </w:p>
  </w:footnote>
  <w:footnote w:id="13">
    <w:p w14:paraId="58DBE3E4" w14:textId="77777777" w:rsidR="00926ECC" w:rsidRDefault="00926ECC" w:rsidP="00926ECC">
      <w:pPr>
        <w:pStyle w:val="FootnoteText"/>
      </w:pPr>
      <w:r>
        <w:rPr>
          <w:rStyle w:val="FootnoteReference"/>
        </w:rPr>
        <w:footnoteRef/>
      </w:r>
      <w:r>
        <w:t xml:space="preserve"> </w:t>
      </w:r>
      <w:r w:rsidRPr="00571AB6">
        <w:t>47 C.F.R. § 73.3514(a).</w:t>
      </w:r>
    </w:p>
  </w:footnote>
  <w:footnote w:id="14">
    <w:p w14:paraId="6A0E9DDA" w14:textId="35AF6E00" w:rsidR="005037C9" w:rsidRDefault="005037C9" w:rsidP="005037C9">
      <w:pPr>
        <w:pStyle w:val="FootnoteText"/>
      </w:pPr>
      <w:r>
        <w:rPr>
          <w:rStyle w:val="FootnoteReference"/>
        </w:rPr>
        <w:footnoteRef/>
      </w:r>
      <w:r>
        <w:t xml:space="preserve"> </w:t>
      </w:r>
      <w:r w:rsidR="00980F6D" w:rsidRPr="00CD7718">
        <w:rPr>
          <w:i/>
        </w:rPr>
        <w:t>Id.</w:t>
      </w:r>
      <w:r>
        <w:t>; s</w:t>
      </w:r>
      <w:r>
        <w:rPr>
          <w:i/>
          <w:iCs/>
        </w:rPr>
        <w:t>ee also</w:t>
      </w:r>
      <w:r>
        <w:t xml:space="preserve"> 47 C.F.R. § 1.80(a)(2).</w:t>
      </w:r>
    </w:p>
  </w:footnote>
  <w:footnote w:id="15">
    <w:p w14:paraId="4DCA9D52" w14:textId="77777777" w:rsidR="005037C9" w:rsidRDefault="005037C9" w:rsidP="005037C9">
      <w:pPr>
        <w:pStyle w:val="FootnoteText"/>
      </w:pPr>
      <w:r>
        <w:rPr>
          <w:rStyle w:val="FootnoteReference"/>
        </w:rPr>
        <w:footnoteRef/>
      </w:r>
      <w:r>
        <w:t xml:space="preserve"> 47 U.S.C. § 312(f)(1).</w:t>
      </w:r>
    </w:p>
  </w:footnote>
  <w:footnote w:id="16">
    <w:p w14:paraId="7102268E" w14:textId="77777777" w:rsidR="005037C9" w:rsidRDefault="005037C9" w:rsidP="005037C9">
      <w:pPr>
        <w:pStyle w:val="FootnoteText"/>
      </w:pPr>
      <w:r>
        <w:rPr>
          <w:rStyle w:val="FootnoteReference"/>
        </w:rPr>
        <w:footnoteRef/>
      </w:r>
      <w:r>
        <w:rPr>
          <w:i/>
        </w:rPr>
        <w:t xml:space="preserve"> See</w:t>
      </w:r>
      <w:r>
        <w:t xml:space="preserve"> H.R. Rep. No. 97-765, 97</w:t>
      </w:r>
      <w:r>
        <w:rPr>
          <w:vertAlign w:val="superscript"/>
        </w:rPr>
        <w:t>th</w:t>
      </w:r>
      <w:r>
        <w:t xml:space="preserve"> Cong. 2d Sess. 51 (1982).</w:t>
      </w:r>
    </w:p>
  </w:footnote>
  <w:footnote w:id="17">
    <w:p w14:paraId="7A8E18A2" w14:textId="77777777" w:rsidR="005037C9" w:rsidRDefault="005037C9" w:rsidP="005037C9">
      <w:pPr>
        <w:pStyle w:val="FootnoteText"/>
      </w:pPr>
      <w:r>
        <w:rPr>
          <w:rStyle w:val="FootnoteReference"/>
        </w:rPr>
        <w:footnoteRef/>
      </w:r>
      <w:r>
        <w:rPr>
          <w:i/>
          <w:iCs/>
        </w:rPr>
        <w:t xml:space="preserve"> See Southern California Broadcasting Co.</w:t>
      </w:r>
      <w:r>
        <w:t>, Memorandum Opinion and Order, 6 FCC Rcd 4387, 4388 (1991).</w:t>
      </w:r>
    </w:p>
  </w:footnote>
  <w:footnote w:id="18">
    <w:p w14:paraId="3853F337" w14:textId="77777777" w:rsidR="005037C9" w:rsidRDefault="005037C9" w:rsidP="005037C9">
      <w:pPr>
        <w:pStyle w:val="FootnoteText"/>
      </w:pPr>
      <w:r>
        <w:rPr>
          <w:rStyle w:val="FootnoteReference"/>
        </w:rPr>
        <w:footnoteRef/>
      </w:r>
      <w:r>
        <w:t xml:space="preserve"> 47 U.S.C. § 312(f)(2). </w:t>
      </w:r>
    </w:p>
  </w:footnote>
  <w:footnote w:id="19">
    <w:p w14:paraId="07A66245" w14:textId="7B7A1389" w:rsidR="005037C9" w:rsidRDefault="005037C9" w:rsidP="005037C9">
      <w:pPr>
        <w:pStyle w:val="FootnoteText"/>
      </w:pPr>
      <w:r>
        <w:rPr>
          <w:rStyle w:val="FootnoteReference"/>
        </w:rPr>
        <w:footnoteRef/>
      </w:r>
      <w:r>
        <w:t xml:space="preserve"> </w:t>
      </w:r>
      <w:r>
        <w:rPr>
          <w:i/>
        </w:rPr>
        <w:t>See Forfeiture Policy Statement</w:t>
      </w:r>
      <w:r>
        <w:rPr>
          <w:i/>
          <w:sz w:val="24"/>
          <w:szCs w:val="24"/>
        </w:rPr>
        <w:t xml:space="preserve"> </w:t>
      </w:r>
      <w:r>
        <w:rPr>
          <w:i/>
        </w:rPr>
        <w:t>and Amendment of Section 1.80(b) of the Rules to Incorporate the Forfeiture Guidelines</w:t>
      </w:r>
      <w:r>
        <w:t xml:space="preserve">, Report and Order, 12 FCC Rcd 17087, 17113-15 (1997) </w:t>
      </w:r>
      <w:r>
        <w:rPr>
          <w:i/>
        </w:rPr>
        <w:t>(“Forfeiture Policy Statement”),</w:t>
      </w:r>
      <w:r>
        <w:t xml:space="preserve"> </w:t>
      </w:r>
      <w:r>
        <w:rPr>
          <w:i/>
        </w:rPr>
        <w:t>recon. denied</w:t>
      </w:r>
      <w:r w:rsidR="001C6710">
        <w:t>, 15 FCC Rcd</w:t>
      </w:r>
      <w:r>
        <w:t xml:space="preserve"> 303 (1999); 47 C.F.R. § 1.80(b)(8), note to paragraph (b)(8), Section I.</w:t>
      </w:r>
    </w:p>
  </w:footnote>
  <w:footnote w:id="20">
    <w:p w14:paraId="1514AA04" w14:textId="77777777" w:rsidR="005037C9" w:rsidRPr="000752EC" w:rsidRDefault="005037C9" w:rsidP="005037C9">
      <w:pPr>
        <w:pStyle w:val="FootnoteText"/>
      </w:pPr>
      <w:r>
        <w:rPr>
          <w:rStyle w:val="FootnoteReference"/>
        </w:rPr>
        <w:footnoteRef/>
      </w:r>
      <w:r>
        <w:t xml:space="preserve"> 47 U.S.C. § 503(b)(2)(</w:t>
      </w:r>
      <w:r w:rsidR="00096EC0">
        <w:t>E</w:t>
      </w:r>
      <w:r>
        <w:t xml:space="preserve">); </w:t>
      </w:r>
      <w:r>
        <w:rPr>
          <w:i/>
        </w:rPr>
        <w:t xml:space="preserve">see also Forfeiture Policy Statement, </w:t>
      </w:r>
      <w:r>
        <w:t>12 FCC Rcd at</w:t>
      </w:r>
      <w:r w:rsidR="0050371E">
        <w:t xml:space="preserve"> 17100-01; 47 C.F.R. § 1.80(b)(8</w:t>
      </w:r>
      <w:r>
        <w:t>); 47 C.F.R. § 1.80(b)(8), note to paragraph (b)(8</w:t>
      </w:r>
      <w:r w:rsidRPr="000752EC">
        <w:t>), Section II.</w:t>
      </w:r>
    </w:p>
  </w:footnote>
  <w:footnote w:id="21">
    <w:p w14:paraId="15F1021C" w14:textId="77777777" w:rsidR="00926ECC" w:rsidRDefault="00926ECC" w:rsidP="00926ECC">
      <w:pPr>
        <w:pStyle w:val="FootnoteText"/>
      </w:pPr>
      <w:r>
        <w:rPr>
          <w:rStyle w:val="FootnoteReference"/>
        </w:rPr>
        <w:footnoteRef/>
      </w:r>
      <w:r>
        <w:t xml:space="preserve"> 47 C.F.R. §§ 73.3526(e)(11)(iii) and 73.3514(a)</w:t>
      </w:r>
      <w:r w:rsidRPr="00091E78">
        <w:t>.</w:t>
      </w:r>
    </w:p>
  </w:footnote>
  <w:footnote w:id="22">
    <w:p w14:paraId="59EAB141" w14:textId="77777777" w:rsidR="00926ECC" w:rsidRPr="00C6545E" w:rsidRDefault="00926ECC" w:rsidP="00926ECC">
      <w:pPr>
        <w:spacing w:after="120"/>
        <w:rPr>
          <w:rFonts w:ascii="Times New Roman" w:hAnsi="Times New Roman" w:cs="Times New Roman"/>
          <w:sz w:val="20"/>
          <w:szCs w:val="20"/>
        </w:rPr>
      </w:pPr>
      <w:r w:rsidRPr="001C14CC">
        <w:rPr>
          <w:rStyle w:val="FootnoteReference"/>
          <w:rFonts w:cs="Times New Roman"/>
          <w:szCs w:val="20"/>
        </w:rPr>
        <w:footnoteRef/>
      </w:r>
      <w:r w:rsidRPr="00C6545E">
        <w:rPr>
          <w:rFonts w:ascii="Times New Roman" w:hAnsi="Times New Roman" w:cs="Times New Roman"/>
          <w:sz w:val="20"/>
          <w:szCs w:val="20"/>
        </w:rPr>
        <w:t xml:space="preserve"> 47 U.S.C. § 309(k).  Section 309(k) of the Act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  If, however, the licensee fails to meet that standard, the Commiss</w:t>
      </w:r>
      <w:r>
        <w:rPr>
          <w:rFonts w:ascii="Times New Roman" w:hAnsi="Times New Roman" w:cs="Times New Roman"/>
          <w:sz w:val="20"/>
          <w:szCs w:val="20"/>
        </w:rPr>
        <w:t>ion may deny the application—</w:t>
      </w:r>
      <w:r w:rsidRPr="00C6545E">
        <w:rPr>
          <w:rFonts w:ascii="Times New Roman" w:hAnsi="Times New Roman" w:cs="Times New Roman"/>
          <w:sz w:val="20"/>
          <w:szCs w:val="20"/>
        </w:rPr>
        <w:t>after notice and opportunity for a hearing under Section 309(e) of</w:t>
      </w:r>
      <w:r>
        <w:rPr>
          <w:rFonts w:ascii="Times New Roman" w:hAnsi="Times New Roman" w:cs="Times New Roman"/>
          <w:sz w:val="20"/>
          <w:szCs w:val="20"/>
        </w:rPr>
        <w:t xml:space="preserve"> the Act, 47 U.S.C. § 309(e)—</w:t>
      </w:r>
      <w:r w:rsidRPr="00C6545E">
        <w:rPr>
          <w:rFonts w:ascii="Times New Roman" w:hAnsi="Times New Roman" w:cs="Times New Roman"/>
          <w:sz w:val="20"/>
          <w:szCs w:val="20"/>
        </w:rPr>
        <w:t>or grant the application “on terms and conditions that are appropriate, including a renewal for a term less than the maximum otherwise permitted.”  47 U.S.C. § 309(k)(2).</w:t>
      </w:r>
    </w:p>
  </w:footnote>
  <w:footnote w:id="23">
    <w:p w14:paraId="4D4FE6BC" w14:textId="14A14B2D" w:rsidR="00436E1C" w:rsidRDefault="00436E1C" w:rsidP="00436E1C">
      <w:pPr>
        <w:pStyle w:val="FootnoteText"/>
      </w:pPr>
      <w:r>
        <w:rPr>
          <w:rStyle w:val="FootnoteReference"/>
        </w:rPr>
        <w:footnoteRef/>
      </w:r>
      <w:r>
        <w:t xml:space="preserve"> </w:t>
      </w:r>
      <w:r>
        <w:rPr>
          <w:i/>
        </w:rPr>
        <w:t>See</w:t>
      </w:r>
      <w:r>
        <w:t xml:space="preserve"> 47 C.F.R. § 73.6001(d).</w:t>
      </w:r>
    </w:p>
  </w:footnote>
  <w:footnote w:id="24">
    <w:p w14:paraId="7374E91D" w14:textId="16F9F9A5" w:rsidR="007F5BDD" w:rsidRDefault="007F5BDD" w:rsidP="001C14CC">
      <w:pPr>
        <w:pStyle w:val="FootnoteText"/>
        <w:widowControl w:val="0"/>
      </w:pPr>
      <w:r>
        <w:rPr>
          <w:rStyle w:val="FootnoteReference"/>
        </w:rPr>
        <w:footnoteRef/>
      </w:r>
      <w:r>
        <w:t xml:space="preserve"> </w:t>
      </w:r>
      <w:r w:rsidR="00436E1C" w:rsidRPr="00436E1C">
        <w:rPr>
          <w:rFonts w:eastAsia="MS Mincho" w:cs="Arial"/>
        </w:rPr>
        <w:t xml:space="preserve">Payment may be made at the Commission’s online Fee Filer website: https://www.fcc.gov/encyclopedia/fee-filer. Payment may also be made by FCC Form 159; detailed instructions for completing the form may be obtained at </w:t>
      </w:r>
      <w:hyperlink r:id="rId1" w:history="1">
        <w:r w:rsidR="00436E1C" w:rsidRPr="00FF0843">
          <w:rPr>
            <w:rStyle w:val="Hyperlink"/>
            <w:rFonts w:eastAsia="MS Mincho" w:cs="Arial"/>
          </w:rPr>
          <w:t>http://www.fcc.gov/Forms/Form159/159.pdf</w:t>
        </w:r>
      </w:hyperlink>
      <w:r w:rsidR="00436E1C" w:rsidRPr="00436E1C">
        <w:rPr>
          <w:rFonts w:eastAsia="MS Mincho" w:cs="Arial"/>
        </w:rPr>
        <w:t>.</w:t>
      </w:r>
    </w:p>
  </w:footnote>
  <w:footnote w:id="25">
    <w:p w14:paraId="671FFB1D" w14:textId="77777777" w:rsidR="007F5BDD" w:rsidRDefault="007F5BDD" w:rsidP="007F5BDD">
      <w:pPr>
        <w:pStyle w:val="FootnoteText"/>
        <w:widowControl w:val="0"/>
      </w:pPr>
      <w:r>
        <w:rPr>
          <w:rStyle w:val="FootnoteReference"/>
        </w:rPr>
        <w:footnoteRef/>
      </w:r>
      <w:r w:rsidR="00BB55D2">
        <w:t xml:space="preserve"> For q</w:t>
      </w:r>
      <w:r w:rsidRPr="001B654A">
        <w:t>uestions regardi</w:t>
      </w:r>
      <w:r w:rsidR="00BB55D2">
        <w:t>ng payment procedures,</w:t>
      </w:r>
      <w:r w:rsidRPr="001B654A">
        <w:t xml:space="preserve"> contact the Financial Operations Group Help Desk b</w:t>
      </w:r>
      <w:r w:rsidR="00BB55D2">
        <w:t>y phone at 1-877-480-3201 or e-</w:t>
      </w:r>
      <w:r w:rsidRPr="001B654A">
        <w:t>mail at ARINQUIRIES@fcc.gov.</w:t>
      </w:r>
    </w:p>
  </w:footnote>
  <w:footnote w:id="26">
    <w:p w14:paraId="50F171DC" w14:textId="77777777" w:rsidR="005037C9" w:rsidRDefault="005037C9" w:rsidP="005037C9">
      <w:pPr>
        <w:pStyle w:val="FootnoteText"/>
      </w:pPr>
      <w:r>
        <w:rPr>
          <w:rStyle w:val="FootnoteReference"/>
        </w:rPr>
        <w:footnoteRef/>
      </w:r>
      <w:r>
        <w:t xml:space="preserve"> </w:t>
      </w:r>
      <w:r w:rsidRPr="00BC1979">
        <w:rPr>
          <w:i/>
        </w:rPr>
        <w:t>See</w:t>
      </w:r>
      <w:r w:rsidRPr="00BC1979">
        <w:t xml:space="preserve"> </w:t>
      </w:r>
      <w:r w:rsidRPr="00BC1979">
        <w:rPr>
          <w:i/>
        </w:rPr>
        <w:t>San Jose State Univ.</w:t>
      </w:r>
      <w:r w:rsidR="00BB55D2">
        <w:t>, 26 FCC Rcd</w:t>
      </w:r>
      <w:r w:rsidRPr="00BC1979">
        <w:t xml:space="preserve"> 5908 (2011) (noting that</w:t>
      </w:r>
      <w:r w:rsidR="00BB55D2">
        <w:t>,</w:t>
      </w:r>
      <w:r w:rsidRPr="00BC1979">
        <w:t xml:space="preserve"> “[t]</w:t>
      </w:r>
      <w:r w:rsidRPr="009B1604">
        <w:rPr>
          <w:color w:val="252525"/>
        </w:rPr>
        <w:t>ypically, the Commission uses gross revenue as the primary measuring stick by which it evaluates a licensee's ability to pay. Other financial indicators may be considered….”).</w:t>
      </w:r>
    </w:p>
  </w:footnote>
  <w:footnote w:id="27">
    <w:p w14:paraId="59A9D518" w14:textId="77777777" w:rsidR="005037C9" w:rsidRDefault="005037C9" w:rsidP="005037C9">
      <w:pPr>
        <w:pStyle w:val="FootnoteText"/>
      </w:pPr>
      <w:r>
        <w:rPr>
          <w:rStyle w:val="FootnoteReference"/>
        </w:rPr>
        <w:footnoteRef/>
      </w:r>
      <w:r>
        <w:t xml:space="preserve"> </w:t>
      </w:r>
      <w:r>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9C510" w14:textId="77777777" w:rsidR="009E674A" w:rsidRDefault="009E67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B84DF" w14:textId="26EACFA0" w:rsidR="00D25FB5" w:rsidRDefault="00D25FB5" w:rsidP="00D14621">
    <w:pPr>
      <w:pStyle w:val="Header"/>
    </w:pPr>
    <w:r>
      <w:tab/>
      <w:t>Federal Communications Commission</w:t>
    </w:r>
    <w:r>
      <w:tab/>
    </w:r>
    <w:r w:rsidR="003E32A6">
      <w:t>DA 15-</w:t>
    </w:r>
    <w:r w:rsidR="0018201F">
      <w:t>1084</w:t>
    </w:r>
  </w:p>
  <w:p w14:paraId="24252D04" w14:textId="77777777" w:rsidR="00D25FB5" w:rsidRDefault="000A0D56">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3E775DC4" wp14:editId="0454FE13">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4ABC36"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413CA94D"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8BDE5" w14:textId="12A01947" w:rsidR="00D25FB5" w:rsidRPr="00AC1E55" w:rsidRDefault="000A0D56" w:rsidP="00D14621">
    <w:pPr>
      <w:pStyle w:val="Header"/>
    </w:pPr>
    <w:r>
      <w:rPr>
        <w:noProof/>
      </w:rPr>
      <mc:AlternateContent>
        <mc:Choice Requires="wps">
          <w:drawing>
            <wp:anchor distT="0" distB="0" distL="114300" distR="114300" simplePos="0" relativeHeight="251658240" behindDoc="1" locked="0" layoutInCell="0" allowOverlap="1" wp14:anchorId="4BA3D886" wp14:editId="67B65A4E">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2DFFF3"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r>
    <w:r w:rsidR="00D25FB5" w:rsidRPr="00D14621">
      <w:t>Federal Communications Commission</w:t>
    </w:r>
    <w:r w:rsidR="00D25FB5" w:rsidRPr="00D14621">
      <w:tab/>
    </w:r>
    <w:r w:rsidR="005037C9" w:rsidRPr="00D14621">
      <w:rPr>
        <w:spacing w:val="-2"/>
      </w:rPr>
      <w:t>DA 15-</w:t>
    </w:r>
    <w:r w:rsidR="0018201F">
      <w:rPr>
        <w:spacing w:val="-2"/>
      </w:rPr>
      <w:t>1084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CC11F87"/>
    <w:multiLevelType w:val="hybridMultilevel"/>
    <w:tmpl w:val="522CD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0F1B3D"/>
    <w:multiLevelType w:val="singleLevel"/>
    <w:tmpl w:val="2EE809EC"/>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520879E6"/>
    <w:lvl w:ilvl="0">
      <w:start w:val="1"/>
      <w:numFmt w:val="decimal"/>
      <w:pStyle w:val="ParaNum"/>
      <w:lvlText w:val="%1."/>
      <w:lvlJc w:val="left"/>
      <w:pPr>
        <w:tabs>
          <w:tab w:val="num" w:pos="1080"/>
        </w:tabs>
        <w:ind w:left="0" w:firstLine="720"/>
      </w:pPr>
      <w:rPr>
        <w:b w:val="0"/>
      </w:rPr>
    </w:lvl>
  </w:abstractNum>
  <w:abstractNum w:abstractNumId="8">
    <w:nsid w:val="7FA06E72"/>
    <w:multiLevelType w:val="hybridMultilevel"/>
    <w:tmpl w:val="B0B48DCA"/>
    <w:lvl w:ilvl="0" w:tplc="A8484A50">
      <w:start w:val="2"/>
      <w:numFmt w:val="upperRoman"/>
      <w:lvlText w:val="%1."/>
      <w:lvlJc w:val="left"/>
      <w:pPr>
        <w:tabs>
          <w:tab w:val="num" w:pos="1080"/>
        </w:tabs>
        <w:ind w:left="1080" w:hanging="720"/>
      </w:pPr>
      <w:rPr>
        <w:rFonts w:hint="default"/>
      </w:rPr>
    </w:lvl>
    <w:lvl w:ilvl="1" w:tplc="0936ADF2">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4"/>
  </w:num>
  <w:num w:numId="8">
    <w:abstractNumId w:val="7"/>
    <w:lvlOverride w:ilvl="0">
      <w:startOverride w:val="1"/>
    </w:lvlOverride>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C9"/>
    <w:rsid w:val="000044FC"/>
    <w:rsid w:val="00036039"/>
    <w:rsid w:val="00037F90"/>
    <w:rsid w:val="00056F48"/>
    <w:rsid w:val="00071417"/>
    <w:rsid w:val="000760AD"/>
    <w:rsid w:val="000875BF"/>
    <w:rsid w:val="00096D8C"/>
    <w:rsid w:val="00096EC0"/>
    <w:rsid w:val="000A0D56"/>
    <w:rsid w:val="000C0B65"/>
    <w:rsid w:val="000C70DF"/>
    <w:rsid w:val="000E05FE"/>
    <w:rsid w:val="000E3D42"/>
    <w:rsid w:val="00112DD8"/>
    <w:rsid w:val="00121B48"/>
    <w:rsid w:val="00122BD5"/>
    <w:rsid w:val="00133F79"/>
    <w:rsid w:val="0018201F"/>
    <w:rsid w:val="00194A66"/>
    <w:rsid w:val="001C14CC"/>
    <w:rsid w:val="001C3860"/>
    <w:rsid w:val="001C6710"/>
    <w:rsid w:val="001D6BCF"/>
    <w:rsid w:val="001E01CA"/>
    <w:rsid w:val="001F4D98"/>
    <w:rsid w:val="002059B5"/>
    <w:rsid w:val="002132C4"/>
    <w:rsid w:val="00264905"/>
    <w:rsid w:val="00275CF5"/>
    <w:rsid w:val="0028301F"/>
    <w:rsid w:val="00285017"/>
    <w:rsid w:val="002A2D2E"/>
    <w:rsid w:val="002C00E8"/>
    <w:rsid w:val="003202C8"/>
    <w:rsid w:val="00323F33"/>
    <w:rsid w:val="00343749"/>
    <w:rsid w:val="003660ED"/>
    <w:rsid w:val="003B0550"/>
    <w:rsid w:val="003B694F"/>
    <w:rsid w:val="003C57D4"/>
    <w:rsid w:val="003C71F7"/>
    <w:rsid w:val="003D2B4C"/>
    <w:rsid w:val="003D78A6"/>
    <w:rsid w:val="003E32A6"/>
    <w:rsid w:val="003F171C"/>
    <w:rsid w:val="003F7570"/>
    <w:rsid w:val="00412FC5"/>
    <w:rsid w:val="00422276"/>
    <w:rsid w:val="004242F1"/>
    <w:rsid w:val="00436E1C"/>
    <w:rsid w:val="00445A00"/>
    <w:rsid w:val="004463A1"/>
    <w:rsid w:val="00451B0F"/>
    <w:rsid w:val="00465B03"/>
    <w:rsid w:val="004859E7"/>
    <w:rsid w:val="004A4A42"/>
    <w:rsid w:val="004C2EE3"/>
    <w:rsid w:val="004E4A22"/>
    <w:rsid w:val="004F4F14"/>
    <w:rsid w:val="00501678"/>
    <w:rsid w:val="0050371E"/>
    <w:rsid w:val="005037C9"/>
    <w:rsid w:val="00511968"/>
    <w:rsid w:val="00512263"/>
    <w:rsid w:val="0054755E"/>
    <w:rsid w:val="0055614C"/>
    <w:rsid w:val="005A2502"/>
    <w:rsid w:val="005B40ED"/>
    <w:rsid w:val="005E14C2"/>
    <w:rsid w:val="005E6BF2"/>
    <w:rsid w:val="00607BA5"/>
    <w:rsid w:val="0061180A"/>
    <w:rsid w:val="00621C25"/>
    <w:rsid w:val="00626EB6"/>
    <w:rsid w:val="00655D03"/>
    <w:rsid w:val="00683388"/>
    <w:rsid w:val="00683F84"/>
    <w:rsid w:val="00694E7F"/>
    <w:rsid w:val="006A6A81"/>
    <w:rsid w:val="006B065B"/>
    <w:rsid w:val="006D4E71"/>
    <w:rsid w:val="006F7393"/>
    <w:rsid w:val="0070224F"/>
    <w:rsid w:val="007067AE"/>
    <w:rsid w:val="007115F7"/>
    <w:rsid w:val="00750870"/>
    <w:rsid w:val="00756B14"/>
    <w:rsid w:val="00770F4A"/>
    <w:rsid w:val="00785689"/>
    <w:rsid w:val="0079754B"/>
    <w:rsid w:val="007A1E6D"/>
    <w:rsid w:val="007A2A36"/>
    <w:rsid w:val="007B0EB2"/>
    <w:rsid w:val="007F05BF"/>
    <w:rsid w:val="007F5BDD"/>
    <w:rsid w:val="00810B6F"/>
    <w:rsid w:val="00822CE0"/>
    <w:rsid w:val="00841AB1"/>
    <w:rsid w:val="008B2F92"/>
    <w:rsid w:val="008C68F1"/>
    <w:rsid w:val="00906D17"/>
    <w:rsid w:val="00911910"/>
    <w:rsid w:val="00912E96"/>
    <w:rsid w:val="00921803"/>
    <w:rsid w:val="00926503"/>
    <w:rsid w:val="00926ECC"/>
    <w:rsid w:val="009272FE"/>
    <w:rsid w:val="00935D69"/>
    <w:rsid w:val="009726D8"/>
    <w:rsid w:val="00980F6D"/>
    <w:rsid w:val="009918D2"/>
    <w:rsid w:val="009B1177"/>
    <w:rsid w:val="009E674A"/>
    <w:rsid w:val="009F76DB"/>
    <w:rsid w:val="00A32C3B"/>
    <w:rsid w:val="00A45F4F"/>
    <w:rsid w:val="00A46284"/>
    <w:rsid w:val="00A46812"/>
    <w:rsid w:val="00A600A9"/>
    <w:rsid w:val="00AA152F"/>
    <w:rsid w:val="00AA2070"/>
    <w:rsid w:val="00AA3817"/>
    <w:rsid w:val="00AA55B7"/>
    <w:rsid w:val="00AA5B9E"/>
    <w:rsid w:val="00AB2407"/>
    <w:rsid w:val="00AB53DF"/>
    <w:rsid w:val="00AC1E55"/>
    <w:rsid w:val="00AD16CD"/>
    <w:rsid w:val="00B07E5C"/>
    <w:rsid w:val="00B166C9"/>
    <w:rsid w:val="00B54693"/>
    <w:rsid w:val="00B7233C"/>
    <w:rsid w:val="00B73F6A"/>
    <w:rsid w:val="00B811F7"/>
    <w:rsid w:val="00BA3CD3"/>
    <w:rsid w:val="00BA5DC6"/>
    <w:rsid w:val="00BA6196"/>
    <w:rsid w:val="00BB55D2"/>
    <w:rsid w:val="00BC07BD"/>
    <w:rsid w:val="00BC09E4"/>
    <w:rsid w:val="00BC6D8C"/>
    <w:rsid w:val="00BC753F"/>
    <w:rsid w:val="00C34006"/>
    <w:rsid w:val="00C426B1"/>
    <w:rsid w:val="00C6545E"/>
    <w:rsid w:val="00C66160"/>
    <w:rsid w:val="00C721AC"/>
    <w:rsid w:val="00C90D6A"/>
    <w:rsid w:val="00CA247E"/>
    <w:rsid w:val="00CC5B4F"/>
    <w:rsid w:val="00CC72B6"/>
    <w:rsid w:val="00CD7718"/>
    <w:rsid w:val="00CF6E91"/>
    <w:rsid w:val="00D0218D"/>
    <w:rsid w:val="00D14621"/>
    <w:rsid w:val="00D16E5A"/>
    <w:rsid w:val="00D25FB5"/>
    <w:rsid w:val="00D26D4C"/>
    <w:rsid w:val="00D44223"/>
    <w:rsid w:val="00D547AF"/>
    <w:rsid w:val="00DA2529"/>
    <w:rsid w:val="00DB130A"/>
    <w:rsid w:val="00DB2EBB"/>
    <w:rsid w:val="00DC10A1"/>
    <w:rsid w:val="00DC52D1"/>
    <w:rsid w:val="00DC655F"/>
    <w:rsid w:val="00DD0B59"/>
    <w:rsid w:val="00DD7EBD"/>
    <w:rsid w:val="00DF62B6"/>
    <w:rsid w:val="00E07225"/>
    <w:rsid w:val="00E40715"/>
    <w:rsid w:val="00E5409F"/>
    <w:rsid w:val="00E673C1"/>
    <w:rsid w:val="00EB1E75"/>
    <w:rsid w:val="00EC24A1"/>
    <w:rsid w:val="00EC2F98"/>
    <w:rsid w:val="00EE6488"/>
    <w:rsid w:val="00F021FA"/>
    <w:rsid w:val="00F41FAA"/>
    <w:rsid w:val="00F425BF"/>
    <w:rsid w:val="00F62E97"/>
    <w:rsid w:val="00F64209"/>
    <w:rsid w:val="00F82DDD"/>
    <w:rsid w:val="00F93BF5"/>
    <w:rsid w:val="00F97C48"/>
    <w:rsid w:val="00FB2E7D"/>
    <w:rsid w:val="00FD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29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4CC"/>
    <w:rPr>
      <w:rFonts w:ascii="Calibri" w:eastAsia="Calibri" w:hAnsi="Calibr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0E3D42"/>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D14621"/>
    <w:pPr>
      <w:tabs>
        <w:tab w:val="center" w:pos="4680"/>
        <w:tab w:val="right" w:pos="9360"/>
      </w:tabs>
    </w:pPr>
    <w:rPr>
      <w:rFonts w:ascii="Times New Roman" w:hAnsi="Times New Roman" w:cs="Times New Roman"/>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5037C9"/>
  </w:style>
  <w:style w:type="paragraph" w:styleId="BalloonText">
    <w:name w:val="Balloon Text"/>
    <w:basedOn w:val="Normal"/>
    <w:link w:val="BalloonTextChar"/>
    <w:rsid w:val="00BC09E4"/>
    <w:rPr>
      <w:rFonts w:ascii="Segoe UI" w:hAnsi="Segoe UI" w:cs="Segoe UI"/>
      <w:sz w:val="18"/>
      <w:szCs w:val="18"/>
    </w:rPr>
  </w:style>
  <w:style w:type="character" w:customStyle="1" w:styleId="BalloonTextChar">
    <w:name w:val="Balloon Text Char"/>
    <w:link w:val="BalloonText"/>
    <w:rsid w:val="00BC09E4"/>
    <w:rPr>
      <w:rFonts w:ascii="Segoe UI" w:hAnsi="Segoe UI" w:cs="Segoe UI"/>
      <w:snapToGrid w:val="0"/>
      <w:kern w:val="28"/>
      <w:sz w:val="18"/>
      <w:szCs w:val="18"/>
    </w:rPr>
  </w:style>
  <w:style w:type="character" w:customStyle="1" w:styleId="ParaNumChar">
    <w:name w:val="ParaNum Char"/>
    <w:link w:val="ParaNum"/>
    <w:rsid w:val="007F5BDD"/>
    <w:rPr>
      <w:snapToGrid w:val="0"/>
      <w:kern w:val="28"/>
      <w:sz w:val="22"/>
    </w:rPr>
  </w:style>
  <w:style w:type="character" w:styleId="CommentReference">
    <w:name w:val="annotation reference"/>
    <w:rsid w:val="003C71F7"/>
    <w:rPr>
      <w:sz w:val="16"/>
      <w:szCs w:val="16"/>
    </w:rPr>
  </w:style>
  <w:style w:type="paragraph" w:styleId="CommentText">
    <w:name w:val="annotation text"/>
    <w:basedOn w:val="Normal"/>
    <w:link w:val="CommentTextChar"/>
    <w:rsid w:val="003C71F7"/>
    <w:rPr>
      <w:sz w:val="20"/>
      <w:szCs w:val="20"/>
    </w:rPr>
  </w:style>
  <w:style w:type="character" w:customStyle="1" w:styleId="CommentTextChar">
    <w:name w:val="Comment Text Char"/>
    <w:link w:val="CommentText"/>
    <w:rsid w:val="003C71F7"/>
    <w:rPr>
      <w:rFonts w:ascii="Calibri" w:eastAsia="Calibri" w:hAnsi="Calibri" w:cs="Calibri"/>
    </w:rPr>
  </w:style>
  <w:style w:type="paragraph" w:styleId="CommentSubject">
    <w:name w:val="annotation subject"/>
    <w:basedOn w:val="CommentText"/>
    <w:next w:val="CommentText"/>
    <w:link w:val="CommentSubjectChar"/>
    <w:rsid w:val="003C71F7"/>
    <w:rPr>
      <w:b/>
      <w:bCs/>
    </w:rPr>
  </w:style>
  <w:style w:type="character" w:customStyle="1" w:styleId="CommentSubjectChar">
    <w:name w:val="Comment Subject Char"/>
    <w:link w:val="CommentSubject"/>
    <w:rsid w:val="003C71F7"/>
    <w:rPr>
      <w:rFonts w:ascii="Calibri" w:eastAsia="Calibri"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4CC"/>
    <w:rPr>
      <w:rFonts w:ascii="Calibri" w:eastAsia="Calibri" w:hAnsi="Calibr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0E3D42"/>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D14621"/>
    <w:pPr>
      <w:tabs>
        <w:tab w:val="center" w:pos="4680"/>
        <w:tab w:val="right" w:pos="9360"/>
      </w:tabs>
    </w:pPr>
    <w:rPr>
      <w:rFonts w:ascii="Times New Roman" w:hAnsi="Times New Roman" w:cs="Times New Roman"/>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5037C9"/>
  </w:style>
  <w:style w:type="paragraph" w:styleId="BalloonText">
    <w:name w:val="Balloon Text"/>
    <w:basedOn w:val="Normal"/>
    <w:link w:val="BalloonTextChar"/>
    <w:rsid w:val="00BC09E4"/>
    <w:rPr>
      <w:rFonts w:ascii="Segoe UI" w:hAnsi="Segoe UI" w:cs="Segoe UI"/>
      <w:sz w:val="18"/>
      <w:szCs w:val="18"/>
    </w:rPr>
  </w:style>
  <w:style w:type="character" w:customStyle="1" w:styleId="BalloonTextChar">
    <w:name w:val="Balloon Text Char"/>
    <w:link w:val="BalloonText"/>
    <w:rsid w:val="00BC09E4"/>
    <w:rPr>
      <w:rFonts w:ascii="Segoe UI" w:hAnsi="Segoe UI" w:cs="Segoe UI"/>
      <w:snapToGrid w:val="0"/>
      <w:kern w:val="28"/>
      <w:sz w:val="18"/>
      <w:szCs w:val="18"/>
    </w:rPr>
  </w:style>
  <w:style w:type="character" w:customStyle="1" w:styleId="ParaNumChar">
    <w:name w:val="ParaNum Char"/>
    <w:link w:val="ParaNum"/>
    <w:rsid w:val="007F5BDD"/>
    <w:rPr>
      <w:snapToGrid w:val="0"/>
      <w:kern w:val="28"/>
      <w:sz w:val="22"/>
    </w:rPr>
  </w:style>
  <w:style w:type="character" w:styleId="CommentReference">
    <w:name w:val="annotation reference"/>
    <w:rsid w:val="003C71F7"/>
    <w:rPr>
      <w:sz w:val="16"/>
      <w:szCs w:val="16"/>
    </w:rPr>
  </w:style>
  <w:style w:type="paragraph" w:styleId="CommentText">
    <w:name w:val="annotation text"/>
    <w:basedOn w:val="Normal"/>
    <w:link w:val="CommentTextChar"/>
    <w:rsid w:val="003C71F7"/>
    <w:rPr>
      <w:sz w:val="20"/>
      <w:szCs w:val="20"/>
    </w:rPr>
  </w:style>
  <w:style w:type="character" w:customStyle="1" w:styleId="CommentTextChar">
    <w:name w:val="Comment Text Char"/>
    <w:link w:val="CommentText"/>
    <w:rsid w:val="003C71F7"/>
    <w:rPr>
      <w:rFonts w:ascii="Calibri" w:eastAsia="Calibri" w:hAnsi="Calibri" w:cs="Calibri"/>
    </w:rPr>
  </w:style>
  <w:style w:type="paragraph" w:styleId="CommentSubject">
    <w:name w:val="annotation subject"/>
    <w:basedOn w:val="CommentText"/>
    <w:next w:val="CommentText"/>
    <w:link w:val="CommentSubjectChar"/>
    <w:rsid w:val="003C71F7"/>
    <w:rPr>
      <w:b/>
      <w:bCs/>
    </w:rPr>
  </w:style>
  <w:style w:type="character" w:customStyle="1" w:styleId="CommentSubjectChar">
    <w:name w:val="Comment Subject Char"/>
    <w:link w:val="CommentSubject"/>
    <w:rsid w:val="003C71F7"/>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76620">
      <w:bodyDiv w:val="1"/>
      <w:marLeft w:val="0"/>
      <w:marRight w:val="0"/>
      <w:marTop w:val="0"/>
      <w:marBottom w:val="0"/>
      <w:divBdr>
        <w:top w:val="none" w:sz="0" w:space="0" w:color="auto"/>
        <w:left w:val="none" w:sz="0" w:space="0" w:color="auto"/>
        <w:bottom w:val="none" w:sz="0" w:space="0" w:color="auto"/>
        <w:right w:val="none" w:sz="0" w:space="0" w:color="auto"/>
      </w:divBdr>
    </w:div>
    <w:div w:id="1174031014">
      <w:bodyDiv w:val="1"/>
      <w:marLeft w:val="0"/>
      <w:marRight w:val="0"/>
      <w:marTop w:val="0"/>
      <w:marBottom w:val="0"/>
      <w:divBdr>
        <w:top w:val="none" w:sz="0" w:space="0" w:color="auto"/>
        <w:left w:val="none" w:sz="0" w:space="0" w:color="auto"/>
        <w:bottom w:val="none" w:sz="0" w:space="0" w:color="auto"/>
        <w:right w:val="none" w:sz="0" w:space="0" w:color="auto"/>
      </w:divBdr>
    </w:div>
    <w:div w:id="153780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Forms/Form159/15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1635</Words>
  <Characters>8830</Characters>
  <Application>Microsoft Office Word</Application>
  <DocSecurity>0</DocSecurity>
  <Lines>148</Lines>
  <Paragraphs>46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10494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2015-09-25T19:14:00Z</cp:lastPrinted>
  <dcterms:created xsi:type="dcterms:W3CDTF">2015-09-25T19:24:00Z</dcterms:created>
  <dcterms:modified xsi:type="dcterms:W3CDTF">2015-09-25T19:24:00Z</dcterms:modified>
  <cp:category> </cp:category>
  <cp:contentStatus> </cp:contentStatus>
</cp:coreProperties>
</file>