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747C5F">
        <w:rPr>
          <w:b/>
          <w:color w:val="000000"/>
          <w:sz w:val="24"/>
          <w:szCs w:val="24"/>
        </w:rPr>
        <w:t>1086</w:t>
      </w:r>
    </w:p>
    <w:p w:rsidR="00212CF5" w:rsidRPr="007356BA" w:rsidRDefault="00E80596">
      <w:pPr>
        <w:jc w:val="right"/>
        <w:rPr>
          <w:b/>
          <w:color w:val="000000"/>
          <w:sz w:val="24"/>
          <w:szCs w:val="24"/>
        </w:rPr>
      </w:pPr>
      <w:r>
        <w:rPr>
          <w:b/>
          <w:color w:val="000000"/>
          <w:sz w:val="24"/>
          <w:szCs w:val="24"/>
        </w:rPr>
        <w:t xml:space="preserve">September </w:t>
      </w:r>
      <w:r w:rsidR="0061182D">
        <w:rPr>
          <w:b/>
          <w:color w:val="000000"/>
          <w:sz w:val="24"/>
          <w:szCs w:val="24"/>
        </w:rPr>
        <w:t>28</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61182D">
        <w:rPr>
          <w:color w:val="000000"/>
        </w:rPr>
        <w:t>202</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80596" w:rsidRPr="00E80596" w:rsidRDefault="00E80596" w:rsidP="00E80596">
      <w:pPr>
        <w:autoSpaceDE w:val="0"/>
        <w:autoSpaceDN w:val="0"/>
        <w:adjustRightInd w:val="0"/>
        <w:ind w:left="720"/>
        <w:rPr>
          <w:szCs w:val="22"/>
        </w:rPr>
      </w:pPr>
      <w:r w:rsidRPr="00E80596">
        <w:rPr>
          <w:szCs w:val="22"/>
        </w:rPr>
        <w:t xml:space="preserve">Domestic Section 214 Application Filed for the Transfer of Control of </w:t>
      </w:r>
    </w:p>
    <w:p w:rsidR="00350759" w:rsidRDefault="0061182D" w:rsidP="0061182D">
      <w:pPr>
        <w:autoSpaceDE w:val="0"/>
        <w:autoSpaceDN w:val="0"/>
        <w:adjustRightInd w:val="0"/>
        <w:ind w:left="720"/>
        <w:rPr>
          <w:szCs w:val="22"/>
        </w:rPr>
      </w:pPr>
      <w:r w:rsidRPr="0061182D">
        <w:rPr>
          <w:szCs w:val="22"/>
        </w:rPr>
        <w:t>opticAccess, LLC to Integra Telecom Holdings, Inc., WC Docket No. 15-202</w:t>
      </w:r>
      <w:r w:rsidR="00E80596" w:rsidRPr="00E80596">
        <w:rPr>
          <w:szCs w:val="22"/>
        </w:rPr>
        <w:t xml:space="preserve">, </w:t>
      </w:r>
    </w:p>
    <w:p w:rsidR="00E80596" w:rsidRPr="00E80596" w:rsidRDefault="00E80596" w:rsidP="00350759">
      <w:pPr>
        <w:autoSpaceDE w:val="0"/>
        <w:autoSpaceDN w:val="0"/>
        <w:adjustRightInd w:val="0"/>
        <w:ind w:left="720"/>
        <w:rPr>
          <w:szCs w:val="22"/>
        </w:rPr>
      </w:pPr>
      <w:r w:rsidRPr="00E80596">
        <w:rPr>
          <w:szCs w:val="22"/>
        </w:rPr>
        <w:t>Public Notice, DA 15-97</w:t>
      </w:r>
      <w:r w:rsidR="0061182D">
        <w:rPr>
          <w:szCs w:val="22"/>
        </w:rPr>
        <w:t>3 (rel. Aug. 28</w:t>
      </w:r>
      <w:r w:rsidRPr="00E80596">
        <w:rPr>
          <w:szCs w:val="22"/>
        </w:rPr>
        <w:t>, 2015).</w:t>
      </w:r>
    </w:p>
    <w:p w:rsidR="003F48B7" w:rsidRPr="003F48B7" w:rsidRDefault="003F48B7" w:rsidP="00245A1C">
      <w:pPr>
        <w:autoSpaceDE w:val="0"/>
        <w:autoSpaceDN w:val="0"/>
        <w:adjustRightInd w:val="0"/>
        <w:ind w:left="720"/>
        <w:rPr>
          <w:szCs w:val="22"/>
        </w:rPr>
      </w:pPr>
      <w:r w:rsidRPr="003F48B7">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E80596">
        <w:rPr>
          <w:b/>
          <w:bCs/>
          <w:color w:val="000000"/>
          <w:szCs w:val="22"/>
          <w:lang w:eastAsia="ja-JP"/>
        </w:rPr>
        <w:t>September</w:t>
      </w:r>
      <w:r w:rsidR="0061182D">
        <w:rPr>
          <w:b/>
          <w:bCs/>
          <w:color w:val="000000"/>
          <w:szCs w:val="22"/>
          <w:lang w:eastAsia="ja-JP"/>
        </w:rPr>
        <w:t xml:space="preserve"> 28</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61182D" w:rsidRPr="0061182D">
        <w:t>Gregory Kwan at (202) 418-1191</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B" w:rsidRDefault="00F555CB">
      <w:r>
        <w:separator/>
      </w:r>
    </w:p>
  </w:endnote>
  <w:endnote w:type="continuationSeparator" w:id="0">
    <w:p w:rsidR="00F555CB" w:rsidRDefault="00F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1" w:rsidRDefault="00CA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1" w:rsidRDefault="00CA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1" w:rsidRDefault="00CA1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B" w:rsidRDefault="00F555CB">
      <w:r>
        <w:separator/>
      </w:r>
    </w:p>
  </w:footnote>
  <w:footnote w:type="continuationSeparator" w:id="0">
    <w:p w:rsidR="00F555CB" w:rsidRDefault="00F555CB">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1" w:rsidRDefault="00CA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1" w:rsidRDefault="00CA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D91EB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D91EB0">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D6713"/>
    <w:rsid w:val="000F3E71"/>
    <w:rsid w:val="00111200"/>
    <w:rsid w:val="001314D5"/>
    <w:rsid w:val="001414FE"/>
    <w:rsid w:val="0015597D"/>
    <w:rsid w:val="0016142B"/>
    <w:rsid w:val="00212CF5"/>
    <w:rsid w:val="00245A1C"/>
    <w:rsid w:val="002671C8"/>
    <w:rsid w:val="002937AB"/>
    <w:rsid w:val="002949AE"/>
    <w:rsid w:val="002A6AC9"/>
    <w:rsid w:val="002F4794"/>
    <w:rsid w:val="00324C4A"/>
    <w:rsid w:val="00337F82"/>
    <w:rsid w:val="00350759"/>
    <w:rsid w:val="0038242E"/>
    <w:rsid w:val="00395776"/>
    <w:rsid w:val="003A59FA"/>
    <w:rsid w:val="003D36AC"/>
    <w:rsid w:val="003F48B7"/>
    <w:rsid w:val="00412E8A"/>
    <w:rsid w:val="00466E2E"/>
    <w:rsid w:val="0048158D"/>
    <w:rsid w:val="004A5FAD"/>
    <w:rsid w:val="004B6456"/>
    <w:rsid w:val="004C4734"/>
    <w:rsid w:val="004D0C58"/>
    <w:rsid w:val="004D41FA"/>
    <w:rsid w:val="004E378C"/>
    <w:rsid w:val="00501223"/>
    <w:rsid w:val="005A31C9"/>
    <w:rsid w:val="005E584C"/>
    <w:rsid w:val="005F788C"/>
    <w:rsid w:val="0061182D"/>
    <w:rsid w:val="0062222E"/>
    <w:rsid w:val="00635F8E"/>
    <w:rsid w:val="00642DF3"/>
    <w:rsid w:val="00645EF7"/>
    <w:rsid w:val="00646FD9"/>
    <w:rsid w:val="006607CA"/>
    <w:rsid w:val="0067502D"/>
    <w:rsid w:val="006836CA"/>
    <w:rsid w:val="006B7309"/>
    <w:rsid w:val="006C3BF5"/>
    <w:rsid w:val="006D3786"/>
    <w:rsid w:val="006F136F"/>
    <w:rsid w:val="007356BA"/>
    <w:rsid w:val="00744A15"/>
    <w:rsid w:val="00747C5F"/>
    <w:rsid w:val="007738A1"/>
    <w:rsid w:val="0077587F"/>
    <w:rsid w:val="007E570B"/>
    <w:rsid w:val="007E7248"/>
    <w:rsid w:val="007E79B6"/>
    <w:rsid w:val="007F45A3"/>
    <w:rsid w:val="00830E7E"/>
    <w:rsid w:val="00845722"/>
    <w:rsid w:val="008563C0"/>
    <w:rsid w:val="00941FC6"/>
    <w:rsid w:val="009511B8"/>
    <w:rsid w:val="00983404"/>
    <w:rsid w:val="009B71C3"/>
    <w:rsid w:val="00A21A0B"/>
    <w:rsid w:val="00A44645"/>
    <w:rsid w:val="00A45140"/>
    <w:rsid w:val="00A613E4"/>
    <w:rsid w:val="00AC609E"/>
    <w:rsid w:val="00AF514F"/>
    <w:rsid w:val="00B43309"/>
    <w:rsid w:val="00B84291"/>
    <w:rsid w:val="00B94FF0"/>
    <w:rsid w:val="00BA7E71"/>
    <w:rsid w:val="00C477D2"/>
    <w:rsid w:val="00C90145"/>
    <w:rsid w:val="00C93905"/>
    <w:rsid w:val="00CA1991"/>
    <w:rsid w:val="00CB7A8B"/>
    <w:rsid w:val="00CC331C"/>
    <w:rsid w:val="00CD4BC7"/>
    <w:rsid w:val="00CE7268"/>
    <w:rsid w:val="00D0061E"/>
    <w:rsid w:val="00D00758"/>
    <w:rsid w:val="00D06BC1"/>
    <w:rsid w:val="00D1322F"/>
    <w:rsid w:val="00D67997"/>
    <w:rsid w:val="00D91EB0"/>
    <w:rsid w:val="00DD6B27"/>
    <w:rsid w:val="00DE29DB"/>
    <w:rsid w:val="00E02C7F"/>
    <w:rsid w:val="00E5320D"/>
    <w:rsid w:val="00E621CC"/>
    <w:rsid w:val="00E756E1"/>
    <w:rsid w:val="00E80596"/>
    <w:rsid w:val="00EB23C7"/>
    <w:rsid w:val="00EB78A2"/>
    <w:rsid w:val="00F555CB"/>
    <w:rsid w:val="00F70735"/>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888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2015-09-28T11:37:00Z</dcterms:created>
  <dcterms:modified xsi:type="dcterms:W3CDTF">2015-09-28T11:37:00Z</dcterms:modified>
  <cp:category> </cp:category>
  <cp:contentStatus> </cp:contentStatus>
</cp:coreProperties>
</file>