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9E" w:rsidRDefault="00176505">
      <w:pPr>
        <w:ind w:left="5760" w:firstLine="720"/>
        <w:rPr>
          <w:b/>
          <w:szCs w:val="22"/>
        </w:rPr>
      </w:pPr>
      <w:bookmarkStart w:id="0" w:name="_GoBack"/>
      <w:bookmarkEnd w:id="0"/>
      <w:r>
        <w:rPr>
          <w:b/>
          <w:szCs w:val="22"/>
        </w:rPr>
        <w:t>DA 15-</w:t>
      </w:r>
      <w:r w:rsidR="000D68D8">
        <w:rPr>
          <w:b/>
          <w:szCs w:val="22"/>
        </w:rPr>
        <w:t>1124</w:t>
      </w:r>
    </w:p>
    <w:p w:rsidR="00E9599E" w:rsidRDefault="00696876">
      <w:pPr>
        <w:ind w:left="6480"/>
        <w:rPr>
          <w:b/>
          <w:szCs w:val="22"/>
        </w:rPr>
      </w:pPr>
      <w:r>
        <w:rPr>
          <w:b/>
          <w:szCs w:val="22"/>
        </w:rPr>
        <w:t>Released</w:t>
      </w:r>
      <w:r w:rsidRPr="004D0AEB">
        <w:rPr>
          <w:b/>
          <w:szCs w:val="22"/>
        </w:rPr>
        <w:t xml:space="preserve">: </w:t>
      </w:r>
      <w:r w:rsidR="004D0AEB" w:rsidRPr="004D0AEB">
        <w:rPr>
          <w:b/>
          <w:szCs w:val="22"/>
        </w:rPr>
        <w:t xml:space="preserve"> October 2</w:t>
      </w:r>
      <w:r w:rsidR="00986D3E" w:rsidRPr="004D0AEB">
        <w:rPr>
          <w:b/>
          <w:szCs w:val="22"/>
        </w:rPr>
        <w:t>, 2015</w:t>
      </w:r>
    </w:p>
    <w:p w:rsidR="00E9599E" w:rsidRDefault="00E9599E">
      <w:pPr>
        <w:jc w:val="right"/>
        <w:rPr>
          <w:b/>
          <w:sz w:val="24"/>
          <w:szCs w:val="24"/>
        </w:rPr>
      </w:pPr>
    </w:p>
    <w:p w:rsidR="008C20B6" w:rsidRDefault="00E9599E" w:rsidP="008C20B6">
      <w:pPr>
        <w:jc w:val="center"/>
        <w:rPr>
          <w:b/>
          <w:sz w:val="24"/>
          <w:szCs w:val="24"/>
        </w:rPr>
      </w:pPr>
      <w:r>
        <w:rPr>
          <w:b/>
          <w:sz w:val="24"/>
          <w:szCs w:val="24"/>
        </w:rPr>
        <w:t xml:space="preserve">Comment Deadlines Set for </w:t>
      </w:r>
      <w:r>
        <w:rPr>
          <w:b/>
          <w:i/>
          <w:sz w:val="24"/>
          <w:szCs w:val="24"/>
        </w:rPr>
        <w:t>Notice of Proposed Rulemaking</w:t>
      </w:r>
      <w:r w:rsidR="0019134A">
        <w:rPr>
          <w:b/>
          <w:i/>
          <w:sz w:val="24"/>
          <w:szCs w:val="24"/>
        </w:rPr>
        <w:t xml:space="preserve"> </w:t>
      </w:r>
      <w:r>
        <w:rPr>
          <w:b/>
          <w:sz w:val="24"/>
          <w:szCs w:val="24"/>
        </w:rPr>
        <w:t xml:space="preserve">on </w:t>
      </w:r>
    </w:p>
    <w:p w:rsidR="008C20B6" w:rsidRDefault="0019134A" w:rsidP="008C20B6">
      <w:pPr>
        <w:jc w:val="center"/>
        <w:rPr>
          <w:b/>
          <w:sz w:val="24"/>
          <w:szCs w:val="24"/>
        </w:rPr>
      </w:pPr>
      <w:r>
        <w:rPr>
          <w:b/>
          <w:sz w:val="24"/>
          <w:szCs w:val="24"/>
        </w:rPr>
        <w:t>Implementation of Section 103 of the ST</w:t>
      </w:r>
      <w:r w:rsidR="008C20B6">
        <w:rPr>
          <w:b/>
          <w:sz w:val="24"/>
          <w:szCs w:val="24"/>
        </w:rPr>
        <w:t>ELA Reauthorization Act of 2014</w:t>
      </w:r>
    </w:p>
    <w:p w:rsidR="00E9599E" w:rsidRDefault="0019134A">
      <w:pPr>
        <w:jc w:val="center"/>
        <w:rPr>
          <w:b/>
          <w:sz w:val="24"/>
          <w:szCs w:val="24"/>
        </w:rPr>
      </w:pPr>
      <w:r>
        <w:rPr>
          <w:b/>
          <w:sz w:val="24"/>
          <w:szCs w:val="24"/>
        </w:rPr>
        <w:t xml:space="preserve">Totality of </w:t>
      </w:r>
      <w:r w:rsidR="00986D3E">
        <w:rPr>
          <w:b/>
          <w:sz w:val="24"/>
          <w:szCs w:val="24"/>
        </w:rPr>
        <w:t xml:space="preserve">the </w:t>
      </w:r>
      <w:r>
        <w:rPr>
          <w:b/>
          <w:sz w:val="24"/>
          <w:szCs w:val="24"/>
        </w:rPr>
        <w:t>Circumstances Test</w:t>
      </w:r>
    </w:p>
    <w:p w:rsidR="00E9599E" w:rsidRDefault="00E9599E">
      <w:pPr>
        <w:jc w:val="center"/>
        <w:rPr>
          <w:b/>
          <w:sz w:val="24"/>
          <w:szCs w:val="24"/>
        </w:rPr>
      </w:pPr>
    </w:p>
    <w:p w:rsidR="00E9599E" w:rsidRDefault="00176505">
      <w:pPr>
        <w:jc w:val="center"/>
        <w:rPr>
          <w:b/>
          <w:sz w:val="24"/>
          <w:szCs w:val="24"/>
        </w:rPr>
      </w:pPr>
      <w:r>
        <w:rPr>
          <w:b/>
          <w:sz w:val="24"/>
          <w:szCs w:val="24"/>
        </w:rPr>
        <w:t>MB</w:t>
      </w:r>
      <w:r w:rsidR="00696876">
        <w:rPr>
          <w:b/>
          <w:sz w:val="24"/>
          <w:szCs w:val="24"/>
        </w:rPr>
        <w:t xml:space="preserve"> Docket No. </w:t>
      </w:r>
      <w:r>
        <w:rPr>
          <w:b/>
          <w:sz w:val="24"/>
          <w:szCs w:val="24"/>
        </w:rPr>
        <w:t>15-216</w:t>
      </w:r>
    </w:p>
    <w:p w:rsidR="00E9599E" w:rsidRDefault="00E9599E">
      <w:pPr>
        <w:jc w:val="center"/>
        <w:rPr>
          <w:b/>
          <w:szCs w:val="22"/>
        </w:rPr>
      </w:pPr>
    </w:p>
    <w:p w:rsidR="00E9599E" w:rsidRPr="004D0AEB" w:rsidRDefault="00E9599E">
      <w:pPr>
        <w:rPr>
          <w:b/>
          <w:sz w:val="24"/>
          <w:szCs w:val="24"/>
        </w:rPr>
      </w:pPr>
      <w:r>
        <w:rPr>
          <w:b/>
          <w:sz w:val="24"/>
          <w:szCs w:val="24"/>
        </w:rPr>
        <w:t xml:space="preserve">Comment Deadline:  </w:t>
      </w:r>
      <w:r w:rsidR="00986D3E">
        <w:rPr>
          <w:b/>
          <w:sz w:val="24"/>
          <w:szCs w:val="24"/>
        </w:rPr>
        <w:t xml:space="preserve">December </w:t>
      </w:r>
      <w:r w:rsidR="00986D3E" w:rsidRPr="004D0AEB">
        <w:rPr>
          <w:b/>
          <w:sz w:val="24"/>
          <w:szCs w:val="24"/>
        </w:rPr>
        <w:t>1</w:t>
      </w:r>
      <w:r w:rsidR="00696876" w:rsidRPr="004D0AEB">
        <w:rPr>
          <w:b/>
          <w:sz w:val="24"/>
          <w:szCs w:val="24"/>
        </w:rPr>
        <w:t>, 2015</w:t>
      </w:r>
    </w:p>
    <w:p w:rsidR="00E9599E" w:rsidRPr="004D0AEB" w:rsidRDefault="00E9599E">
      <w:pPr>
        <w:rPr>
          <w:b/>
          <w:sz w:val="24"/>
          <w:szCs w:val="24"/>
        </w:rPr>
      </w:pPr>
      <w:r w:rsidRPr="004D0AEB">
        <w:rPr>
          <w:b/>
          <w:sz w:val="24"/>
          <w:szCs w:val="24"/>
        </w:rPr>
        <w:t xml:space="preserve">Reply Comment Deadline:  </w:t>
      </w:r>
      <w:r w:rsidR="00986D3E" w:rsidRPr="004D0AEB">
        <w:rPr>
          <w:b/>
          <w:sz w:val="24"/>
          <w:szCs w:val="24"/>
        </w:rPr>
        <w:t>December 31</w:t>
      </w:r>
      <w:r w:rsidR="00696876" w:rsidRPr="004D0AEB">
        <w:rPr>
          <w:b/>
          <w:sz w:val="24"/>
          <w:szCs w:val="24"/>
        </w:rPr>
        <w:t>, 2015</w:t>
      </w:r>
    </w:p>
    <w:p w:rsidR="00E9599E" w:rsidRPr="004D0AEB" w:rsidRDefault="00E9599E">
      <w:pPr>
        <w:ind w:firstLine="720"/>
        <w:rPr>
          <w:szCs w:val="22"/>
        </w:rPr>
      </w:pPr>
    </w:p>
    <w:p w:rsidR="000C6227" w:rsidRPr="004D0AEB" w:rsidRDefault="00E9599E" w:rsidP="000C6227">
      <w:pPr>
        <w:ind w:firstLine="720"/>
        <w:rPr>
          <w:szCs w:val="22"/>
        </w:rPr>
      </w:pPr>
      <w:r w:rsidRPr="004D0AEB">
        <w:rPr>
          <w:szCs w:val="22"/>
        </w:rPr>
        <w:t>On</w:t>
      </w:r>
      <w:r w:rsidR="005E37D8" w:rsidRPr="004D0AEB">
        <w:rPr>
          <w:szCs w:val="22"/>
        </w:rPr>
        <w:t xml:space="preserve"> </w:t>
      </w:r>
      <w:r w:rsidR="00986D3E" w:rsidRPr="004D0AEB">
        <w:rPr>
          <w:szCs w:val="22"/>
        </w:rPr>
        <w:t>September 2</w:t>
      </w:r>
      <w:r w:rsidR="00176505" w:rsidRPr="004D0AEB">
        <w:rPr>
          <w:szCs w:val="22"/>
        </w:rPr>
        <w:t>,</w:t>
      </w:r>
      <w:r w:rsidR="000C6227" w:rsidRPr="004D0AEB">
        <w:rPr>
          <w:szCs w:val="22"/>
        </w:rPr>
        <w:t xml:space="preserve"> 2015</w:t>
      </w:r>
      <w:r w:rsidRPr="004D0AEB">
        <w:rPr>
          <w:szCs w:val="22"/>
        </w:rPr>
        <w:t xml:space="preserve">, the Commission released a </w:t>
      </w:r>
      <w:r w:rsidRPr="004D0AEB">
        <w:rPr>
          <w:i/>
          <w:szCs w:val="22"/>
        </w:rPr>
        <w:t>Notice of Proposed Rulemaking</w:t>
      </w:r>
      <w:r w:rsidR="001517B9" w:rsidRPr="004D0AEB">
        <w:rPr>
          <w:szCs w:val="22"/>
        </w:rPr>
        <w:t xml:space="preserve"> </w:t>
      </w:r>
      <w:r w:rsidR="000F7404" w:rsidRPr="004D0AEB">
        <w:rPr>
          <w:szCs w:val="22"/>
        </w:rPr>
        <w:t xml:space="preserve">in the above captioned proceeding </w:t>
      </w:r>
      <w:r w:rsidR="001517B9" w:rsidRPr="004D0AEB">
        <w:rPr>
          <w:szCs w:val="22"/>
        </w:rPr>
        <w:t xml:space="preserve">that seeks </w:t>
      </w:r>
      <w:r w:rsidRPr="004D0AEB">
        <w:rPr>
          <w:szCs w:val="22"/>
        </w:rPr>
        <w:t>comment on</w:t>
      </w:r>
      <w:r w:rsidR="000C6227" w:rsidRPr="004D0AEB">
        <w:rPr>
          <w:szCs w:val="22"/>
        </w:rPr>
        <w:t xml:space="preserve"> potential updates to the “totality of the circumstances test” for evaluating whether broadcast stations and multichannel video programming distributors (“MVPDs”) are negotiating for retransmission consent in good faith.</w:t>
      </w:r>
      <w:r w:rsidR="00EC4210" w:rsidRPr="004D0AEB">
        <w:rPr>
          <w:rStyle w:val="FootnoteReference"/>
        </w:rPr>
        <w:footnoteReference w:id="1"/>
      </w:r>
      <w:r w:rsidR="000C6227" w:rsidRPr="004D0AEB">
        <w:rPr>
          <w:szCs w:val="22"/>
        </w:rPr>
        <w:t xml:space="preserve"> </w:t>
      </w:r>
      <w:r w:rsidR="00EC4210" w:rsidRPr="004D0AEB">
        <w:rPr>
          <w:szCs w:val="22"/>
        </w:rPr>
        <w:t xml:space="preserve"> </w:t>
      </w:r>
      <w:r w:rsidR="000C6227" w:rsidRPr="004D0AEB">
        <w:rPr>
          <w:szCs w:val="22"/>
        </w:rPr>
        <w:t xml:space="preserve">The </w:t>
      </w:r>
      <w:r w:rsidR="00EC4210" w:rsidRPr="004D0AEB">
        <w:rPr>
          <w:i/>
          <w:szCs w:val="22"/>
        </w:rPr>
        <w:t>NPRM</w:t>
      </w:r>
      <w:r w:rsidR="000C6227" w:rsidRPr="004D0AEB">
        <w:rPr>
          <w:szCs w:val="22"/>
        </w:rPr>
        <w:t xml:space="preserve"> seeks comment generally on the totality of the circumstances test, including whether and how the Commission should update that test.  The </w:t>
      </w:r>
      <w:r w:rsidR="00EC4210" w:rsidRPr="004D0AEB">
        <w:rPr>
          <w:i/>
          <w:szCs w:val="22"/>
        </w:rPr>
        <w:t>NPRM</w:t>
      </w:r>
      <w:r w:rsidR="000C6227" w:rsidRPr="004D0AEB">
        <w:rPr>
          <w:szCs w:val="22"/>
        </w:rPr>
        <w:t xml:space="preserve"> also seeks comment on whether there are specific practices that the Commission should identify as evidencing bad faith under the totality of the circumstances test.  </w:t>
      </w:r>
    </w:p>
    <w:p w:rsidR="001517B9" w:rsidRPr="004D0AEB" w:rsidRDefault="001517B9">
      <w:pPr>
        <w:ind w:firstLine="720"/>
        <w:rPr>
          <w:snapToGrid w:val="0"/>
          <w:kern w:val="28"/>
          <w:szCs w:val="22"/>
        </w:rPr>
      </w:pPr>
    </w:p>
    <w:p w:rsidR="00E9599E" w:rsidRDefault="00E9599E">
      <w:pPr>
        <w:ind w:firstLine="720"/>
        <w:rPr>
          <w:szCs w:val="22"/>
        </w:rPr>
      </w:pPr>
      <w:r w:rsidRPr="004D0AEB">
        <w:rPr>
          <w:szCs w:val="22"/>
        </w:rPr>
        <w:t>The Commission</w:t>
      </w:r>
      <w:r w:rsidRPr="004D0AEB">
        <w:rPr>
          <w:i/>
          <w:szCs w:val="22"/>
        </w:rPr>
        <w:t xml:space="preserve"> </w:t>
      </w:r>
      <w:r w:rsidRPr="004D0AEB">
        <w:rPr>
          <w:szCs w:val="22"/>
        </w:rPr>
        <w:t xml:space="preserve">set deadlines for filing </w:t>
      </w:r>
      <w:r w:rsidR="00264C2F" w:rsidRPr="004D0AEB">
        <w:rPr>
          <w:szCs w:val="22"/>
        </w:rPr>
        <w:t xml:space="preserve">comments and reply comments at </w:t>
      </w:r>
      <w:r w:rsidR="00176505" w:rsidRPr="004D0AEB">
        <w:rPr>
          <w:szCs w:val="22"/>
        </w:rPr>
        <w:t>60</w:t>
      </w:r>
      <w:r w:rsidRPr="004D0AEB">
        <w:rPr>
          <w:szCs w:val="22"/>
        </w:rPr>
        <w:t xml:space="preserve"> and </w:t>
      </w:r>
      <w:r w:rsidR="00176505" w:rsidRPr="004D0AEB">
        <w:rPr>
          <w:szCs w:val="22"/>
        </w:rPr>
        <w:t>9</w:t>
      </w:r>
      <w:r w:rsidRPr="004D0AEB">
        <w:rPr>
          <w:szCs w:val="22"/>
        </w:rPr>
        <w:t xml:space="preserve">0 days, respectively, after publication of the </w:t>
      </w:r>
      <w:r w:rsidR="00264C2F" w:rsidRPr="004D0AEB">
        <w:rPr>
          <w:i/>
          <w:szCs w:val="22"/>
        </w:rPr>
        <w:t>N</w:t>
      </w:r>
      <w:r w:rsidR="00EC4210" w:rsidRPr="004D0AEB">
        <w:rPr>
          <w:i/>
          <w:szCs w:val="22"/>
        </w:rPr>
        <w:t>PRM</w:t>
      </w:r>
      <w:r w:rsidR="00264C2F" w:rsidRPr="004D0AEB">
        <w:rPr>
          <w:i/>
          <w:szCs w:val="22"/>
        </w:rPr>
        <w:t xml:space="preserve"> </w:t>
      </w:r>
      <w:r w:rsidRPr="004D0AEB">
        <w:rPr>
          <w:szCs w:val="22"/>
        </w:rPr>
        <w:t>in the Federal Register.</w:t>
      </w:r>
      <w:r w:rsidR="006F52CC" w:rsidRPr="004D0AEB">
        <w:rPr>
          <w:rStyle w:val="FootnoteReference"/>
          <w:szCs w:val="22"/>
        </w:rPr>
        <w:footnoteReference w:id="2"/>
      </w:r>
      <w:r w:rsidRPr="004D0AEB">
        <w:rPr>
          <w:szCs w:val="22"/>
        </w:rPr>
        <w:t xml:space="preserve">  A summary of the </w:t>
      </w:r>
      <w:r w:rsidR="00264C2F" w:rsidRPr="004D0AEB">
        <w:rPr>
          <w:i/>
          <w:szCs w:val="22"/>
        </w:rPr>
        <w:t>N</w:t>
      </w:r>
      <w:r w:rsidR="00EC4210" w:rsidRPr="004D0AEB">
        <w:rPr>
          <w:i/>
          <w:szCs w:val="22"/>
        </w:rPr>
        <w:t>PRM</w:t>
      </w:r>
      <w:r w:rsidRPr="004D0AEB">
        <w:rPr>
          <w:szCs w:val="22"/>
        </w:rPr>
        <w:t xml:space="preserve"> was published in the Federal Register on </w:t>
      </w:r>
      <w:r w:rsidR="00EC4210" w:rsidRPr="004D0AEB">
        <w:rPr>
          <w:szCs w:val="22"/>
        </w:rPr>
        <w:t>October 2</w:t>
      </w:r>
      <w:r w:rsidR="00264C2F" w:rsidRPr="004D0AEB">
        <w:rPr>
          <w:szCs w:val="22"/>
        </w:rPr>
        <w:t>, 2015</w:t>
      </w:r>
      <w:r w:rsidRPr="004D0AEB">
        <w:rPr>
          <w:szCs w:val="22"/>
        </w:rPr>
        <w:t>.</w:t>
      </w:r>
      <w:r w:rsidRPr="004D0AEB">
        <w:rPr>
          <w:rStyle w:val="FootnoteReference"/>
          <w:szCs w:val="22"/>
        </w:rPr>
        <w:footnoteReference w:id="3"/>
      </w:r>
      <w:r w:rsidRPr="004D0AEB">
        <w:rPr>
          <w:szCs w:val="22"/>
        </w:rPr>
        <w:t xml:space="preserve">  Thus, comments must be submitted no later than </w:t>
      </w:r>
      <w:r w:rsidR="004D0AEB" w:rsidRPr="004D0AEB">
        <w:rPr>
          <w:szCs w:val="22"/>
        </w:rPr>
        <w:t>December 1</w:t>
      </w:r>
      <w:r w:rsidR="00264C2F" w:rsidRPr="004D0AEB">
        <w:rPr>
          <w:szCs w:val="22"/>
        </w:rPr>
        <w:t>, 2015</w:t>
      </w:r>
      <w:r w:rsidRPr="004D0AEB">
        <w:rPr>
          <w:szCs w:val="22"/>
        </w:rPr>
        <w:t xml:space="preserve">.  Reply comments must be submitted no later than </w:t>
      </w:r>
      <w:r w:rsidR="004D0AEB" w:rsidRPr="004D0AEB">
        <w:rPr>
          <w:szCs w:val="22"/>
        </w:rPr>
        <w:t>December 31</w:t>
      </w:r>
      <w:r w:rsidRPr="004D0AEB">
        <w:rPr>
          <w:szCs w:val="22"/>
        </w:rPr>
        <w:t>, 201</w:t>
      </w:r>
      <w:r w:rsidR="00264C2F" w:rsidRPr="004D0AEB">
        <w:rPr>
          <w:szCs w:val="22"/>
        </w:rPr>
        <w:t>5</w:t>
      </w:r>
      <w:r w:rsidRPr="004D0AEB">
        <w:rPr>
          <w:szCs w:val="22"/>
        </w:rPr>
        <w:t xml:space="preserve">.  Commenters </w:t>
      </w:r>
      <w:r w:rsidR="00EC4210" w:rsidRPr="004D0AEB">
        <w:rPr>
          <w:szCs w:val="22"/>
        </w:rPr>
        <w:t>must</w:t>
      </w:r>
      <w:r w:rsidRPr="004D0AEB">
        <w:rPr>
          <w:szCs w:val="22"/>
        </w:rPr>
        <w:t xml:space="preserve"> follow the filing inst</w:t>
      </w:r>
      <w:r w:rsidR="0058252A" w:rsidRPr="004D0AEB">
        <w:rPr>
          <w:szCs w:val="22"/>
        </w:rPr>
        <w:t xml:space="preserve">ructions provided in paragraph </w:t>
      </w:r>
      <w:r w:rsidR="00EC4210" w:rsidRPr="004D0AEB">
        <w:rPr>
          <w:szCs w:val="22"/>
        </w:rPr>
        <w:t>24</w:t>
      </w:r>
      <w:r w:rsidRPr="004D0AEB">
        <w:rPr>
          <w:szCs w:val="22"/>
        </w:rPr>
        <w:t xml:space="preserve"> of the </w:t>
      </w:r>
      <w:r w:rsidR="0058252A" w:rsidRPr="004D0AEB">
        <w:rPr>
          <w:i/>
          <w:szCs w:val="22"/>
        </w:rPr>
        <w:t>N</w:t>
      </w:r>
      <w:r w:rsidR="00EC4210" w:rsidRPr="004D0AEB">
        <w:rPr>
          <w:i/>
          <w:szCs w:val="22"/>
        </w:rPr>
        <w:t>PRM</w:t>
      </w:r>
      <w:r w:rsidRPr="004D0AEB">
        <w:rPr>
          <w:szCs w:val="22"/>
        </w:rPr>
        <w:t>.</w:t>
      </w:r>
      <w:r w:rsidRPr="004D0AEB">
        <w:rPr>
          <w:rStyle w:val="FootnoteReference"/>
          <w:szCs w:val="22"/>
        </w:rPr>
        <w:footnoteReference w:id="4"/>
      </w:r>
      <w:r w:rsidRPr="004D0AEB">
        <w:rPr>
          <w:szCs w:val="22"/>
        </w:rPr>
        <w:t xml:space="preserve">  The </w:t>
      </w:r>
      <w:r w:rsidR="000F7404" w:rsidRPr="004D0AEB">
        <w:rPr>
          <w:i/>
          <w:szCs w:val="22"/>
        </w:rPr>
        <w:t>N</w:t>
      </w:r>
      <w:r w:rsidR="00EC4210" w:rsidRPr="004D0AEB">
        <w:rPr>
          <w:i/>
          <w:szCs w:val="22"/>
        </w:rPr>
        <w:t>PRM</w:t>
      </w:r>
      <w:r w:rsidRPr="004D0AEB">
        <w:rPr>
          <w:szCs w:val="22"/>
        </w:rPr>
        <w:t xml:space="preserve"> is also available on the Commission’s website.</w:t>
      </w:r>
      <w:r w:rsidRPr="004D0AEB">
        <w:rPr>
          <w:rStyle w:val="FootnoteReference"/>
          <w:szCs w:val="22"/>
        </w:rPr>
        <w:footnoteReference w:id="5"/>
      </w:r>
    </w:p>
    <w:p w:rsidR="00E9599E" w:rsidRDefault="00E9599E">
      <w:pPr>
        <w:ind w:firstLine="720"/>
        <w:rPr>
          <w:szCs w:val="22"/>
        </w:rPr>
      </w:pPr>
    </w:p>
    <w:p w:rsidR="004B1219" w:rsidRDefault="00E9599E" w:rsidP="00F613FB">
      <w:pPr>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E9599E" w:rsidRDefault="00E9599E">
      <w:pPr>
        <w:rPr>
          <w:szCs w:val="22"/>
        </w:rPr>
      </w:pPr>
    </w:p>
    <w:p w:rsidR="00E9599E" w:rsidRDefault="00E9599E">
      <w:pPr>
        <w:ind w:firstLine="720"/>
        <w:rPr>
          <w:szCs w:val="22"/>
        </w:rPr>
      </w:pPr>
      <w:r>
        <w:rPr>
          <w:szCs w:val="22"/>
        </w:rPr>
        <w:lastRenderedPageBreak/>
        <w:t xml:space="preserve">For further information </w:t>
      </w:r>
      <w:r w:rsidR="00E37390">
        <w:rPr>
          <w:szCs w:val="22"/>
        </w:rPr>
        <w:t>about</w:t>
      </w:r>
      <w:r>
        <w:rPr>
          <w:szCs w:val="22"/>
        </w:rPr>
        <w:t xml:space="preserve"> this proceeding, contact </w:t>
      </w:r>
      <w:r w:rsidR="00EC4210">
        <w:rPr>
          <w:szCs w:val="22"/>
        </w:rPr>
        <w:t xml:space="preserve">Diana Sokolow or </w:t>
      </w:r>
      <w:r w:rsidR="00BC002B">
        <w:rPr>
          <w:szCs w:val="22"/>
        </w:rPr>
        <w:t>Raelynn Remy</w:t>
      </w:r>
      <w:r>
        <w:rPr>
          <w:szCs w:val="22"/>
        </w:rPr>
        <w:t>, Policy Divi</w:t>
      </w:r>
      <w:r w:rsidR="00BC002B">
        <w:rPr>
          <w:szCs w:val="22"/>
        </w:rPr>
        <w:t>sion, Media Bureau, 202-418-2</w:t>
      </w:r>
      <w:r w:rsidR="00EC4210">
        <w:rPr>
          <w:szCs w:val="22"/>
        </w:rPr>
        <w:t>120</w:t>
      </w:r>
      <w:r>
        <w:rPr>
          <w:szCs w:val="22"/>
        </w:rPr>
        <w:t>.</w:t>
      </w:r>
    </w:p>
    <w:p w:rsidR="00E9599E" w:rsidRDefault="00E9599E">
      <w:pPr>
        <w:spacing w:before="60"/>
        <w:rPr>
          <w:szCs w:val="22"/>
        </w:rPr>
      </w:pPr>
    </w:p>
    <w:p w:rsidR="00E9599E" w:rsidRDefault="00E9599E">
      <w:pPr>
        <w:spacing w:before="60"/>
        <w:jc w:val="center"/>
        <w:rPr>
          <w:szCs w:val="22"/>
        </w:rPr>
      </w:pPr>
      <w:r>
        <w:rPr>
          <w:szCs w:val="22"/>
        </w:rPr>
        <w:t>-FCC-</w:t>
      </w:r>
    </w:p>
    <w:sectPr w:rsidR="00E9599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15" w:rsidRDefault="00FF2515">
      <w:r>
        <w:separator/>
      </w:r>
    </w:p>
  </w:endnote>
  <w:endnote w:type="continuationSeparator" w:id="0">
    <w:p w:rsidR="00FF2515" w:rsidRDefault="00FF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9E" w:rsidRDefault="00E95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0501">
      <w:rPr>
        <w:rStyle w:val="PageNumber"/>
        <w:noProof/>
      </w:rPr>
      <w:t>2</w:t>
    </w:r>
    <w:r>
      <w:rPr>
        <w:rStyle w:val="PageNumber"/>
      </w:rPr>
      <w:fldChar w:fldCharType="end"/>
    </w:r>
  </w:p>
  <w:p w:rsidR="00E9599E" w:rsidRDefault="00E95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9E" w:rsidRDefault="00E95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0551">
      <w:rPr>
        <w:rStyle w:val="PageNumber"/>
        <w:noProof/>
      </w:rPr>
      <w:t>2</w:t>
    </w:r>
    <w:r>
      <w:rPr>
        <w:rStyle w:val="PageNumber"/>
      </w:rPr>
      <w:fldChar w:fldCharType="end"/>
    </w:r>
  </w:p>
  <w:p w:rsidR="00E9599E" w:rsidRDefault="00E959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01" w:rsidRDefault="00640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15" w:rsidRDefault="00FF2515">
      <w:r>
        <w:separator/>
      </w:r>
    </w:p>
  </w:footnote>
  <w:footnote w:type="continuationSeparator" w:id="0">
    <w:p w:rsidR="00FF2515" w:rsidRDefault="00FF2515">
      <w:r>
        <w:continuationSeparator/>
      </w:r>
    </w:p>
  </w:footnote>
  <w:footnote w:id="1">
    <w:p w:rsidR="00EC4210" w:rsidRPr="0019134A" w:rsidRDefault="00EC4210" w:rsidP="00EC4210">
      <w:pPr>
        <w:pStyle w:val="FootnoteText"/>
        <w:rPr>
          <w:sz w:val="20"/>
        </w:rPr>
      </w:pPr>
      <w:r w:rsidRPr="0019134A">
        <w:rPr>
          <w:rStyle w:val="FootnoteReference"/>
          <w:sz w:val="20"/>
        </w:rPr>
        <w:footnoteRef/>
      </w:r>
      <w:r w:rsidRPr="0019134A">
        <w:rPr>
          <w:sz w:val="20"/>
        </w:rPr>
        <w:t xml:space="preserve"> </w:t>
      </w:r>
      <w:r w:rsidRPr="00986D3E">
        <w:rPr>
          <w:i/>
          <w:sz w:val="20"/>
        </w:rPr>
        <w:t>See Implementation of Section 103 of the STELA Reauthorization Act of 2014, Totality of the Circumstances Test</w:t>
      </w:r>
      <w:r w:rsidRPr="008C20B6">
        <w:rPr>
          <w:sz w:val="20"/>
        </w:rPr>
        <w:t xml:space="preserve">, </w:t>
      </w:r>
      <w:r>
        <w:rPr>
          <w:sz w:val="20"/>
        </w:rPr>
        <w:t xml:space="preserve">MB Docket No. 15-216, </w:t>
      </w:r>
      <w:r w:rsidRPr="008C20B6">
        <w:rPr>
          <w:sz w:val="20"/>
        </w:rPr>
        <w:t>Notice of Proposed Rulemaking,</w:t>
      </w:r>
      <w:r w:rsidRPr="00AF432C">
        <w:rPr>
          <w:sz w:val="20"/>
        </w:rPr>
        <w:t xml:space="preserve"> </w:t>
      </w:r>
      <w:r>
        <w:rPr>
          <w:sz w:val="20"/>
        </w:rPr>
        <w:t>FCC 15-109 (rel. Sept. 2, 2015) (“</w:t>
      </w:r>
      <w:r>
        <w:rPr>
          <w:i/>
          <w:sz w:val="20"/>
        </w:rPr>
        <w:t>NPRM</w:t>
      </w:r>
      <w:r>
        <w:rPr>
          <w:sz w:val="20"/>
        </w:rPr>
        <w:t>”)</w:t>
      </w:r>
      <w:r w:rsidRPr="0019134A">
        <w:rPr>
          <w:sz w:val="20"/>
        </w:rPr>
        <w:t>.</w:t>
      </w:r>
    </w:p>
  </w:footnote>
  <w:footnote w:id="2">
    <w:p w:rsidR="006F52CC" w:rsidRPr="0019134A" w:rsidRDefault="006F52CC">
      <w:pPr>
        <w:pStyle w:val="FootnoteText"/>
        <w:rPr>
          <w:sz w:val="20"/>
        </w:rPr>
      </w:pPr>
      <w:r w:rsidRPr="0019134A">
        <w:rPr>
          <w:rStyle w:val="FootnoteReference"/>
          <w:sz w:val="20"/>
        </w:rPr>
        <w:footnoteRef/>
      </w:r>
      <w:r w:rsidRPr="0019134A">
        <w:rPr>
          <w:sz w:val="20"/>
        </w:rPr>
        <w:t xml:space="preserve"> </w:t>
      </w:r>
      <w:r w:rsidR="00F92717" w:rsidRPr="0019134A">
        <w:rPr>
          <w:i/>
          <w:sz w:val="20"/>
        </w:rPr>
        <w:t>See N</w:t>
      </w:r>
      <w:r w:rsidR="00EC4210">
        <w:rPr>
          <w:i/>
          <w:sz w:val="20"/>
        </w:rPr>
        <w:t>PRM</w:t>
      </w:r>
      <w:r w:rsidR="00F92717" w:rsidRPr="0019134A">
        <w:rPr>
          <w:i/>
          <w:sz w:val="20"/>
        </w:rPr>
        <w:t xml:space="preserve"> </w:t>
      </w:r>
      <w:r w:rsidR="00F92717" w:rsidRPr="0019134A">
        <w:rPr>
          <w:sz w:val="20"/>
        </w:rPr>
        <w:t>at 1.</w:t>
      </w:r>
    </w:p>
  </w:footnote>
  <w:footnote w:id="3">
    <w:p w:rsidR="00E9599E" w:rsidRPr="0019134A" w:rsidRDefault="00E9599E">
      <w:pPr>
        <w:pStyle w:val="FootnoteText"/>
        <w:rPr>
          <w:sz w:val="20"/>
        </w:rPr>
      </w:pPr>
      <w:r w:rsidRPr="0019134A">
        <w:rPr>
          <w:rStyle w:val="FootnoteReference"/>
          <w:sz w:val="20"/>
        </w:rPr>
        <w:footnoteRef/>
      </w:r>
      <w:r w:rsidRPr="0019134A">
        <w:rPr>
          <w:sz w:val="20"/>
        </w:rPr>
        <w:t xml:space="preserve"> </w:t>
      </w:r>
      <w:r w:rsidR="009D448B" w:rsidRPr="0019134A">
        <w:rPr>
          <w:i/>
          <w:sz w:val="20"/>
        </w:rPr>
        <w:t xml:space="preserve">See </w:t>
      </w:r>
      <w:hyperlink r:id="rId1" w:history="1">
        <w:r w:rsidR="004D0AEB" w:rsidRPr="004D0AEB">
          <w:rPr>
            <w:rStyle w:val="Hyperlink"/>
            <w:i/>
            <w:sz w:val="20"/>
          </w:rPr>
          <w:t>https://www.federalregister.gov/articles/2015/10/02/2015-24843/implementation-of-section-103-of-the-stela-reauthorization-act-of-2014-totality-of-the-circumstances</w:t>
        </w:r>
      </w:hyperlink>
      <w:r w:rsidR="004D0AEB" w:rsidRPr="004D0AEB">
        <w:rPr>
          <w:sz w:val="20"/>
        </w:rPr>
        <w:t xml:space="preserve">. </w:t>
      </w:r>
      <w:r w:rsidR="009D448B" w:rsidRPr="0019134A">
        <w:rPr>
          <w:sz w:val="20"/>
        </w:rPr>
        <w:t xml:space="preserve"> </w:t>
      </w:r>
    </w:p>
  </w:footnote>
  <w:footnote w:id="4">
    <w:p w:rsidR="00E9599E" w:rsidRPr="0019134A" w:rsidRDefault="00E9599E">
      <w:pPr>
        <w:pStyle w:val="FootnoteText"/>
        <w:rPr>
          <w:sz w:val="20"/>
        </w:rPr>
      </w:pPr>
      <w:r w:rsidRPr="0019134A">
        <w:rPr>
          <w:rStyle w:val="FootnoteReference"/>
          <w:sz w:val="20"/>
        </w:rPr>
        <w:footnoteRef/>
      </w:r>
      <w:r w:rsidRPr="0019134A">
        <w:rPr>
          <w:sz w:val="20"/>
        </w:rPr>
        <w:t xml:space="preserve"> </w:t>
      </w:r>
      <w:r w:rsidRPr="0019134A">
        <w:rPr>
          <w:i/>
          <w:sz w:val="20"/>
        </w:rPr>
        <w:t xml:space="preserve">See </w:t>
      </w:r>
      <w:r w:rsidR="00EC4210">
        <w:rPr>
          <w:i/>
          <w:sz w:val="20"/>
        </w:rPr>
        <w:t>NPRM</w:t>
      </w:r>
      <w:r w:rsidRPr="0019134A">
        <w:rPr>
          <w:i/>
          <w:sz w:val="20"/>
        </w:rPr>
        <w:t xml:space="preserve"> </w:t>
      </w:r>
      <w:r w:rsidRPr="0019134A">
        <w:rPr>
          <w:sz w:val="20"/>
        </w:rPr>
        <w:t xml:space="preserve">at ¶ </w:t>
      </w:r>
      <w:r w:rsidR="00EC4210">
        <w:rPr>
          <w:sz w:val="20"/>
        </w:rPr>
        <w:t>24</w:t>
      </w:r>
      <w:r w:rsidRPr="0019134A">
        <w:rPr>
          <w:sz w:val="20"/>
        </w:rPr>
        <w:t xml:space="preserve">.  </w:t>
      </w:r>
    </w:p>
  </w:footnote>
  <w:footnote w:id="5">
    <w:p w:rsidR="00E9599E" w:rsidRPr="0019134A" w:rsidRDefault="00E9599E" w:rsidP="0019134A">
      <w:pPr>
        <w:rPr>
          <w:b/>
          <w:sz w:val="24"/>
          <w:szCs w:val="24"/>
        </w:rPr>
      </w:pPr>
      <w:r w:rsidRPr="0019134A">
        <w:rPr>
          <w:rStyle w:val="FootnoteReference"/>
          <w:sz w:val="20"/>
        </w:rPr>
        <w:footnoteRef/>
      </w:r>
      <w:r w:rsidRPr="0019134A">
        <w:rPr>
          <w:sz w:val="20"/>
        </w:rPr>
        <w:t xml:space="preserve"> </w:t>
      </w:r>
      <w:r w:rsidRPr="0019134A">
        <w:rPr>
          <w:i/>
          <w:sz w:val="20"/>
        </w:rPr>
        <w:t>See</w:t>
      </w:r>
      <w:r w:rsidRPr="0019134A">
        <w:rPr>
          <w:sz w:val="20"/>
        </w:rPr>
        <w:t xml:space="preserve"> </w:t>
      </w:r>
      <w:hyperlink r:id="rId2" w:history="1">
        <w:r w:rsidR="000D6F9A" w:rsidRPr="008D6D33">
          <w:rPr>
            <w:rStyle w:val="Hyperlink"/>
            <w:sz w:val="20"/>
          </w:rPr>
          <w:t>https://apps.fcc.gov/edocs_public/attachmatch/FCC-15-109A1.doc</w:t>
        </w:r>
      </w:hyperlink>
      <w:r w:rsidR="000F7404" w:rsidRPr="0019134A">
        <w:rPr>
          <w:sz w:val="20"/>
        </w:rPr>
        <w:t>.</w:t>
      </w:r>
      <w:r w:rsidR="000D6F9A">
        <w:rPr>
          <w:sz w:val="20"/>
        </w:rPr>
        <w:t xml:space="preserve"> </w:t>
      </w:r>
      <w:r w:rsidR="000F7404" w:rsidRPr="005061BD">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01" w:rsidRDefault="00640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01" w:rsidRDefault="006405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9E" w:rsidRDefault="00B23DF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AA8559A" wp14:editId="26E8ECFB">
          <wp:simplePos x="0" y="0"/>
          <wp:positionH relativeFrom="column">
            <wp:posOffset>30480</wp:posOffset>
          </wp:positionH>
          <wp:positionV relativeFrom="paragraph">
            <wp:posOffset>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99E">
      <w:rPr>
        <w:rFonts w:ascii="News Gothic MT" w:hAnsi="News Gothic MT"/>
        <w:b/>
        <w:kern w:val="28"/>
        <w:sz w:val="96"/>
      </w:rPr>
      <w:t>PUBLIC NOTICE</w:t>
    </w:r>
  </w:p>
  <w:p w:rsidR="00E9599E" w:rsidRDefault="00B23DFE">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50D83293" wp14:editId="1118FFA1">
              <wp:simplePos x="0" y="0"/>
              <wp:positionH relativeFrom="column">
                <wp:posOffset>3137535</wp:posOffset>
              </wp:positionH>
              <wp:positionV relativeFrom="paragraph">
                <wp:posOffset>76200</wp:posOffset>
              </wp:positionV>
              <wp:extent cx="3429000" cy="548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99E" w:rsidRDefault="00E9599E">
                          <w:pPr>
                            <w:spacing w:before="40"/>
                            <w:jc w:val="right"/>
                            <w:rPr>
                              <w:rFonts w:ascii="Arial" w:hAnsi="Arial"/>
                              <w:b/>
                              <w:sz w:val="16"/>
                            </w:rPr>
                          </w:pPr>
                          <w:r>
                            <w:rPr>
                              <w:rFonts w:ascii="Arial" w:hAnsi="Arial"/>
                              <w:b/>
                              <w:sz w:val="16"/>
                            </w:rPr>
                            <w:t>News Media Information 202 / 418-0500</w:t>
                          </w:r>
                        </w:p>
                        <w:p w:rsidR="00E9599E" w:rsidRDefault="00E9599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9599E" w:rsidRDefault="00E9599E">
                          <w:pPr>
                            <w:jc w:val="right"/>
                            <w:rPr>
                              <w:rFonts w:ascii="Arial" w:hAnsi="Arial"/>
                              <w:b/>
                              <w:sz w:val="16"/>
                            </w:rPr>
                          </w:pPr>
                          <w:r>
                            <w:rPr>
                              <w:rFonts w:ascii="Arial" w:hAnsi="Arial"/>
                              <w:b/>
                              <w:sz w:val="16"/>
                            </w:rPr>
                            <w:t>TTY: 1-888-835-5322</w:t>
                          </w:r>
                        </w:p>
                        <w:p w:rsidR="00E9599E" w:rsidRDefault="00E9599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7.05pt;margin-top:6pt;width:270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sqgwIAAAcFAAAOAAAAZHJzL2Uyb0RvYy54bWysVNuO2yAQfa/Uf0C8Z21nnWxsrbPaS1NV&#10;2l6k3X4AARyj2gwFEnu76r93wEn2UlWqqvoBwzAcZuac4fxi6Fqyk9Yp0BXNTlJKpOYglN5U9Ov9&#10;arKgxHmmBWtBy4o+SEcvlm/fnPemlFNooBXSEgTRruxNRRvvTZkkjjeyY+4EjNS4WYPtmMel3STC&#10;sh7RuzaZpuk86cEKY4FL59B6M27SZcSva8n957p20pO2ohibj6ON4zqMyfKclRvLTKP4Pgz2D1F0&#10;TGm89Ah1wzwjW6t+g+oUt+Cg9iccugTqWnEZc8BssvRVNncNMzLmgsVx5lgm9/9g+afdF0uUqOgp&#10;JZp1SNG9HDy5goGchur0xpXodGfQzQ9oRpZjps7cAv/miIbrhumNvLQW+kYygdFl4WTy7OiI4wLI&#10;uv8IAq9hWw8RaKhtF0qHxSCIjiw9HJkJoXA0nubTIk1xi+PeLF/M80hdwsrDaWOdfy+hI2FSUYvM&#10;R3S2u3U+RMPKg0u4zEGrxEq1bVzYzfq6tWTHUCWr+MUEXrm1OjhrCMdGxNGCQeIdYS+EG1l/LLJp&#10;nl5Ni8lqvjib5Kt8NinO0sUkzYqrYp7mRX6z+hkCzPKyUUJIfau0PCgwy/+O4X0vjNqJGiR9RYvZ&#10;dDZS9McksZahnGMWL2rRKY8N2aquooujEysDse+0wAOs9Ey14zx5GX6sMtbg8I9ViTIIzI8a8MN6&#10;QJSgjTWIBxSEBeQLqcVXBCcN2B+U9NiRFXXft8xKStoPGkVVZDmyTnxc4MQ+t64PVqY5QlTUUzJO&#10;r/3Y7ltj1abBG0b5arhEAdYqauMpmr1ssdtiEvuXIbTz83X0enq/lr8AAAD//wMAUEsDBBQABgAI&#10;AAAAIQDq/X7Z3gAAAAoBAAAPAAAAZHJzL2Rvd25yZXYueG1sTI/BTsMwEETvSPyDtUjcqNMQoTbE&#10;qVAFB06IlktvTrxN0sbryHbb0K9nc6LHnXmanSlWo+3FGX3oHCmYzxIQSLUzHTUKfrYfTwsQIWoy&#10;uneECn4xwKq8vyt0btyFvvG8iY3gEAq5VtDGOORShrpFq8PMDUjs7Z23OvLpG2m8vnC47WWaJC/S&#10;6o74Q6sHXLdYHzcnq+Bz57/edyG5urSK60N9dNurzJR6fBjfXkFEHOM/DFN9rg4ld6rciUwQvYJs&#10;mc0ZZSPlTROQPE9KpWC5yECWhbydUP4BAAD//wMAUEsBAi0AFAAGAAgAAAAhALaDOJL+AAAA4QEA&#10;ABMAAAAAAAAAAAAAAAAAAAAAAFtDb250ZW50X1R5cGVzXS54bWxQSwECLQAUAAYACAAAACEAOP0h&#10;/9YAAACUAQAACwAAAAAAAAAAAAAAAAAvAQAAX3JlbHMvLnJlbHNQSwECLQAUAAYACAAAACEAGNG7&#10;KoMCAAAHBQAADgAAAAAAAAAAAAAAAAAuAgAAZHJzL2Uyb0RvYy54bWxQSwECLQAUAAYACAAAACEA&#10;6v1+2d4AAAAKAQAADwAAAAAAAAAAAAAAAADdBAAAZHJzL2Rvd25yZXYueG1sUEsFBgAAAAAEAAQA&#10;8wAAAOgFAAAAAA==&#10;" stroked="f">
              <v:textbox inset=",0,,0">
                <w:txbxContent>
                  <w:p w:rsidR="00E9599E" w:rsidRDefault="00E9599E">
                    <w:pPr>
                      <w:spacing w:before="40"/>
                      <w:jc w:val="right"/>
                      <w:rPr>
                        <w:rFonts w:ascii="Arial" w:hAnsi="Arial"/>
                        <w:b/>
                        <w:sz w:val="16"/>
                      </w:rPr>
                    </w:pPr>
                    <w:r>
                      <w:rPr>
                        <w:rFonts w:ascii="Arial" w:hAnsi="Arial"/>
                        <w:b/>
                        <w:sz w:val="16"/>
                      </w:rPr>
                      <w:t>News Media Information 202 / 418-0500</w:t>
                    </w:r>
                  </w:p>
                  <w:p w:rsidR="00E9599E" w:rsidRDefault="00E9599E">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E9599E" w:rsidRDefault="00E9599E">
                    <w:pPr>
                      <w:jc w:val="right"/>
                      <w:rPr>
                        <w:rFonts w:ascii="Arial" w:hAnsi="Arial"/>
                        <w:b/>
                        <w:sz w:val="16"/>
                      </w:rPr>
                    </w:pPr>
                    <w:r>
                      <w:rPr>
                        <w:rFonts w:ascii="Arial" w:hAnsi="Arial"/>
                        <w:b/>
                        <w:sz w:val="16"/>
                      </w:rPr>
                      <w:t>TTY: 1-888-835-5322</w:t>
                    </w:r>
                  </w:p>
                  <w:p w:rsidR="00E9599E" w:rsidRDefault="00E9599E">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1" allowOverlap="1" wp14:anchorId="07138F3F" wp14:editId="146B0981">
              <wp:simplePos x="0" y="0"/>
              <wp:positionH relativeFrom="column">
                <wp:posOffset>51435</wp:posOffset>
              </wp:positionH>
              <wp:positionV relativeFrom="paragraph">
                <wp:posOffset>76200</wp:posOffset>
              </wp:positionV>
              <wp:extent cx="3108960" cy="640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99E" w:rsidRDefault="00E9599E">
                          <w:pPr>
                            <w:rPr>
                              <w:rFonts w:ascii="Arial" w:hAnsi="Arial"/>
                              <w:b/>
                            </w:rPr>
                          </w:pPr>
                          <w:r>
                            <w:rPr>
                              <w:rFonts w:ascii="Arial" w:hAnsi="Arial"/>
                              <w:b/>
                            </w:rPr>
                            <w:t>Federal Communications Commission</w:t>
                          </w:r>
                        </w:p>
                        <w:p w:rsidR="00E9599E" w:rsidRDefault="00E9599E">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E9599E" w:rsidRDefault="00E9599E">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05pt;margin-top: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AQ29xA3AAAAAgBAAAPAAAAZHJzL2Rvd25yZXYueG1sTI9BT4NAEIXvJv6HzZh4MXaB&#10;1EKRpVETjdfW/oABpkBkZwm7LfTfO570OO+9vPlesVvsoC40+d6xgXgVgSKuXdNza+D49f6YgfIB&#10;ucHBMRm4koddeXtTYN64mfd0OYRWSQn7HA10IYy51r7uyKJfuZFYvJObLAY5p1Y3E85SbgedRNFG&#10;W+xZPnQ40ltH9ffhbA2cPueHp+1cfYRjul9vXrFPK3c15v5ueXkGFWgJf2H4xRd0KIWpcmduvBoM&#10;ZLEERU5kkdjrbZqCqkSIkwx0Wej/A8ofAAAA//8DAFBLAQItABQABgAIAAAAIQC2gziS/gAAAOEB&#10;AAATAAAAAAAAAAAAAAAAAAAAAABbQ29udGVudF9UeXBlc10ueG1sUEsBAi0AFAAGAAgAAAAhADj9&#10;If/WAAAAlAEAAAsAAAAAAAAAAAAAAAAALwEAAF9yZWxzLy5yZWxzUEsBAi0AFAAGAAgAAAAhAKUo&#10;aYGGAgAAFgUAAA4AAAAAAAAAAAAAAAAALgIAAGRycy9lMm9Eb2MueG1sUEsBAi0AFAAGAAgAAAAh&#10;ABDb3EDcAAAACAEAAA8AAAAAAAAAAAAAAAAA4AQAAGRycy9kb3ducmV2LnhtbFBLBQYAAAAABAAE&#10;APMAAADpBQAAAAA=&#10;" stroked="f">
              <v:textbox>
                <w:txbxContent>
                  <w:p w:rsidR="00E9599E" w:rsidRDefault="00E9599E">
                    <w:pPr>
                      <w:rPr>
                        <w:rFonts w:ascii="Arial" w:hAnsi="Arial"/>
                        <w:b/>
                      </w:rPr>
                    </w:pPr>
                    <w:r>
                      <w:rPr>
                        <w:rFonts w:ascii="Arial" w:hAnsi="Arial"/>
                        <w:b/>
                      </w:rPr>
                      <w:t>Federal Communications Commission</w:t>
                    </w:r>
                  </w:p>
                  <w:p w:rsidR="00E9599E" w:rsidRDefault="00E9599E">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E9599E" w:rsidRDefault="00E9599E">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69585461" wp14:editId="7CAA081E">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FB7F8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E9599E" w:rsidRDefault="00E9599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25"/>
    <w:rsid w:val="000628D8"/>
    <w:rsid w:val="000C6227"/>
    <w:rsid w:val="000D68D8"/>
    <w:rsid w:val="000D6F9A"/>
    <w:rsid w:val="000F7404"/>
    <w:rsid w:val="00137F26"/>
    <w:rsid w:val="001517B9"/>
    <w:rsid w:val="00176505"/>
    <w:rsid w:val="001775AB"/>
    <w:rsid w:val="00187041"/>
    <w:rsid w:val="0019134A"/>
    <w:rsid w:val="001E6791"/>
    <w:rsid w:val="00260E78"/>
    <w:rsid w:val="00264C2F"/>
    <w:rsid w:val="00310D0D"/>
    <w:rsid w:val="00327BB0"/>
    <w:rsid w:val="003539A2"/>
    <w:rsid w:val="00386A05"/>
    <w:rsid w:val="00491698"/>
    <w:rsid w:val="004B1219"/>
    <w:rsid w:val="004D0AEB"/>
    <w:rsid w:val="005061BD"/>
    <w:rsid w:val="0058252A"/>
    <w:rsid w:val="00590972"/>
    <w:rsid w:val="005931B5"/>
    <w:rsid w:val="005E37D8"/>
    <w:rsid w:val="00640501"/>
    <w:rsid w:val="00696876"/>
    <w:rsid w:val="006E0B9E"/>
    <w:rsid w:val="006F3949"/>
    <w:rsid w:val="006F52CC"/>
    <w:rsid w:val="00771F25"/>
    <w:rsid w:val="00862665"/>
    <w:rsid w:val="008C20B6"/>
    <w:rsid w:val="0092704E"/>
    <w:rsid w:val="00986D3E"/>
    <w:rsid w:val="009D448B"/>
    <w:rsid w:val="00A10FD5"/>
    <w:rsid w:val="00A55C20"/>
    <w:rsid w:val="00AA0512"/>
    <w:rsid w:val="00AF432C"/>
    <w:rsid w:val="00B23DFE"/>
    <w:rsid w:val="00B554A4"/>
    <w:rsid w:val="00BA1563"/>
    <w:rsid w:val="00BC002B"/>
    <w:rsid w:val="00C95FFB"/>
    <w:rsid w:val="00CA0551"/>
    <w:rsid w:val="00E37390"/>
    <w:rsid w:val="00E52A33"/>
    <w:rsid w:val="00E64A44"/>
    <w:rsid w:val="00E9599E"/>
    <w:rsid w:val="00EC4210"/>
    <w:rsid w:val="00F613FB"/>
    <w:rsid w:val="00F92717"/>
    <w:rsid w:val="00FF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o,fr,Style 3,Style 13,FR,Style 17,Style 6,Footnote Reference/,Style 4,Style 7"/>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character" w:customStyle="1" w:styleId="searchterm3">
    <w:name w:val="searchterm3"/>
    <w:rPr>
      <w:b/>
      <w:bCs/>
      <w:shd w:val="clear" w:color="auto" w:fill="FFFF00"/>
    </w:rPr>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locke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o,fr,Style 3,Style 13,FR,Style 17,Style 6,Footnote Reference/,Style 4,Style 7"/>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character" w:customStyle="1" w:styleId="searchterm3">
    <w:name w:val="searchterm3"/>
    <w:rPr>
      <w:b/>
      <w:bCs/>
      <w:shd w:val="clear" w:color="auto" w:fill="FFFF00"/>
    </w:rPr>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locke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604">
      <w:bodyDiv w:val="1"/>
      <w:marLeft w:val="0"/>
      <w:marRight w:val="0"/>
      <w:marTop w:val="0"/>
      <w:marBottom w:val="0"/>
      <w:divBdr>
        <w:top w:val="none" w:sz="0" w:space="0" w:color="auto"/>
        <w:left w:val="none" w:sz="0" w:space="0" w:color="auto"/>
        <w:bottom w:val="none" w:sz="0" w:space="0" w:color="auto"/>
        <w:right w:val="none" w:sz="0" w:space="0" w:color="auto"/>
      </w:divBdr>
    </w:div>
    <w:div w:id="9890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pps.fcc.gov/edocs_public/attachmatch/FCC-15-109A1.doc" TargetMode="External"/><Relationship Id="rId1" Type="http://schemas.openxmlformats.org/officeDocument/2006/relationships/hyperlink" Target="https://www.federalregister.gov/articles/2015/10/02/2015-24843/implementation-of-section-103-of-the-stela-reauthorization-act-of-2014-totality-of-the-circumstan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1619</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1904</CharactersWithSpaces>
  <SharedDoc>false</SharedDoc>
  <HyperlinkBase> </HyperlinkBase>
  <HLinks>
    <vt:vector size="12" baseType="variant">
      <vt:variant>
        <vt:i4>6946881</vt:i4>
      </vt:variant>
      <vt:variant>
        <vt:i4>3</vt:i4>
      </vt:variant>
      <vt:variant>
        <vt:i4>0</vt:i4>
      </vt:variant>
      <vt:variant>
        <vt:i4>5</vt:i4>
      </vt:variant>
      <vt:variant>
        <vt:lpwstr>https://apps.fcc.gov/edocs_public/attachmatch/FCC-15-29A1.docx</vt:lpwstr>
      </vt:variant>
      <vt:variant>
        <vt:lpwstr/>
      </vt:variant>
      <vt:variant>
        <vt:i4>2621483</vt:i4>
      </vt:variant>
      <vt:variant>
        <vt:i4>0</vt:i4>
      </vt:variant>
      <vt:variant>
        <vt:i4>0</vt:i4>
      </vt:variant>
      <vt:variant>
        <vt:i4>5</vt:i4>
      </vt:variant>
      <vt:variant>
        <vt:lpwstr>https://www.federalregister.gov/articles/2015/03/27/2015-06943/carriage-of-digital-television-broadcast-signals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2009-02-27T13:25:00Z</cp:lastPrinted>
  <dcterms:created xsi:type="dcterms:W3CDTF">2015-10-02T18:32:00Z</dcterms:created>
  <dcterms:modified xsi:type="dcterms:W3CDTF">2015-10-02T18:32:00Z</dcterms:modified>
  <cp:category> </cp:category>
  <cp:contentStatus> </cp:contentStatus>
</cp:coreProperties>
</file>