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E160B5">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E160B5">
      <w:pPr>
        <w:pStyle w:val="StyleBoldCentered"/>
        <w:widowControl/>
      </w:pPr>
      <w:r>
        <w:t>F</w:t>
      </w:r>
      <w:r>
        <w:rPr>
          <w:caps w:val="0"/>
        </w:rPr>
        <w:t>ederal Communications Commission</w:t>
      </w:r>
    </w:p>
    <w:p w:rsidR="004C2EE3" w:rsidRDefault="00810B6F" w:rsidP="00E160B5">
      <w:pPr>
        <w:pStyle w:val="StyleBoldCentered"/>
        <w:widowControl/>
      </w:pPr>
      <w:r>
        <w:rPr>
          <w:caps w:val="0"/>
        </w:rPr>
        <w:t>Washington, D.C. 20554</w:t>
      </w:r>
    </w:p>
    <w:p w:rsidR="004C2EE3" w:rsidRDefault="004C2EE3" w:rsidP="00E160B5">
      <w:pPr>
        <w:widowControl/>
      </w:pPr>
    </w:p>
    <w:p w:rsidR="004C2EE3" w:rsidRDefault="004C2EE3" w:rsidP="00E160B5">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E160B5">
            <w:pPr>
              <w:widowControl/>
              <w:tabs>
                <w:tab w:val="center" w:pos="4680"/>
              </w:tabs>
              <w:suppressAutoHyphens/>
              <w:rPr>
                <w:spacing w:val="-2"/>
              </w:rPr>
            </w:pPr>
            <w:r>
              <w:rPr>
                <w:spacing w:val="-2"/>
              </w:rPr>
              <w:t>In the Matter of</w:t>
            </w:r>
          </w:p>
          <w:p w:rsidR="004C2EE3" w:rsidRDefault="004C2EE3" w:rsidP="00E160B5">
            <w:pPr>
              <w:widowControl/>
              <w:tabs>
                <w:tab w:val="center" w:pos="4680"/>
              </w:tabs>
              <w:suppressAutoHyphens/>
              <w:rPr>
                <w:spacing w:val="-2"/>
              </w:rPr>
            </w:pPr>
          </w:p>
          <w:p w:rsidR="002E27B5" w:rsidRPr="002E27B5" w:rsidRDefault="00B34D71" w:rsidP="00E160B5">
            <w:pPr>
              <w:widowControl/>
              <w:tabs>
                <w:tab w:val="center" w:pos="4680"/>
              </w:tabs>
              <w:suppressAutoHyphens/>
              <w:rPr>
                <w:spacing w:val="-2"/>
              </w:rPr>
            </w:pPr>
            <w:r>
              <w:rPr>
                <w:spacing w:val="-2"/>
              </w:rPr>
              <w:t>NORTH CAROLINA STATE HIGHWAY PATROL</w:t>
            </w:r>
            <w:r w:rsidR="002E27B5" w:rsidRPr="002E27B5">
              <w:rPr>
                <w:spacing w:val="-2"/>
              </w:rPr>
              <w:t xml:space="preserve"> </w:t>
            </w:r>
          </w:p>
          <w:p w:rsidR="002E27B5" w:rsidRPr="002E27B5" w:rsidRDefault="002E27B5" w:rsidP="00E160B5">
            <w:pPr>
              <w:widowControl/>
              <w:tabs>
                <w:tab w:val="center" w:pos="4680"/>
              </w:tabs>
              <w:suppressAutoHyphens/>
              <w:rPr>
                <w:spacing w:val="-2"/>
              </w:rPr>
            </w:pPr>
          </w:p>
          <w:p w:rsidR="004C2EE3" w:rsidRPr="007115F7" w:rsidRDefault="002E27B5" w:rsidP="00E160B5">
            <w:pPr>
              <w:widowControl/>
              <w:tabs>
                <w:tab w:val="center" w:pos="4680"/>
              </w:tabs>
              <w:suppressAutoHyphens/>
              <w:rPr>
                <w:spacing w:val="-2"/>
              </w:rPr>
            </w:pPr>
            <w:r w:rsidRPr="002E27B5">
              <w:rPr>
                <w:spacing w:val="-2"/>
              </w:rPr>
              <w:t xml:space="preserve">Request for Waiver </w:t>
            </w:r>
            <w:r w:rsidR="00C13BF2">
              <w:rPr>
                <w:spacing w:val="-2"/>
              </w:rPr>
              <w:t>for Early Access to Expansion Band Channels</w:t>
            </w:r>
          </w:p>
        </w:tc>
        <w:tc>
          <w:tcPr>
            <w:tcW w:w="630" w:type="dxa"/>
          </w:tcPr>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b/>
                <w:spacing w:val="-2"/>
              </w:rPr>
            </w:pPr>
            <w:r>
              <w:rPr>
                <w:b/>
                <w:spacing w:val="-2"/>
              </w:rPr>
              <w:t>)</w:t>
            </w:r>
          </w:p>
          <w:p w:rsidR="004C2EE3" w:rsidRDefault="004C2EE3" w:rsidP="00E160B5">
            <w:pPr>
              <w:widowControl/>
              <w:tabs>
                <w:tab w:val="center" w:pos="4680"/>
              </w:tabs>
              <w:suppressAutoHyphens/>
              <w:rPr>
                <w:spacing w:val="-2"/>
              </w:rPr>
            </w:pPr>
            <w:r>
              <w:rPr>
                <w:b/>
                <w:spacing w:val="-2"/>
              </w:rPr>
              <w:t>)</w:t>
            </w:r>
          </w:p>
        </w:tc>
        <w:tc>
          <w:tcPr>
            <w:tcW w:w="4248" w:type="dxa"/>
          </w:tcPr>
          <w:p w:rsidR="004C2EE3" w:rsidRDefault="004C2EE3" w:rsidP="00E160B5">
            <w:pPr>
              <w:widowControl/>
              <w:tabs>
                <w:tab w:val="center" w:pos="4680"/>
              </w:tabs>
              <w:suppressAutoHyphens/>
              <w:rPr>
                <w:spacing w:val="-2"/>
              </w:rPr>
            </w:pPr>
          </w:p>
          <w:p w:rsidR="004C2EE3" w:rsidRDefault="004C2EE3" w:rsidP="00E160B5">
            <w:pPr>
              <w:pStyle w:val="TOAHeading"/>
              <w:widowControl/>
              <w:tabs>
                <w:tab w:val="clear" w:pos="9360"/>
                <w:tab w:val="center" w:pos="4680"/>
              </w:tabs>
              <w:rPr>
                <w:spacing w:val="-2"/>
              </w:rPr>
            </w:pPr>
          </w:p>
          <w:p w:rsidR="004C2EE3" w:rsidRDefault="002E27B5" w:rsidP="00E160B5">
            <w:pPr>
              <w:widowControl/>
              <w:tabs>
                <w:tab w:val="center" w:pos="4680"/>
              </w:tabs>
              <w:suppressAutoHyphens/>
              <w:rPr>
                <w:spacing w:val="-2"/>
              </w:rPr>
            </w:pPr>
            <w:r w:rsidRPr="002E27B5">
              <w:rPr>
                <w:spacing w:val="-2"/>
              </w:rPr>
              <w:t>File No.</w:t>
            </w:r>
            <w:r w:rsidR="002D025A">
              <w:rPr>
                <w:spacing w:val="-2"/>
              </w:rPr>
              <w:t xml:space="preserve"> </w:t>
            </w:r>
            <w:r w:rsidRPr="002E27B5">
              <w:rPr>
                <w:spacing w:val="-2"/>
              </w:rPr>
              <w:t>00067</w:t>
            </w:r>
            <w:r w:rsidR="00B34D71">
              <w:rPr>
                <w:spacing w:val="-2"/>
              </w:rPr>
              <w:t>6</w:t>
            </w:r>
            <w:r w:rsidR="00FA2B32">
              <w:rPr>
                <w:spacing w:val="-2"/>
              </w:rPr>
              <w:t>8268</w:t>
            </w:r>
          </w:p>
        </w:tc>
      </w:tr>
    </w:tbl>
    <w:p w:rsidR="004C2EE3" w:rsidRDefault="004C2EE3" w:rsidP="00E160B5">
      <w:pPr>
        <w:widowControl/>
      </w:pPr>
    </w:p>
    <w:p w:rsidR="00841AB1" w:rsidRDefault="002E27B5" w:rsidP="00E160B5">
      <w:pPr>
        <w:pStyle w:val="StyleBoldCentered"/>
        <w:widowControl/>
      </w:pPr>
      <w:r w:rsidRPr="002E27B5">
        <w:t>ORDER</w:t>
      </w:r>
    </w:p>
    <w:p w:rsidR="004C2EE3" w:rsidRDefault="004C2EE3" w:rsidP="00E160B5">
      <w:pPr>
        <w:widowControl/>
        <w:tabs>
          <w:tab w:val="left" w:pos="-720"/>
        </w:tabs>
        <w:suppressAutoHyphens/>
        <w:spacing w:line="227" w:lineRule="auto"/>
        <w:rPr>
          <w:spacing w:val="-2"/>
        </w:rPr>
      </w:pPr>
    </w:p>
    <w:p w:rsidR="004C2EE3" w:rsidRDefault="004C2EE3" w:rsidP="00E160B5">
      <w:pPr>
        <w:widowControl/>
        <w:tabs>
          <w:tab w:val="left" w:pos="720"/>
          <w:tab w:val="right" w:pos="9360"/>
        </w:tabs>
        <w:suppressAutoHyphens/>
        <w:spacing w:line="227" w:lineRule="auto"/>
        <w:rPr>
          <w:spacing w:val="-2"/>
        </w:rPr>
      </w:pPr>
      <w:r>
        <w:rPr>
          <w:b/>
          <w:spacing w:val="-2"/>
        </w:rPr>
        <w:t xml:space="preserve">Adopted:  </w:t>
      </w:r>
      <w:r w:rsidR="000B65D8">
        <w:rPr>
          <w:b/>
          <w:spacing w:val="-2"/>
        </w:rPr>
        <w:t>October 9,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B65D8">
        <w:rPr>
          <w:b/>
          <w:spacing w:val="-2"/>
        </w:rPr>
        <w:t>October 9, 2015</w:t>
      </w:r>
    </w:p>
    <w:p w:rsidR="00822CE0" w:rsidRDefault="00822CE0" w:rsidP="00E160B5">
      <w:pPr>
        <w:widowControl/>
      </w:pPr>
    </w:p>
    <w:p w:rsidR="00822CE0" w:rsidRDefault="002E27B5" w:rsidP="00E160B5">
      <w:pPr>
        <w:widowControl/>
        <w:rPr>
          <w:spacing w:val="-2"/>
        </w:rPr>
      </w:pPr>
      <w:r w:rsidRPr="002E27B5">
        <w:t>By the Deputy Chief, Policy and Licensing Division, Public Safe</w:t>
      </w:r>
      <w:r>
        <w:t>ty and Homeland Security Bureau</w:t>
      </w:r>
      <w:r w:rsidR="004C2EE3">
        <w:rPr>
          <w:spacing w:val="-2"/>
        </w:rPr>
        <w:t>:</w:t>
      </w:r>
    </w:p>
    <w:p w:rsidR="00412FC5" w:rsidRDefault="00412FC5" w:rsidP="00E160B5">
      <w:pPr>
        <w:widowControl/>
      </w:pPr>
    </w:p>
    <w:p w:rsidR="002C00E8" w:rsidRDefault="002E27B5" w:rsidP="00E160B5">
      <w:pPr>
        <w:pStyle w:val="Heading1"/>
        <w:widowControl/>
      </w:pPr>
      <w:r>
        <w:t>introduction</w:t>
      </w:r>
    </w:p>
    <w:p w:rsidR="002E27B5" w:rsidRPr="002E27B5" w:rsidRDefault="002E27B5" w:rsidP="00E160B5">
      <w:pPr>
        <w:pStyle w:val="ParaNum"/>
        <w:widowControl/>
      </w:pPr>
      <w:r w:rsidRPr="002E27B5">
        <w:t xml:space="preserve">In this </w:t>
      </w:r>
      <w:r w:rsidRPr="000B65D8">
        <w:rPr>
          <w:i/>
        </w:rPr>
        <w:t>Order</w:t>
      </w:r>
      <w:r w:rsidRPr="002E27B5">
        <w:t xml:space="preserve"> we </w:t>
      </w:r>
      <w:r w:rsidR="00455F79">
        <w:t xml:space="preserve">deny </w:t>
      </w:r>
      <w:r w:rsidRPr="002E27B5">
        <w:t>a request</w:t>
      </w:r>
      <w:r w:rsidR="00455F79">
        <w:t xml:space="preserve"> for waiver</w:t>
      </w:r>
      <w:r w:rsidRPr="002E27B5">
        <w:t xml:space="preserve"> </w:t>
      </w:r>
      <w:r w:rsidR="00455F79">
        <w:t xml:space="preserve">filed </w:t>
      </w:r>
      <w:r w:rsidRPr="002E27B5">
        <w:t xml:space="preserve">by the </w:t>
      </w:r>
      <w:r w:rsidR="00D66A84">
        <w:t xml:space="preserve">North Carolina State Highway Patrol (North Carolina) </w:t>
      </w:r>
      <w:r w:rsidRPr="002E27B5">
        <w:t xml:space="preserve">for </w:t>
      </w:r>
      <w:r w:rsidR="00455F79">
        <w:t>early access to Expansion Band channels</w:t>
      </w:r>
      <w:r w:rsidRPr="002E27B5">
        <w:t>.</w:t>
      </w:r>
      <w:r>
        <w:rPr>
          <w:rStyle w:val="FootnoteReference"/>
        </w:rPr>
        <w:footnoteReference w:id="2"/>
      </w:r>
      <w:r>
        <w:t xml:space="preserve"> </w:t>
      </w:r>
      <w:r w:rsidRPr="002E27B5">
        <w:t xml:space="preserve">  </w:t>
      </w:r>
    </w:p>
    <w:p w:rsidR="002E27B5" w:rsidRDefault="002E27B5" w:rsidP="00E160B5">
      <w:pPr>
        <w:pStyle w:val="Heading1"/>
        <w:widowControl/>
      </w:pPr>
      <w:r>
        <w:t>background</w:t>
      </w:r>
    </w:p>
    <w:p w:rsidR="00771316" w:rsidRDefault="0016158F" w:rsidP="00E160B5">
      <w:pPr>
        <w:pStyle w:val="ParaNum"/>
        <w:widowControl/>
      </w:pPr>
      <w:r>
        <w:t xml:space="preserve">North Carolina operates a trunked radio system serving </w:t>
      </w:r>
      <w:r w:rsidR="002E6676">
        <w:t xml:space="preserve">federal, state and local law enforcement officials </w:t>
      </w:r>
      <w:r w:rsidR="00886DEA">
        <w:t xml:space="preserve">throughout the state </w:t>
      </w:r>
      <w:r>
        <w:t xml:space="preserve">on numerous </w:t>
      </w:r>
      <w:r w:rsidR="00C2683C" w:rsidRPr="002D025A">
        <w:t xml:space="preserve">Private Land Mobile Radio (PLMR) frequencies </w:t>
      </w:r>
      <w:r w:rsidR="0020000B" w:rsidRPr="002D025A">
        <w:t>in the 806-821/851-866 MHz band (the “800 MHz band”)</w:t>
      </w:r>
      <w:r>
        <w:t>.</w:t>
      </w:r>
      <w:r w:rsidR="00C2683C">
        <w:rPr>
          <w:rStyle w:val="FootnoteReference"/>
          <w:spacing w:val="-2"/>
        </w:rPr>
        <w:footnoteReference w:id="3"/>
      </w:r>
      <w:r w:rsidR="00C2683C" w:rsidRPr="00C2683C">
        <w:rPr>
          <w:spacing w:val="-2"/>
        </w:rPr>
        <w:t xml:space="preserve"> </w:t>
      </w:r>
      <w:r w:rsidR="00C2683C" w:rsidRPr="00E80A38">
        <w:t xml:space="preserve"> </w:t>
      </w:r>
      <w:r w:rsidR="00B76097">
        <w:t xml:space="preserve">North Carolina </w:t>
      </w:r>
      <w:r w:rsidR="006C5D68">
        <w:t xml:space="preserve">states that due to a lack of Public Safety </w:t>
      </w:r>
      <w:r w:rsidR="00886DEA">
        <w:t xml:space="preserve">or </w:t>
      </w:r>
      <w:r w:rsidR="006C5D68">
        <w:t xml:space="preserve">other “out-of-service” channels it is unable </w:t>
      </w:r>
      <w:r w:rsidR="00886DEA">
        <w:t xml:space="preserve">to expand the capacity </w:t>
      </w:r>
      <w:r w:rsidR="0022138F">
        <w:t xml:space="preserve">of, </w:t>
      </w:r>
      <w:r w:rsidR="00886DEA">
        <w:t>or offer adequate coverage from</w:t>
      </w:r>
      <w:r w:rsidR="0022138F">
        <w:t>,</w:t>
      </w:r>
      <w:r w:rsidR="00886DEA">
        <w:t xml:space="preserve"> its Concord, N</w:t>
      </w:r>
      <w:r w:rsidR="00C822EA">
        <w:t xml:space="preserve">orth </w:t>
      </w:r>
      <w:r w:rsidR="00886DEA">
        <w:t>C</w:t>
      </w:r>
      <w:r w:rsidR="00C822EA">
        <w:t>arolina</w:t>
      </w:r>
      <w:r w:rsidR="00886DEA">
        <w:t xml:space="preserve"> site.</w:t>
      </w:r>
      <w:r w:rsidR="00B76097">
        <w:rPr>
          <w:rStyle w:val="FootnoteReference"/>
        </w:rPr>
        <w:footnoteReference w:id="4"/>
      </w:r>
      <w:r w:rsidR="00B76097">
        <w:t xml:space="preserve">  Consequently, it seeks to </w:t>
      </w:r>
      <w:r w:rsidR="00C16643">
        <w:t>add three channels to its Concord site from what it describes as the “quiet Expansion Band allocations.”</w:t>
      </w:r>
      <w:r w:rsidR="00B76097">
        <w:rPr>
          <w:rStyle w:val="FootnoteReference"/>
        </w:rPr>
        <w:footnoteReference w:id="5"/>
      </w:r>
      <w:r w:rsidR="000E0181">
        <w:t xml:space="preserve">  </w:t>
      </w:r>
    </w:p>
    <w:p w:rsidR="00C16643" w:rsidRDefault="001C45F4" w:rsidP="00E160B5">
      <w:pPr>
        <w:pStyle w:val="ParaNum"/>
        <w:widowControl/>
      </w:pPr>
      <w:r>
        <w:t xml:space="preserve">As a general matter, </w:t>
      </w:r>
      <w:r w:rsidR="00AF0FF1">
        <w:t xml:space="preserve">PLMR channels in the 800 MHz band </w:t>
      </w:r>
      <w:r w:rsidR="002D025A" w:rsidRPr="002D025A">
        <w:t>are divided into categories or pools</w:t>
      </w:r>
      <w:r w:rsidR="00332062">
        <w:t xml:space="preserve"> including: </w:t>
      </w:r>
      <w:r w:rsidR="002D025A" w:rsidRPr="002D025A">
        <w:t>(a) Specialized Mobile Radio (SMR), (b) Public Safety, (c) B</w:t>
      </w:r>
      <w:r w:rsidR="00B56806">
        <w:t>/</w:t>
      </w:r>
      <w:r w:rsidR="002D025A" w:rsidRPr="002D025A">
        <w:t>ILT and (</w:t>
      </w:r>
      <w:r w:rsidR="00B56806">
        <w:t>d</w:t>
      </w:r>
      <w:r w:rsidR="002D025A" w:rsidRPr="002D025A">
        <w:t>) General.</w:t>
      </w:r>
      <w:r w:rsidR="002D025A">
        <w:rPr>
          <w:rStyle w:val="FootnoteReference"/>
        </w:rPr>
        <w:footnoteReference w:id="6"/>
      </w:r>
      <w:r w:rsidR="002D025A">
        <w:t xml:space="preserve"> </w:t>
      </w:r>
      <w:r w:rsidR="002D025A" w:rsidRPr="002D025A">
        <w:t xml:space="preserve"> </w:t>
      </w:r>
      <w:r>
        <w:t>A</w:t>
      </w:r>
      <w:r w:rsidR="002D025A" w:rsidRPr="002D025A">
        <w:t xml:space="preserve">pplicants are </w:t>
      </w:r>
      <w:r>
        <w:t xml:space="preserve">typically </w:t>
      </w:r>
      <w:r w:rsidR="002D025A" w:rsidRPr="002D025A">
        <w:t>licensed on frequencies in the category or categories for which they meet the eligibility criteria.</w:t>
      </w:r>
      <w:r w:rsidR="00764FCD">
        <w:t xml:space="preserve">  </w:t>
      </w:r>
    </w:p>
    <w:p w:rsidR="001C4357" w:rsidRDefault="008F67FB" w:rsidP="00E160B5">
      <w:pPr>
        <w:pStyle w:val="ParaNum"/>
        <w:widowControl/>
      </w:pPr>
      <w:r>
        <w:t xml:space="preserve">When the Commission established the Expansion Band as part of 800 MHz band reconfiguration, it </w:t>
      </w:r>
      <w:r w:rsidRPr="008F67FB">
        <w:t xml:space="preserve">reclassified twelve </w:t>
      </w:r>
      <w:r>
        <w:t>P</w:t>
      </w:r>
      <w:r w:rsidRPr="008F67FB">
        <w:t xml:space="preserve">ublic </w:t>
      </w:r>
      <w:r>
        <w:t>S</w:t>
      </w:r>
      <w:r w:rsidRPr="008F67FB">
        <w:t xml:space="preserve">afety </w:t>
      </w:r>
      <w:r>
        <w:t xml:space="preserve">Pool </w:t>
      </w:r>
      <w:r w:rsidRPr="008F67FB">
        <w:t>channels</w:t>
      </w:r>
      <w:r>
        <w:t xml:space="preserve"> above </w:t>
      </w:r>
      <w:r w:rsidRPr="008F67FB">
        <w:t>816/861 MHz</w:t>
      </w:r>
      <w:r>
        <w:t xml:space="preserve"> as </w:t>
      </w:r>
      <w:r w:rsidRPr="008F67FB">
        <w:t>SMR channels</w:t>
      </w:r>
      <w:r>
        <w:t>.</w:t>
      </w:r>
      <w:r w:rsidR="0063029E">
        <w:rPr>
          <w:rStyle w:val="FootnoteReference"/>
        </w:rPr>
        <w:footnoteReference w:id="7"/>
      </w:r>
      <w:r>
        <w:t xml:space="preserve"> </w:t>
      </w:r>
      <w:r w:rsidR="0063029E">
        <w:t xml:space="preserve"> </w:t>
      </w:r>
      <w:r>
        <w:t xml:space="preserve">It did so in order to establish </w:t>
      </w:r>
      <w:r w:rsidR="00F53272">
        <w:t xml:space="preserve">a </w:t>
      </w:r>
      <w:r>
        <w:t xml:space="preserve">home for </w:t>
      </w:r>
      <w:r w:rsidRPr="008F67FB">
        <w:t xml:space="preserve">interference-resistant </w:t>
      </w:r>
      <w:r>
        <w:t xml:space="preserve">PLMR </w:t>
      </w:r>
      <w:r w:rsidRPr="008F67FB">
        <w:t>systems</w:t>
      </w:r>
      <w:r>
        <w:t xml:space="preserve"> which would </w:t>
      </w:r>
      <w:r>
        <w:lastRenderedPageBreak/>
        <w:t xml:space="preserve">not be adversely </w:t>
      </w:r>
      <w:r w:rsidR="00C822EA">
        <w:t>affected</w:t>
      </w:r>
      <w:r>
        <w:t xml:space="preserve"> by proximity to the ESMR segment of the band in which cellular architecture systems </w:t>
      </w:r>
      <w:r w:rsidR="00F53272">
        <w:t>operate</w:t>
      </w:r>
      <w:r>
        <w:t>.</w:t>
      </w:r>
      <w:r w:rsidR="0063029E">
        <w:rPr>
          <w:rStyle w:val="FootnoteReference"/>
        </w:rPr>
        <w:footnoteReference w:id="8"/>
      </w:r>
      <w:r>
        <w:t xml:space="preserve">  Despite the reclassification, the Commission permitted public safety </w:t>
      </w:r>
      <w:r w:rsidR="002650E2">
        <w:t xml:space="preserve">licensees operating on Expansion Band channels </w:t>
      </w:r>
      <w:r>
        <w:t xml:space="preserve">to elect to remain </w:t>
      </w:r>
      <w:r w:rsidR="002650E2">
        <w:t xml:space="preserve">in the </w:t>
      </w:r>
      <w:r>
        <w:t>Expansion Band.</w:t>
      </w:r>
      <w:r w:rsidR="00C15204">
        <w:rPr>
          <w:rStyle w:val="FootnoteReference"/>
        </w:rPr>
        <w:footnoteReference w:id="9"/>
      </w:r>
    </w:p>
    <w:p w:rsidR="008F67FB" w:rsidRDefault="002650E2" w:rsidP="00E160B5">
      <w:pPr>
        <w:pStyle w:val="ParaNum"/>
        <w:widowControl/>
      </w:pPr>
      <w:r>
        <w:t xml:space="preserve">In </w:t>
      </w:r>
      <w:r w:rsidR="00FF5605">
        <w:t xml:space="preserve">April 2007, the </w:t>
      </w:r>
      <w:r w:rsidR="00FF5605" w:rsidRPr="00FF5605">
        <w:t>Public Safety and Homeland Security Bureau (</w:t>
      </w:r>
      <w:r w:rsidR="00C822EA">
        <w:t>Bureau</w:t>
      </w:r>
      <w:r w:rsidR="00FF5605" w:rsidRPr="00FF5605">
        <w:t>) clarifie</w:t>
      </w:r>
      <w:r w:rsidR="00FF5605">
        <w:t>d</w:t>
      </w:r>
      <w:r w:rsidR="00FF5605" w:rsidRPr="00FF5605">
        <w:t xml:space="preserve"> the rights of public safety </w:t>
      </w:r>
      <w:r w:rsidR="004C6D00">
        <w:t xml:space="preserve">licensees </w:t>
      </w:r>
      <w:r w:rsidR="00C822EA">
        <w:t xml:space="preserve">that </w:t>
      </w:r>
      <w:r w:rsidR="00FF5605">
        <w:t>elected to remain on their Expansion Band channels.</w:t>
      </w:r>
      <w:r w:rsidR="0073700B">
        <w:rPr>
          <w:rStyle w:val="FootnoteReference"/>
        </w:rPr>
        <w:footnoteReference w:id="10"/>
      </w:r>
      <w:r w:rsidR="00FF5605">
        <w:t xml:space="preserve">  It permitted such licensees to modify their operations, </w:t>
      </w:r>
      <w:r w:rsidR="00FF5605" w:rsidRPr="00EE7138">
        <w:t>including expan</w:t>
      </w:r>
      <w:r w:rsidR="00FF5605">
        <w:t xml:space="preserve">ding </w:t>
      </w:r>
      <w:r w:rsidR="00FF5605" w:rsidRPr="00EE7138">
        <w:t xml:space="preserve">coverage contours, without </w:t>
      </w:r>
      <w:r w:rsidR="00C822EA">
        <w:t xml:space="preserve">the need </w:t>
      </w:r>
      <w:r w:rsidR="00FF5605" w:rsidRPr="00EE7138">
        <w:t>to request a rule waiver.</w:t>
      </w:r>
      <w:r w:rsidR="00FF5605">
        <w:rPr>
          <w:rStyle w:val="FootnoteReference"/>
        </w:rPr>
        <w:footnoteReference w:id="11"/>
      </w:r>
      <w:r w:rsidR="00FF5605">
        <w:t xml:space="preserve">  I</w:t>
      </w:r>
      <w:r w:rsidR="00C822EA">
        <w:t>t</w:t>
      </w:r>
      <w:r w:rsidR="00FF5605">
        <w:t xml:space="preserve"> </w:t>
      </w:r>
      <w:r w:rsidR="00EF3EC5">
        <w:t xml:space="preserve">also </w:t>
      </w:r>
      <w:r w:rsidR="00FF5605">
        <w:t xml:space="preserve">permitted public safety licensees that elected to remain in the Expansion Band to add additional Expansion Band channels to their operations provided </w:t>
      </w:r>
      <w:r w:rsidR="004C6D00">
        <w:t xml:space="preserve">they included with </w:t>
      </w:r>
      <w:r w:rsidR="00FF5605">
        <w:t>their application</w:t>
      </w:r>
      <w:r w:rsidR="00F53272">
        <w:t xml:space="preserve"> </w:t>
      </w:r>
      <w:r w:rsidR="00FF5605">
        <w:t>a request for inter</w:t>
      </w:r>
      <w:r w:rsidR="00653CD2">
        <w:t>-</w:t>
      </w:r>
      <w:r w:rsidR="00FF5605">
        <w:t>category sharing</w:t>
      </w:r>
      <w:r w:rsidR="00FF5605">
        <w:rPr>
          <w:rStyle w:val="FootnoteReference"/>
        </w:rPr>
        <w:footnoteReference w:id="12"/>
      </w:r>
      <w:r w:rsidR="00FF5605">
        <w:t xml:space="preserve"> or other relief which would permit use of channels designated for other services.</w:t>
      </w:r>
      <w:r w:rsidR="00FF5605">
        <w:rPr>
          <w:rStyle w:val="FootnoteReference"/>
        </w:rPr>
        <w:footnoteReference w:id="13"/>
      </w:r>
      <w:r w:rsidR="008F67FB">
        <w:t xml:space="preserve">         </w:t>
      </w:r>
    </w:p>
    <w:p w:rsidR="00C03ABB" w:rsidRDefault="00C03ABB" w:rsidP="00E160B5">
      <w:pPr>
        <w:pStyle w:val="ParaNum"/>
        <w:widowControl/>
      </w:pPr>
      <w:r>
        <w:t>I</w:t>
      </w:r>
      <w:r w:rsidR="004C6D00">
        <w:t xml:space="preserve">n </w:t>
      </w:r>
      <w:r w:rsidR="00D877D5">
        <w:t>April 2015</w:t>
      </w:r>
      <w:r>
        <w:t xml:space="preserve"> </w:t>
      </w:r>
      <w:r w:rsidR="00D877D5">
        <w:t xml:space="preserve">the Bureau further clarified </w:t>
      </w:r>
      <w:r w:rsidR="004B0C98">
        <w:t>the conditions u</w:t>
      </w:r>
      <w:r w:rsidR="00C822EA">
        <w:t>nder</w:t>
      </w:r>
      <w:r w:rsidR="004B0C98">
        <w:t xml:space="preserve"> which </w:t>
      </w:r>
      <w:r w:rsidR="00F53272">
        <w:t>it would</w:t>
      </w:r>
      <w:r w:rsidR="007D61C2">
        <w:t xml:space="preserve"> </w:t>
      </w:r>
      <w:r w:rsidR="00D877D5">
        <w:t>accept</w:t>
      </w:r>
      <w:r w:rsidR="008D71D2">
        <w:t>,</w:t>
      </w:r>
      <w:r w:rsidR="00D877D5">
        <w:t xml:space="preserve"> </w:t>
      </w:r>
      <w:r w:rsidR="008D71D2">
        <w:t>on a going forward basis,</w:t>
      </w:r>
      <w:r w:rsidR="008D71D2" w:rsidRPr="00D877D5">
        <w:t xml:space="preserve"> </w:t>
      </w:r>
      <w:r w:rsidR="00D877D5" w:rsidRPr="00D877D5">
        <w:t xml:space="preserve">applications for expanded coverage or additional channels from public safety licensees that elected to remain in the </w:t>
      </w:r>
      <w:r w:rsidR="00D877D5">
        <w:t>Expansion Band</w:t>
      </w:r>
      <w:r>
        <w:t>.</w:t>
      </w:r>
      <w:r w:rsidR="008D71D2">
        <w:rPr>
          <w:rStyle w:val="FootnoteReference"/>
        </w:rPr>
        <w:footnoteReference w:id="14"/>
      </w:r>
      <w:r>
        <w:t xml:space="preserve">  Specifically, it </w:t>
      </w:r>
      <w:r w:rsidR="007D61C2">
        <w:t xml:space="preserve">stated that </w:t>
      </w:r>
      <w:r>
        <w:t xml:space="preserve">it would accept such application </w:t>
      </w:r>
      <w:r w:rsidR="004B0C98">
        <w:t xml:space="preserve">only </w:t>
      </w:r>
      <w:r w:rsidR="00D877D5">
        <w:t xml:space="preserve">after </w:t>
      </w:r>
      <w:r w:rsidR="00C822EA">
        <w:t xml:space="preserve">the Bureau </w:t>
      </w:r>
      <w:r w:rsidR="009504A4">
        <w:t>and the Wireless Telecommunications Bureau (collectively the Bureaus) establish</w:t>
      </w:r>
      <w:r w:rsidR="00C822EA">
        <w:t>ed</w:t>
      </w:r>
      <w:r w:rsidR="009504A4">
        <w:t xml:space="preserve"> </w:t>
      </w:r>
      <w:r w:rsidR="004B0C98">
        <w:t>a filing date upon completion of band reconfiguration in each National Public Safety Planning Advisory Committee (NPSPAC) region</w:t>
      </w:r>
      <w:r w:rsidR="00D877D5">
        <w:t>.</w:t>
      </w:r>
      <w:r w:rsidR="008D71D2">
        <w:rPr>
          <w:rStyle w:val="FootnoteReference"/>
        </w:rPr>
        <w:footnoteReference w:id="15"/>
      </w:r>
      <w:r>
        <w:t xml:space="preserve">  </w:t>
      </w:r>
      <w:r w:rsidR="00C822EA">
        <w:t xml:space="preserve">The Bureau </w:t>
      </w:r>
      <w:r w:rsidR="008D71D2">
        <w:t xml:space="preserve">further </w:t>
      </w:r>
      <w:r>
        <w:t xml:space="preserve">specified that applications for </w:t>
      </w:r>
      <w:r w:rsidRPr="00D877D5">
        <w:t>expanded coverage or additional channels</w:t>
      </w:r>
      <w:r>
        <w:t xml:space="preserve"> in the Expansion Band would be subject to “</w:t>
      </w:r>
      <w:r w:rsidRPr="00C03ABB">
        <w:t>pre-coordination</w:t>
      </w:r>
      <w:r>
        <w:t>.”</w:t>
      </w:r>
      <w:r w:rsidR="009C64F7">
        <w:rPr>
          <w:rStyle w:val="FootnoteReference"/>
        </w:rPr>
        <w:footnoteReference w:id="16"/>
      </w:r>
    </w:p>
    <w:p w:rsidR="009504A4" w:rsidRDefault="00C822EA" w:rsidP="00E160B5">
      <w:pPr>
        <w:pStyle w:val="ParaNum"/>
        <w:widowControl/>
      </w:pPr>
      <w:r>
        <w:t xml:space="preserve">The Bureau </w:t>
      </w:r>
      <w:r w:rsidR="004B0C98">
        <w:t>explained that it restricted the date upon which public safety licensees could file Expansion Band applications because</w:t>
      </w:r>
      <w:r w:rsidR="009504A4">
        <w:t>—</w:t>
      </w:r>
      <w:r w:rsidR="004B0C98">
        <w:t>since its initial guidance</w:t>
      </w:r>
      <w:r w:rsidR="009504A4">
        <w:t>—</w:t>
      </w:r>
      <w:r w:rsidR="004B0C98">
        <w:t>it had established a process for licensing channels in the Expansion Band to all eligible entities</w:t>
      </w:r>
      <w:r w:rsidR="00EF3EC5">
        <w:t>.  That process depend</w:t>
      </w:r>
      <w:r w:rsidR="009504A4">
        <w:t xml:space="preserve">s </w:t>
      </w:r>
      <w:r w:rsidR="00EF3EC5">
        <w:t xml:space="preserve">upon a stable spectral environment </w:t>
      </w:r>
      <w:r w:rsidR="009504A4">
        <w:t xml:space="preserve">in the Expansion Band </w:t>
      </w:r>
      <w:r w:rsidR="00EF3EC5">
        <w:t>prior to the filing date so that frequency coordinators c</w:t>
      </w:r>
      <w:r w:rsidR="009504A4">
        <w:t xml:space="preserve">an </w:t>
      </w:r>
      <w:r w:rsidR="00EF3EC5" w:rsidRPr="00EF3EC5">
        <w:t>pre-coordinate applications and resolve conflicts.</w:t>
      </w:r>
      <w:r w:rsidR="009C64F7">
        <w:rPr>
          <w:rStyle w:val="FootnoteReference"/>
        </w:rPr>
        <w:footnoteReference w:id="17"/>
      </w:r>
    </w:p>
    <w:p w:rsidR="0073700B" w:rsidRDefault="00C822EA" w:rsidP="00E160B5">
      <w:pPr>
        <w:pStyle w:val="ParaNum"/>
        <w:widowControl/>
      </w:pPr>
      <w:r>
        <w:t xml:space="preserve">The Bureau </w:t>
      </w:r>
      <w:r w:rsidR="0073700B">
        <w:t>advised public safety licensees with an urgent need to expand coverage or add channels that they could seek a waiver for early access but would need to demonstrate “a compelling reason why it is unable to wait for the filing date to submit its application.”</w:t>
      </w:r>
      <w:r w:rsidR="00920233">
        <w:rPr>
          <w:rStyle w:val="FootnoteReference"/>
        </w:rPr>
        <w:footnoteReference w:id="18"/>
      </w:r>
    </w:p>
    <w:p w:rsidR="004C6D00" w:rsidRDefault="00920233" w:rsidP="00E160B5">
      <w:pPr>
        <w:pStyle w:val="ParaNum"/>
        <w:widowControl/>
      </w:pPr>
      <w:r>
        <w:lastRenderedPageBreak/>
        <w:t xml:space="preserve">Because the Bureaus have yet to establish a date for accepting Expansion Band applications in North Carolina’s NPSPAC region, </w:t>
      </w:r>
      <w:r w:rsidR="00C822EA">
        <w:t xml:space="preserve">North Carolina </w:t>
      </w:r>
      <w:r>
        <w:t>seeks a waiver for early access.</w:t>
      </w:r>
      <w:r>
        <w:rPr>
          <w:rStyle w:val="FootnoteReference"/>
        </w:rPr>
        <w:footnoteReference w:id="19"/>
      </w:r>
      <w:r>
        <w:t xml:space="preserve">  In support of its waiver request, it includes a letter certifying that it elected to remain in the Expansion Band </w:t>
      </w:r>
      <w:r w:rsidR="00520F6E">
        <w:t>and is thus eligible to expand coverage or request additional channels.</w:t>
      </w:r>
      <w:r w:rsidR="00520F6E">
        <w:rPr>
          <w:rStyle w:val="FootnoteReference"/>
        </w:rPr>
        <w:footnoteReference w:id="20"/>
      </w:r>
      <w:r w:rsidR="00520F6E">
        <w:t xml:space="preserve">  It also states that the geography surrounding the </w:t>
      </w:r>
      <w:r w:rsidR="00520F6E" w:rsidRPr="00520F6E">
        <w:t>Concord, N</w:t>
      </w:r>
      <w:r w:rsidR="00C822EA">
        <w:t xml:space="preserve">orth </w:t>
      </w:r>
      <w:r w:rsidR="00520F6E" w:rsidRPr="00520F6E">
        <w:t>C</w:t>
      </w:r>
      <w:r w:rsidR="00C822EA">
        <w:t>arolina</w:t>
      </w:r>
      <w:r w:rsidR="00520F6E" w:rsidRPr="00520F6E">
        <w:t xml:space="preserve"> site </w:t>
      </w:r>
      <w:r w:rsidR="00520F6E">
        <w:t>offers “no natural separation between any of the nearby sites for any short spacing of the normal 800 MHz channels.”</w:t>
      </w:r>
      <w:r w:rsidR="00520F6E">
        <w:rPr>
          <w:rStyle w:val="FootnoteReference"/>
        </w:rPr>
        <w:footnoteReference w:id="21"/>
      </w:r>
      <w:r w:rsidR="00520F6E">
        <w:t xml:space="preserve">  Consequently, it argues that it has no choice but to seek channels from the Expansion Band.</w:t>
      </w:r>
      <w:r w:rsidR="00520F6E">
        <w:rPr>
          <w:rStyle w:val="FootnoteReference"/>
        </w:rPr>
        <w:footnoteReference w:id="22"/>
      </w:r>
      <w:r w:rsidR="00520F6E">
        <w:t xml:space="preserve">  </w:t>
      </w:r>
    </w:p>
    <w:p w:rsidR="00320119" w:rsidRDefault="003622DA" w:rsidP="00E160B5">
      <w:pPr>
        <w:pStyle w:val="Heading1"/>
        <w:widowControl/>
      </w:pPr>
      <w:r>
        <w:t>Discussion</w:t>
      </w:r>
    </w:p>
    <w:p w:rsidR="003622DA" w:rsidRPr="003622DA" w:rsidRDefault="003622DA" w:rsidP="00E160B5">
      <w:pPr>
        <w:pStyle w:val="ParaNum"/>
        <w:widowControl/>
      </w:pPr>
      <w:r w:rsidRPr="00351121">
        <w:rPr>
          <w:spacing w:val="-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sidRPr="00351121">
        <w:rPr>
          <w:spacing w:val="-2"/>
          <w:vertAlign w:val="superscript"/>
        </w:rPr>
        <w:footnoteReference w:id="23"/>
      </w:r>
      <w:r w:rsidRPr="00351121">
        <w:rPr>
          <w:spacing w:val="-2"/>
        </w:rPr>
        <w:t xml:space="preserve"> or (ii) in view of unique or unusual factual circumstances of the instant case, application of the rule(s) would be inequitable, unduly burdensome, or contrary to the public interest, or the applicant has no reasonable alternative.</w:t>
      </w:r>
      <w:r w:rsidRPr="00351121">
        <w:rPr>
          <w:spacing w:val="-2"/>
          <w:vertAlign w:val="superscript"/>
        </w:rPr>
        <w:footnoteReference w:id="24"/>
      </w:r>
      <w:r>
        <w:rPr>
          <w:spacing w:val="-2"/>
        </w:rPr>
        <w:t xml:space="preserve">  We conclude that </w:t>
      </w:r>
      <w:r w:rsidR="001E2E98">
        <w:rPr>
          <w:spacing w:val="-2"/>
        </w:rPr>
        <w:t xml:space="preserve">North Carolina </w:t>
      </w:r>
      <w:r w:rsidRPr="00351121">
        <w:rPr>
          <w:spacing w:val="-2"/>
        </w:rPr>
        <w:t xml:space="preserve">has </w:t>
      </w:r>
      <w:r w:rsidR="00D261E7">
        <w:rPr>
          <w:spacing w:val="-2"/>
        </w:rPr>
        <w:t xml:space="preserve">satisfied neither the </w:t>
      </w:r>
      <w:r>
        <w:rPr>
          <w:spacing w:val="-2"/>
        </w:rPr>
        <w:t xml:space="preserve">first </w:t>
      </w:r>
      <w:r w:rsidR="00D261E7">
        <w:rPr>
          <w:spacing w:val="-2"/>
        </w:rPr>
        <w:t xml:space="preserve">nor the second prong </w:t>
      </w:r>
      <w:r>
        <w:rPr>
          <w:spacing w:val="-2"/>
        </w:rPr>
        <w:t xml:space="preserve">of the waiver standard.  </w:t>
      </w:r>
    </w:p>
    <w:p w:rsidR="00244DF8" w:rsidRPr="00244DF8" w:rsidRDefault="002321A1" w:rsidP="00E160B5">
      <w:pPr>
        <w:pStyle w:val="ParaNum"/>
        <w:widowControl/>
      </w:pPr>
      <w:r>
        <w:rPr>
          <w:spacing w:val="-2"/>
        </w:rPr>
        <w:t xml:space="preserve">As </w:t>
      </w:r>
      <w:r w:rsidR="00244DF8">
        <w:rPr>
          <w:spacing w:val="-2"/>
        </w:rPr>
        <w:t>noted above, the underlying purpose of the Bureaus’ policy regarding acceptance of Expansion Band applications is to maintain a stable spectrum environment prior to establishing a filing date.</w:t>
      </w:r>
      <w:r w:rsidR="00B746F4">
        <w:rPr>
          <w:rStyle w:val="FootnoteReference"/>
          <w:spacing w:val="-2"/>
        </w:rPr>
        <w:footnoteReference w:id="25"/>
      </w:r>
      <w:r w:rsidR="00244DF8">
        <w:rPr>
          <w:spacing w:val="-2"/>
        </w:rPr>
        <w:t xml:space="preserve">  Granting North Carolina early access to channels in the Expansion Band would undermine that goal.  Further, we find spectrum congestion in the 800 MHz band </w:t>
      </w:r>
      <w:r w:rsidR="00AC6386">
        <w:rPr>
          <w:spacing w:val="-2"/>
        </w:rPr>
        <w:t xml:space="preserve">is </w:t>
      </w:r>
      <w:r w:rsidR="00244DF8">
        <w:rPr>
          <w:spacing w:val="-2"/>
        </w:rPr>
        <w:t xml:space="preserve">neither a unique nor an unusual circumstance.  </w:t>
      </w:r>
    </w:p>
    <w:p w:rsidR="00123836" w:rsidRDefault="00244DF8" w:rsidP="00E160B5">
      <w:pPr>
        <w:pStyle w:val="ParaNum"/>
        <w:widowControl/>
      </w:pPr>
      <w:r>
        <w:t xml:space="preserve">In addition, the </w:t>
      </w:r>
      <w:r w:rsidR="000B65D8">
        <w:t xml:space="preserve">Bureau </w:t>
      </w:r>
      <w:r w:rsidR="00AC6386">
        <w:t>stated</w:t>
      </w:r>
      <w:r>
        <w:t xml:space="preserve"> that </w:t>
      </w:r>
      <w:r w:rsidR="00123836">
        <w:t xml:space="preserve">a </w:t>
      </w:r>
      <w:r>
        <w:t xml:space="preserve">licensee seeking a waiver </w:t>
      </w:r>
      <w:r w:rsidR="00123836">
        <w:t xml:space="preserve">for early access </w:t>
      </w:r>
      <w:r w:rsidR="00AC6386">
        <w:t xml:space="preserve">must </w:t>
      </w:r>
      <w:r>
        <w:t xml:space="preserve">demonstrate a compelling reason why it </w:t>
      </w:r>
      <w:r w:rsidR="00123836">
        <w:t xml:space="preserve">is unable to wait </w:t>
      </w:r>
      <w:r>
        <w:t>for the filing date.</w:t>
      </w:r>
      <w:r w:rsidR="00B746F4">
        <w:rPr>
          <w:rStyle w:val="FootnoteReference"/>
        </w:rPr>
        <w:footnoteReference w:id="26"/>
      </w:r>
      <w:r w:rsidR="00123836">
        <w:t xml:space="preserve">  North Carolina </w:t>
      </w:r>
      <w:r w:rsidR="00AC6386">
        <w:t>presents no such compelling reason.</w:t>
      </w:r>
      <w:r w:rsidR="00123836">
        <w:t xml:space="preserve">  </w:t>
      </w:r>
      <w:r w:rsidR="006C7DF8">
        <w:t xml:space="preserve">It does state it needs </w:t>
      </w:r>
      <w:r w:rsidR="00123836">
        <w:t xml:space="preserve">additional </w:t>
      </w:r>
      <w:r w:rsidR="00741D6E">
        <w:t xml:space="preserve">coverage and </w:t>
      </w:r>
      <w:r w:rsidR="00123836">
        <w:t xml:space="preserve">capacity at its </w:t>
      </w:r>
      <w:r w:rsidR="00123836" w:rsidRPr="00123836">
        <w:rPr>
          <w:spacing w:val="-2"/>
        </w:rPr>
        <w:t>Concord, N</w:t>
      </w:r>
      <w:r w:rsidR="00AC6386">
        <w:rPr>
          <w:spacing w:val="-2"/>
        </w:rPr>
        <w:t xml:space="preserve">orth </w:t>
      </w:r>
      <w:r w:rsidR="00123836" w:rsidRPr="00123836">
        <w:rPr>
          <w:spacing w:val="-2"/>
        </w:rPr>
        <w:t>C</w:t>
      </w:r>
      <w:r w:rsidR="00AC6386">
        <w:rPr>
          <w:spacing w:val="-2"/>
        </w:rPr>
        <w:t>arolina</w:t>
      </w:r>
      <w:r w:rsidR="00123836" w:rsidRPr="00123836">
        <w:rPr>
          <w:spacing w:val="-2"/>
        </w:rPr>
        <w:t xml:space="preserve"> </w:t>
      </w:r>
      <w:r w:rsidR="00123836">
        <w:t>site</w:t>
      </w:r>
      <w:r w:rsidR="006C7DF8">
        <w:t xml:space="preserve">.  </w:t>
      </w:r>
      <w:r w:rsidR="001D474C">
        <w:t xml:space="preserve">Nonetheless, </w:t>
      </w:r>
      <w:r w:rsidR="00741D6E">
        <w:t xml:space="preserve">in its application, </w:t>
      </w:r>
      <w:r w:rsidR="001D474C">
        <w:t>i</w:t>
      </w:r>
      <w:r w:rsidR="00123836">
        <w:t>t proposes</w:t>
      </w:r>
      <w:r w:rsidR="001D474C">
        <w:t xml:space="preserve"> </w:t>
      </w:r>
      <w:r w:rsidR="00123836">
        <w:t xml:space="preserve">to </w:t>
      </w:r>
      <w:r w:rsidR="001D474C">
        <w:t xml:space="preserve">delete </w:t>
      </w:r>
      <w:r w:rsidR="00123836">
        <w:t>three NPSPAC channels currently licensed at th</w:t>
      </w:r>
      <w:r w:rsidR="00AC6386">
        <w:t>at</w:t>
      </w:r>
      <w:r w:rsidR="00123836">
        <w:t xml:space="preserve"> site </w:t>
      </w:r>
      <w:r w:rsidR="001D474C">
        <w:t xml:space="preserve">and replace them </w:t>
      </w:r>
      <w:r w:rsidR="00123836">
        <w:t>with three Expansion Band channels.</w:t>
      </w:r>
      <w:r w:rsidR="00741D6E">
        <w:rPr>
          <w:rStyle w:val="FootnoteReference"/>
        </w:rPr>
        <w:footnoteReference w:id="27"/>
      </w:r>
      <w:r w:rsidR="00123836">
        <w:t xml:space="preserve">  The </w:t>
      </w:r>
      <w:r w:rsidR="00AC6386">
        <w:t xml:space="preserve">exchange </w:t>
      </w:r>
      <w:r w:rsidR="00123836">
        <w:t xml:space="preserve">would </w:t>
      </w:r>
      <w:r w:rsidR="00AC6386">
        <w:t xml:space="preserve">not </w:t>
      </w:r>
      <w:r w:rsidR="00123836">
        <w:t>result in net additional channels</w:t>
      </w:r>
      <w:r w:rsidR="00B746F4">
        <w:t xml:space="preserve"> at the </w:t>
      </w:r>
      <w:r w:rsidR="00741D6E">
        <w:t>Concord, N</w:t>
      </w:r>
      <w:r w:rsidR="00AC6386">
        <w:t>orth Carolina</w:t>
      </w:r>
      <w:r w:rsidR="00741D6E">
        <w:t xml:space="preserve"> </w:t>
      </w:r>
      <w:r w:rsidR="00B746F4">
        <w:t>site</w:t>
      </w:r>
      <w:r w:rsidR="00123836">
        <w:t xml:space="preserve">.  North Carolina offers no </w:t>
      </w:r>
      <w:r w:rsidR="00741D6E">
        <w:t xml:space="preserve">reason </w:t>
      </w:r>
      <w:r w:rsidR="00123836">
        <w:t xml:space="preserve">why it </w:t>
      </w:r>
      <w:r w:rsidR="00741D6E">
        <w:t xml:space="preserve">prefers Expansion Band channels to its currently licensed </w:t>
      </w:r>
      <w:r w:rsidR="00123836">
        <w:t>NPSPAC channels</w:t>
      </w:r>
      <w:r w:rsidR="00741D6E">
        <w:t>. N</w:t>
      </w:r>
      <w:r w:rsidR="00AC6386">
        <w:t>either d</w:t>
      </w:r>
      <w:r w:rsidR="00741D6E">
        <w:t xml:space="preserve">oes it explain how the Expansion Band channels would improve either coverage or capacity at the site.  </w:t>
      </w:r>
      <w:r w:rsidR="00123836">
        <w:t xml:space="preserve">  </w:t>
      </w:r>
    </w:p>
    <w:p w:rsidR="006F66B2" w:rsidRDefault="00995197" w:rsidP="00E160B5">
      <w:pPr>
        <w:pStyle w:val="ParaNum"/>
        <w:widowControl/>
      </w:pPr>
      <w:r>
        <w:t>Therefore, because North Carolina has not provided the requisite compelling reason why we should grant it early access to Expansion Band channels, and because doing so would be inequitable to other potential licensees of those channels that must await completion of rebanding in the region, we find that North Carolina has not justified its requested waiver.</w:t>
      </w:r>
    </w:p>
    <w:p w:rsidR="0074239C" w:rsidRDefault="0074239C" w:rsidP="00E160B5">
      <w:pPr>
        <w:pStyle w:val="Heading1"/>
        <w:widowControl/>
      </w:pPr>
      <w:r>
        <w:t>Ordering clauses</w:t>
      </w:r>
    </w:p>
    <w:p w:rsidR="000B65D8" w:rsidRDefault="00CD710B" w:rsidP="000B65D8">
      <w:pPr>
        <w:pStyle w:val="ParaNum"/>
        <w:widowControl/>
      </w:pPr>
      <w:r>
        <w:t xml:space="preserve">Accordingly, IT IS ORDERED that the waiver request associated with ULS </w:t>
      </w:r>
      <w:r w:rsidRPr="00C6523A">
        <w:t xml:space="preserve">File No. </w:t>
      </w:r>
      <w:r w:rsidR="007A6AD9" w:rsidRPr="007A6AD9">
        <w:rPr>
          <w:spacing w:val="-2"/>
        </w:rPr>
        <w:t>0006768268</w:t>
      </w:r>
      <w:r>
        <w:t xml:space="preserve"> filed by </w:t>
      </w:r>
      <w:r w:rsidR="00D73AC5" w:rsidRPr="00D73AC5">
        <w:t>North Carolina State Highway Patrol</w:t>
      </w:r>
      <w:r>
        <w:t xml:space="preserve">, pursuant to Section 1.925 of the Commission’s rules, 47 C.F.R. § 1.925, </w:t>
      </w:r>
      <w:r w:rsidR="00AD0E56">
        <w:t>IS</w:t>
      </w:r>
      <w:r>
        <w:t xml:space="preserve"> </w:t>
      </w:r>
      <w:r w:rsidR="007A6AD9">
        <w:t>DENIED</w:t>
      </w:r>
      <w:r>
        <w:t xml:space="preserve"> and the associated application SHALL BE </w:t>
      </w:r>
      <w:r w:rsidR="007A6AD9">
        <w:t>DISMISSED</w:t>
      </w:r>
      <w:r w:rsidRPr="00367CC7">
        <w:rPr>
          <w:spacing w:val="-2"/>
        </w:rPr>
        <w:t>.</w:t>
      </w:r>
    </w:p>
    <w:p w:rsidR="0074239C" w:rsidRDefault="00CD710B" w:rsidP="00E160B5">
      <w:pPr>
        <w:pStyle w:val="ParaNum"/>
        <w:widowControl/>
      </w:pPr>
      <w:r>
        <w:t xml:space="preserve">This action is taken under delegated authority pursuant to Sections </w:t>
      </w:r>
      <w:r w:rsidR="00AD0E56">
        <w:t>0.191 and 0.392 of the Commission’s rules, 47 C.F.R. §§ 0.191, 0.392</w:t>
      </w:r>
      <w:r>
        <w:t>.</w:t>
      </w:r>
    </w:p>
    <w:p w:rsidR="00DA2826" w:rsidRDefault="00DA2826" w:rsidP="00E160B5">
      <w:pPr>
        <w:pStyle w:val="ParaNum"/>
        <w:widowControl/>
        <w:numPr>
          <w:ilvl w:val="0"/>
          <w:numId w:val="0"/>
        </w:numPr>
        <w:ind w:firstLine="720"/>
      </w:pPr>
    </w:p>
    <w:p w:rsidR="00DA2826" w:rsidRDefault="00DA2826" w:rsidP="00E160B5">
      <w:pPr>
        <w:pStyle w:val="ParaNum"/>
        <w:widowControl/>
        <w:numPr>
          <w:ilvl w:val="0"/>
          <w:numId w:val="0"/>
        </w:numPr>
        <w:spacing w:after="0"/>
        <w:ind w:left="3600" w:firstLine="720"/>
      </w:pPr>
      <w:r>
        <w:t xml:space="preserve">FEDERAL COMMUNICATIONS COMMISSION </w:t>
      </w: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720"/>
      </w:pPr>
    </w:p>
    <w:p w:rsidR="00DA2826" w:rsidRDefault="00DA2826" w:rsidP="00E160B5">
      <w:pPr>
        <w:pStyle w:val="ParaNum"/>
        <w:widowControl/>
        <w:numPr>
          <w:ilvl w:val="0"/>
          <w:numId w:val="0"/>
        </w:numPr>
        <w:spacing w:after="0"/>
        <w:ind w:left="3600" w:firstLine="720"/>
      </w:pPr>
      <w:r>
        <w:t xml:space="preserve">Michael J. Wilhelm  </w:t>
      </w:r>
    </w:p>
    <w:p w:rsidR="00DA2826" w:rsidRDefault="00DA2826" w:rsidP="00E160B5">
      <w:pPr>
        <w:pStyle w:val="ParaNum"/>
        <w:widowControl/>
        <w:numPr>
          <w:ilvl w:val="0"/>
          <w:numId w:val="0"/>
        </w:numPr>
        <w:spacing w:after="0"/>
        <w:ind w:left="3600" w:firstLine="720"/>
      </w:pPr>
      <w:r>
        <w:t xml:space="preserve">Deputy Chief, Policy and Licensing Division </w:t>
      </w:r>
    </w:p>
    <w:p w:rsidR="00DA2826" w:rsidRPr="0074239C" w:rsidRDefault="00DA2826" w:rsidP="00E160B5">
      <w:pPr>
        <w:pStyle w:val="ParaNum"/>
        <w:widowControl/>
        <w:numPr>
          <w:ilvl w:val="0"/>
          <w:numId w:val="0"/>
        </w:numPr>
        <w:spacing w:after="0"/>
        <w:ind w:left="3600" w:firstLine="720"/>
      </w:pPr>
      <w:r>
        <w:t>Public Safety and Homeland Security Bureau</w:t>
      </w:r>
    </w:p>
    <w:sectPr w:rsidR="00DA2826" w:rsidRPr="0074239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4E5" w:rsidRDefault="006354E5">
      <w:pPr>
        <w:spacing w:line="20" w:lineRule="exact"/>
      </w:pPr>
    </w:p>
  </w:endnote>
  <w:endnote w:type="continuationSeparator" w:id="0">
    <w:p w:rsidR="006354E5" w:rsidRDefault="006354E5">
      <w:r>
        <w:t xml:space="preserve"> </w:t>
      </w:r>
    </w:p>
  </w:endnote>
  <w:endnote w:type="continuationNotice" w:id="1">
    <w:p w:rsidR="006354E5" w:rsidRDefault="006354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D44D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4E5" w:rsidRDefault="006354E5">
      <w:r>
        <w:separator/>
      </w:r>
    </w:p>
  </w:footnote>
  <w:footnote w:type="continuationSeparator" w:id="0">
    <w:p w:rsidR="006354E5" w:rsidRDefault="006354E5" w:rsidP="00C721AC">
      <w:pPr>
        <w:spacing w:before="120"/>
        <w:rPr>
          <w:sz w:val="20"/>
        </w:rPr>
      </w:pPr>
      <w:r>
        <w:rPr>
          <w:sz w:val="20"/>
        </w:rPr>
        <w:t xml:space="preserve">(Continued from previous page)  </w:t>
      </w:r>
      <w:r>
        <w:rPr>
          <w:sz w:val="20"/>
        </w:rPr>
        <w:separator/>
      </w:r>
    </w:p>
  </w:footnote>
  <w:footnote w:type="continuationNotice" w:id="1">
    <w:p w:rsidR="006354E5" w:rsidRDefault="006354E5" w:rsidP="00C721AC">
      <w:pPr>
        <w:jc w:val="right"/>
        <w:rPr>
          <w:sz w:val="20"/>
        </w:rPr>
      </w:pPr>
      <w:r>
        <w:rPr>
          <w:sz w:val="20"/>
        </w:rPr>
        <w:t>(continued….)</w:t>
      </w:r>
    </w:p>
  </w:footnote>
  <w:footnote w:id="2">
    <w:p w:rsidR="002E27B5" w:rsidRDefault="002E27B5" w:rsidP="002E27B5">
      <w:pPr>
        <w:pStyle w:val="FootnoteText"/>
      </w:pPr>
      <w:r>
        <w:rPr>
          <w:rStyle w:val="FootnoteReference"/>
        </w:rPr>
        <w:footnoteRef/>
      </w:r>
      <w:r>
        <w:t xml:space="preserve"> </w:t>
      </w:r>
      <w:r>
        <w:rPr>
          <w:i/>
        </w:rPr>
        <w:t>See</w:t>
      </w:r>
      <w:r>
        <w:t xml:space="preserve"> </w:t>
      </w:r>
      <w:r w:rsidR="002D025A">
        <w:t xml:space="preserve">ULS application </w:t>
      </w:r>
      <w:r w:rsidR="008554AF">
        <w:t xml:space="preserve">file </w:t>
      </w:r>
      <w:r w:rsidR="002D025A">
        <w:t xml:space="preserve">no. </w:t>
      </w:r>
      <w:r w:rsidR="00455F79" w:rsidRPr="002E27B5">
        <w:rPr>
          <w:spacing w:val="-2"/>
        </w:rPr>
        <w:t>00067</w:t>
      </w:r>
      <w:r w:rsidR="00455F79">
        <w:rPr>
          <w:spacing w:val="-2"/>
        </w:rPr>
        <w:t>68268</w:t>
      </w:r>
      <w:r w:rsidR="00C36CCB" w:rsidRPr="00C36CCB">
        <w:rPr>
          <w:spacing w:val="-2"/>
        </w:rPr>
        <w:t xml:space="preserve"> </w:t>
      </w:r>
      <w:r w:rsidR="006C5234">
        <w:rPr>
          <w:spacing w:val="-2"/>
        </w:rPr>
        <w:t>(</w:t>
      </w:r>
      <w:r w:rsidR="00C36CCB">
        <w:rPr>
          <w:spacing w:val="-2"/>
        </w:rPr>
        <w:t xml:space="preserve">North Carolina </w:t>
      </w:r>
      <w:r w:rsidR="006C5234">
        <w:rPr>
          <w:spacing w:val="-2"/>
        </w:rPr>
        <w:t xml:space="preserve">Application).  </w:t>
      </w:r>
      <w:r w:rsidR="006C5234" w:rsidRPr="006C5234">
        <w:rPr>
          <w:i/>
          <w:spacing w:val="-2"/>
        </w:rPr>
        <w:t>See also</w:t>
      </w:r>
      <w:r w:rsidR="006C5234">
        <w:rPr>
          <w:spacing w:val="-2"/>
        </w:rPr>
        <w:t xml:space="preserve"> </w:t>
      </w:r>
      <w:r w:rsidR="008554AF">
        <w:rPr>
          <w:spacing w:val="-2"/>
        </w:rPr>
        <w:t xml:space="preserve">attachment </w:t>
      </w:r>
      <w:r w:rsidR="006C5234">
        <w:rPr>
          <w:spacing w:val="-2"/>
        </w:rPr>
        <w:t xml:space="preserve">to </w:t>
      </w:r>
      <w:r w:rsidR="00C36CCB">
        <w:rPr>
          <w:spacing w:val="-2"/>
        </w:rPr>
        <w:t xml:space="preserve">North Carolina </w:t>
      </w:r>
      <w:r w:rsidR="006C5234">
        <w:rPr>
          <w:spacing w:val="-2"/>
        </w:rPr>
        <w:t xml:space="preserve">Application </w:t>
      </w:r>
      <w:r w:rsidR="008554AF">
        <w:rPr>
          <w:spacing w:val="-2"/>
        </w:rPr>
        <w:t>labeled “Wavier</w:t>
      </w:r>
      <w:r w:rsidR="002E6676">
        <w:rPr>
          <w:spacing w:val="-2"/>
        </w:rPr>
        <w:t xml:space="preserve"> – Expansion Band early access</w:t>
      </w:r>
      <w:r w:rsidR="008554AF">
        <w:rPr>
          <w:spacing w:val="-2"/>
        </w:rPr>
        <w:t>” (</w:t>
      </w:r>
      <w:r w:rsidR="002E6676">
        <w:rPr>
          <w:spacing w:val="-2"/>
        </w:rPr>
        <w:t xml:space="preserve">Early Access </w:t>
      </w:r>
      <w:r w:rsidR="008554AF">
        <w:rPr>
          <w:spacing w:val="-2"/>
        </w:rPr>
        <w:t>Waiver Request)</w:t>
      </w:r>
      <w:r w:rsidR="002D025A">
        <w:rPr>
          <w:spacing w:val="-2"/>
        </w:rPr>
        <w:t xml:space="preserve">.  </w:t>
      </w:r>
    </w:p>
  </w:footnote>
  <w:footnote w:id="3">
    <w:p w:rsidR="00C2683C" w:rsidRPr="009379A3" w:rsidRDefault="00C2683C" w:rsidP="00C2683C">
      <w:pPr>
        <w:pStyle w:val="FootnoteText"/>
      </w:pPr>
      <w:r>
        <w:rPr>
          <w:rStyle w:val="FootnoteReference"/>
        </w:rPr>
        <w:footnoteRef/>
      </w:r>
      <w:r>
        <w:t xml:space="preserve"> </w:t>
      </w:r>
      <w:r w:rsidR="002E6676">
        <w:t xml:space="preserve">Early Access Waiver Request.  </w:t>
      </w:r>
      <w:r w:rsidR="0016158F">
        <w:t xml:space="preserve">North Carolina is licensed for over 200 PLMR call signs under FRN </w:t>
      </w:r>
      <w:r w:rsidR="0016158F" w:rsidRPr="0016158F">
        <w:t>0001913888</w:t>
      </w:r>
      <w:r w:rsidR="008554AF">
        <w:t xml:space="preserve">.  </w:t>
      </w:r>
    </w:p>
  </w:footnote>
  <w:footnote w:id="4">
    <w:p w:rsidR="00B76097" w:rsidRDefault="00B76097" w:rsidP="00B76097">
      <w:pPr>
        <w:pStyle w:val="FootnoteText"/>
      </w:pPr>
      <w:r>
        <w:rPr>
          <w:rStyle w:val="FootnoteReference"/>
        </w:rPr>
        <w:footnoteRef/>
      </w:r>
      <w:r>
        <w:t xml:space="preserve"> </w:t>
      </w:r>
      <w:r w:rsidR="00C16643">
        <w:t>Early Access Waiver Request.</w:t>
      </w:r>
    </w:p>
  </w:footnote>
  <w:footnote w:id="5">
    <w:p w:rsidR="00B76097" w:rsidRDefault="00B76097" w:rsidP="00B76097">
      <w:pPr>
        <w:pStyle w:val="FootnoteText"/>
      </w:pPr>
      <w:r>
        <w:rPr>
          <w:rStyle w:val="FootnoteReference"/>
        </w:rPr>
        <w:footnoteRef/>
      </w:r>
      <w:r>
        <w:t xml:space="preserve"> </w:t>
      </w:r>
      <w:r>
        <w:rPr>
          <w:i/>
        </w:rPr>
        <w:t>Id</w:t>
      </w:r>
      <w:r>
        <w:t>.</w:t>
      </w:r>
      <w:r w:rsidR="00C16643">
        <w:t xml:space="preserve">  </w:t>
      </w:r>
      <w:r w:rsidR="00C16643" w:rsidRPr="00C16643">
        <w:rPr>
          <w:i/>
        </w:rPr>
        <w:t>See also</w:t>
      </w:r>
      <w:r w:rsidR="00C16643">
        <w:t xml:space="preserve"> </w:t>
      </w:r>
      <w:r w:rsidR="00C16643">
        <w:rPr>
          <w:spacing w:val="-2"/>
        </w:rPr>
        <w:t>North Carolina Application.</w:t>
      </w:r>
    </w:p>
  </w:footnote>
  <w:footnote w:id="6">
    <w:p w:rsidR="002D025A" w:rsidRDefault="002D025A" w:rsidP="002D025A">
      <w:pPr>
        <w:pStyle w:val="FootnoteText"/>
      </w:pPr>
      <w:r>
        <w:rPr>
          <w:rStyle w:val="FootnoteReference"/>
        </w:rPr>
        <w:footnoteRef/>
      </w:r>
      <w:r>
        <w:t xml:space="preserve"> </w:t>
      </w:r>
      <w:r>
        <w:rPr>
          <w:i/>
        </w:rPr>
        <w:t>See</w:t>
      </w:r>
      <w:r>
        <w:t xml:space="preserve"> 47 C.F.R. §§ 90.615, 90.617.    </w:t>
      </w:r>
    </w:p>
  </w:footnote>
  <w:footnote w:id="7">
    <w:p w:rsidR="0063029E" w:rsidRDefault="0063029E">
      <w:pPr>
        <w:pStyle w:val="FootnoteText"/>
      </w:pPr>
      <w:r>
        <w:rPr>
          <w:rStyle w:val="FootnoteReference"/>
        </w:rPr>
        <w:footnoteRef/>
      </w:r>
      <w:r>
        <w:t xml:space="preserve"> </w:t>
      </w:r>
      <w:r w:rsidRPr="00DC385E">
        <w:t xml:space="preserve">The Expansion Band consists of forty channels </w:t>
      </w:r>
      <w:r>
        <w:t xml:space="preserve">in </w:t>
      </w:r>
      <w:r w:rsidRPr="00DC385E">
        <w:t>the 815-816/860-861 MHz segment of the 800 MHz band intended for PLMR</w:t>
      </w:r>
      <w:r w:rsidR="00995197">
        <w:t xml:space="preserve"> </w:t>
      </w:r>
      <w:r w:rsidRPr="00DC385E">
        <w:t xml:space="preserve">systems that would not be adversely </w:t>
      </w:r>
      <w:r w:rsidR="00995197">
        <w:t>affected</w:t>
      </w:r>
      <w:r w:rsidRPr="00DC385E">
        <w:t xml:space="preserve"> by ESMR and other cellular-architecture systems operating on frequencies above 817/862 MHz.</w:t>
      </w:r>
      <w:r>
        <w:t xml:space="preserve">  </w:t>
      </w:r>
      <w:r w:rsidRPr="001A7E91">
        <w:rPr>
          <w:i/>
        </w:rPr>
        <w:t xml:space="preserve">See </w:t>
      </w:r>
      <w:r w:rsidRPr="001A7E91">
        <w:t xml:space="preserve">Improving Public Safety Communications in the 800 MHz Band, WT Docket 02-55, </w:t>
      </w:r>
      <w:r w:rsidRPr="001A7E91">
        <w:rPr>
          <w:i/>
        </w:rPr>
        <w:t>Report and Order, Fifth Report and Order, Fourth Memorandum Opinion and Order, and Order</w:t>
      </w:r>
      <w:r w:rsidRPr="001A7E91">
        <w:t>, 19 FCC Rcd 14969, 15053 ¶¶ 154-155 (2004)</w:t>
      </w:r>
      <w:r>
        <w:t xml:space="preserve"> (</w:t>
      </w:r>
      <w:r w:rsidRPr="00DD2CA1">
        <w:rPr>
          <w:i/>
        </w:rPr>
        <w:t>800 MHz R&amp;O</w:t>
      </w:r>
      <w:r>
        <w:t>)</w:t>
      </w:r>
      <w:r w:rsidRPr="001A7E91">
        <w:t>.</w:t>
      </w:r>
      <w:r>
        <w:t xml:space="preserve">  </w:t>
      </w:r>
    </w:p>
  </w:footnote>
  <w:footnote w:id="8">
    <w:p w:rsidR="0063029E" w:rsidRPr="0063029E" w:rsidRDefault="0063029E">
      <w:pPr>
        <w:pStyle w:val="FootnoteText"/>
      </w:pPr>
      <w:r>
        <w:rPr>
          <w:rStyle w:val="FootnoteReference"/>
        </w:rPr>
        <w:footnoteRef/>
      </w:r>
      <w:r>
        <w:t xml:space="preserve"> </w:t>
      </w:r>
      <w:r>
        <w:rPr>
          <w:i/>
        </w:rPr>
        <w:t>Id.</w:t>
      </w:r>
      <w:r>
        <w:t xml:space="preserve"> at 15053 </w:t>
      </w:r>
      <w:r w:rsidRPr="001A7E91">
        <w:t>¶ 154</w:t>
      </w:r>
      <w:r>
        <w:t>.</w:t>
      </w:r>
    </w:p>
  </w:footnote>
  <w:footnote w:id="9">
    <w:p w:rsidR="00C15204" w:rsidRDefault="00C15204">
      <w:pPr>
        <w:pStyle w:val="FootnoteText"/>
      </w:pPr>
      <w:r>
        <w:rPr>
          <w:rStyle w:val="FootnoteReference"/>
        </w:rPr>
        <w:footnoteRef/>
      </w:r>
      <w:r>
        <w:t xml:space="preserve"> </w:t>
      </w:r>
      <w:r>
        <w:rPr>
          <w:i/>
        </w:rPr>
        <w:t>Id.</w:t>
      </w:r>
    </w:p>
  </w:footnote>
  <w:footnote w:id="10">
    <w:p w:rsidR="0073700B" w:rsidRDefault="0073700B">
      <w:pPr>
        <w:pStyle w:val="FootnoteText"/>
      </w:pPr>
      <w:r>
        <w:rPr>
          <w:rStyle w:val="FootnoteReference"/>
        </w:rPr>
        <w:footnoteRef/>
      </w:r>
      <w:r>
        <w:t xml:space="preserve"> </w:t>
      </w:r>
      <w:r>
        <w:rPr>
          <w:i/>
        </w:rPr>
        <w:t xml:space="preserve">See </w:t>
      </w:r>
      <w:r w:rsidRPr="0073700B">
        <w:t>Public Safety and Homeland Security Bureau Clarifies the Rights of 800 MHz Public Safety Licensees Electing to Remain in the 800 MHz Expansion Band</w:t>
      </w:r>
      <w:r>
        <w:t xml:space="preserve">, </w:t>
      </w:r>
      <w:r w:rsidRPr="0073700B">
        <w:rPr>
          <w:i/>
        </w:rPr>
        <w:t>Public Notice</w:t>
      </w:r>
      <w:r>
        <w:t xml:space="preserve">, </w:t>
      </w:r>
      <w:r w:rsidRPr="0073700B">
        <w:t>22 FCC Rcd 6803</w:t>
      </w:r>
      <w:r>
        <w:t xml:space="preserve"> (PSHSB 2007)</w:t>
      </w:r>
      <w:r w:rsidR="002F41BA">
        <w:t>(</w:t>
      </w:r>
      <w:r w:rsidR="008D71D2">
        <w:rPr>
          <w:i/>
        </w:rPr>
        <w:t xml:space="preserve">2007 </w:t>
      </w:r>
      <w:r w:rsidR="002F41BA" w:rsidRPr="001A7E91">
        <w:rPr>
          <w:i/>
        </w:rPr>
        <w:t>Expansion Band Guidance PN</w:t>
      </w:r>
      <w:r w:rsidR="002F41BA">
        <w:rPr>
          <w:i/>
        </w:rPr>
        <w:t>)</w:t>
      </w:r>
      <w:r>
        <w:t>.</w:t>
      </w:r>
    </w:p>
  </w:footnote>
  <w:footnote w:id="11">
    <w:p w:rsidR="00FF5605" w:rsidRPr="0073700B" w:rsidRDefault="00FF5605" w:rsidP="00FF5605">
      <w:pPr>
        <w:pStyle w:val="FootnoteText"/>
      </w:pPr>
      <w:r>
        <w:rPr>
          <w:rStyle w:val="FootnoteReference"/>
        </w:rPr>
        <w:footnoteRef/>
      </w:r>
      <w:r>
        <w:t xml:space="preserve"> </w:t>
      </w:r>
      <w:r w:rsidR="0073700B">
        <w:rPr>
          <w:i/>
        </w:rPr>
        <w:t>Id.</w:t>
      </w:r>
      <w:r w:rsidR="0073700B">
        <w:t xml:space="preserve">   </w:t>
      </w:r>
    </w:p>
  </w:footnote>
  <w:footnote w:id="12">
    <w:p w:rsidR="00FF5605" w:rsidRPr="001A7E91" w:rsidRDefault="00FF5605" w:rsidP="00FF5605">
      <w:pPr>
        <w:pStyle w:val="FootnoteText"/>
      </w:pPr>
      <w:r w:rsidRPr="001A7E91">
        <w:rPr>
          <w:rStyle w:val="FootnoteReference"/>
        </w:rPr>
        <w:footnoteRef/>
      </w:r>
      <w:r w:rsidRPr="001A7E91">
        <w:t xml:space="preserve"> In general, inter</w:t>
      </w:r>
      <w:r w:rsidR="002F41BA">
        <w:t>-</w:t>
      </w:r>
      <w:r w:rsidRPr="001A7E91">
        <w:t>category sharing requests</w:t>
      </w:r>
      <w:r w:rsidR="00E160B5">
        <w:t xml:space="preserve"> from public safety entities</w:t>
      </w:r>
      <w:r w:rsidRPr="001A7E91">
        <w:t xml:space="preserve"> require a demonstration that no other suitable public safety channels are available to the applicant.  </w:t>
      </w:r>
      <w:r w:rsidRPr="001A7E91">
        <w:rPr>
          <w:i/>
        </w:rPr>
        <w:t xml:space="preserve">See </w:t>
      </w:r>
      <w:r w:rsidRPr="001A7E91">
        <w:t>47 C.F.R. § 90.617(d).</w:t>
      </w:r>
    </w:p>
  </w:footnote>
  <w:footnote w:id="13">
    <w:p w:rsidR="00FF5605" w:rsidRPr="007B15F4" w:rsidRDefault="00FF5605" w:rsidP="00FF5605">
      <w:pPr>
        <w:pStyle w:val="FootnoteText"/>
      </w:pPr>
      <w:r w:rsidRPr="007B15F4">
        <w:rPr>
          <w:rStyle w:val="FootnoteReference"/>
        </w:rPr>
        <w:footnoteRef/>
      </w:r>
      <w:r w:rsidRPr="007B15F4">
        <w:t xml:space="preserve"> </w:t>
      </w:r>
      <w:r w:rsidR="008D71D2" w:rsidRPr="008D71D2">
        <w:rPr>
          <w:i/>
        </w:rPr>
        <w:t>2007</w:t>
      </w:r>
      <w:r w:rsidR="008D71D2">
        <w:t xml:space="preserve"> </w:t>
      </w:r>
      <w:r w:rsidRPr="001A7E91">
        <w:rPr>
          <w:i/>
        </w:rPr>
        <w:t>Expansion Band Guidance PN</w:t>
      </w:r>
      <w:r>
        <w:rPr>
          <w:i/>
        </w:rPr>
        <w:t xml:space="preserve">, </w:t>
      </w:r>
      <w:r w:rsidRPr="001A7E91">
        <w:t>22 FCC Rcd</w:t>
      </w:r>
      <w:r>
        <w:t xml:space="preserve"> </w:t>
      </w:r>
      <w:r w:rsidRPr="007B15F4">
        <w:t xml:space="preserve">at </w:t>
      </w:r>
      <w:r w:rsidRPr="001A7E91">
        <w:t>6803</w:t>
      </w:r>
      <w:r>
        <w:t>-04.</w:t>
      </w:r>
    </w:p>
  </w:footnote>
  <w:footnote w:id="14">
    <w:p w:rsidR="008D71D2" w:rsidRPr="008D71D2" w:rsidRDefault="008D71D2">
      <w:pPr>
        <w:pStyle w:val="FootnoteText"/>
      </w:pPr>
      <w:r>
        <w:rPr>
          <w:rStyle w:val="FootnoteReference"/>
        </w:rPr>
        <w:footnoteRef/>
      </w:r>
      <w:r>
        <w:t xml:space="preserve"> </w:t>
      </w:r>
      <w:r>
        <w:rPr>
          <w:i/>
        </w:rPr>
        <w:t xml:space="preserve">See </w:t>
      </w:r>
      <w:r w:rsidRPr="008D71D2">
        <w:t>Public Safety and Homeland Security Bureau Clarifies the Process for Accepting Applications from Public Safety Licensees that Elected to Remain in the 800 MHz Expansion Band</w:t>
      </w:r>
      <w:r>
        <w:t xml:space="preserve">, </w:t>
      </w:r>
      <w:r w:rsidRPr="0073700B">
        <w:rPr>
          <w:i/>
        </w:rPr>
        <w:t>Public Notice</w:t>
      </w:r>
      <w:r>
        <w:t xml:space="preserve">, </w:t>
      </w:r>
      <w:r w:rsidRPr="008D71D2">
        <w:t>30 FCC Rcd 3021</w:t>
      </w:r>
      <w:r>
        <w:t xml:space="preserve"> (PSHSB 2015) (</w:t>
      </w:r>
      <w:r>
        <w:rPr>
          <w:i/>
        </w:rPr>
        <w:t xml:space="preserve">2015 </w:t>
      </w:r>
      <w:r w:rsidRPr="001A7E91">
        <w:rPr>
          <w:i/>
        </w:rPr>
        <w:t>Expansion Band Guidance PN</w:t>
      </w:r>
      <w:r>
        <w:t>).</w:t>
      </w:r>
    </w:p>
  </w:footnote>
  <w:footnote w:id="15">
    <w:p w:rsidR="008D71D2" w:rsidRPr="009C64F7" w:rsidRDefault="008D71D2">
      <w:pPr>
        <w:pStyle w:val="FootnoteText"/>
      </w:pPr>
      <w:r>
        <w:rPr>
          <w:rStyle w:val="FootnoteReference"/>
        </w:rPr>
        <w:footnoteRef/>
      </w:r>
      <w:r>
        <w:t xml:space="preserve"> </w:t>
      </w:r>
      <w:r w:rsidR="009C64F7">
        <w:rPr>
          <w:i/>
        </w:rPr>
        <w:t>Id.</w:t>
      </w:r>
      <w:r w:rsidR="009C64F7">
        <w:t xml:space="preserve"> at 3022.</w:t>
      </w:r>
    </w:p>
  </w:footnote>
  <w:footnote w:id="16">
    <w:p w:rsidR="009C64F7" w:rsidRDefault="009C64F7">
      <w:pPr>
        <w:pStyle w:val="FootnoteText"/>
      </w:pPr>
      <w:r>
        <w:rPr>
          <w:rStyle w:val="FootnoteReference"/>
        </w:rPr>
        <w:footnoteRef/>
      </w:r>
      <w:r>
        <w:t xml:space="preserve"> </w:t>
      </w:r>
      <w:r>
        <w:rPr>
          <w:i/>
        </w:rPr>
        <w:t>Id.</w:t>
      </w:r>
    </w:p>
  </w:footnote>
  <w:footnote w:id="17">
    <w:p w:rsidR="009C64F7" w:rsidRDefault="009C64F7">
      <w:pPr>
        <w:pStyle w:val="FootnoteText"/>
      </w:pPr>
      <w:r>
        <w:rPr>
          <w:rStyle w:val="FootnoteReference"/>
        </w:rPr>
        <w:footnoteRef/>
      </w:r>
      <w:r>
        <w:t xml:space="preserve"> </w:t>
      </w:r>
      <w:r>
        <w:rPr>
          <w:i/>
        </w:rPr>
        <w:t>Id.</w:t>
      </w:r>
    </w:p>
  </w:footnote>
  <w:footnote w:id="18">
    <w:p w:rsidR="00920233" w:rsidRDefault="00920233">
      <w:pPr>
        <w:pStyle w:val="FootnoteText"/>
      </w:pPr>
      <w:r>
        <w:rPr>
          <w:rStyle w:val="FootnoteReference"/>
        </w:rPr>
        <w:footnoteRef/>
      </w:r>
      <w:r>
        <w:t xml:space="preserve"> </w:t>
      </w:r>
      <w:r>
        <w:rPr>
          <w:i/>
        </w:rPr>
        <w:t>Id.</w:t>
      </w:r>
    </w:p>
  </w:footnote>
  <w:footnote w:id="19">
    <w:p w:rsidR="00920233" w:rsidRDefault="00920233">
      <w:pPr>
        <w:pStyle w:val="FootnoteText"/>
      </w:pPr>
      <w:r>
        <w:rPr>
          <w:rStyle w:val="FootnoteReference"/>
        </w:rPr>
        <w:footnoteRef/>
      </w:r>
      <w:r>
        <w:t xml:space="preserve"> </w:t>
      </w:r>
      <w:r>
        <w:rPr>
          <w:spacing w:val="-2"/>
        </w:rPr>
        <w:t>Early Access Waiver Request.</w:t>
      </w:r>
    </w:p>
  </w:footnote>
  <w:footnote w:id="20">
    <w:p w:rsidR="00520F6E" w:rsidRPr="00520F6E" w:rsidRDefault="00520F6E">
      <w:pPr>
        <w:pStyle w:val="FootnoteText"/>
      </w:pPr>
      <w:r>
        <w:rPr>
          <w:rStyle w:val="FootnoteReference"/>
        </w:rPr>
        <w:footnoteRef/>
      </w:r>
      <w:r>
        <w:t xml:space="preserve"> </w:t>
      </w:r>
      <w:r>
        <w:rPr>
          <w:i/>
        </w:rPr>
        <w:t xml:space="preserve">See </w:t>
      </w:r>
      <w:r>
        <w:t xml:space="preserve">letter from Wayne E. Eberhard, Frequency Service Manager, North Carolina State Highway Patrol to Federal Communications Commission (Apr 13, 2015) (attached to </w:t>
      </w:r>
      <w:r>
        <w:rPr>
          <w:spacing w:val="-2"/>
        </w:rPr>
        <w:t>North Carolina Application).</w:t>
      </w:r>
    </w:p>
  </w:footnote>
  <w:footnote w:id="21">
    <w:p w:rsidR="00520F6E" w:rsidRDefault="00520F6E">
      <w:pPr>
        <w:pStyle w:val="FootnoteText"/>
      </w:pPr>
      <w:r>
        <w:rPr>
          <w:rStyle w:val="FootnoteReference"/>
        </w:rPr>
        <w:footnoteRef/>
      </w:r>
      <w:r>
        <w:t xml:space="preserve"> </w:t>
      </w:r>
      <w:r>
        <w:rPr>
          <w:spacing w:val="-2"/>
        </w:rPr>
        <w:t>Early Access Waiver Request.</w:t>
      </w:r>
    </w:p>
  </w:footnote>
  <w:footnote w:id="22">
    <w:p w:rsidR="00520F6E" w:rsidRPr="00520F6E" w:rsidRDefault="00520F6E">
      <w:pPr>
        <w:pStyle w:val="FootnoteText"/>
        <w:rPr>
          <w:i/>
        </w:rPr>
      </w:pPr>
      <w:r>
        <w:rPr>
          <w:rStyle w:val="FootnoteReference"/>
        </w:rPr>
        <w:footnoteRef/>
      </w:r>
      <w:r>
        <w:t xml:space="preserve"> </w:t>
      </w:r>
      <w:r>
        <w:rPr>
          <w:i/>
        </w:rPr>
        <w:t>Id.</w:t>
      </w:r>
    </w:p>
  </w:footnote>
  <w:footnote w:id="23">
    <w:p w:rsidR="003622DA" w:rsidRDefault="003622DA" w:rsidP="003622DA">
      <w:pPr>
        <w:pStyle w:val="FootnoteText"/>
      </w:pPr>
      <w:r>
        <w:rPr>
          <w:rStyle w:val="FootnoteReference"/>
        </w:rPr>
        <w:footnoteRef/>
      </w:r>
      <w:r>
        <w:t xml:space="preserve"> 47 C.F.R. § 1.925(b)(3)(i).</w:t>
      </w:r>
    </w:p>
  </w:footnote>
  <w:footnote w:id="24">
    <w:p w:rsidR="003622DA" w:rsidRDefault="003622DA" w:rsidP="003622DA">
      <w:pPr>
        <w:pStyle w:val="FootnoteText"/>
        <w:rPr>
          <w:sz w:val="22"/>
          <w:szCs w:val="22"/>
        </w:rPr>
      </w:pPr>
      <w:r>
        <w:rPr>
          <w:rStyle w:val="FootnoteReference"/>
        </w:rPr>
        <w:footnoteRef/>
      </w:r>
      <w:r>
        <w:t xml:space="preserve"> 47 C.F.R. § 1.925(b)(3)(ii).</w:t>
      </w:r>
    </w:p>
  </w:footnote>
  <w:footnote w:id="25">
    <w:p w:rsidR="00B746F4" w:rsidRPr="00B746F4" w:rsidRDefault="00B746F4">
      <w:pPr>
        <w:pStyle w:val="FootnoteText"/>
      </w:pPr>
      <w:r>
        <w:rPr>
          <w:rStyle w:val="FootnoteReference"/>
        </w:rPr>
        <w:footnoteRef/>
      </w:r>
      <w:r>
        <w:t xml:space="preserve"> </w:t>
      </w:r>
      <w:r>
        <w:rPr>
          <w:i/>
        </w:rPr>
        <w:t xml:space="preserve">2015 </w:t>
      </w:r>
      <w:r w:rsidRPr="001A7E91">
        <w:rPr>
          <w:i/>
        </w:rPr>
        <w:t>Expansion Band Guidance PN</w:t>
      </w:r>
      <w:r>
        <w:t xml:space="preserve">, </w:t>
      </w:r>
      <w:r w:rsidRPr="008D71D2">
        <w:t xml:space="preserve">30 FCC Rcd </w:t>
      </w:r>
      <w:r>
        <w:t xml:space="preserve">at </w:t>
      </w:r>
      <w:r w:rsidRPr="008D71D2">
        <w:t>302</w:t>
      </w:r>
      <w:r>
        <w:t>2.</w:t>
      </w:r>
    </w:p>
  </w:footnote>
  <w:footnote w:id="26">
    <w:p w:rsidR="00B746F4" w:rsidRDefault="00B746F4" w:rsidP="00B746F4">
      <w:pPr>
        <w:pStyle w:val="FootnoteText"/>
      </w:pPr>
      <w:r>
        <w:rPr>
          <w:rStyle w:val="FootnoteReference"/>
        </w:rPr>
        <w:footnoteRef/>
      </w:r>
      <w:r>
        <w:t xml:space="preserve"> </w:t>
      </w:r>
      <w:r>
        <w:rPr>
          <w:i/>
        </w:rPr>
        <w:t>Id.</w:t>
      </w:r>
      <w:r>
        <w:t xml:space="preserve"> </w:t>
      </w:r>
    </w:p>
  </w:footnote>
  <w:footnote w:id="27">
    <w:p w:rsidR="00741D6E" w:rsidRPr="00741D6E" w:rsidRDefault="00741D6E">
      <w:pPr>
        <w:pStyle w:val="FootnoteText"/>
      </w:pPr>
      <w:r>
        <w:rPr>
          <w:rStyle w:val="FootnoteReference"/>
        </w:rPr>
        <w:footnoteRef/>
      </w:r>
      <w:r>
        <w:t xml:space="preserve"> </w:t>
      </w:r>
      <w:r>
        <w:rPr>
          <w:i/>
        </w:rPr>
        <w:t xml:space="preserve">See </w:t>
      </w:r>
      <w:r>
        <w:rPr>
          <w:spacing w:val="-2"/>
        </w:rPr>
        <w:t>North Carolina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F" w:rsidRDefault="004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D7A19">
      <w:t xml:space="preserve">DA </w:t>
    </w:r>
    <w:r w:rsidR="000B65D8">
      <w:t>15-1153</w:t>
    </w:r>
  </w:p>
  <w:p w:rsidR="00D25FB5" w:rsidRDefault="00C6378F">
    <w:pPr>
      <w:tabs>
        <w:tab w:val="left" w:pos="-720"/>
      </w:tabs>
      <w:suppressAutoHyphens/>
      <w:spacing w:line="19" w:lineRule="exact"/>
      <w:rPr>
        <w:spacing w:val="-2"/>
      </w:rPr>
    </w:pPr>
    <w:r>
      <w:rPr>
        <w:noProof/>
      </w:rPr>
      <mc:AlternateContent>
        <mc:Choice Requires="wps">
          <w:drawing>
            <wp:anchor distT="0" distB="0" distL="114300" distR="114300" simplePos="0" relativeHeight="251663872" behindDoc="1" locked="0" layoutInCell="0" allowOverlap="1" wp14:anchorId="1170EF34" wp14:editId="0644C67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0190B9" id="Rectangle 1" o:spid="_x0000_s1026" style="position:absolute;margin-left:0;margin-top:0;width:46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6378F" w:rsidP="00810B6F">
    <w:pPr>
      <w:pStyle w:val="Header"/>
      <w:rPr>
        <w:b w:val="0"/>
      </w:rPr>
    </w:pPr>
    <w:r>
      <w:rPr>
        <w:noProof/>
      </w:rPr>
      <mc:AlternateContent>
        <mc:Choice Requires="wps">
          <w:drawing>
            <wp:anchor distT="0" distB="0" distL="114300" distR="114300" simplePos="0" relativeHeight="251658240" behindDoc="1" locked="0" layoutInCell="0" allowOverlap="1" wp14:anchorId="3495581C" wp14:editId="13A5E85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6C1B6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D7A19">
      <w:rPr>
        <w:spacing w:val="-2"/>
      </w:rPr>
      <w:t xml:space="preserve">DA </w:t>
    </w:r>
    <w:r w:rsidR="000B65D8">
      <w:rPr>
        <w:spacing w:val="-2"/>
      </w:rPr>
      <w:t>15</w:t>
    </w:r>
    <w:r w:rsidR="00FD7A19">
      <w:rPr>
        <w:spacing w:val="-2"/>
      </w:rPr>
      <w:t>-</w:t>
    </w:r>
    <w:r w:rsidR="000B65D8">
      <w:rPr>
        <w:spacing w:val="-2"/>
      </w:rPr>
      <w:t>1153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16E"/>
    <w:multiLevelType w:val="hybridMultilevel"/>
    <w:tmpl w:val="02025E96"/>
    <w:lvl w:ilvl="0" w:tplc="057E11B2">
      <w:start w:val="1"/>
      <w:numFmt w:val="decimal"/>
      <w:lvlText w:val="%1."/>
      <w:lvlJc w:val="left"/>
      <w:pPr>
        <w:tabs>
          <w:tab w:val="num" w:pos="360"/>
        </w:tabs>
        <w:ind w:left="360" w:hanging="360"/>
      </w:pPr>
      <w:rPr>
        <w:rFonts w:ascii="Times New Roman" w:hAnsi="Times New Roman" w:cs="Times New Roman" w:hint="default"/>
        <w:i w:val="0"/>
        <w:color w:val="auto"/>
      </w:rPr>
    </w:lvl>
    <w:lvl w:ilvl="1" w:tplc="04090019">
      <w:start w:val="1"/>
      <w:numFmt w:val="lowerLetter"/>
      <w:lvlText w:val="%2."/>
      <w:lvlJc w:val="left"/>
      <w:pPr>
        <w:tabs>
          <w:tab w:val="num" w:pos="1080"/>
        </w:tabs>
        <w:ind w:left="1080" w:hanging="360"/>
      </w:pPr>
      <w:rPr>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color w:val="auto"/>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6"/>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78F"/>
    <w:rsid w:val="0000376A"/>
    <w:rsid w:val="0001497E"/>
    <w:rsid w:val="00025314"/>
    <w:rsid w:val="00036039"/>
    <w:rsid w:val="00037F90"/>
    <w:rsid w:val="00044C0A"/>
    <w:rsid w:val="000875BF"/>
    <w:rsid w:val="00096D8C"/>
    <w:rsid w:val="000A0167"/>
    <w:rsid w:val="000B65D8"/>
    <w:rsid w:val="000C0B65"/>
    <w:rsid w:val="000C2D1C"/>
    <w:rsid w:val="000D3C5E"/>
    <w:rsid w:val="000D7294"/>
    <w:rsid w:val="000E0181"/>
    <w:rsid w:val="000E05FE"/>
    <w:rsid w:val="000E3D42"/>
    <w:rsid w:val="000E5A9D"/>
    <w:rsid w:val="00114C27"/>
    <w:rsid w:val="00122BD5"/>
    <w:rsid w:val="00123836"/>
    <w:rsid w:val="00132492"/>
    <w:rsid w:val="00133F79"/>
    <w:rsid w:val="00137BE1"/>
    <w:rsid w:val="00152780"/>
    <w:rsid w:val="0016158F"/>
    <w:rsid w:val="00162444"/>
    <w:rsid w:val="00194A66"/>
    <w:rsid w:val="00196091"/>
    <w:rsid w:val="001B7111"/>
    <w:rsid w:val="001C4357"/>
    <w:rsid w:val="001C45F4"/>
    <w:rsid w:val="001D474C"/>
    <w:rsid w:val="001D4A27"/>
    <w:rsid w:val="001D6BCF"/>
    <w:rsid w:val="001E01CA"/>
    <w:rsid w:val="001E2E98"/>
    <w:rsid w:val="001E62E2"/>
    <w:rsid w:val="001F173C"/>
    <w:rsid w:val="001F1EB3"/>
    <w:rsid w:val="0020000B"/>
    <w:rsid w:val="00203B89"/>
    <w:rsid w:val="00203F05"/>
    <w:rsid w:val="002164BA"/>
    <w:rsid w:val="0022138F"/>
    <w:rsid w:val="002321A1"/>
    <w:rsid w:val="0023616F"/>
    <w:rsid w:val="00244DF8"/>
    <w:rsid w:val="00255584"/>
    <w:rsid w:val="002563D8"/>
    <w:rsid w:val="002650E2"/>
    <w:rsid w:val="00275CF5"/>
    <w:rsid w:val="0028301F"/>
    <w:rsid w:val="00285017"/>
    <w:rsid w:val="00294D02"/>
    <w:rsid w:val="002A2D2E"/>
    <w:rsid w:val="002C00E8"/>
    <w:rsid w:val="002D025A"/>
    <w:rsid w:val="002E27B5"/>
    <w:rsid w:val="002E6676"/>
    <w:rsid w:val="002F41BA"/>
    <w:rsid w:val="002F68C0"/>
    <w:rsid w:val="003066E8"/>
    <w:rsid w:val="00320119"/>
    <w:rsid w:val="00325773"/>
    <w:rsid w:val="00332062"/>
    <w:rsid w:val="003376EC"/>
    <w:rsid w:val="00343749"/>
    <w:rsid w:val="003622DA"/>
    <w:rsid w:val="003660ED"/>
    <w:rsid w:val="00367824"/>
    <w:rsid w:val="00370AC1"/>
    <w:rsid w:val="003861DD"/>
    <w:rsid w:val="003B0550"/>
    <w:rsid w:val="003B694F"/>
    <w:rsid w:val="003D100A"/>
    <w:rsid w:val="003E17DE"/>
    <w:rsid w:val="003E185E"/>
    <w:rsid w:val="003F171C"/>
    <w:rsid w:val="00402327"/>
    <w:rsid w:val="0040680E"/>
    <w:rsid w:val="00412FC5"/>
    <w:rsid w:val="00422276"/>
    <w:rsid w:val="004242F1"/>
    <w:rsid w:val="00430905"/>
    <w:rsid w:val="00445A00"/>
    <w:rsid w:val="00451B0F"/>
    <w:rsid w:val="00452CEF"/>
    <w:rsid w:val="00455F79"/>
    <w:rsid w:val="00483355"/>
    <w:rsid w:val="004834AE"/>
    <w:rsid w:val="00492079"/>
    <w:rsid w:val="004A4449"/>
    <w:rsid w:val="004A4A3E"/>
    <w:rsid w:val="004A6821"/>
    <w:rsid w:val="004B0C98"/>
    <w:rsid w:val="004C105A"/>
    <w:rsid w:val="004C2EE3"/>
    <w:rsid w:val="004C6D00"/>
    <w:rsid w:val="004E4A22"/>
    <w:rsid w:val="004F0E8A"/>
    <w:rsid w:val="0050095B"/>
    <w:rsid w:val="00500E70"/>
    <w:rsid w:val="00501736"/>
    <w:rsid w:val="00511968"/>
    <w:rsid w:val="005140D7"/>
    <w:rsid w:val="00520F6E"/>
    <w:rsid w:val="00530681"/>
    <w:rsid w:val="00541EC8"/>
    <w:rsid w:val="00554340"/>
    <w:rsid w:val="0055614C"/>
    <w:rsid w:val="00571B1C"/>
    <w:rsid w:val="00597DA3"/>
    <w:rsid w:val="005C6F82"/>
    <w:rsid w:val="005E14C2"/>
    <w:rsid w:val="005F661E"/>
    <w:rsid w:val="00603D18"/>
    <w:rsid w:val="00607BA5"/>
    <w:rsid w:val="0061180A"/>
    <w:rsid w:val="006215F8"/>
    <w:rsid w:val="00626EB6"/>
    <w:rsid w:val="0063029E"/>
    <w:rsid w:val="006354E5"/>
    <w:rsid w:val="00635A50"/>
    <w:rsid w:val="00642BD0"/>
    <w:rsid w:val="006462D9"/>
    <w:rsid w:val="00653CD2"/>
    <w:rsid w:val="00655D03"/>
    <w:rsid w:val="00670713"/>
    <w:rsid w:val="00677744"/>
    <w:rsid w:val="00683388"/>
    <w:rsid w:val="00683F84"/>
    <w:rsid w:val="006A6A81"/>
    <w:rsid w:val="006C5234"/>
    <w:rsid w:val="006C5D68"/>
    <w:rsid w:val="006C7DF8"/>
    <w:rsid w:val="006D579C"/>
    <w:rsid w:val="006F66B2"/>
    <w:rsid w:val="006F7393"/>
    <w:rsid w:val="0070224F"/>
    <w:rsid w:val="007115F7"/>
    <w:rsid w:val="00721C5D"/>
    <w:rsid w:val="0073700B"/>
    <w:rsid w:val="00741D6E"/>
    <w:rsid w:val="0074239C"/>
    <w:rsid w:val="00744351"/>
    <w:rsid w:val="00751BBE"/>
    <w:rsid w:val="00764FCD"/>
    <w:rsid w:val="00771316"/>
    <w:rsid w:val="00785689"/>
    <w:rsid w:val="0079754B"/>
    <w:rsid w:val="007A1E6D"/>
    <w:rsid w:val="007A6AD9"/>
    <w:rsid w:val="007B0EB2"/>
    <w:rsid w:val="007D61C2"/>
    <w:rsid w:val="007E1346"/>
    <w:rsid w:val="007E20CE"/>
    <w:rsid w:val="00810B6F"/>
    <w:rsid w:val="008200D0"/>
    <w:rsid w:val="00822CE0"/>
    <w:rsid w:val="008270AA"/>
    <w:rsid w:val="00841AB1"/>
    <w:rsid w:val="00845899"/>
    <w:rsid w:val="008554AF"/>
    <w:rsid w:val="00876907"/>
    <w:rsid w:val="00884563"/>
    <w:rsid w:val="00886DEA"/>
    <w:rsid w:val="008B6C90"/>
    <w:rsid w:val="008B72CE"/>
    <w:rsid w:val="008C68F1"/>
    <w:rsid w:val="008C745C"/>
    <w:rsid w:val="008D118C"/>
    <w:rsid w:val="008D6E58"/>
    <w:rsid w:val="008D71D2"/>
    <w:rsid w:val="008E2E3D"/>
    <w:rsid w:val="008F67FB"/>
    <w:rsid w:val="00904C18"/>
    <w:rsid w:val="00920224"/>
    <w:rsid w:val="00920233"/>
    <w:rsid w:val="00921803"/>
    <w:rsid w:val="00926503"/>
    <w:rsid w:val="009333AB"/>
    <w:rsid w:val="00933AED"/>
    <w:rsid w:val="00934154"/>
    <w:rsid w:val="009504A4"/>
    <w:rsid w:val="00970007"/>
    <w:rsid w:val="009726D8"/>
    <w:rsid w:val="0097355C"/>
    <w:rsid w:val="00995197"/>
    <w:rsid w:val="009C64F7"/>
    <w:rsid w:val="009D57BB"/>
    <w:rsid w:val="009F76DB"/>
    <w:rsid w:val="00A03229"/>
    <w:rsid w:val="00A32C3B"/>
    <w:rsid w:val="00A3355E"/>
    <w:rsid w:val="00A360EC"/>
    <w:rsid w:val="00A45F4F"/>
    <w:rsid w:val="00A600A9"/>
    <w:rsid w:val="00A62983"/>
    <w:rsid w:val="00AA55B7"/>
    <w:rsid w:val="00AA5B9E"/>
    <w:rsid w:val="00AB2407"/>
    <w:rsid w:val="00AB53DF"/>
    <w:rsid w:val="00AC6386"/>
    <w:rsid w:val="00AD0E56"/>
    <w:rsid w:val="00AD1EB3"/>
    <w:rsid w:val="00AD44D9"/>
    <w:rsid w:val="00AE038E"/>
    <w:rsid w:val="00AF0FF1"/>
    <w:rsid w:val="00AF74FA"/>
    <w:rsid w:val="00B01A3E"/>
    <w:rsid w:val="00B07E5C"/>
    <w:rsid w:val="00B3264E"/>
    <w:rsid w:val="00B34D71"/>
    <w:rsid w:val="00B42811"/>
    <w:rsid w:val="00B56806"/>
    <w:rsid w:val="00B7333D"/>
    <w:rsid w:val="00B746F4"/>
    <w:rsid w:val="00B76097"/>
    <w:rsid w:val="00B811F7"/>
    <w:rsid w:val="00B873E7"/>
    <w:rsid w:val="00BA5DC6"/>
    <w:rsid w:val="00BA6196"/>
    <w:rsid w:val="00BB04D8"/>
    <w:rsid w:val="00BC6D8C"/>
    <w:rsid w:val="00BD6791"/>
    <w:rsid w:val="00C03ABB"/>
    <w:rsid w:val="00C13BF2"/>
    <w:rsid w:val="00C15204"/>
    <w:rsid w:val="00C16643"/>
    <w:rsid w:val="00C2683C"/>
    <w:rsid w:val="00C34006"/>
    <w:rsid w:val="00C36CCB"/>
    <w:rsid w:val="00C426B1"/>
    <w:rsid w:val="00C527C8"/>
    <w:rsid w:val="00C5559F"/>
    <w:rsid w:val="00C6378F"/>
    <w:rsid w:val="00C66160"/>
    <w:rsid w:val="00C715C2"/>
    <w:rsid w:val="00C721AC"/>
    <w:rsid w:val="00C822EA"/>
    <w:rsid w:val="00C90D6A"/>
    <w:rsid w:val="00C958EE"/>
    <w:rsid w:val="00CA1B55"/>
    <w:rsid w:val="00CA2186"/>
    <w:rsid w:val="00CA247E"/>
    <w:rsid w:val="00CB0777"/>
    <w:rsid w:val="00CB3E6F"/>
    <w:rsid w:val="00CC72B6"/>
    <w:rsid w:val="00CD710B"/>
    <w:rsid w:val="00D0218D"/>
    <w:rsid w:val="00D06455"/>
    <w:rsid w:val="00D06AB9"/>
    <w:rsid w:val="00D119E3"/>
    <w:rsid w:val="00D25FB5"/>
    <w:rsid w:val="00D261E7"/>
    <w:rsid w:val="00D37C74"/>
    <w:rsid w:val="00D44223"/>
    <w:rsid w:val="00D52B5F"/>
    <w:rsid w:val="00D66A84"/>
    <w:rsid w:val="00D71904"/>
    <w:rsid w:val="00D73AC5"/>
    <w:rsid w:val="00D877D5"/>
    <w:rsid w:val="00D922A1"/>
    <w:rsid w:val="00DA12CC"/>
    <w:rsid w:val="00DA2529"/>
    <w:rsid w:val="00DA2826"/>
    <w:rsid w:val="00DB130A"/>
    <w:rsid w:val="00DB2EBB"/>
    <w:rsid w:val="00DC10A1"/>
    <w:rsid w:val="00DC5CE8"/>
    <w:rsid w:val="00DC655F"/>
    <w:rsid w:val="00DD0B59"/>
    <w:rsid w:val="00DD5491"/>
    <w:rsid w:val="00DD555F"/>
    <w:rsid w:val="00DD7EBD"/>
    <w:rsid w:val="00DF0E60"/>
    <w:rsid w:val="00DF62B6"/>
    <w:rsid w:val="00E02EF6"/>
    <w:rsid w:val="00E07225"/>
    <w:rsid w:val="00E160B5"/>
    <w:rsid w:val="00E50213"/>
    <w:rsid w:val="00E5409F"/>
    <w:rsid w:val="00E80A38"/>
    <w:rsid w:val="00EE6488"/>
    <w:rsid w:val="00EF17D9"/>
    <w:rsid w:val="00EF3EC5"/>
    <w:rsid w:val="00F021FA"/>
    <w:rsid w:val="00F147BA"/>
    <w:rsid w:val="00F441BC"/>
    <w:rsid w:val="00F50772"/>
    <w:rsid w:val="00F53272"/>
    <w:rsid w:val="00F62E97"/>
    <w:rsid w:val="00F64209"/>
    <w:rsid w:val="00F93BF5"/>
    <w:rsid w:val="00F95706"/>
    <w:rsid w:val="00F9612C"/>
    <w:rsid w:val="00FA0B0B"/>
    <w:rsid w:val="00FA2B32"/>
    <w:rsid w:val="00FA4C49"/>
    <w:rsid w:val="00FA5083"/>
    <w:rsid w:val="00FB3A79"/>
    <w:rsid w:val="00FD7A19"/>
    <w:rsid w:val="00FF05B4"/>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
    <w:link w:val="FootnoteTextChar"/>
    <w:rsid w:val="000E3D42"/>
    <w:pPr>
      <w:spacing w:after="120"/>
    </w:pPr>
  </w:style>
  <w:style w:type="character" w:styleId="FootnoteReference">
    <w:name w:val="footnote reference"/>
    <w:aliases w:val="Appel note de bas de p,Style 12,(NECG) Footnote Reference,Style 124,Style 13,o,fr,Style 3"/>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2E27B5"/>
  </w:style>
  <w:style w:type="character" w:styleId="PlaceholderText">
    <w:name w:val="Placeholder Text"/>
    <w:basedOn w:val="DefaultParagraphFont"/>
    <w:uiPriority w:val="99"/>
    <w:semiHidden/>
    <w:rsid w:val="002321A1"/>
    <w:rPr>
      <w:color w:val="808080"/>
    </w:rPr>
  </w:style>
  <w:style w:type="paragraph" w:styleId="BalloonText">
    <w:name w:val="Balloon Text"/>
    <w:basedOn w:val="Normal"/>
    <w:link w:val="BalloonTextChar"/>
    <w:rsid w:val="002321A1"/>
    <w:rPr>
      <w:rFonts w:ascii="Tahoma" w:hAnsi="Tahoma" w:cs="Tahoma"/>
      <w:sz w:val="16"/>
      <w:szCs w:val="16"/>
    </w:rPr>
  </w:style>
  <w:style w:type="character" w:customStyle="1" w:styleId="BalloonTextChar">
    <w:name w:val="Balloon Text Char"/>
    <w:basedOn w:val="DefaultParagraphFont"/>
    <w:link w:val="BalloonText"/>
    <w:rsid w:val="002321A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1172</Words>
  <Characters>6327</Characters>
  <Application>Microsoft Office Word</Application>
  <DocSecurity>0</DocSecurity>
  <Lines>119</Lines>
  <Paragraphs>42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2015-09-25T18:15:00Z</cp:lastPrinted>
  <dcterms:created xsi:type="dcterms:W3CDTF">2015-10-09T14:53:00Z</dcterms:created>
  <dcterms:modified xsi:type="dcterms:W3CDTF">2015-10-09T14:53:00Z</dcterms:modified>
  <cp:category> </cp:category>
  <cp:contentStatus> </cp:contentStatus>
</cp:coreProperties>
</file>