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E77B" w14:textId="77777777" w:rsidR="00602577" w:rsidRPr="00620D1F" w:rsidRDefault="00602577">
      <w:pPr>
        <w:pStyle w:val="Header"/>
        <w:tabs>
          <w:tab w:val="clear" w:pos="4320"/>
          <w:tab w:val="clear" w:pos="8640"/>
        </w:tabs>
        <w:rPr>
          <w:szCs w:val="22"/>
        </w:rPr>
        <w:sectPr w:rsidR="00602577" w:rsidRPr="00620D1F" w:rsidSect="0093090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sectPr>
      </w:pPr>
      <w:bookmarkStart w:id="1" w:name="_GoBack"/>
      <w:bookmarkEnd w:id="1"/>
    </w:p>
    <w:p w14:paraId="3D635DB5" w14:textId="601C4CBE" w:rsidR="006B3352" w:rsidRPr="00620D1F" w:rsidRDefault="006B3352" w:rsidP="00986B51">
      <w:pPr>
        <w:spacing w:before="60"/>
        <w:jc w:val="right"/>
        <w:rPr>
          <w:b/>
          <w:szCs w:val="22"/>
        </w:rPr>
      </w:pPr>
      <w:r w:rsidRPr="00620D1F">
        <w:rPr>
          <w:b/>
          <w:szCs w:val="22"/>
        </w:rPr>
        <w:lastRenderedPageBreak/>
        <w:t>DA 15-</w:t>
      </w:r>
      <w:r w:rsidR="001812DE">
        <w:rPr>
          <w:b/>
          <w:szCs w:val="22"/>
        </w:rPr>
        <w:t>1166</w:t>
      </w:r>
    </w:p>
    <w:p w14:paraId="599C8F45" w14:textId="6BE304DE" w:rsidR="006B3352" w:rsidRPr="00620D1F" w:rsidRDefault="00D41169" w:rsidP="006B3352">
      <w:pPr>
        <w:jc w:val="right"/>
        <w:rPr>
          <w:b/>
          <w:szCs w:val="22"/>
        </w:rPr>
      </w:pPr>
      <w:r w:rsidRPr="00620D1F">
        <w:rPr>
          <w:b/>
          <w:szCs w:val="22"/>
        </w:rPr>
        <w:t>Octo</w:t>
      </w:r>
      <w:r w:rsidR="00D01E90" w:rsidRPr="00620D1F">
        <w:rPr>
          <w:b/>
          <w:szCs w:val="22"/>
        </w:rPr>
        <w:t xml:space="preserve">ber </w:t>
      </w:r>
      <w:r w:rsidR="00E77130">
        <w:rPr>
          <w:b/>
          <w:szCs w:val="22"/>
        </w:rPr>
        <w:t>13</w:t>
      </w:r>
      <w:r w:rsidR="00D01E90" w:rsidRPr="00620D1F">
        <w:rPr>
          <w:b/>
          <w:szCs w:val="22"/>
        </w:rPr>
        <w:t>, 2015</w:t>
      </w:r>
    </w:p>
    <w:p w14:paraId="076F80C6" w14:textId="77777777" w:rsidR="00D01E90" w:rsidRPr="00620D1F" w:rsidRDefault="00D01E90" w:rsidP="006B3352">
      <w:pPr>
        <w:jc w:val="right"/>
        <w:rPr>
          <w:szCs w:val="22"/>
        </w:rPr>
      </w:pPr>
    </w:p>
    <w:p w14:paraId="66312327" w14:textId="16D35012" w:rsidR="006B3352" w:rsidRPr="00620D1F" w:rsidRDefault="006B3352" w:rsidP="006B3352">
      <w:pPr>
        <w:jc w:val="center"/>
        <w:rPr>
          <w:b/>
          <w:szCs w:val="22"/>
        </w:rPr>
      </w:pPr>
      <w:r w:rsidRPr="00620D1F">
        <w:rPr>
          <w:b/>
          <w:szCs w:val="22"/>
        </w:rPr>
        <w:t xml:space="preserve">WIRELESS TELECOMMUNICATIONS BUREAU SEEKS COMMENT ON </w:t>
      </w:r>
      <w:r w:rsidR="00BE25BD" w:rsidRPr="00620D1F">
        <w:rPr>
          <w:b/>
          <w:szCs w:val="22"/>
        </w:rPr>
        <w:t>REQUEST</w:t>
      </w:r>
      <w:r w:rsidRPr="00620D1F">
        <w:rPr>
          <w:b/>
          <w:szCs w:val="22"/>
        </w:rPr>
        <w:t xml:space="preserve">S OF </w:t>
      </w:r>
      <w:r w:rsidR="00BE25BD" w:rsidRPr="00620D1F">
        <w:rPr>
          <w:b/>
          <w:szCs w:val="22"/>
        </w:rPr>
        <w:t>AVIAT NETWORKS AND CBF NETWORKS, INC.</w:t>
      </w:r>
      <w:r w:rsidR="00E504C5" w:rsidRPr="00620D1F">
        <w:rPr>
          <w:b/>
          <w:szCs w:val="22"/>
        </w:rPr>
        <w:t xml:space="preserve"> </w:t>
      </w:r>
      <w:r w:rsidR="0027659E">
        <w:rPr>
          <w:b/>
          <w:szCs w:val="22"/>
        </w:rPr>
        <w:t xml:space="preserve">D/B/A FASTBACK NETWORKS </w:t>
      </w:r>
      <w:r w:rsidR="00E504C5" w:rsidRPr="00620D1F">
        <w:rPr>
          <w:b/>
          <w:szCs w:val="22"/>
        </w:rPr>
        <w:t>FOR WAIVER OF CERTAIN ANTENNA REQUIREMENTS IN THE 71-76 AND 81-86 GHZ BANDS</w:t>
      </w:r>
    </w:p>
    <w:p w14:paraId="061E8E40" w14:textId="77777777" w:rsidR="006B3352" w:rsidRPr="00620D1F" w:rsidRDefault="006B3352" w:rsidP="006B3352">
      <w:pPr>
        <w:rPr>
          <w:szCs w:val="22"/>
        </w:rPr>
      </w:pPr>
    </w:p>
    <w:p w14:paraId="5D43E31F" w14:textId="58645472" w:rsidR="006B3352" w:rsidRPr="00620D1F" w:rsidRDefault="006B3352" w:rsidP="006B3352">
      <w:pPr>
        <w:jc w:val="center"/>
        <w:rPr>
          <w:b/>
          <w:szCs w:val="22"/>
        </w:rPr>
      </w:pPr>
      <w:r w:rsidRPr="00620D1F">
        <w:rPr>
          <w:b/>
          <w:szCs w:val="22"/>
        </w:rPr>
        <w:t>WT Docket No. 15-</w:t>
      </w:r>
      <w:r w:rsidR="00826DB1">
        <w:rPr>
          <w:b/>
          <w:szCs w:val="22"/>
        </w:rPr>
        <w:t>244</w:t>
      </w:r>
    </w:p>
    <w:p w14:paraId="106D0D1B" w14:textId="77777777" w:rsidR="006B3352" w:rsidRPr="00620D1F" w:rsidRDefault="006B3352" w:rsidP="006B3352">
      <w:pPr>
        <w:rPr>
          <w:szCs w:val="22"/>
        </w:rPr>
      </w:pPr>
    </w:p>
    <w:p w14:paraId="429C8D6A" w14:textId="0CD35613" w:rsidR="006B3352" w:rsidRPr="00620D1F" w:rsidRDefault="006B3352" w:rsidP="006B3352">
      <w:pPr>
        <w:rPr>
          <w:b/>
          <w:szCs w:val="22"/>
        </w:rPr>
      </w:pPr>
      <w:r w:rsidRPr="00620D1F">
        <w:rPr>
          <w:b/>
          <w:szCs w:val="22"/>
        </w:rPr>
        <w:t xml:space="preserve">Comments due:  </w:t>
      </w:r>
      <w:r w:rsidR="00337607" w:rsidRPr="00620D1F">
        <w:rPr>
          <w:b/>
          <w:szCs w:val="22"/>
        </w:rPr>
        <w:t>Novem</w:t>
      </w:r>
      <w:r w:rsidR="00E504C5" w:rsidRPr="00620D1F">
        <w:rPr>
          <w:b/>
          <w:szCs w:val="22"/>
        </w:rPr>
        <w:t xml:space="preserve">ber </w:t>
      </w:r>
      <w:r w:rsidR="00E77130">
        <w:rPr>
          <w:b/>
          <w:szCs w:val="22"/>
        </w:rPr>
        <w:t>12</w:t>
      </w:r>
      <w:r w:rsidR="005B1CAF" w:rsidRPr="00620D1F">
        <w:rPr>
          <w:b/>
          <w:szCs w:val="22"/>
        </w:rPr>
        <w:t>, 2015</w:t>
      </w:r>
    </w:p>
    <w:p w14:paraId="0AE9F5BA" w14:textId="56917669" w:rsidR="006B3352" w:rsidRPr="00620D1F" w:rsidRDefault="006B3352" w:rsidP="006B3352">
      <w:pPr>
        <w:rPr>
          <w:b/>
          <w:szCs w:val="22"/>
        </w:rPr>
      </w:pPr>
      <w:r w:rsidRPr="00620D1F">
        <w:rPr>
          <w:b/>
          <w:szCs w:val="22"/>
        </w:rPr>
        <w:t xml:space="preserve">Reply Comments due:  </w:t>
      </w:r>
      <w:r w:rsidR="00337607" w:rsidRPr="00620D1F">
        <w:rPr>
          <w:b/>
          <w:szCs w:val="22"/>
        </w:rPr>
        <w:t>Novem</w:t>
      </w:r>
      <w:r w:rsidR="00E504C5" w:rsidRPr="00620D1F">
        <w:rPr>
          <w:b/>
          <w:szCs w:val="22"/>
        </w:rPr>
        <w:t xml:space="preserve">ber </w:t>
      </w:r>
      <w:r w:rsidR="00E77130">
        <w:rPr>
          <w:b/>
          <w:szCs w:val="22"/>
        </w:rPr>
        <w:t>30</w:t>
      </w:r>
      <w:r w:rsidR="005B1CAF" w:rsidRPr="00620D1F">
        <w:rPr>
          <w:b/>
          <w:szCs w:val="22"/>
        </w:rPr>
        <w:t>, 2015</w:t>
      </w:r>
    </w:p>
    <w:p w14:paraId="4C84885B" w14:textId="77777777" w:rsidR="006B3352" w:rsidRPr="00620D1F" w:rsidRDefault="006B3352" w:rsidP="006B3352">
      <w:pPr>
        <w:rPr>
          <w:szCs w:val="22"/>
        </w:rPr>
      </w:pPr>
    </w:p>
    <w:p w14:paraId="4F463268" w14:textId="374CB059" w:rsidR="00767839" w:rsidRPr="00620D1F" w:rsidRDefault="00620D1F" w:rsidP="00620D1F">
      <w:pPr>
        <w:rPr>
          <w:szCs w:val="22"/>
        </w:rPr>
      </w:pPr>
      <w:r>
        <w:rPr>
          <w:szCs w:val="22"/>
        </w:rPr>
        <w:tab/>
      </w:r>
      <w:r w:rsidR="00445B52" w:rsidRPr="00620D1F">
        <w:rPr>
          <w:szCs w:val="22"/>
        </w:rPr>
        <w:t xml:space="preserve">Aviat Networks (Aviat), a </w:t>
      </w:r>
      <w:r w:rsidR="00D41169" w:rsidRPr="00620D1F">
        <w:rPr>
          <w:szCs w:val="22"/>
        </w:rPr>
        <w:t>provider of microwave networking solutions, and CBF Networks, Inc., d/b/a Fastback Networks</w:t>
      </w:r>
      <w:r w:rsidR="00445B52" w:rsidRPr="00620D1F">
        <w:rPr>
          <w:szCs w:val="22"/>
        </w:rPr>
        <w:t xml:space="preserve"> (Fastback)</w:t>
      </w:r>
      <w:r w:rsidR="00D41169" w:rsidRPr="00620D1F">
        <w:rPr>
          <w:szCs w:val="22"/>
        </w:rPr>
        <w:t>, a manufacturer of outdoor wireless networking products,</w:t>
      </w:r>
      <w:r w:rsidR="001044EC" w:rsidRPr="00620D1F">
        <w:rPr>
          <w:szCs w:val="22"/>
        </w:rPr>
        <w:t xml:space="preserve"> </w:t>
      </w:r>
      <w:r w:rsidR="00445B52" w:rsidRPr="00620D1F">
        <w:rPr>
          <w:szCs w:val="22"/>
        </w:rPr>
        <w:t>ha</w:t>
      </w:r>
      <w:r w:rsidR="006B3352" w:rsidRPr="00620D1F">
        <w:rPr>
          <w:szCs w:val="22"/>
        </w:rPr>
        <w:t xml:space="preserve">ve </w:t>
      </w:r>
      <w:r w:rsidR="00445B52" w:rsidRPr="00620D1F">
        <w:rPr>
          <w:szCs w:val="22"/>
        </w:rPr>
        <w:t xml:space="preserve">each </w:t>
      </w:r>
      <w:r w:rsidR="006B3352" w:rsidRPr="00620D1F">
        <w:rPr>
          <w:szCs w:val="22"/>
        </w:rPr>
        <w:t xml:space="preserve">filed </w:t>
      </w:r>
      <w:r w:rsidR="00445B52" w:rsidRPr="00620D1F">
        <w:rPr>
          <w:szCs w:val="22"/>
        </w:rPr>
        <w:t>a request</w:t>
      </w:r>
      <w:r w:rsidR="006B3352" w:rsidRPr="00620D1F">
        <w:rPr>
          <w:szCs w:val="22"/>
        </w:rPr>
        <w:t xml:space="preserve"> for waiver of certain </w:t>
      </w:r>
      <w:r w:rsidR="00445B52" w:rsidRPr="00620D1F">
        <w:rPr>
          <w:szCs w:val="22"/>
        </w:rPr>
        <w:t>antenna standards for the 71-76 and 81-86 GHz bands</w:t>
      </w:r>
      <w:r w:rsidR="006B3352" w:rsidRPr="00620D1F">
        <w:rPr>
          <w:szCs w:val="22"/>
        </w:rPr>
        <w:t xml:space="preserve"> (Waiver Requests).</w:t>
      </w:r>
      <w:r w:rsidR="006B3352" w:rsidRPr="00620D1F">
        <w:rPr>
          <w:rStyle w:val="FootnoteReference"/>
          <w:szCs w:val="22"/>
        </w:rPr>
        <w:footnoteReference w:id="1"/>
      </w:r>
      <w:r w:rsidR="006B3352" w:rsidRPr="00620D1F">
        <w:rPr>
          <w:szCs w:val="22"/>
        </w:rPr>
        <w:t xml:space="preserve">  With this Public Notice, the Wireless Telecommunications Bureau (Bureau) is consolidating its consideration of the </w:t>
      </w:r>
      <w:r w:rsidR="00445B52" w:rsidRPr="00620D1F">
        <w:rPr>
          <w:szCs w:val="22"/>
        </w:rPr>
        <w:t>two</w:t>
      </w:r>
      <w:r w:rsidR="006B3352" w:rsidRPr="00620D1F">
        <w:rPr>
          <w:szCs w:val="22"/>
        </w:rPr>
        <w:t xml:space="preserve"> Waiver Requests and seeking comment on them as described below.</w:t>
      </w:r>
    </w:p>
    <w:p w14:paraId="0DBAA643" w14:textId="14CC9A4E" w:rsidR="00767839" w:rsidRPr="00620D1F" w:rsidRDefault="00767839" w:rsidP="00620D1F">
      <w:pPr>
        <w:ind w:firstLine="720"/>
        <w:rPr>
          <w:szCs w:val="22"/>
        </w:rPr>
      </w:pPr>
    </w:p>
    <w:p w14:paraId="1B2F42EF" w14:textId="5FB83015" w:rsidR="005E4DA7" w:rsidRDefault="00AE4B4C" w:rsidP="00620D1F">
      <w:pPr>
        <w:rPr>
          <w:szCs w:val="22"/>
        </w:rPr>
      </w:pPr>
      <w:r w:rsidRPr="00AE4B4C">
        <w:rPr>
          <w:szCs w:val="22"/>
        </w:rPr>
        <w:tab/>
      </w:r>
      <w:r w:rsidR="00767839" w:rsidRPr="00AE4B4C">
        <w:rPr>
          <w:szCs w:val="22"/>
        </w:rPr>
        <w:t xml:space="preserve">On October 16, 2003, the Commission adopted a </w:t>
      </w:r>
      <w:r w:rsidR="00767839" w:rsidRPr="00AE4B4C">
        <w:rPr>
          <w:i/>
          <w:szCs w:val="22"/>
        </w:rPr>
        <w:t>Report and Order</w:t>
      </w:r>
      <w:r w:rsidR="00767839" w:rsidRPr="00AE4B4C">
        <w:rPr>
          <w:szCs w:val="22"/>
        </w:rPr>
        <w:t xml:space="preserve"> establishing service rules to promote non-Federal development and use of the millimeter wave spectrum in the 71-76 GHz, 81</w:t>
      </w:r>
      <w:r w:rsidR="00767839" w:rsidRPr="00AE4B4C">
        <w:rPr>
          <w:szCs w:val="22"/>
        </w:rPr>
        <w:noBreakHyphen/>
        <w:t>86 GHz, and 92-95 GHz bands, which are allocated to non-Federal Government and Federal Government users on a co-primary basis.</w:t>
      </w:r>
      <w:r w:rsidR="00767839" w:rsidRPr="00AE4B4C">
        <w:rPr>
          <w:rStyle w:val="FootnoteReference"/>
          <w:szCs w:val="22"/>
        </w:rPr>
        <w:footnoteReference w:id="2"/>
      </w:r>
      <w:r w:rsidR="00767839" w:rsidRPr="00AE4B4C">
        <w:rPr>
          <w:szCs w:val="22"/>
        </w:rPr>
        <w:t xml:space="preserve">  Originally, the Commission adopted a maximum EIRP of +55 decibel watt (dBW</w:t>
      </w:r>
      <w:r w:rsidR="00767839" w:rsidRPr="00C00F99">
        <w:rPr>
          <w:szCs w:val="22"/>
        </w:rPr>
        <w:t>) and required a minimum antenna gain of 50 dBi with 0.6 degree half-power bandwidth.</w:t>
      </w:r>
      <w:r w:rsidR="00767839" w:rsidRPr="00AE4B4C">
        <w:rPr>
          <w:rStyle w:val="FootnoteReference"/>
          <w:szCs w:val="22"/>
        </w:rPr>
        <w:footnoteReference w:id="3"/>
      </w:r>
      <w:r w:rsidR="00767839" w:rsidRPr="00AE4B4C">
        <w:rPr>
          <w:szCs w:val="22"/>
        </w:rPr>
        <w:t xml:space="preserve">  On reconsideration</w:t>
      </w:r>
      <w:r w:rsidR="00313F4B">
        <w:rPr>
          <w:szCs w:val="22"/>
        </w:rPr>
        <w:t xml:space="preserve"> </w:t>
      </w:r>
      <w:r w:rsidR="00767839" w:rsidRPr="00AE4B4C">
        <w:rPr>
          <w:szCs w:val="22"/>
        </w:rPr>
        <w:t>the Commission reduced the minimum antenna gain to 43 dBi, with a requirement that the maximum authorized EIRP be reduced by 2 dB for each dB the antenna gain was less than 50 dBi.</w:t>
      </w:r>
      <w:r w:rsidR="00767839" w:rsidRPr="00AE4B4C">
        <w:rPr>
          <w:rStyle w:val="FootnoteReference"/>
          <w:szCs w:val="22"/>
        </w:rPr>
        <w:footnoteReference w:id="4"/>
      </w:r>
    </w:p>
    <w:p w14:paraId="517CCA1F" w14:textId="2D8BA463" w:rsidR="00767839" w:rsidRPr="00620D1F" w:rsidRDefault="00767839" w:rsidP="00620D1F">
      <w:pPr>
        <w:rPr>
          <w:szCs w:val="22"/>
        </w:rPr>
      </w:pPr>
    </w:p>
    <w:p w14:paraId="2470B403" w14:textId="736B19B2" w:rsidR="00ED79F6" w:rsidRPr="00620D1F" w:rsidRDefault="009E625E" w:rsidP="006B3352">
      <w:pPr>
        <w:ind w:firstLine="720"/>
        <w:rPr>
          <w:szCs w:val="22"/>
        </w:rPr>
      </w:pPr>
      <w:r w:rsidRPr="00620D1F">
        <w:rPr>
          <w:szCs w:val="22"/>
        </w:rPr>
        <w:t>Aviat and Fastback</w:t>
      </w:r>
      <w:r w:rsidR="00ED79F6" w:rsidRPr="00620D1F">
        <w:rPr>
          <w:szCs w:val="22"/>
        </w:rPr>
        <w:t xml:space="preserve"> seek partial waivers of Section 101.115 of the Commission’s rules</w:t>
      </w:r>
      <w:r w:rsidR="000848E0" w:rsidRPr="00620D1F">
        <w:rPr>
          <w:rStyle w:val="FootnoteReference"/>
          <w:szCs w:val="22"/>
        </w:rPr>
        <w:footnoteReference w:id="5"/>
      </w:r>
      <w:r w:rsidR="00ED79F6" w:rsidRPr="00620D1F">
        <w:rPr>
          <w:szCs w:val="22"/>
        </w:rPr>
        <w:t xml:space="preserve"> to allow</w:t>
      </w:r>
      <w:r w:rsidR="00094C78">
        <w:rPr>
          <w:szCs w:val="22"/>
        </w:rPr>
        <w:t xml:space="preserve"> them to deploy</w:t>
      </w:r>
      <w:r w:rsidR="00ED79F6" w:rsidRPr="00620D1F">
        <w:rPr>
          <w:szCs w:val="22"/>
        </w:rPr>
        <w:t xml:space="preserve"> smaller antennas</w:t>
      </w:r>
      <w:r w:rsidR="00094C78">
        <w:rPr>
          <w:szCs w:val="22"/>
        </w:rPr>
        <w:t xml:space="preserve"> </w:t>
      </w:r>
      <w:r w:rsidR="00ED79F6" w:rsidRPr="00620D1F">
        <w:rPr>
          <w:szCs w:val="22"/>
        </w:rPr>
        <w:t>in the 71-76 GHz and 81-86 GHz bands.</w:t>
      </w:r>
      <w:r w:rsidR="00ED79F6" w:rsidRPr="00620D1F">
        <w:rPr>
          <w:rStyle w:val="FootnoteReference"/>
          <w:szCs w:val="22"/>
        </w:rPr>
        <w:footnoteReference w:id="6"/>
      </w:r>
      <w:r w:rsidR="00ED79F6" w:rsidRPr="00620D1F">
        <w:rPr>
          <w:szCs w:val="22"/>
        </w:rPr>
        <w:t xml:space="preserve">  Specifically, </w:t>
      </w:r>
      <w:r w:rsidRPr="00620D1F">
        <w:rPr>
          <w:szCs w:val="22"/>
        </w:rPr>
        <w:t>the</w:t>
      </w:r>
      <w:r w:rsidR="00094C78">
        <w:rPr>
          <w:szCs w:val="22"/>
        </w:rPr>
        <w:t>y</w:t>
      </w:r>
      <w:r w:rsidRPr="00620D1F">
        <w:rPr>
          <w:szCs w:val="22"/>
        </w:rPr>
        <w:t xml:space="preserve"> </w:t>
      </w:r>
      <w:r w:rsidR="00094C78">
        <w:rPr>
          <w:szCs w:val="22"/>
        </w:rPr>
        <w:t xml:space="preserve"> r</w:t>
      </w:r>
      <w:r w:rsidR="00ED79F6" w:rsidRPr="00620D1F">
        <w:rPr>
          <w:szCs w:val="22"/>
        </w:rPr>
        <w:t xml:space="preserve">equest: (1) </w:t>
      </w:r>
      <w:r w:rsidR="00094C78">
        <w:rPr>
          <w:szCs w:val="22"/>
        </w:rPr>
        <w:lastRenderedPageBreak/>
        <w:t xml:space="preserve">use of </w:t>
      </w:r>
      <w:r w:rsidR="00ED79F6" w:rsidRPr="00620D1F">
        <w:rPr>
          <w:szCs w:val="22"/>
        </w:rPr>
        <w:t xml:space="preserve">a new suppression table that allows for Category A and B antennas, lower minimum gain (38 vs. 43 dBi), higher maximum beamwidth (2.2 vs. 1.2 degrees), and modified suppression criteria at various angles; (2) application of the co-polar discrimination requirement to the range of angles 2.5-5 degrees from the centerline, rather than 1.2-5 degrees as at present; (3) relaxation of the required cross-polar discrimination from 25 dB to 21 dB; and (4) reduction </w:t>
      </w:r>
      <w:r w:rsidR="00094C78">
        <w:rPr>
          <w:szCs w:val="22"/>
        </w:rPr>
        <w:t>of</w:t>
      </w:r>
      <w:r w:rsidR="00ED79F6" w:rsidRPr="00620D1F">
        <w:rPr>
          <w:szCs w:val="22"/>
        </w:rPr>
        <w:t xml:space="preserve"> the required magnitude of co-polar discrimination from G-28 dB to G-33 dB, where G is the antenna gain in dBi.</w:t>
      </w:r>
      <w:r w:rsidR="00ED79F6" w:rsidRPr="00620D1F">
        <w:rPr>
          <w:rStyle w:val="FootnoteReference"/>
          <w:szCs w:val="22"/>
        </w:rPr>
        <w:footnoteReference w:id="7"/>
      </w:r>
      <w:r w:rsidR="005E4DA7" w:rsidRPr="005E4DA7">
        <w:rPr>
          <w:szCs w:val="22"/>
        </w:rPr>
        <w:t xml:space="preserve"> </w:t>
      </w:r>
      <w:r w:rsidR="0050447E">
        <w:rPr>
          <w:szCs w:val="22"/>
        </w:rPr>
        <w:t xml:space="preserve"> </w:t>
      </w:r>
      <w:r w:rsidR="005E4DA7" w:rsidRPr="00620D1F">
        <w:rPr>
          <w:szCs w:val="22"/>
        </w:rPr>
        <w:t xml:space="preserve">Aviat and Fastback </w:t>
      </w:r>
      <w:r w:rsidR="005E4DA7">
        <w:rPr>
          <w:szCs w:val="22"/>
        </w:rPr>
        <w:t xml:space="preserve">assert </w:t>
      </w:r>
      <w:r w:rsidR="005E4DA7" w:rsidRPr="00620D1F">
        <w:rPr>
          <w:szCs w:val="22"/>
        </w:rPr>
        <w:t xml:space="preserve">that granting the Waiver Requests would </w:t>
      </w:r>
      <w:r w:rsidR="005E4DA7">
        <w:rPr>
          <w:szCs w:val="22"/>
        </w:rPr>
        <w:t xml:space="preserve"> allow deployment of smaller, thinner and lighter antennas, and would </w:t>
      </w:r>
      <w:r w:rsidR="005E4DA7" w:rsidRPr="00620D1F">
        <w:rPr>
          <w:szCs w:val="22"/>
        </w:rPr>
        <w:t>serve the public interest by “stimulat[ing] activity in the un</w:t>
      </w:r>
      <w:r w:rsidR="00DC6F95">
        <w:rPr>
          <w:szCs w:val="22"/>
        </w:rPr>
        <w:t xml:space="preserve">derused 71-76/81-86 GHz bands,” </w:t>
      </w:r>
      <w:r w:rsidR="005E4DA7" w:rsidRPr="00620D1F">
        <w:rPr>
          <w:szCs w:val="22"/>
        </w:rPr>
        <w:t>“with no adverse effect on any party.”</w:t>
      </w:r>
      <w:r w:rsidR="005E4DA7" w:rsidRPr="00620D1F">
        <w:rPr>
          <w:rStyle w:val="FootnoteReference"/>
          <w:szCs w:val="22"/>
        </w:rPr>
        <w:footnoteReference w:id="8"/>
      </w:r>
    </w:p>
    <w:p w14:paraId="04D11618" w14:textId="77777777" w:rsidR="00ED79F6" w:rsidRPr="00620D1F" w:rsidRDefault="00ED79F6" w:rsidP="006B3352">
      <w:pPr>
        <w:ind w:firstLine="720"/>
        <w:rPr>
          <w:szCs w:val="22"/>
        </w:rPr>
      </w:pPr>
    </w:p>
    <w:p w14:paraId="3F052521" w14:textId="58992ED4" w:rsidR="00DC6F95" w:rsidRDefault="00BD2DDF" w:rsidP="005E6FD9">
      <w:pPr>
        <w:spacing w:after="120"/>
        <w:ind w:firstLine="720"/>
        <w:rPr>
          <w:szCs w:val="22"/>
        </w:rPr>
      </w:pPr>
      <w:r w:rsidRPr="00620D1F">
        <w:rPr>
          <w:szCs w:val="22"/>
        </w:rPr>
        <w:t xml:space="preserve">The antenna standards for the 71-76 GHz and 81-86 GHz bands are currently the subject of a </w:t>
      </w:r>
      <w:r w:rsidR="00C00F99">
        <w:rPr>
          <w:szCs w:val="22"/>
        </w:rPr>
        <w:t xml:space="preserve">request </w:t>
      </w:r>
      <w:r w:rsidRPr="00620D1F">
        <w:rPr>
          <w:szCs w:val="22"/>
        </w:rPr>
        <w:t xml:space="preserve">by the Fixed Wireless Communications Coalition (FWCC), which asks the Commission </w:t>
      </w:r>
      <w:r w:rsidR="00E64D56">
        <w:rPr>
          <w:szCs w:val="22"/>
        </w:rPr>
        <w:t xml:space="preserve">to </w:t>
      </w:r>
      <w:r w:rsidR="00C00F99">
        <w:rPr>
          <w:szCs w:val="22"/>
        </w:rPr>
        <w:t xml:space="preserve">amend Section 101.115 of the Commission’s rules </w:t>
      </w:r>
      <w:r w:rsidRPr="00620D1F">
        <w:rPr>
          <w:szCs w:val="22"/>
        </w:rPr>
        <w:t>to relax those antenna standards to allow the use of smaller antennas in those bands.</w:t>
      </w:r>
      <w:r w:rsidRPr="00620D1F">
        <w:rPr>
          <w:rStyle w:val="FootnoteReference"/>
          <w:szCs w:val="22"/>
        </w:rPr>
        <w:footnoteReference w:id="9"/>
      </w:r>
      <w:r w:rsidRPr="00620D1F">
        <w:rPr>
          <w:szCs w:val="22"/>
        </w:rPr>
        <w:t xml:space="preserve">  Aviat and Fastback</w:t>
      </w:r>
      <w:r w:rsidR="00117603" w:rsidRPr="00620D1F">
        <w:rPr>
          <w:szCs w:val="22"/>
        </w:rPr>
        <w:t xml:space="preserve"> </w:t>
      </w:r>
      <w:r w:rsidR="005E4DA7">
        <w:rPr>
          <w:szCs w:val="22"/>
        </w:rPr>
        <w:t xml:space="preserve">specify that they </w:t>
      </w:r>
      <w:r w:rsidR="00117603" w:rsidRPr="00620D1F">
        <w:rPr>
          <w:szCs w:val="22"/>
        </w:rPr>
        <w:t>seek waivers to allow antennas meeting the proposed requirements to be used immediately, prior to the resolution of this rulemaking.</w:t>
      </w:r>
      <w:r w:rsidRPr="00620D1F">
        <w:rPr>
          <w:rStyle w:val="FootnoteReference"/>
          <w:szCs w:val="22"/>
        </w:rPr>
        <w:footnoteReference w:id="10"/>
      </w:r>
      <w:r w:rsidR="005E4DA7">
        <w:rPr>
          <w:szCs w:val="22"/>
        </w:rPr>
        <w:t xml:space="preserve"> </w:t>
      </w:r>
      <w:r w:rsidR="000A6EA4">
        <w:rPr>
          <w:szCs w:val="22"/>
        </w:rPr>
        <w:t xml:space="preserve"> </w:t>
      </w:r>
      <w:r w:rsidR="005E4DA7">
        <w:rPr>
          <w:szCs w:val="22"/>
        </w:rPr>
        <w:t xml:space="preserve">They </w:t>
      </w:r>
      <w:r w:rsidR="001C0125">
        <w:rPr>
          <w:szCs w:val="22"/>
        </w:rPr>
        <w:t xml:space="preserve">propose </w:t>
      </w:r>
      <w:r w:rsidR="00CB4EDD">
        <w:rPr>
          <w:szCs w:val="22"/>
        </w:rPr>
        <w:t xml:space="preserve">several </w:t>
      </w:r>
      <w:r w:rsidR="001C0125">
        <w:rPr>
          <w:szCs w:val="22"/>
        </w:rPr>
        <w:t>conditions on the waivers</w:t>
      </w:r>
      <w:r w:rsidR="00CB4EDD">
        <w:rPr>
          <w:szCs w:val="22"/>
        </w:rPr>
        <w:t>.</w:t>
      </w:r>
      <w:r w:rsidR="005E6FD9">
        <w:rPr>
          <w:rStyle w:val="FootnoteReference"/>
          <w:szCs w:val="22"/>
        </w:rPr>
        <w:footnoteReference w:id="11"/>
      </w:r>
    </w:p>
    <w:p w14:paraId="56A90531" w14:textId="77777777" w:rsidR="006B3352" w:rsidRPr="00620D1F" w:rsidRDefault="006B3352" w:rsidP="00ED79F6">
      <w:pPr>
        <w:rPr>
          <w:szCs w:val="22"/>
        </w:rPr>
      </w:pPr>
    </w:p>
    <w:p w14:paraId="2D391047" w14:textId="510EB2BB" w:rsidR="006B3352" w:rsidRPr="00620D1F" w:rsidRDefault="00BD2DDF" w:rsidP="00620D1F">
      <w:pPr>
        <w:rPr>
          <w:szCs w:val="22"/>
        </w:rPr>
      </w:pPr>
      <w:r w:rsidRPr="00620D1F">
        <w:rPr>
          <w:szCs w:val="22"/>
        </w:rPr>
        <w:tab/>
      </w:r>
      <w:r w:rsidR="0083602E" w:rsidRPr="00620D1F">
        <w:rPr>
          <w:szCs w:val="22"/>
        </w:rPr>
        <w:t>Several entities</w:t>
      </w:r>
      <w:r w:rsidR="003B48B2" w:rsidRPr="00620D1F">
        <w:rPr>
          <w:szCs w:val="22"/>
        </w:rPr>
        <w:t xml:space="preserve">, including </w:t>
      </w:r>
      <w:r w:rsidR="00145432">
        <w:rPr>
          <w:szCs w:val="22"/>
        </w:rPr>
        <w:t>Huber+Su</w:t>
      </w:r>
      <w:r w:rsidR="00925710">
        <w:rPr>
          <w:szCs w:val="22"/>
        </w:rPr>
        <w:t>h</w:t>
      </w:r>
      <w:r w:rsidR="00145432">
        <w:rPr>
          <w:szCs w:val="22"/>
        </w:rPr>
        <w:t xml:space="preserve">ner AG, </w:t>
      </w:r>
      <w:r w:rsidR="003B48B2" w:rsidRPr="00620D1F">
        <w:rPr>
          <w:szCs w:val="22"/>
        </w:rPr>
        <w:t>PEG Bandwi</w:t>
      </w:r>
      <w:r w:rsidR="00722377" w:rsidRPr="00620D1F">
        <w:rPr>
          <w:szCs w:val="22"/>
        </w:rPr>
        <w:t>d</w:t>
      </w:r>
      <w:r w:rsidR="003B48B2" w:rsidRPr="00620D1F">
        <w:rPr>
          <w:szCs w:val="22"/>
        </w:rPr>
        <w:t>th, LLC, T-Mobile USA., Inc., and FWCC,</w:t>
      </w:r>
      <w:r w:rsidR="0083602E" w:rsidRPr="00620D1F">
        <w:rPr>
          <w:szCs w:val="22"/>
        </w:rPr>
        <w:t xml:space="preserve"> have already submitted </w:t>
      </w:r>
      <w:r w:rsidRPr="00620D1F">
        <w:rPr>
          <w:szCs w:val="22"/>
        </w:rPr>
        <w:t xml:space="preserve">comments </w:t>
      </w:r>
      <w:r w:rsidR="0083602E" w:rsidRPr="00620D1F">
        <w:rPr>
          <w:szCs w:val="22"/>
        </w:rPr>
        <w:t>on</w:t>
      </w:r>
      <w:r w:rsidRPr="00620D1F">
        <w:rPr>
          <w:szCs w:val="22"/>
        </w:rPr>
        <w:t xml:space="preserve"> these Waiver Requests.</w:t>
      </w:r>
      <w:r w:rsidRPr="00620D1F">
        <w:rPr>
          <w:rStyle w:val="FootnoteReference"/>
          <w:szCs w:val="22"/>
        </w:rPr>
        <w:footnoteReference w:id="12"/>
      </w:r>
      <w:r w:rsidRPr="00620D1F">
        <w:rPr>
          <w:szCs w:val="22"/>
        </w:rPr>
        <w:t xml:space="preserve">  These comments will be </w:t>
      </w:r>
      <w:r w:rsidR="00145432">
        <w:rPr>
          <w:szCs w:val="22"/>
        </w:rPr>
        <w:t xml:space="preserve">incorporated into this docket and </w:t>
      </w:r>
      <w:r w:rsidRPr="00620D1F">
        <w:rPr>
          <w:szCs w:val="22"/>
        </w:rPr>
        <w:t>included in the record</w:t>
      </w:r>
      <w:r w:rsidR="00891044">
        <w:rPr>
          <w:szCs w:val="22"/>
        </w:rPr>
        <w:t xml:space="preserve"> of this proceeding.</w:t>
      </w:r>
      <w:r w:rsidRPr="00620D1F">
        <w:rPr>
          <w:szCs w:val="22"/>
        </w:rPr>
        <w:t xml:space="preserve"> </w:t>
      </w:r>
      <w:r w:rsidR="00145432" w:rsidRPr="00145432" w:rsidDel="00145432">
        <w:rPr>
          <w:szCs w:val="22"/>
        </w:rPr>
        <w:t xml:space="preserve"> </w:t>
      </w:r>
      <w:r w:rsidR="006B3352" w:rsidRPr="00620D1F">
        <w:rPr>
          <w:szCs w:val="22"/>
        </w:rPr>
        <w:t>Requests for waiver of rules governing Wireless Radio Services are governed under Section 1.925 of the Commission’s rules.</w:t>
      </w:r>
      <w:r w:rsidR="006B3352" w:rsidRPr="00620D1F">
        <w:rPr>
          <w:rStyle w:val="FootnoteReference"/>
          <w:szCs w:val="22"/>
        </w:rPr>
        <w:footnoteReference w:id="13"/>
      </w:r>
      <w:r w:rsidR="006B3352" w:rsidRPr="00620D1F">
        <w:rPr>
          <w:szCs w:val="22"/>
        </w:rPr>
        <w:t xml:space="preserve">  Accordingly, we seek comment on the </w:t>
      </w:r>
      <w:r w:rsidR="00DC6F95">
        <w:rPr>
          <w:szCs w:val="22"/>
        </w:rPr>
        <w:t xml:space="preserve">Aviat and Fastback </w:t>
      </w:r>
      <w:r w:rsidR="006B3352" w:rsidRPr="00620D1F">
        <w:rPr>
          <w:szCs w:val="22"/>
        </w:rPr>
        <w:t xml:space="preserve">Waiver Requests.  </w:t>
      </w:r>
    </w:p>
    <w:p w14:paraId="013247B8" w14:textId="77777777" w:rsidR="006B3352" w:rsidRPr="00620D1F" w:rsidRDefault="006B3352" w:rsidP="006B3352">
      <w:pPr>
        <w:rPr>
          <w:szCs w:val="22"/>
        </w:rPr>
      </w:pPr>
    </w:p>
    <w:p w14:paraId="00F5FBBF" w14:textId="77777777" w:rsidR="006B3352" w:rsidRPr="00620D1F" w:rsidRDefault="006B3352" w:rsidP="00966F74">
      <w:pPr>
        <w:keepNext/>
        <w:rPr>
          <w:b/>
          <w:szCs w:val="22"/>
        </w:rPr>
      </w:pPr>
      <w:r w:rsidRPr="00620D1F">
        <w:rPr>
          <w:b/>
          <w:szCs w:val="22"/>
        </w:rPr>
        <w:lastRenderedPageBreak/>
        <w:t>Procedural Matters</w:t>
      </w:r>
    </w:p>
    <w:p w14:paraId="77C76DB4" w14:textId="77777777" w:rsidR="006B3352" w:rsidRPr="00620D1F" w:rsidRDefault="006B3352" w:rsidP="00966F74">
      <w:pPr>
        <w:keepNext/>
        <w:rPr>
          <w:szCs w:val="22"/>
        </w:rPr>
      </w:pPr>
    </w:p>
    <w:p w14:paraId="38C89B3F" w14:textId="77777777" w:rsidR="006B3352" w:rsidRPr="00620D1F" w:rsidRDefault="006B3352" w:rsidP="00966F74">
      <w:pPr>
        <w:pStyle w:val="Heading2"/>
        <w:rPr>
          <w:szCs w:val="22"/>
        </w:rPr>
      </w:pPr>
      <w:r w:rsidRPr="00620D1F">
        <w:rPr>
          <w:szCs w:val="22"/>
        </w:rPr>
        <w:t>Filing</w:t>
      </w:r>
    </w:p>
    <w:p w14:paraId="02F88CFE" w14:textId="0B1C2876" w:rsidR="006B3352" w:rsidRPr="00620D1F" w:rsidRDefault="006B3352" w:rsidP="006B3352">
      <w:pPr>
        <w:ind w:firstLine="720"/>
        <w:rPr>
          <w:szCs w:val="22"/>
        </w:rPr>
      </w:pPr>
      <w:r w:rsidRPr="00620D1F">
        <w:rPr>
          <w:szCs w:val="22"/>
        </w:rPr>
        <w:t xml:space="preserve">Interested parties may file comments and reply comments on or before the dates indicated on the first page of this document.  Comments may be filed either by filing paper copies or using the Commission’s Electronic Comment Filing System (ECFS).  </w:t>
      </w:r>
      <w:r w:rsidRPr="00620D1F">
        <w:rPr>
          <w:i/>
          <w:szCs w:val="22"/>
        </w:rPr>
        <w:t>See generally</w:t>
      </w:r>
      <w:r w:rsidRPr="00620D1F">
        <w:rPr>
          <w:szCs w:val="22"/>
        </w:rPr>
        <w:t xml:space="preserve"> Electronic Filing of Documents in Rulemaking Proceedings, 63 FR 24121 (1998).  When filing comments, please reference WT Docket No. 15</w:t>
      </w:r>
      <w:r w:rsidR="00862B8E" w:rsidRPr="00620D1F">
        <w:rPr>
          <w:szCs w:val="22"/>
        </w:rPr>
        <w:t>-</w:t>
      </w:r>
      <w:r w:rsidR="007456C0" w:rsidRPr="00620D1F">
        <w:rPr>
          <w:szCs w:val="22"/>
        </w:rPr>
        <w:t>XXX</w:t>
      </w:r>
      <w:r w:rsidRPr="00620D1F">
        <w:rPr>
          <w:szCs w:val="22"/>
        </w:rPr>
        <w:t xml:space="preserve">. </w:t>
      </w:r>
    </w:p>
    <w:p w14:paraId="14459C3B" w14:textId="77777777" w:rsidR="006B3352" w:rsidRPr="00620D1F" w:rsidRDefault="006B3352" w:rsidP="006B3352">
      <w:pPr>
        <w:rPr>
          <w:szCs w:val="22"/>
        </w:rPr>
      </w:pPr>
    </w:p>
    <w:p w14:paraId="4D874081" w14:textId="77777777" w:rsidR="006B3352" w:rsidRPr="00620D1F" w:rsidRDefault="006B3352" w:rsidP="006B3352">
      <w:pPr>
        <w:numPr>
          <w:ilvl w:val="0"/>
          <w:numId w:val="13"/>
        </w:numPr>
        <w:rPr>
          <w:szCs w:val="22"/>
        </w:rPr>
      </w:pPr>
      <w:r w:rsidRPr="00620D1F">
        <w:rPr>
          <w:szCs w:val="22"/>
        </w:rPr>
        <w:t xml:space="preserve">Electronic Filers:  Comments may be filed using the Internet by accessing ECFS:  http://fcc.gov/ecfs// Follow the instructions for submitting comments.  </w:t>
      </w:r>
    </w:p>
    <w:p w14:paraId="58C260C4" w14:textId="77777777" w:rsidR="006B3352" w:rsidRPr="00620D1F" w:rsidRDefault="006B3352" w:rsidP="006B3352">
      <w:pPr>
        <w:numPr>
          <w:ilvl w:val="1"/>
          <w:numId w:val="13"/>
        </w:numPr>
        <w:rPr>
          <w:szCs w:val="22"/>
        </w:rPr>
      </w:pPr>
      <w:r w:rsidRPr="00620D1F">
        <w:rPr>
          <w:szCs w:val="22"/>
        </w:rPr>
        <w:t xml:space="preserve">Generally, only one copy of an electronic submission must be filed and should include the docket or rulemaking number referenced in the caption. In completing the transmittal screen, commenters should include their full name, U.S. Postal Service mailing address, and the applicable docket or rulemaking number. </w:t>
      </w:r>
    </w:p>
    <w:p w14:paraId="3407191E" w14:textId="77777777" w:rsidR="006B3352" w:rsidRPr="00620D1F" w:rsidRDefault="006B3352" w:rsidP="006B3352">
      <w:pPr>
        <w:numPr>
          <w:ilvl w:val="1"/>
          <w:numId w:val="13"/>
        </w:numPr>
        <w:rPr>
          <w:szCs w:val="22"/>
        </w:rPr>
      </w:pPr>
      <w:r w:rsidRPr="00620D1F">
        <w:rPr>
          <w:szCs w:val="22"/>
        </w:rPr>
        <w:t xml:space="preserve">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w:t>
      </w:r>
    </w:p>
    <w:p w14:paraId="0F5B6C8B" w14:textId="77777777" w:rsidR="006B3352" w:rsidRPr="00620D1F" w:rsidRDefault="006B3352" w:rsidP="006B3352">
      <w:pPr>
        <w:ind w:left="720"/>
        <w:rPr>
          <w:szCs w:val="22"/>
        </w:rPr>
      </w:pPr>
    </w:p>
    <w:p w14:paraId="415FBF67" w14:textId="77777777" w:rsidR="006B3352" w:rsidRPr="00620D1F" w:rsidRDefault="006B3352" w:rsidP="006B3352">
      <w:pPr>
        <w:numPr>
          <w:ilvl w:val="0"/>
          <w:numId w:val="13"/>
        </w:numPr>
        <w:rPr>
          <w:szCs w:val="22"/>
        </w:rPr>
      </w:pPr>
      <w:r w:rsidRPr="00620D1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Office of the Secretary, Federal Communications Commission. Paper filings can be submitted by the following methods:</w:t>
      </w:r>
    </w:p>
    <w:p w14:paraId="113EA105" w14:textId="77777777" w:rsidR="006B3352" w:rsidRPr="00620D1F" w:rsidRDefault="006B3352" w:rsidP="006B3352">
      <w:pPr>
        <w:numPr>
          <w:ilvl w:val="1"/>
          <w:numId w:val="13"/>
        </w:numPr>
        <w:rPr>
          <w:szCs w:val="22"/>
        </w:rPr>
      </w:pPr>
      <w:r w:rsidRPr="00620D1F">
        <w:rPr>
          <w:szCs w:val="22"/>
        </w:rPr>
        <w:t>Commercial overnight mail (other than U.S. Postal Service Express Mail and Priority Mail):  Mail to 9300 E. Hampton Dr., Capitol Heights, MD 20743.</w:t>
      </w:r>
    </w:p>
    <w:p w14:paraId="2AB4050D" w14:textId="77777777" w:rsidR="006B3352" w:rsidRPr="00620D1F" w:rsidRDefault="006B3352" w:rsidP="006B3352">
      <w:pPr>
        <w:numPr>
          <w:ilvl w:val="1"/>
          <w:numId w:val="13"/>
        </w:numPr>
        <w:rPr>
          <w:szCs w:val="22"/>
        </w:rPr>
      </w:pPr>
      <w:r w:rsidRPr="00620D1F">
        <w:rPr>
          <w:szCs w:val="22"/>
        </w:rPr>
        <w:t>U.S. Postal Service (First-class, Express and Priority):  Mail to 445 12th St., S.W., Washington, DC 20554.</w:t>
      </w:r>
    </w:p>
    <w:p w14:paraId="57327B18" w14:textId="77777777" w:rsidR="006B3352" w:rsidRPr="00620D1F" w:rsidRDefault="006B3352" w:rsidP="006B3352">
      <w:pPr>
        <w:numPr>
          <w:ilvl w:val="1"/>
          <w:numId w:val="13"/>
        </w:numPr>
        <w:rPr>
          <w:szCs w:val="22"/>
        </w:rPr>
      </w:pPr>
      <w:r w:rsidRPr="00620D1F">
        <w:rPr>
          <w:szCs w:val="22"/>
        </w:rPr>
        <w:t>Hand-delivered/Courier:  Deliver to 445 12th St., S.W., Room TW-A325, Washington, DC 20554.  The filing hours at this location are 8:00 a.m. to 7:00 p.m.  All hand deliveries must be held together with rubber bands or fasteners.  Envelopes and boxes must be disposed of before entering the building.</w:t>
      </w:r>
    </w:p>
    <w:p w14:paraId="46A92A79" w14:textId="77777777" w:rsidR="006B3352" w:rsidRPr="00620D1F" w:rsidRDefault="006B3352" w:rsidP="006B3352">
      <w:pPr>
        <w:rPr>
          <w:szCs w:val="22"/>
        </w:rPr>
      </w:pPr>
      <w:r w:rsidRPr="00620D1F">
        <w:rPr>
          <w:szCs w:val="22"/>
        </w:rPr>
        <w:tab/>
      </w:r>
    </w:p>
    <w:p w14:paraId="62CF4D3B" w14:textId="77777777" w:rsidR="006B3352" w:rsidRPr="00620D1F" w:rsidRDefault="006B3352" w:rsidP="006B3352">
      <w:pPr>
        <w:ind w:firstLine="720"/>
        <w:rPr>
          <w:szCs w:val="22"/>
        </w:rPr>
      </w:pPr>
      <w:r w:rsidRPr="00620D1F">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14:paraId="45D2B224" w14:textId="77777777" w:rsidR="006B3352" w:rsidRPr="00620D1F" w:rsidRDefault="006B3352" w:rsidP="006B3352">
      <w:pPr>
        <w:rPr>
          <w:szCs w:val="22"/>
        </w:rPr>
      </w:pPr>
    </w:p>
    <w:p w14:paraId="3F08E386" w14:textId="77777777" w:rsidR="006B3352" w:rsidRPr="00620D1F" w:rsidRDefault="006B3352" w:rsidP="006B3352">
      <w:pPr>
        <w:pStyle w:val="Heading2"/>
        <w:rPr>
          <w:szCs w:val="22"/>
        </w:rPr>
      </w:pPr>
      <w:r w:rsidRPr="00620D1F">
        <w:rPr>
          <w:szCs w:val="22"/>
        </w:rPr>
        <w:t>Availability of Documents</w:t>
      </w:r>
    </w:p>
    <w:p w14:paraId="530D5A5B" w14:textId="30F819DC" w:rsidR="006B3352" w:rsidRPr="00620D1F" w:rsidRDefault="006B3352" w:rsidP="006B3352">
      <w:pPr>
        <w:ind w:firstLine="720"/>
        <w:rPr>
          <w:szCs w:val="22"/>
        </w:rPr>
      </w:pPr>
      <w:r w:rsidRPr="00620D1F">
        <w:rPr>
          <w:szCs w:val="22"/>
        </w:rPr>
        <w:t>Documents in WT Docket No. 15-</w:t>
      </w:r>
      <w:r w:rsidR="00826DB1">
        <w:rPr>
          <w:szCs w:val="22"/>
        </w:rPr>
        <w:t>244</w:t>
      </w:r>
      <w:r w:rsidRPr="00620D1F">
        <w:rPr>
          <w:szCs w:val="22"/>
        </w:rPr>
        <w:t xml:space="preserve"> will be available for public inspection either through ECFS: </w:t>
      </w:r>
      <w:hyperlink r:id="rId14" w:history="1">
        <w:r w:rsidR="009E2B68" w:rsidRPr="00620D1F">
          <w:rPr>
            <w:rStyle w:val="Hyperlink"/>
            <w:szCs w:val="22"/>
          </w:rPr>
          <w:t>http://apps.fcc.gov/ecfs/</w:t>
        </w:r>
      </w:hyperlink>
      <w:r w:rsidRPr="00620D1F">
        <w:rPr>
          <w:szCs w:val="22"/>
        </w:rPr>
        <w:t xml:space="preserve">, or during regular business hours in the FCC Reference Center (CY-A257) at the Federal Communications Commission, 445 12th Street, SW., Washington, DC, 20554.  These documents will be available electronically in ASCII, Microsoft Word, and/or Adobe Acrobat.  </w:t>
      </w:r>
    </w:p>
    <w:p w14:paraId="207132C0" w14:textId="77777777" w:rsidR="00AE1363" w:rsidRPr="00620D1F" w:rsidRDefault="00AE1363" w:rsidP="006B3352">
      <w:pPr>
        <w:ind w:firstLine="720"/>
        <w:rPr>
          <w:szCs w:val="22"/>
        </w:rPr>
      </w:pPr>
    </w:p>
    <w:p w14:paraId="619F594C" w14:textId="77777777" w:rsidR="006B3352" w:rsidRPr="00620D1F" w:rsidRDefault="006B3352" w:rsidP="006B3352">
      <w:pPr>
        <w:pStyle w:val="Heading2"/>
        <w:rPr>
          <w:szCs w:val="22"/>
        </w:rPr>
      </w:pPr>
      <w:r w:rsidRPr="00620D1F">
        <w:rPr>
          <w:szCs w:val="22"/>
        </w:rPr>
        <w:t>Ex Parte Rules—Permit-But-Disclose Proceeding</w:t>
      </w:r>
    </w:p>
    <w:p w14:paraId="3931AC13" w14:textId="1D819060" w:rsidR="006B3352" w:rsidRPr="00620D1F" w:rsidRDefault="006B3352" w:rsidP="006B3352">
      <w:pPr>
        <w:autoSpaceDE w:val="0"/>
        <w:autoSpaceDN w:val="0"/>
        <w:adjustRightInd w:val="0"/>
        <w:ind w:firstLine="720"/>
        <w:rPr>
          <w:szCs w:val="22"/>
        </w:rPr>
      </w:pPr>
      <w:r w:rsidRPr="00620D1F">
        <w:rPr>
          <w:szCs w:val="22"/>
        </w:rPr>
        <w:t xml:space="preserve">Unless otherwise provided, requests for waiver of the Commission’s Rules are subject to treatment by the Commission as restricted proceedings for </w:t>
      </w:r>
      <w:r w:rsidRPr="00620D1F">
        <w:rPr>
          <w:i/>
          <w:szCs w:val="22"/>
        </w:rPr>
        <w:t>ex parte</w:t>
      </w:r>
      <w:r w:rsidRPr="00620D1F">
        <w:rPr>
          <w:szCs w:val="22"/>
        </w:rPr>
        <w:t xml:space="preserve"> purposes under Section 1.1208 of the Commission’s Rules, 47 C.F.R. § 1.1208.  Because of the policy implications and potential impact of this proceeding on persons not parties to the waiver request, we believe it would be in the public interest to treat this case as a permit-but-disclose proceeding under the </w:t>
      </w:r>
      <w:r w:rsidRPr="00620D1F">
        <w:rPr>
          <w:i/>
          <w:szCs w:val="22"/>
        </w:rPr>
        <w:t xml:space="preserve">ex parte </w:t>
      </w:r>
      <w:r w:rsidRPr="00620D1F">
        <w:rPr>
          <w:szCs w:val="22"/>
        </w:rPr>
        <w:t xml:space="preserve">rules.  </w:t>
      </w:r>
      <w:r w:rsidRPr="00620D1F">
        <w:rPr>
          <w:i/>
          <w:szCs w:val="22"/>
        </w:rPr>
        <w:t>See</w:t>
      </w:r>
      <w:r w:rsidRPr="00620D1F">
        <w:rPr>
          <w:szCs w:val="22"/>
        </w:rPr>
        <w:t xml:space="preserve"> Sections 1.1200(a), 1.1206 of the Commission’s Rules, 47 C.F.R. §§ 1.1200(a), 1.1206.  Therefore, subsequent to the release of this Public Notice, </w:t>
      </w:r>
      <w:r w:rsidRPr="00620D1F">
        <w:rPr>
          <w:i/>
          <w:szCs w:val="22"/>
        </w:rPr>
        <w:t>ex parte</w:t>
      </w:r>
      <w:r w:rsidRPr="00620D1F">
        <w:rPr>
          <w:szCs w:val="22"/>
        </w:rPr>
        <w:t xml:space="preserve"> presentations that are made with respect to the issues involved in the subject Waiver Requests will be allowed but must be disclosed in accordance with the requirements of Section 1.1206(b) of the Commission’s Rules, 47 C.F.R. § 1.1206(b).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14:paraId="41A32B38" w14:textId="77777777" w:rsidR="006B3352" w:rsidRPr="00620D1F" w:rsidRDefault="006B3352" w:rsidP="006B3352">
      <w:pPr>
        <w:rPr>
          <w:szCs w:val="22"/>
        </w:rPr>
      </w:pPr>
    </w:p>
    <w:p w14:paraId="2BBDE6C6" w14:textId="3E420853" w:rsidR="006B3352" w:rsidRPr="00620D1F" w:rsidRDefault="006B3352" w:rsidP="006B3352">
      <w:pPr>
        <w:ind w:firstLine="720"/>
        <w:rPr>
          <w:szCs w:val="22"/>
        </w:rPr>
      </w:pPr>
      <w:r w:rsidRPr="00620D1F">
        <w:rPr>
          <w:b/>
          <w:szCs w:val="22"/>
        </w:rPr>
        <w:t>FOR FURTHER INFORMATION CONTACT:</w:t>
      </w:r>
      <w:r w:rsidRPr="00620D1F">
        <w:rPr>
          <w:szCs w:val="22"/>
        </w:rPr>
        <w:t xml:space="preserve">  </w:t>
      </w:r>
      <w:r w:rsidR="00767839" w:rsidRPr="00620D1F">
        <w:rPr>
          <w:szCs w:val="22"/>
        </w:rPr>
        <w:t>Catherine Schroeder</w:t>
      </w:r>
      <w:r w:rsidRPr="00620D1F">
        <w:rPr>
          <w:szCs w:val="22"/>
        </w:rPr>
        <w:t>, Broadband Division, Wireless Telecommunications Bureau at (202) 418-</w:t>
      </w:r>
      <w:r w:rsidR="00767839" w:rsidRPr="00620D1F">
        <w:rPr>
          <w:szCs w:val="22"/>
        </w:rPr>
        <w:t>1956</w:t>
      </w:r>
      <w:r w:rsidRPr="00620D1F">
        <w:rPr>
          <w:szCs w:val="22"/>
        </w:rPr>
        <w:t xml:space="preserve">, or by e-mail at </w:t>
      </w:r>
      <w:hyperlink r:id="rId15" w:history="1">
        <w:r w:rsidR="00767839" w:rsidRPr="00620D1F">
          <w:rPr>
            <w:rStyle w:val="Hyperlink"/>
            <w:szCs w:val="22"/>
          </w:rPr>
          <w:t>catherine.schroeder@fcc.gov</w:t>
        </w:r>
      </w:hyperlink>
      <w:r w:rsidRPr="00620D1F">
        <w:rPr>
          <w:szCs w:val="22"/>
        </w:rPr>
        <w:t xml:space="preserve">.  </w:t>
      </w:r>
    </w:p>
    <w:p w14:paraId="2F4B1532" w14:textId="77777777" w:rsidR="006B3352" w:rsidRPr="00620D1F" w:rsidRDefault="006B3352" w:rsidP="006B3352">
      <w:pPr>
        <w:rPr>
          <w:szCs w:val="22"/>
        </w:rPr>
      </w:pPr>
    </w:p>
    <w:p w14:paraId="6E78DBC7" w14:textId="77777777" w:rsidR="006B3352" w:rsidRPr="00620D1F" w:rsidRDefault="006B3352" w:rsidP="006B3352">
      <w:pPr>
        <w:ind w:firstLine="720"/>
        <w:rPr>
          <w:szCs w:val="22"/>
        </w:rPr>
      </w:pPr>
      <w:r w:rsidRPr="00620D1F">
        <w:rPr>
          <w:szCs w:val="22"/>
        </w:rPr>
        <w:t>Action by the Chief, Broadband Division, Wireless Telecommunications Bureau.</w:t>
      </w:r>
    </w:p>
    <w:p w14:paraId="2D945F79" w14:textId="77777777" w:rsidR="006B3352" w:rsidRPr="00620D1F" w:rsidRDefault="006B3352" w:rsidP="006B3352">
      <w:pPr>
        <w:rPr>
          <w:szCs w:val="22"/>
        </w:rPr>
      </w:pPr>
    </w:p>
    <w:p w14:paraId="301F7A4D" w14:textId="77777777" w:rsidR="006B3352" w:rsidRPr="00620D1F" w:rsidRDefault="001D2F79" w:rsidP="001D2F79">
      <w:pPr>
        <w:spacing w:before="120" w:after="240"/>
        <w:jc w:val="center"/>
        <w:rPr>
          <w:b/>
          <w:szCs w:val="22"/>
        </w:rPr>
      </w:pPr>
      <w:r w:rsidRPr="00620D1F">
        <w:rPr>
          <w:b/>
          <w:szCs w:val="22"/>
        </w:rPr>
        <w:t>– FCC –</w:t>
      </w:r>
    </w:p>
    <w:p w14:paraId="42A3B18A" w14:textId="77777777" w:rsidR="003B0761" w:rsidRPr="00620D1F" w:rsidRDefault="003B0761" w:rsidP="001D2F79">
      <w:pPr>
        <w:spacing w:before="120" w:after="240"/>
        <w:jc w:val="center"/>
        <w:rPr>
          <w:b/>
          <w:szCs w:val="22"/>
        </w:rPr>
      </w:pPr>
    </w:p>
    <w:p w14:paraId="1CDEE59C" w14:textId="77777777" w:rsidR="00033A49" w:rsidRPr="00620D1F" w:rsidRDefault="00033A49" w:rsidP="006B3352">
      <w:pPr>
        <w:spacing w:before="120" w:after="240"/>
        <w:jc w:val="center"/>
        <w:rPr>
          <w:b/>
          <w:szCs w:val="22"/>
        </w:rPr>
        <w:sectPr w:rsidR="00033A49" w:rsidRPr="00620D1F" w:rsidSect="0048162F">
          <w:type w:val="continuous"/>
          <w:pgSz w:w="12240" w:h="15840" w:code="1"/>
          <w:pgMar w:top="1440" w:right="1440" w:bottom="720" w:left="1440" w:header="720" w:footer="720" w:gutter="0"/>
          <w:cols w:space="720"/>
          <w:docGrid w:linePitch="299"/>
        </w:sectPr>
      </w:pPr>
    </w:p>
    <w:p w14:paraId="3B360EC5" w14:textId="6AEFB868" w:rsidR="00602577" w:rsidRPr="00620D1F" w:rsidRDefault="007456C0" w:rsidP="007456C0">
      <w:pPr>
        <w:spacing w:before="120" w:after="240"/>
        <w:rPr>
          <w:szCs w:val="22"/>
        </w:rPr>
      </w:pPr>
      <w:r w:rsidRPr="00620D1F">
        <w:rPr>
          <w:szCs w:val="22"/>
        </w:rPr>
        <w:t xml:space="preserve"> </w:t>
      </w:r>
    </w:p>
    <w:sectPr w:rsidR="00602577" w:rsidRPr="00620D1F" w:rsidSect="0048162F">
      <w:footnotePr>
        <w:numRestart w:val="eachSect"/>
      </w:footnotePr>
      <w:type w:val="continuous"/>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3330" w14:textId="77777777" w:rsidR="00D61411" w:rsidRDefault="00D61411">
      <w:r>
        <w:separator/>
      </w:r>
    </w:p>
    <w:p w14:paraId="2CFB7941" w14:textId="77777777" w:rsidR="00D61411" w:rsidRDefault="00D61411"/>
  </w:endnote>
  <w:endnote w:type="continuationSeparator" w:id="0">
    <w:p w14:paraId="0873AA24" w14:textId="77777777" w:rsidR="00D61411" w:rsidRDefault="00D61411">
      <w:r>
        <w:continuationSeparator/>
      </w:r>
    </w:p>
    <w:p w14:paraId="5852EB43" w14:textId="77777777" w:rsidR="00D61411" w:rsidRDefault="00D6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31D8" w14:textId="77777777" w:rsidR="008D4621" w:rsidRDefault="008D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16C7" w14:textId="77777777" w:rsidR="006B3352" w:rsidRDefault="006B3352" w:rsidP="00DA719F">
    <w:pPr>
      <w:pStyle w:val="Footer"/>
      <w:jc w:val="center"/>
    </w:pPr>
    <w:r>
      <w:fldChar w:fldCharType="begin"/>
    </w:r>
    <w:r>
      <w:instrText xml:space="preserve"> PAGE   \* MERGEFORMAT </w:instrText>
    </w:r>
    <w:r>
      <w:fldChar w:fldCharType="separate"/>
    </w:r>
    <w:r w:rsidR="00A8016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48A2" w14:textId="77777777" w:rsidR="008D4621" w:rsidRDefault="008D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4706A" w14:textId="77777777" w:rsidR="00D61411" w:rsidRDefault="00D61411">
      <w:r>
        <w:separator/>
      </w:r>
    </w:p>
  </w:footnote>
  <w:footnote w:type="continuationSeparator" w:id="0">
    <w:p w14:paraId="7D6F690F" w14:textId="77777777" w:rsidR="00D61411" w:rsidRDefault="00D61411">
      <w:r>
        <w:continuationSeparator/>
      </w:r>
    </w:p>
    <w:p w14:paraId="361E7224" w14:textId="77777777" w:rsidR="00D61411" w:rsidRDefault="00D61411"/>
  </w:footnote>
  <w:footnote w:id="1">
    <w:p w14:paraId="5774F0AF" w14:textId="56E2A3CA" w:rsidR="00ED79F6" w:rsidRPr="00620D1F" w:rsidRDefault="006B3352" w:rsidP="00620D1F">
      <w:pPr>
        <w:pStyle w:val="FootnoteText"/>
        <w:spacing w:after="120"/>
        <w:rPr>
          <w:sz w:val="20"/>
        </w:rPr>
      </w:pPr>
      <w:r w:rsidRPr="00620D1F">
        <w:rPr>
          <w:rStyle w:val="FootnoteReference"/>
          <w:sz w:val="20"/>
        </w:rPr>
        <w:footnoteRef/>
      </w:r>
      <w:r w:rsidRPr="00620D1F">
        <w:rPr>
          <w:sz w:val="20"/>
        </w:rPr>
        <w:t xml:space="preserve"> </w:t>
      </w:r>
      <w:r w:rsidR="003C066C" w:rsidRPr="00620D1F">
        <w:rPr>
          <w:sz w:val="20"/>
        </w:rPr>
        <w:t>Request for Waiver, Aviat Networks, Inc.</w:t>
      </w:r>
      <w:r w:rsidR="001044EC" w:rsidRPr="00620D1F">
        <w:rPr>
          <w:sz w:val="20"/>
        </w:rPr>
        <w:t xml:space="preserve"> </w:t>
      </w:r>
      <w:r w:rsidR="003C066C" w:rsidRPr="00620D1F">
        <w:rPr>
          <w:sz w:val="20"/>
        </w:rPr>
        <w:t xml:space="preserve">(filed Apr. 5, 2013) </w:t>
      </w:r>
      <w:r w:rsidR="001044EC" w:rsidRPr="00620D1F">
        <w:rPr>
          <w:sz w:val="20"/>
        </w:rPr>
        <w:t>(“Aviat Waiver Request”)</w:t>
      </w:r>
      <w:r w:rsidR="00445B52" w:rsidRPr="00620D1F">
        <w:rPr>
          <w:sz w:val="20"/>
        </w:rPr>
        <w:t xml:space="preserve">; </w:t>
      </w:r>
      <w:r w:rsidR="003C066C" w:rsidRPr="00620D1F">
        <w:rPr>
          <w:sz w:val="20"/>
        </w:rPr>
        <w:t>Amendment to Request for Waiver, Aviat Networks, Inc. (filed Mar. 24, 2014) (“Aviat Amended Waiver Request”)</w:t>
      </w:r>
      <w:r w:rsidR="005F7E6A" w:rsidRPr="00620D1F">
        <w:rPr>
          <w:sz w:val="20"/>
        </w:rPr>
        <w:t>;</w:t>
      </w:r>
      <w:r w:rsidR="003C066C" w:rsidRPr="00620D1F">
        <w:rPr>
          <w:sz w:val="20"/>
        </w:rPr>
        <w:t xml:space="preserve"> CBF Networks, Inc., Request for Waiver (filed June 19, 2015) </w:t>
      </w:r>
      <w:r w:rsidR="001044EC" w:rsidRPr="00620D1F">
        <w:rPr>
          <w:sz w:val="20"/>
        </w:rPr>
        <w:t>(“Fastback Request”)</w:t>
      </w:r>
      <w:r w:rsidR="00445B52" w:rsidRPr="00620D1F">
        <w:rPr>
          <w:sz w:val="20"/>
        </w:rPr>
        <w:t>.</w:t>
      </w:r>
      <w:r w:rsidR="00AE4B4C">
        <w:rPr>
          <w:sz w:val="20"/>
        </w:rPr>
        <w:t xml:space="preserve">  On November 10, 2014, Aviat and Radio Frequency Systems (RFS) asked that RFS be added as a party to the Aviat Waiver Request.  </w:t>
      </w:r>
      <w:r w:rsidR="00AE4B4C" w:rsidRPr="00AE4B4C">
        <w:rPr>
          <w:i/>
          <w:sz w:val="20"/>
        </w:rPr>
        <w:t>See</w:t>
      </w:r>
      <w:r w:rsidR="00AE4B4C" w:rsidRPr="00AE4B4C">
        <w:rPr>
          <w:sz w:val="20"/>
        </w:rPr>
        <w:t xml:space="preserve"> Letter from Mitchell Lazarus, Esq. and Cheng-yi Liu, Esq., Counsel for Aviat U.S., Inc. to Marlene H. Dortch, Secretary, Federal Communications Commission (filed Nov. 10, 2014).  Because Radio Frequency Systems asked to be added on to the Aviat Waiver Request, we address it collectively as the Aviat Waiver Request. </w:t>
      </w:r>
      <w:r w:rsidR="00AE4B4C">
        <w:rPr>
          <w:sz w:val="20"/>
        </w:rPr>
        <w:t xml:space="preserve"> </w:t>
      </w:r>
    </w:p>
  </w:footnote>
  <w:footnote w:id="2">
    <w:p w14:paraId="5CD3EDF0" w14:textId="77777777" w:rsidR="00767839" w:rsidRPr="00AE4B4C" w:rsidRDefault="00767839" w:rsidP="00AE4B4C">
      <w:pPr>
        <w:spacing w:after="120"/>
        <w:rPr>
          <w:sz w:val="20"/>
        </w:rPr>
      </w:pPr>
      <w:r w:rsidRPr="00AE4B4C">
        <w:rPr>
          <w:rStyle w:val="FootnoteReference"/>
          <w:sz w:val="20"/>
        </w:rPr>
        <w:footnoteRef/>
      </w:r>
      <w:r w:rsidRPr="00AE4B4C">
        <w:rPr>
          <w:sz w:val="20"/>
        </w:rPr>
        <w:t xml:space="preserve"> The bands are allocated to both Federal Government and non-Federal Government users on a co-primary basis, except the 94.0-94.1 GHz portion, which is allocated for Federal Government use on a primary basis.  See generally Allocations and Service Rules for the 71-76 GHz, 81-86 GHz, and 92-95 GHz Bands, WT Docket No. 02-146, </w:t>
      </w:r>
      <w:r w:rsidRPr="00AE4B4C">
        <w:rPr>
          <w:i/>
          <w:sz w:val="20"/>
        </w:rPr>
        <w:t>Report and Order</w:t>
      </w:r>
      <w:r w:rsidRPr="00AE4B4C">
        <w:rPr>
          <w:sz w:val="20"/>
        </w:rPr>
        <w:t>, 18 FCC Rcd 23318, 23322-23331 ¶¶ 6-26 (2003) (</w:t>
      </w:r>
      <w:r w:rsidRPr="00AE4B4C">
        <w:rPr>
          <w:i/>
          <w:sz w:val="20"/>
        </w:rPr>
        <w:t>70-80-90 GHz R&amp;O</w:t>
      </w:r>
      <w:r w:rsidRPr="00AE4B4C">
        <w:rPr>
          <w:sz w:val="20"/>
        </w:rPr>
        <w:t>).</w:t>
      </w:r>
    </w:p>
  </w:footnote>
  <w:footnote w:id="3">
    <w:p w14:paraId="3633521F" w14:textId="77777777" w:rsidR="00767839" w:rsidRPr="00620D1F" w:rsidRDefault="00767839" w:rsidP="00620D1F">
      <w:pPr>
        <w:pStyle w:val="FootnoteText"/>
        <w:spacing w:after="120"/>
        <w:rPr>
          <w:sz w:val="20"/>
        </w:rPr>
      </w:pPr>
      <w:r w:rsidRPr="00620D1F">
        <w:rPr>
          <w:rStyle w:val="FootnoteReference"/>
          <w:sz w:val="20"/>
        </w:rPr>
        <w:footnoteRef/>
      </w:r>
      <w:r w:rsidRPr="00620D1F">
        <w:rPr>
          <w:sz w:val="20"/>
        </w:rPr>
        <w:t xml:space="preserve"> </w:t>
      </w:r>
      <w:r w:rsidRPr="00620D1F">
        <w:rPr>
          <w:i/>
          <w:sz w:val="20"/>
        </w:rPr>
        <w:t>70/80/90 GHz R&amp;O</w:t>
      </w:r>
      <w:r w:rsidRPr="00620D1F">
        <w:rPr>
          <w:sz w:val="20"/>
        </w:rPr>
        <w:t>, 18 FCC Rcd at 23355 ¶ 96.</w:t>
      </w:r>
    </w:p>
  </w:footnote>
  <w:footnote w:id="4">
    <w:p w14:paraId="41799A58" w14:textId="77777777" w:rsidR="00767839" w:rsidRPr="00620D1F" w:rsidRDefault="00767839" w:rsidP="00620D1F">
      <w:pPr>
        <w:pStyle w:val="FootnoteText"/>
        <w:spacing w:after="120"/>
        <w:rPr>
          <w:sz w:val="20"/>
        </w:rPr>
      </w:pPr>
      <w:r w:rsidRPr="00620D1F">
        <w:rPr>
          <w:rStyle w:val="FootnoteReference"/>
          <w:sz w:val="20"/>
        </w:rPr>
        <w:footnoteRef/>
      </w:r>
      <w:r w:rsidRPr="00620D1F">
        <w:rPr>
          <w:sz w:val="20"/>
        </w:rPr>
        <w:t xml:space="preserve"> </w:t>
      </w:r>
      <w:r w:rsidRPr="00620D1F">
        <w:rPr>
          <w:i/>
          <w:sz w:val="20"/>
        </w:rPr>
        <w:t>70/80/90 GHz Reconsideration Order</w:t>
      </w:r>
      <w:r w:rsidRPr="00620D1F">
        <w:rPr>
          <w:sz w:val="20"/>
        </w:rPr>
        <w:t>, 20 FCC Rcd at 4906 ¶ 34.</w:t>
      </w:r>
    </w:p>
  </w:footnote>
  <w:footnote w:id="5">
    <w:p w14:paraId="458DF47B" w14:textId="15B9AD84" w:rsidR="000848E0" w:rsidRPr="00620D1F" w:rsidRDefault="000848E0" w:rsidP="00620D1F">
      <w:pPr>
        <w:pStyle w:val="FootnoteText"/>
        <w:spacing w:after="120"/>
        <w:rPr>
          <w:sz w:val="20"/>
        </w:rPr>
      </w:pPr>
      <w:r w:rsidRPr="00620D1F">
        <w:rPr>
          <w:rStyle w:val="FootnoteReference"/>
          <w:sz w:val="20"/>
        </w:rPr>
        <w:footnoteRef/>
      </w:r>
      <w:r w:rsidRPr="00620D1F">
        <w:rPr>
          <w:sz w:val="20"/>
        </w:rPr>
        <w:t xml:space="preserve"> </w:t>
      </w:r>
      <w:r w:rsidR="00A2672B" w:rsidRPr="00620D1F">
        <w:rPr>
          <w:sz w:val="20"/>
        </w:rPr>
        <w:t>47 C.F.R. § 101.115(b).</w:t>
      </w:r>
    </w:p>
  </w:footnote>
  <w:footnote w:id="6">
    <w:p w14:paraId="215BF3A2" w14:textId="12078226" w:rsidR="00ED79F6" w:rsidRPr="00620D1F" w:rsidRDefault="00ED79F6" w:rsidP="00620D1F">
      <w:pPr>
        <w:pStyle w:val="FootnoteText"/>
        <w:spacing w:after="120"/>
        <w:rPr>
          <w:sz w:val="20"/>
        </w:rPr>
      </w:pPr>
      <w:r w:rsidRPr="00620D1F">
        <w:rPr>
          <w:rStyle w:val="FootnoteReference"/>
          <w:sz w:val="20"/>
        </w:rPr>
        <w:footnoteRef/>
      </w:r>
      <w:r w:rsidRPr="00620D1F">
        <w:rPr>
          <w:sz w:val="20"/>
        </w:rPr>
        <w:t xml:space="preserve"> </w:t>
      </w:r>
      <w:r w:rsidR="00A337E3" w:rsidRPr="00620D1F">
        <w:rPr>
          <w:i/>
          <w:sz w:val="20"/>
        </w:rPr>
        <w:t>See</w:t>
      </w:r>
      <w:r w:rsidR="00A337E3" w:rsidRPr="00620D1F">
        <w:rPr>
          <w:sz w:val="20"/>
        </w:rPr>
        <w:t xml:space="preserve"> Aviat Waiver Request at 2</w:t>
      </w:r>
      <w:r w:rsidR="00F67CBB" w:rsidRPr="00620D1F">
        <w:rPr>
          <w:sz w:val="20"/>
        </w:rPr>
        <w:t xml:space="preserve">; Fastback </w:t>
      </w:r>
      <w:r w:rsidR="00C00F99">
        <w:rPr>
          <w:sz w:val="20"/>
        </w:rPr>
        <w:t xml:space="preserve">Waiver </w:t>
      </w:r>
      <w:r w:rsidR="00F67CBB" w:rsidRPr="00620D1F">
        <w:rPr>
          <w:sz w:val="20"/>
        </w:rPr>
        <w:t>Request at 1</w:t>
      </w:r>
      <w:r w:rsidR="00AA6A92" w:rsidRPr="00620D1F">
        <w:rPr>
          <w:sz w:val="20"/>
        </w:rPr>
        <w:t>.</w:t>
      </w:r>
    </w:p>
  </w:footnote>
  <w:footnote w:id="7">
    <w:p w14:paraId="6C2E80A2" w14:textId="6115707A" w:rsidR="00ED79F6" w:rsidRPr="00620D1F" w:rsidRDefault="00ED79F6" w:rsidP="00620D1F">
      <w:pPr>
        <w:pStyle w:val="FootnoteText"/>
        <w:spacing w:after="120"/>
        <w:rPr>
          <w:sz w:val="20"/>
        </w:rPr>
      </w:pPr>
      <w:r w:rsidRPr="00620D1F">
        <w:rPr>
          <w:rStyle w:val="FootnoteReference"/>
          <w:sz w:val="20"/>
        </w:rPr>
        <w:footnoteRef/>
      </w:r>
      <w:r w:rsidRPr="00620D1F">
        <w:rPr>
          <w:sz w:val="20"/>
        </w:rPr>
        <w:t xml:space="preserve"> </w:t>
      </w:r>
      <w:r w:rsidR="00AA6A92" w:rsidRPr="00620D1F">
        <w:rPr>
          <w:sz w:val="20"/>
        </w:rPr>
        <w:t>Aviat Waiv</w:t>
      </w:r>
      <w:r w:rsidR="00F67CBB" w:rsidRPr="00620D1F">
        <w:rPr>
          <w:sz w:val="20"/>
        </w:rPr>
        <w:t>er Request at 10-11</w:t>
      </w:r>
      <w:r w:rsidR="00AA6A92" w:rsidRPr="00620D1F">
        <w:rPr>
          <w:sz w:val="20"/>
        </w:rPr>
        <w:t>, A</w:t>
      </w:r>
      <w:r w:rsidR="00F67CBB" w:rsidRPr="00620D1F">
        <w:rPr>
          <w:sz w:val="20"/>
        </w:rPr>
        <w:t>viat Amended Waiver Request at 2; Fastback Waiver Request at 1</w:t>
      </w:r>
      <w:r w:rsidR="00AA6A92" w:rsidRPr="00620D1F">
        <w:rPr>
          <w:sz w:val="20"/>
        </w:rPr>
        <w:t>.</w:t>
      </w:r>
    </w:p>
  </w:footnote>
  <w:footnote w:id="8">
    <w:p w14:paraId="478D8D0F" w14:textId="3086BAF0" w:rsidR="005E4DA7" w:rsidRPr="00620D1F" w:rsidRDefault="005E4DA7" w:rsidP="005E4DA7">
      <w:pPr>
        <w:pStyle w:val="FootnoteText"/>
        <w:spacing w:after="120"/>
        <w:rPr>
          <w:sz w:val="20"/>
        </w:rPr>
      </w:pPr>
      <w:r w:rsidRPr="00620D1F">
        <w:rPr>
          <w:rStyle w:val="FootnoteReference"/>
          <w:sz w:val="20"/>
        </w:rPr>
        <w:footnoteRef/>
      </w:r>
      <w:r w:rsidRPr="00620D1F">
        <w:rPr>
          <w:sz w:val="20"/>
        </w:rPr>
        <w:t xml:space="preserve"> Aviat Waiver Request at 12; Fastback Waiver Request at 2.</w:t>
      </w:r>
      <w:r w:rsidRPr="005E4DA7">
        <w:rPr>
          <w:szCs w:val="22"/>
        </w:rPr>
        <w:t xml:space="preserve"> </w:t>
      </w:r>
      <w:r w:rsidRPr="005E4DA7">
        <w:rPr>
          <w:sz w:val="20"/>
        </w:rPr>
        <w:t xml:space="preserve">Aviat states that </w:t>
      </w:r>
      <w:r>
        <w:rPr>
          <w:sz w:val="20"/>
        </w:rPr>
        <w:t>an</w:t>
      </w:r>
      <w:r w:rsidRPr="005E4DA7">
        <w:rPr>
          <w:sz w:val="20"/>
        </w:rPr>
        <w:t>tennas meeting the proposed standards will not interfere with existing uses of the band, as the</w:t>
      </w:r>
      <w:r>
        <w:rPr>
          <w:sz w:val="20"/>
        </w:rPr>
        <w:t>y</w:t>
      </w:r>
      <w:r w:rsidRPr="005E4DA7">
        <w:rPr>
          <w:sz w:val="20"/>
        </w:rPr>
        <w:t xml:space="preserve"> would operate at “relatively low power,” and would be installed pursuant to existing coordination procedures</w:t>
      </w:r>
      <w:r>
        <w:rPr>
          <w:sz w:val="20"/>
        </w:rPr>
        <w:t>.  Aviat Waiver Request at 11.</w:t>
      </w:r>
    </w:p>
  </w:footnote>
  <w:footnote w:id="9">
    <w:p w14:paraId="648238D7" w14:textId="72D0EF09" w:rsidR="00BD2DDF" w:rsidRPr="00620D1F" w:rsidRDefault="00BD2DDF" w:rsidP="00620D1F">
      <w:pPr>
        <w:pStyle w:val="FootnoteText"/>
        <w:spacing w:after="120"/>
        <w:rPr>
          <w:sz w:val="20"/>
        </w:rPr>
      </w:pPr>
      <w:r w:rsidRPr="00620D1F">
        <w:rPr>
          <w:rStyle w:val="FootnoteReference"/>
          <w:sz w:val="20"/>
        </w:rPr>
        <w:footnoteRef/>
      </w:r>
      <w:r w:rsidRPr="00620D1F">
        <w:rPr>
          <w:sz w:val="20"/>
        </w:rPr>
        <w:t xml:space="preserve"> </w:t>
      </w:r>
      <w:r w:rsidR="00312586" w:rsidRPr="00620D1F">
        <w:rPr>
          <w:sz w:val="20"/>
        </w:rPr>
        <w:t>Comments of the Fixed Wireless Communications Coalition in Response to the Commission’s Notice of Inquiry</w:t>
      </w:r>
      <w:r w:rsidR="00C00F99">
        <w:rPr>
          <w:sz w:val="20"/>
        </w:rPr>
        <w:t>, WT Docket No. 10-153</w:t>
      </w:r>
      <w:r w:rsidR="00312586" w:rsidRPr="00620D1F">
        <w:rPr>
          <w:sz w:val="20"/>
        </w:rPr>
        <w:t xml:space="preserve"> (filed Oct. 5, 2012); Letter from Mitchell Lazarus, Counsel for the Fixed Wireless Communications Coalition to Marlene H. Dortch, Secretary, Federal Communications Commission</w:t>
      </w:r>
      <w:r w:rsidR="00C00F99">
        <w:rPr>
          <w:sz w:val="20"/>
        </w:rPr>
        <w:t>, WT Docket No. 10-153</w:t>
      </w:r>
      <w:r w:rsidR="00312586" w:rsidRPr="00620D1F">
        <w:rPr>
          <w:sz w:val="20"/>
        </w:rPr>
        <w:t xml:space="preserve"> (filed Apr. 4, 2013).</w:t>
      </w:r>
    </w:p>
  </w:footnote>
  <w:footnote w:id="10">
    <w:p w14:paraId="04C659A5" w14:textId="0B61F30B" w:rsidR="00BD2DDF" w:rsidRPr="00620D1F" w:rsidRDefault="00BD2DDF" w:rsidP="00620D1F">
      <w:pPr>
        <w:pStyle w:val="FootnoteText"/>
        <w:spacing w:after="120"/>
        <w:rPr>
          <w:sz w:val="20"/>
        </w:rPr>
      </w:pPr>
      <w:r w:rsidRPr="00620D1F">
        <w:rPr>
          <w:rStyle w:val="FootnoteReference"/>
          <w:sz w:val="20"/>
        </w:rPr>
        <w:footnoteRef/>
      </w:r>
      <w:r w:rsidRPr="00620D1F">
        <w:rPr>
          <w:sz w:val="20"/>
        </w:rPr>
        <w:t xml:space="preserve"> </w:t>
      </w:r>
      <w:r w:rsidR="00312586" w:rsidRPr="00620D1F">
        <w:rPr>
          <w:sz w:val="20"/>
        </w:rPr>
        <w:t>Aviat Waiver Request at 2; Fastback Waiver Request at 1-2.</w:t>
      </w:r>
    </w:p>
  </w:footnote>
  <w:footnote w:id="11">
    <w:p w14:paraId="1D71556A" w14:textId="49036C53" w:rsidR="005E6FD9" w:rsidRPr="0050447E" w:rsidRDefault="005E6FD9">
      <w:pPr>
        <w:pStyle w:val="FootnoteText"/>
        <w:rPr>
          <w:sz w:val="20"/>
        </w:rPr>
      </w:pPr>
      <w:r w:rsidRPr="0050447E">
        <w:rPr>
          <w:rStyle w:val="FootnoteReference"/>
          <w:sz w:val="20"/>
        </w:rPr>
        <w:footnoteRef/>
      </w:r>
      <w:r w:rsidRPr="0050447E">
        <w:rPr>
          <w:sz w:val="20"/>
        </w:rPr>
        <w:t xml:space="preserve"> Aviat Waiver Request at 13</w:t>
      </w:r>
      <w:r w:rsidR="0050447E">
        <w:rPr>
          <w:sz w:val="20"/>
        </w:rPr>
        <w:t>; Fastback Waiver Request at 1</w:t>
      </w:r>
      <w:r w:rsidRPr="0050447E">
        <w:rPr>
          <w:sz w:val="20"/>
        </w:rPr>
        <w:t>.</w:t>
      </w:r>
    </w:p>
  </w:footnote>
  <w:footnote w:id="12">
    <w:p w14:paraId="1AB80B8A" w14:textId="377241B8" w:rsidR="00BD2DDF" w:rsidRPr="00620D1F" w:rsidRDefault="00BD2DDF" w:rsidP="00620D1F">
      <w:pPr>
        <w:pStyle w:val="FootnoteText"/>
        <w:spacing w:after="120"/>
        <w:rPr>
          <w:sz w:val="20"/>
        </w:rPr>
      </w:pPr>
      <w:r w:rsidRPr="00620D1F">
        <w:rPr>
          <w:rStyle w:val="FootnoteReference"/>
          <w:sz w:val="20"/>
        </w:rPr>
        <w:footnoteRef/>
      </w:r>
      <w:r w:rsidRPr="00620D1F">
        <w:rPr>
          <w:sz w:val="20"/>
        </w:rPr>
        <w:t xml:space="preserve"> </w:t>
      </w:r>
      <w:r w:rsidR="00F6026E" w:rsidRPr="00620D1F">
        <w:rPr>
          <w:sz w:val="20"/>
        </w:rPr>
        <w:t>Letter from Vijay Lewis, Chief Technology Officer for PEG Bandwidth, LLC to Marlene H. Dortch, Secretary, Federal Communications Commission (filed Apr. 10, 2015)</w:t>
      </w:r>
      <w:r w:rsidR="00A47409" w:rsidRPr="00620D1F">
        <w:rPr>
          <w:sz w:val="20"/>
        </w:rPr>
        <w:t xml:space="preserve">; Letter from Kathleen O’Brien Ham, Vice President of </w:t>
      </w:r>
      <w:r w:rsidR="00F6026E" w:rsidRPr="00620D1F">
        <w:rPr>
          <w:sz w:val="20"/>
        </w:rPr>
        <w:t xml:space="preserve">Federal </w:t>
      </w:r>
      <w:r w:rsidR="00A47409" w:rsidRPr="00620D1F">
        <w:rPr>
          <w:sz w:val="20"/>
        </w:rPr>
        <w:t>Regulatory Affairs for T-Mobile US</w:t>
      </w:r>
      <w:r w:rsidR="00F6026E" w:rsidRPr="00620D1F">
        <w:rPr>
          <w:sz w:val="20"/>
        </w:rPr>
        <w:t>A, Inc.</w:t>
      </w:r>
      <w:r w:rsidR="00A47409" w:rsidRPr="00620D1F">
        <w:rPr>
          <w:sz w:val="20"/>
        </w:rPr>
        <w:t xml:space="preserve"> to Marlene H. Dortch, Secretary, Federal Communications Commission (filed </w:t>
      </w:r>
      <w:r w:rsidR="00F6026E" w:rsidRPr="00620D1F">
        <w:rPr>
          <w:sz w:val="20"/>
        </w:rPr>
        <w:t>Mar. 12, 2015</w:t>
      </w:r>
      <w:r w:rsidR="00A47409" w:rsidRPr="00620D1F">
        <w:rPr>
          <w:sz w:val="20"/>
        </w:rPr>
        <w:t>)</w:t>
      </w:r>
      <w:r w:rsidR="00312586" w:rsidRPr="00620D1F">
        <w:rPr>
          <w:sz w:val="20"/>
        </w:rPr>
        <w:t xml:space="preserve">; </w:t>
      </w:r>
      <w:r w:rsidR="00A47409" w:rsidRPr="00620D1F">
        <w:rPr>
          <w:sz w:val="20"/>
        </w:rPr>
        <w:t>Letter from Mitchell Lazarus, Counsel for the Fixed Wireless Communications Coalition to Marlene H. Dortch, Secretary, Federal Communications Commission (filed Mar. 23, 2013)</w:t>
      </w:r>
      <w:r w:rsidR="00312586" w:rsidRPr="00620D1F">
        <w:rPr>
          <w:sz w:val="20"/>
        </w:rPr>
        <w:t xml:space="preserve">; </w:t>
      </w:r>
      <w:r w:rsidR="00F6026E" w:rsidRPr="00620D1F">
        <w:rPr>
          <w:sz w:val="20"/>
        </w:rPr>
        <w:t>Letter from Matthias Fries PhD, Product Line Manager Antennas for Huber+Suhner AG to Mitchell Lazarus, Counsel for the Fixed Wireless Communications Coalition, Forwarded to Marlene H. Dortch, Secretary, Federal Communications Commission (filed Dec. 3, 2013)</w:t>
      </w:r>
      <w:r w:rsidR="00312586" w:rsidRPr="00620D1F">
        <w:rPr>
          <w:sz w:val="20"/>
        </w:rPr>
        <w:t>.</w:t>
      </w:r>
    </w:p>
  </w:footnote>
  <w:footnote w:id="13">
    <w:p w14:paraId="7174E027" w14:textId="77777777" w:rsidR="006B3352" w:rsidRPr="00620D1F" w:rsidRDefault="006B3352" w:rsidP="00620D1F">
      <w:pPr>
        <w:pStyle w:val="FootnoteText"/>
        <w:spacing w:after="120"/>
        <w:rPr>
          <w:sz w:val="20"/>
        </w:rPr>
      </w:pPr>
      <w:r w:rsidRPr="00620D1F">
        <w:rPr>
          <w:rStyle w:val="FootnoteReference"/>
          <w:sz w:val="20"/>
        </w:rPr>
        <w:footnoteRef/>
      </w:r>
      <w:r w:rsidRPr="00620D1F">
        <w:rPr>
          <w:sz w:val="20"/>
        </w:rPr>
        <w:t xml:space="preserve"> 47 C.F.R. § 1.925.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1E34" w14:textId="77777777" w:rsidR="008D4621" w:rsidRDefault="008D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0B4E" w14:textId="77777777" w:rsidR="008D4621" w:rsidRDefault="008D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E855" w14:textId="77777777" w:rsidR="00602577" w:rsidRDefault="00B97913" w:rsidP="00930909">
    <w:pPr>
      <w:pStyle w:val="Header"/>
      <w:tabs>
        <w:tab w:val="clear" w:pos="4320"/>
        <w:tab w:val="clear" w:pos="8640"/>
      </w:tabs>
      <w:rPr>
        <w:rFonts w:ascii="News Gothic MT" w:hAnsi="News Gothic MT"/>
        <w:b/>
        <w:kern w:val="28"/>
        <w:sz w:val="96"/>
      </w:rPr>
    </w:pPr>
    <w:r>
      <w:rPr>
        <w:rFonts w:ascii="News Gothic MT" w:hAnsi="News Gothic MT"/>
        <w:b/>
        <w:noProof/>
        <w:sz w:val="24"/>
      </w:rPr>
      <w:drawing>
        <wp:inline distT="0" distB="0" distL="0" distR="0" wp14:anchorId="0B630EA4" wp14:editId="5D7C0EE5">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5A43">
      <w:rPr>
        <w:rFonts w:ascii="News Gothic MT" w:hAnsi="News Gothic MT"/>
        <w:b/>
        <w:kern w:val="28"/>
        <w:sz w:val="96"/>
      </w:rPr>
      <w:t xml:space="preserve"> </w:t>
    </w:r>
    <w:r w:rsidR="00602577">
      <w:rPr>
        <w:rFonts w:ascii="News Gothic MT" w:hAnsi="News Gothic MT"/>
        <w:b/>
        <w:kern w:val="28"/>
        <w:sz w:val="96"/>
      </w:rPr>
      <w:t>PUBLIC NOTICE</w:t>
    </w:r>
  </w:p>
  <w:p w14:paraId="3983DA39" w14:textId="5AD7AE61" w:rsidR="00602577" w:rsidRDefault="00391D1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043E40E" wp14:editId="40647390">
              <wp:simplePos x="0" y="0"/>
              <wp:positionH relativeFrom="margin">
                <wp:align>right</wp:align>
              </wp:positionH>
              <wp:positionV relativeFrom="paragraph">
                <wp:posOffset>675005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61CB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3pt,53.15pt" to="875.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DGPiOjbAAAACAEAAA8AAABkcnMvZG93bnJldi54bWxMj8FOwzAQRO9I/IO1SFwq&#10;apNKLYQ4FQJy40IBcd3GSxIRr9PYbQNfz8IFjvtmNDtTrCffqwONsQts4XJuQBHXwXXcWHh5ri6u&#10;QMWE7LAPTBY+KcK6PD0pMHfhyE902KRGSQjHHC20KQ251rFuyWOch4FYtPcwekxyjo12Ix4l3Pc6&#10;M2apPXYsH1oc6K6l+mOz9xZi9Uq76mtWz8zbogmU7e4fH9Da87Pp9gZUoin9meGnvlSHUjptw55d&#10;VL0FGZKEmuUClMjX2UrI9pesQJeF/j+g/AYAAP//AwBQSwECLQAUAAYACAAAACEAtoM4kv4AAADh&#10;AQAAEwAAAAAAAAAAAAAAAAAAAAAAW0NvbnRlbnRfVHlwZXNdLnhtbFBLAQItABQABgAIAAAAIQA4&#10;/SH/1gAAAJQBAAALAAAAAAAAAAAAAAAAAC8BAABfcmVscy8ucmVsc1BLAQItABQABgAIAAAAIQAi&#10;FqBtFgIAACsEAAAOAAAAAAAAAAAAAAAAAC4CAABkcnMvZTJvRG9jLnhtbFBLAQItABQABgAIAAAA&#10;IQAxj4jo2wAAAAgBAAAPAAAAAAAAAAAAAAAAAHAEAABkcnMvZG93bnJldi54bWxQSwUGAAAAAAQA&#10;BADzAAAAeAUAAAAA&#10;" o:allowincell="f">
              <w10:wrap anchorx="margin"/>
            </v:line>
          </w:pict>
        </mc:Fallback>
      </mc:AlternateContent>
    </w:r>
    <w:r w:rsidR="00930909">
      <w:rPr>
        <w:rFonts w:ascii="News Gothic MT" w:hAnsi="News Gothic MT"/>
        <w:b/>
        <w:noProof/>
        <w:sz w:val="24"/>
      </w:rPr>
      <mc:AlternateContent>
        <mc:Choice Requires="wps">
          <w:drawing>
            <wp:anchor distT="0" distB="0" distL="114300" distR="114300" simplePos="0" relativeHeight="251658240" behindDoc="0" locked="0" layoutInCell="0" allowOverlap="1" wp14:anchorId="14217255" wp14:editId="76B2109C">
              <wp:simplePos x="0" y="0"/>
              <wp:positionH relativeFrom="margin">
                <wp:align>right</wp:align>
              </wp:positionH>
              <wp:positionV relativeFrom="paragraph">
                <wp:posOffset>114935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217255" id="_x0000_t202" coordsize="21600,21600" o:spt="202" path="m,l,21600r21600,l21600,xe">
              <v:stroke joinstyle="miter"/>
              <v:path gradientshapeok="t" o:connecttype="rect"/>
            </v:shapetype>
            <v:shape id="Text Box 5" o:spid="_x0000_s1026" type="#_x0000_t202" style="position:absolute;left:0;text-align:left;margin-left:156.75pt;margin-top:9.05pt;width:207.95pt;height:4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bIM2DcAAAABwEAAA8AAABkcnMvZG93bnJldi54bWxMj8FOwzAQRO9I/IO1SNyonSpFJcSpUAUH&#10;Tqgtl96ceElC43Vku23o17M9wXFmVjNvy9XkBnHCEHtPGrKZAoHUeNtTq+Fz9/awBBGTIWsGT6jh&#10;ByOsqtub0hTWn2mDp21qBZdQLIyGLqWxkDI2HToTZ35E4uzLB2cSy9BKG8yZy90g50o9Smd64oXO&#10;jLjusDlsj07D+z58vO6juvh5ndbfzcHvLjLX+v5uenkGkXBKf8dwxWd0qJip9keyUQwa+JHE7jID&#10;wWmeLZ5A1GyofAGyKuV//uoXAAD//wMAUEsBAi0AFAAGAAgAAAAhALaDOJL+AAAA4QEAABMAAAAA&#10;AAAAAAAAAAAAAAAAAFtDb250ZW50X1R5cGVzXS54bWxQSwECLQAUAAYACAAAACEAOP0h/9YAAACU&#10;AQAACwAAAAAAAAAAAAAAAAAvAQAAX3JlbHMvLnJlbHNQSwECLQAUAAYACAAAACEAqTESPX8CAAAH&#10;BQAADgAAAAAAAAAAAAAAAAAuAgAAZHJzL2Uyb0RvYy54bWxQSwECLQAUAAYACAAAACEAJsgzYNwA&#10;AAAHAQAADwAAAAAAAAAAAAAAAADZBAAAZHJzL2Rvd25yZXYueG1sUEsFBgAAAAAEAAQA8wAAAOIF&#10;AAAAAA==&#10;" o:allowincell="f" stroked="f">
              <v:textbox inset=",0,,0">
                <w:txbxContent>
                  <w:p w14:paraId="22AA99DF" w14:textId="77777777" w:rsidR="00602577" w:rsidRDefault="00602577">
                    <w:pPr>
                      <w:spacing w:before="40"/>
                      <w:jc w:val="right"/>
                      <w:rPr>
                        <w:rFonts w:ascii="Arial" w:hAnsi="Arial"/>
                        <w:b/>
                        <w:sz w:val="16"/>
                      </w:rPr>
                    </w:pPr>
                    <w:r>
                      <w:rPr>
                        <w:rFonts w:ascii="Arial" w:hAnsi="Arial"/>
                        <w:b/>
                        <w:sz w:val="16"/>
                      </w:rPr>
                      <w:t>News Media Information 202 / 418-0500</w:t>
                    </w:r>
                  </w:p>
                  <w:p w14:paraId="05DDB7C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5DF6CB6" w14:textId="77777777" w:rsidR="00602577" w:rsidRDefault="00602577">
                    <w:pPr>
                      <w:jc w:val="right"/>
                      <w:rPr>
                        <w:rFonts w:ascii="Arial" w:hAnsi="Arial"/>
                        <w:b/>
                        <w:sz w:val="16"/>
                      </w:rPr>
                    </w:pPr>
                    <w:r>
                      <w:rPr>
                        <w:rFonts w:ascii="Arial" w:hAnsi="Arial"/>
                        <w:b/>
                        <w:sz w:val="16"/>
                      </w:rPr>
                      <w:t>TTY: 1-888-835-5322</w:t>
                    </w:r>
                  </w:p>
                  <w:p w14:paraId="075A56CA" w14:textId="77777777" w:rsidR="00602577" w:rsidRDefault="00602577">
                    <w:pPr>
                      <w:jc w:val="right"/>
                    </w:pPr>
                  </w:p>
                </w:txbxContent>
              </v:textbox>
              <w10:wrap anchorx="margin"/>
            </v:shape>
          </w:pict>
        </mc:Fallback>
      </mc:AlternateContent>
    </w:r>
    <w:r w:rsidR="00930909">
      <w:rPr>
        <w:rFonts w:ascii="News Gothic MT" w:hAnsi="News Gothic MT"/>
        <w:b/>
        <w:noProof/>
        <w:sz w:val="24"/>
      </w:rPr>
      <mc:AlternateContent>
        <mc:Choice Requires="wps">
          <w:drawing>
            <wp:anchor distT="0" distB="0" distL="114300" distR="114300" simplePos="0" relativeHeight="251656192" behindDoc="0" locked="0" layoutInCell="0" allowOverlap="1" wp14:anchorId="4790ABF3" wp14:editId="1F49ACA3">
              <wp:simplePos x="0" y="0"/>
              <wp:positionH relativeFrom="margin">
                <wp:align>left</wp:align>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0ABF3" id="Text Box 2"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gs3Y5IQC&#10;AAAWBQAADgAAAAAAAAAAAAAAAAAuAgAAZHJzL2Uyb0RvYy54bWxQSwECLQAUAAYACAAAACEAaMiD&#10;/toAAAAFAQAADwAAAAAAAAAAAAAAAADeBAAAZHJzL2Rvd25yZXYueG1sUEsFBgAAAAAEAAQA8wAA&#10;AOUFAAAAAA==&#10;" o:allowincell="f" stroked="f">
              <v:textbox>
                <w:txbxContent>
                  <w:p w14:paraId="605A6EB8" w14:textId="77777777" w:rsidR="00602577" w:rsidRDefault="00602577">
                    <w:pPr>
                      <w:rPr>
                        <w:rFonts w:ascii="Arial" w:hAnsi="Arial"/>
                        <w:b/>
                      </w:rPr>
                    </w:pPr>
                    <w:r>
                      <w:rPr>
                        <w:rFonts w:ascii="Arial" w:hAnsi="Arial"/>
                        <w:b/>
                      </w:rPr>
                      <w:t>Federal Communications Commission</w:t>
                    </w:r>
                  </w:p>
                  <w:p w14:paraId="085677A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398108" w14:textId="77777777" w:rsidR="00602577" w:rsidRDefault="00602577">
                    <w:pPr>
                      <w:rPr>
                        <w:rFonts w:ascii="Arial" w:hAnsi="Arial"/>
                        <w:sz w:val="24"/>
                      </w:rPr>
                    </w:pPr>
                    <w:r>
                      <w:rPr>
                        <w:rFonts w:ascii="Arial" w:hAnsi="Arial"/>
                        <w:b/>
                      </w:rPr>
                      <w:t>Washington, D.C. 20554</w:t>
                    </w:r>
                  </w:p>
                </w:txbxContent>
              </v:textbox>
              <w10:wrap anchorx="margin"/>
            </v:shape>
          </w:pict>
        </mc:Fallback>
      </mc:AlternateContent>
    </w:r>
  </w:p>
  <w:p w14:paraId="12579247"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7E12"/>
    <w:multiLevelType w:val="hybridMultilevel"/>
    <w:tmpl w:val="7B32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FEF16FD"/>
    <w:multiLevelType w:val="hybridMultilevel"/>
    <w:tmpl w:val="24C87F1E"/>
    <w:lvl w:ilvl="0" w:tplc="9A52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82925"/>
    <w:multiLevelType w:val="singleLevel"/>
    <w:tmpl w:val="A2CE633C"/>
    <w:lvl w:ilvl="0">
      <w:start w:val="1"/>
      <w:numFmt w:val="decimal"/>
      <w:pStyle w:val="ParaNum0"/>
      <w:lvlText w:val="%1."/>
      <w:lvlJc w:val="left"/>
      <w:pPr>
        <w:tabs>
          <w:tab w:val="num" w:pos="990"/>
        </w:tabs>
        <w:ind w:left="-90" w:firstLine="720"/>
      </w:pPr>
      <w:rPr>
        <w:rFonts w:hint="default"/>
        <w:b w:val="0"/>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52"/>
    <w:rsid w:val="00020165"/>
    <w:rsid w:val="000265AE"/>
    <w:rsid w:val="00033A49"/>
    <w:rsid w:val="00061F02"/>
    <w:rsid w:val="00063F42"/>
    <w:rsid w:val="00072944"/>
    <w:rsid w:val="000841FA"/>
    <w:rsid w:val="000848E0"/>
    <w:rsid w:val="00094C78"/>
    <w:rsid w:val="000A6EA4"/>
    <w:rsid w:val="000B579E"/>
    <w:rsid w:val="001044EC"/>
    <w:rsid w:val="00117603"/>
    <w:rsid w:val="00126D3A"/>
    <w:rsid w:val="00145432"/>
    <w:rsid w:val="001812DE"/>
    <w:rsid w:val="001830E2"/>
    <w:rsid w:val="001935C9"/>
    <w:rsid w:val="001A2197"/>
    <w:rsid w:val="001C0125"/>
    <w:rsid w:val="001D2BA7"/>
    <w:rsid w:val="001D2F79"/>
    <w:rsid w:val="001F4BCD"/>
    <w:rsid w:val="002330D5"/>
    <w:rsid w:val="002538BE"/>
    <w:rsid w:val="00267823"/>
    <w:rsid w:val="0027659E"/>
    <w:rsid w:val="002B70F3"/>
    <w:rsid w:val="002C3386"/>
    <w:rsid w:val="002D3F8E"/>
    <w:rsid w:val="0031048C"/>
    <w:rsid w:val="00312586"/>
    <w:rsid w:val="00313F4B"/>
    <w:rsid w:val="003258BA"/>
    <w:rsid w:val="00337607"/>
    <w:rsid w:val="00346FF7"/>
    <w:rsid w:val="00362B35"/>
    <w:rsid w:val="00364F66"/>
    <w:rsid w:val="00391D12"/>
    <w:rsid w:val="003B0761"/>
    <w:rsid w:val="003B48B2"/>
    <w:rsid w:val="003C066C"/>
    <w:rsid w:val="003E262C"/>
    <w:rsid w:val="00417539"/>
    <w:rsid w:val="0043453C"/>
    <w:rsid w:val="00445B52"/>
    <w:rsid w:val="0048162F"/>
    <w:rsid w:val="004A426D"/>
    <w:rsid w:val="0050447E"/>
    <w:rsid w:val="00510494"/>
    <w:rsid w:val="00524D58"/>
    <w:rsid w:val="005B1CAF"/>
    <w:rsid w:val="005E4DA7"/>
    <w:rsid w:val="005E6FD9"/>
    <w:rsid w:val="005F438C"/>
    <w:rsid w:val="005F7E6A"/>
    <w:rsid w:val="00602577"/>
    <w:rsid w:val="00620D1F"/>
    <w:rsid w:val="0063312D"/>
    <w:rsid w:val="006766BC"/>
    <w:rsid w:val="006A1B59"/>
    <w:rsid w:val="006A5A43"/>
    <w:rsid w:val="006B3352"/>
    <w:rsid w:val="006E0184"/>
    <w:rsid w:val="0070573A"/>
    <w:rsid w:val="0071068F"/>
    <w:rsid w:val="0071733F"/>
    <w:rsid w:val="00722377"/>
    <w:rsid w:val="00727031"/>
    <w:rsid w:val="007456C0"/>
    <w:rsid w:val="00767839"/>
    <w:rsid w:val="007F3369"/>
    <w:rsid w:val="00806EBC"/>
    <w:rsid w:val="008266C2"/>
    <w:rsid w:val="00826DB1"/>
    <w:rsid w:val="0083602E"/>
    <w:rsid w:val="008538BB"/>
    <w:rsid w:val="00862B8E"/>
    <w:rsid w:val="00891044"/>
    <w:rsid w:val="0089298D"/>
    <w:rsid w:val="008D4621"/>
    <w:rsid w:val="00925710"/>
    <w:rsid w:val="00930909"/>
    <w:rsid w:val="00966F74"/>
    <w:rsid w:val="00971B7C"/>
    <w:rsid w:val="00986B51"/>
    <w:rsid w:val="009D585D"/>
    <w:rsid w:val="009D5864"/>
    <w:rsid w:val="009D5D40"/>
    <w:rsid w:val="009E2B68"/>
    <w:rsid w:val="009E625E"/>
    <w:rsid w:val="009E7397"/>
    <w:rsid w:val="00A14E1B"/>
    <w:rsid w:val="00A2672B"/>
    <w:rsid w:val="00A337E3"/>
    <w:rsid w:val="00A47409"/>
    <w:rsid w:val="00A71CF5"/>
    <w:rsid w:val="00A8016A"/>
    <w:rsid w:val="00AA6A92"/>
    <w:rsid w:val="00AC2D74"/>
    <w:rsid w:val="00AE1363"/>
    <w:rsid w:val="00AE4B4C"/>
    <w:rsid w:val="00B866E7"/>
    <w:rsid w:val="00B97913"/>
    <w:rsid w:val="00BA7940"/>
    <w:rsid w:val="00BD2DDF"/>
    <w:rsid w:val="00BE25BD"/>
    <w:rsid w:val="00BF6FCB"/>
    <w:rsid w:val="00C00F99"/>
    <w:rsid w:val="00C06327"/>
    <w:rsid w:val="00C70ADF"/>
    <w:rsid w:val="00CA7195"/>
    <w:rsid w:val="00CB4EDD"/>
    <w:rsid w:val="00CD1472"/>
    <w:rsid w:val="00D01E90"/>
    <w:rsid w:val="00D17DC0"/>
    <w:rsid w:val="00D41169"/>
    <w:rsid w:val="00D5027D"/>
    <w:rsid w:val="00D60EFF"/>
    <w:rsid w:val="00D61411"/>
    <w:rsid w:val="00DA719F"/>
    <w:rsid w:val="00DB545A"/>
    <w:rsid w:val="00DC6F95"/>
    <w:rsid w:val="00E07D5A"/>
    <w:rsid w:val="00E17CD0"/>
    <w:rsid w:val="00E504C5"/>
    <w:rsid w:val="00E64D56"/>
    <w:rsid w:val="00E77130"/>
    <w:rsid w:val="00EB6B1C"/>
    <w:rsid w:val="00ED79F6"/>
    <w:rsid w:val="00F6026E"/>
    <w:rsid w:val="00F67CBB"/>
    <w:rsid w:val="00F90EE7"/>
    <w:rsid w:val="00FE18EF"/>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53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3,Style 124,fr,o,Style 3,FR,Style 17,Style 6,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 w:type="paragraph" w:customStyle="1" w:styleId="ParaNum0">
    <w:name w:val="ParaNum"/>
    <w:basedOn w:val="Normal"/>
    <w:link w:val="ParaNumChar"/>
    <w:rsid w:val="00767839"/>
    <w:pPr>
      <w:widowControl w:val="0"/>
      <w:numPr>
        <w:numId w:val="14"/>
      </w:numPr>
      <w:tabs>
        <w:tab w:val="clear" w:pos="990"/>
        <w:tab w:val="num" w:pos="1080"/>
      </w:tabs>
      <w:spacing w:after="120"/>
      <w:ind w:left="0"/>
    </w:pPr>
    <w:rPr>
      <w:snapToGrid w:val="0"/>
      <w:kern w:val="28"/>
    </w:rPr>
  </w:style>
  <w:style w:type="character" w:customStyle="1" w:styleId="ParaNumChar">
    <w:name w:val="ParaNum Char"/>
    <w:link w:val="ParaNum0"/>
    <w:locked/>
    <w:rsid w:val="00767839"/>
    <w:rPr>
      <w:snapToGrid w:val="0"/>
      <w:kern w:val="28"/>
      <w:sz w:val="22"/>
    </w:rPr>
  </w:style>
  <w:style w:type="paragraph" w:styleId="ListParagraph">
    <w:name w:val="List Paragraph"/>
    <w:basedOn w:val="Normal"/>
    <w:uiPriority w:val="34"/>
    <w:qFormat/>
    <w:rsid w:val="00DC6F95"/>
    <w:pPr>
      <w:ind w:left="720"/>
      <w:contextualSpacing/>
    </w:pPr>
  </w:style>
  <w:style w:type="character" w:styleId="CommentReference">
    <w:name w:val="annotation reference"/>
    <w:basedOn w:val="DefaultParagraphFont"/>
    <w:uiPriority w:val="99"/>
    <w:semiHidden/>
    <w:unhideWhenUsed/>
    <w:rsid w:val="00DC6F95"/>
    <w:rPr>
      <w:sz w:val="16"/>
      <w:szCs w:val="16"/>
    </w:rPr>
  </w:style>
  <w:style w:type="paragraph" w:styleId="CommentText">
    <w:name w:val="annotation text"/>
    <w:basedOn w:val="Normal"/>
    <w:link w:val="CommentTextChar"/>
    <w:uiPriority w:val="99"/>
    <w:semiHidden/>
    <w:unhideWhenUsed/>
    <w:rsid w:val="00DC6F95"/>
    <w:rPr>
      <w:sz w:val="20"/>
    </w:rPr>
  </w:style>
  <w:style w:type="character" w:customStyle="1" w:styleId="CommentTextChar">
    <w:name w:val="Comment Text Char"/>
    <w:basedOn w:val="DefaultParagraphFont"/>
    <w:link w:val="CommentText"/>
    <w:uiPriority w:val="99"/>
    <w:semiHidden/>
    <w:rsid w:val="00DC6F95"/>
  </w:style>
  <w:style w:type="paragraph" w:styleId="CommentSubject">
    <w:name w:val="annotation subject"/>
    <w:basedOn w:val="CommentText"/>
    <w:next w:val="CommentText"/>
    <w:link w:val="CommentSubjectChar"/>
    <w:uiPriority w:val="99"/>
    <w:semiHidden/>
    <w:unhideWhenUsed/>
    <w:rsid w:val="00DC6F95"/>
    <w:rPr>
      <w:b/>
      <w:bCs/>
    </w:rPr>
  </w:style>
  <w:style w:type="character" w:customStyle="1" w:styleId="CommentSubjectChar">
    <w:name w:val="Comment Subject Char"/>
    <w:basedOn w:val="CommentTextChar"/>
    <w:link w:val="CommentSubject"/>
    <w:uiPriority w:val="99"/>
    <w:semiHidden/>
    <w:rsid w:val="00DC6F95"/>
    <w:rPr>
      <w:b/>
      <w:bCs/>
    </w:rPr>
  </w:style>
  <w:style w:type="paragraph" w:styleId="Revision">
    <w:name w:val="Revision"/>
    <w:hidden/>
    <w:uiPriority w:val="99"/>
    <w:semiHidden/>
    <w:rsid w:val="00DC6F9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3,Style 124,fr,o,Style 3,FR,Style 17,Style 6,Footnote Reference/"/>
    <w:rPr>
      <w:vertAlign w:val="superscript"/>
    </w:rPr>
  </w:style>
  <w:style w:type="paragraph" w:styleId="FootnoteText">
    <w:name w:val="footnote text"/>
    <w:aliases w:val="Footnote Text Char,Footnote Text Char2 Char,Footnote Text Char1 Char Char,Footnote Text Char1 Char Char Char Char,Footnote Text Char Char Char Char,Footnote Text Char1 Char1 Char Char,Footnote Text Char Char1 Char,Footnote Text Char2,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1 Char Char Char,Footnote Text Char1 Char Char Char Char Char,Footnote Text Char Char Char Char Char,Footnote Text Char1 Char1 Char Char Char,fn Char"/>
    <w:link w:val="FootnoteText"/>
    <w:rsid w:val="006B3352"/>
    <w:rPr>
      <w:sz w:val="22"/>
    </w:rPr>
  </w:style>
  <w:style w:type="character" w:customStyle="1" w:styleId="FooterChar">
    <w:name w:val="Footer Char"/>
    <w:link w:val="Footer"/>
    <w:uiPriority w:val="99"/>
    <w:rsid w:val="006B3352"/>
    <w:rPr>
      <w:sz w:val="22"/>
    </w:rPr>
  </w:style>
  <w:style w:type="table" w:styleId="TableGrid">
    <w:name w:val="Table Grid"/>
    <w:basedOn w:val="TableNormal"/>
    <w:uiPriority w:val="59"/>
    <w:rsid w:val="0012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494"/>
    <w:rPr>
      <w:rFonts w:ascii="Tahoma" w:hAnsi="Tahoma" w:cs="Tahoma"/>
      <w:sz w:val="16"/>
      <w:szCs w:val="16"/>
    </w:rPr>
  </w:style>
  <w:style w:type="character" w:customStyle="1" w:styleId="BalloonTextChar">
    <w:name w:val="Balloon Text Char"/>
    <w:basedOn w:val="DefaultParagraphFont"/>
    <w:link w:val="BalloonText"/>
    <w:uiPriority w:val="99"/>
    <w:semiHidden/>
    <w:rsid w:val="00510494"/>
    <w:rPr>
      <w:rFonts w:ascii="Tahoma" w:hAnsi="Tahoma" w:cs="Tahoma"/>
      <w:sz w:val="16"/>
      <w:szCs w:val="16"/>
    </w:rPr>
  </w:style>
  <w:style w:type="paragraph" w:customStyle="1" w:styleId="ParaNum0">
    <w:name w:val="ParaNum"/>
    <w:basedOn w:val="Normal"/>
    <w:link w:val="ParaNumChar"/>
    <w:rsid w:val="00767839"/>
    <w:pPr>
      <w:widowControl w:val="0"/>
      <w:numPr>
        <w:numId w:val="14"/>
      </w:numPr>
      <w:tabs>
        <w:tab w:val="clear" w:pos="990"/>
        <w:tab w:val="num" w:pos="1080"/>
      </w:tabs>
      <w:spacing w:after="120"/>
      <w:ind w:left="0"/>
    </w:pPr>
    <w:rPr>
      <w:snapToGrid w:val="0"/>
      <w:kern w:val="28"/>
    </w:rPr>
  </w:style>
  <w:style w:type="character" w:customStyle="1" w:styleId="ParaNumChar">
    <w:name w:val="ParaNum Char"/>
    <w:link w:val="ParaNum0"/>
    <w:locked/>
    <w:rsid w:val="00767839"/>
    <w:rPr>
      <w:snapToGrid w:val="0"/>
      <w:kern w:val="28"/>
      <w:sz w:val="22"/>
    </w:rPr>
  </w:style>
  <w:style w:type="paragraph" w:styleId="ListParagraph">
    <w:name w:val="List Paragraph"/>
    <w:basedOn w:val="Normal"/>
    <w:uiPriority w:val="34"/>
    <w:qFormat/>
    <w:rsid w:val="00DC6F95"/>
    <w:pPr>
      <w:ind w:left="720"/>
      <w:contextualSpacing/>
    </w:pPr>
  </w:style>
  <w:style w:type="character" w:styleId="CommentReference">
    <w:name w:val="annotation reference"/>
    <w:basedOn w:val="DefaultParagraphFont"/>
    <w:uiPriority w:val="99"/>
    <w:semiHidden/>
    <w:unhideWhenUsed/>
    <w:rsid w:val="00DC6F95"/>
    <w:rPr>
      <w:sz w:val="16"/>
      <w:szCs w:val="16"/>
    </w:rPr>
  </w:style>
  <w:style w:type="paragraph" w:styleId="CommentText">
    <w:name w:val="annotation text"/>
    <w:basedOn w:val="Normal"/>
    <w:link w:val="CommentTextChar"/>
    <w:uiPriority w:val="99"/>
    <w:semiHidden/>
    <w:unhideWhenUsed/>
    <w:rsid w:val="00DC6F95"/>
    <w:rPr>
      <w:sz w:val="20"/>
    </w:rPr>
  </w:style>
  <w:style w:type="character" w:customStyle="1" w:styleId="CommentTextChar">
    <w:name w:val="Comment Text Char"/>
    <w:basedOn w:val="DefaultParagraphFont"/>
    <w:link w:val="CommentText"/>
    <w:uiPriority w:val="99"/>
    <w:semiHidden/>
    <w:rsid w:val="00DC6F95"/>
  </w:style>
  <w:style w:type="paragraph" w:styleId="CommentSubject">
    <w:name w:val="annotation subject"/>
    <w:basedOn w:val="CommentText"/>
    <w:next w:val="CommentText"/>
    <w:link w:val="CommentSubjectChar"/>
    <w:uiPriority w:val="99"/>
    <w:semiHidden/>
    <w:unhideWhenUsed/>
    <w:rsid w:val="00DC6F95"/>
    <w:rPr>
      <w:b/>
      <w:bCs/>
    </w:rPr>
  </w:style>
  <w:style w:type="character" w:customStyle="1" w:styleId="CommentSubjectChar">
    <w:name w:val="Comment Subject Char"/>
    <w:basedOn w:val="CommentTextChar"/>
    <w:link w:val="CommentSubject"/>
    <w:uiPriority w:val="99"/>
    <w:semiHidden/>
    <w:rsid w:val="00DC6F95"/>
    <w:rPr>
      <w:b/>
      <w:bCs/>
    </w:rPr>
  </w:style>
  <w:style w:type="paragraph" w:styleId="Revision">
    <w:name w:val="Revision"/>
    <w:hidden/>
    <w:uiPriority w:val="99"/>
    <w:semiHidden/>
    <w:rsid w:val="00DC6F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therine.schroed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1425</Words>
  <Characters>7902</Characters>
  <Application>Microsoft Office Word</Application>
  <DocSecurity>0</DocSecurity>
  <Lines>134</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2015-10-13T13:35:00Z</dcterms:created>
  <dcterms:modified xsi:type="dcterms:W3CDTF">2015-10-13T13:35:00Z</dcterms:modified>
  <cp:category> </cp:category>
  <cp:contentStatus> </cp:contentStatus>
</cp:coreProperties>
</file>