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C7" w:rsidRPr="00913C27" w:rsidRDefault="009775C7">
      <w:pPr>
        <w:jc w:val="center"/>
        <w:rPr>
          <w:b/>
          <w:kern w:val="0"/>
          <w:szCs w:val="22"/>
        </w:rPr>
      </w:pPr>
      <w:bookmarkStart w:id="0" w:name="_GoBack"/>
      <w:bookmarkEnd w:id="0"/>
    </w:p>
    <w:p w:rsidR="004C2EE3" w:rsidRPr="00913C27" w:rsidRDefault="004C2EE3">
      <w:pPr>
        <w:jc w:val="center"/>
        <w:rPr>
          <w:b/>
          <w:szCs w:val="22"/>
        </w:rPr>
      </w:pPr>
      <w:r w:rsidRPr="00913C27">
        <w:rPr>
          <w:b/>
          <w:kern w:val="0"/>
          <w:szCs w:val="22"/>
        </w:rPr>
        <w:t>Before</w:t>
      </w:r>
      <w:r w:rsidRPr="00913C27">
        <w:rPr>
          <w:b/>
          <w:szCs w:val="22"/>
        </w:rPr>
        <w:t xml:space="preserve"> the</w:t>
      </w:r>
    </w:p>
    <w:p w:rsidR="00921803" w:rsidRPr="00913C27" w:rsidRDefault="00921803" w:rsidP="00921803">
      <w:pPr>
        <w:pStyle w:val="StyleBoldCentered"/>
        <w:rPr>
          <w:rFonts w:ascii="Times New Roman" w:hAnsi="Times New Roman"/>
        </w:rPr>
      </w:pPr>
      <w:r w:rsidRPr="00913C27">
        <w:rPr>
          <w:rFonts w:ascii="Times New Roman" w:hAnsi="Times New Roman"/>
        </w:rPr>
        <w:t>F</w:t>
      </w:r>
      <w:r w:rsidRPr="00913C27">
        <w:rPr>
          <w:rFonts w:ascii="Times New Roman" w:hAnsi="Times New Roman"/>
          <w:caps w:val="0"/>
        </w:rPr>
        <w:t>ederal Communications Commission</w:t>
      </w:r>
    </w:p>
    <w:p w:rsidR="004C2EE3" w:rsidRPr="00913C27" w:rsidRDefault="00810B6F" w:rsidP="00096D8C">
      <w:pPr>
        <w:pStyle w:val="StyleBoldCentered"/>
        <w:rPr>
          <w:rFonts w:ascii="Times New Roman" w:hAnsi="Times New Roman"/>
        </w:rPr>
      </w:pPr>
      <w:r w:rsidRPr="00913C27">
        <w:rPr>
          <w:rFonts w:ascii="Times New Roman" w:hAnsi="Times New Roman"/>
          <w:caps w:val="0"/>
        </w:rPr>
        <w:t>Washington, D.C. 20554</w:t>
      </w:r>
    </w:p>
    <w:p w:rsidR="004C2EE3" w:rsidRPr="00913C27" w:rsidRDefault="004C2EE3" w:rsidP="0070224F">
      <w:pPr>
        <w:rPr>
          <w:szCs w:val="22"/>
        </w:rPr>
      </w:pPr>
    </w:p>
    <w:p w:rsidR="004C2EE3" w:rsidRPr="00913C27"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913C27">
        <w:tc>
          <w:tcPr>
            <w:tcW w:w="4698" w:type="dxa"/>
          </w:tcPr>
          <w:p w:rsidR="004C2EE3" w:rsidRPr="00913C27" w:rsidRDefault="004C2EE3">
            <w:pPr>
              <w:tabs>
                <w:tab w:val="center" w:pos="4680"/>
              </w:tabs>
              <w:suppressAutoHyphens/>
              <w:rPr>
                <w:spacing w:val="-2"/>
                <w:szCs w:val="22"/>
              </w:rPr>
            </w:pPr>
            <w:r w:rsidRPr="00913C27">
              <w:rPr>
                <w:spacing w:val="-2"/>
                <w:szCs w:val="22"/>
              </w:rPr>
              <w:t>In the Matter of</w:t>
            </w:r>
          </w:p>
          <w:p w:rsidR="004C2EE3" w:rsidRPr="00913C27" w:rsidRDefault="004C2EE3">
            <w:pPr>
              <w:tabs>
                <w:tab w:val="center" w:pos="4680"/>
              </w:tabs>
              <w:suppressAutoHyphens/>
              <w:rPr>
                <w:spacing w:val="-2"/>
                <w:szCs w:val="22"/>
              </w:rPr>
            </w:pPr>
          </w:p>
          <w:p w:rsidR="004C2EE3" w:rsidRPr="00913C27" w:rsidRDefault="00B51AD8" w:rsidP="007115F7">
            <w:pPr>
              <w:tabs>
                <w:tab w:val="center" w:pos="4680"/>
              </w:tabs>
              <w:suppressAutoHyphens/>
              <w:rPr>
                <w:spacing w:val="-2"/>
                <w:szCs w:val="22"/>
              </w:rPr>
            </w:pPr>
            <w:r w:rsidRPr="00913C27">
              <w:rPr>
                <w:spacing w:val="-2"/>
                <w:szCs w:val="22"/>
              </w:rPr>
              <w:t>James Chelmowski</w:t>
            </w:r>
          </w:p>
          <w:p w:rsidR="00557632" w:rsidRPr="00913C27" w:rsidRDefault="00557632" w:rsidP="007115F7">
            <w:pPr>
              <w:tabs>
                <w:tab w:val="center" w:pos="4680"/>
              </w:tabs>
              <w:suppressAutoHyphens/>
              <w:rPr>
                <w:spacing w:val="-2"/>
                <w:szCs w:val="22"/>
              </w:rPr>
            </w:pPr>
            <w:r w:rsidRPr="00913C27">
              <w:rPr>
                <w:spacing w:val="-2"/>
                <w:szCs w:val="22"/>
              </w:rPr>
              <w:t xml:space="preserve">     Complainant,</w:t>
            </w:r>
          </w:p>
          <w:p w:rsidR="00557632" w:rsidRPr="00913C27" w:rsidRDefault="00557632" w:rsidP="007115F7">
            <w:pPr>
              <w:tabs>
                <w:tab w:val="center" w:pos="4680"/>
              </w:tabs>
              <w:suppressAutoHyphens/>
              <w:rPr>
                <w:spacing w:val="-2"/>
                <w:szCs w:val="22"/>
              </w:rPr>
            </w:pPr>
          </w:p>
          <w:p w:rsidR="00557632" w:rsidRPr="00913C27" w:rsidRDefault="00557632" w:rsidP="007115F7">
            <w:pPr>
              <w:tabs>
                <w:tab w:val="center" w:pos="4680"/>
              </w:tabs>
              <w:suppressAutoHyphens/>
              <w:rPr>
                <w:spacing w:val="-2"/>
                <w:szCs w:val="22"/>
              </w:rPr>
            </w:pPr>
            <w:r w:rsidRPr="00913C27">
              <w:rPr>
                <w:spacing w:val="-2"/>
                <w:szCs w:val="22"/>
              </w:rPr>
              <w:t>v.</w:t>
            </w:r>
          </w:p>
          <w:p w:rsidR="00557632" w:rsidRPr="00913C27" w:rsidRDefault="00557632" w:rsidP="007115F7">
            <w:pPr>
              <w:tabs>
                <w:tab w:val="center" w:pos="4680"/>
              </w:tabs>
              <w:suppressAutoHyphens/>
              <w:rPr>
                <w:spacing w:val="-2"/>
                <w:szCs w:val="22"/>
              </w:rPr>
            </w:pPr>
          </w:p>
          <w:p w:rsidR="00557632" w:rsidRPr="00913C27" w:rsidRDefault="00557632" w:rsidP="007115F7">
            <w:pPr>
              <w:tabs>
                <w:tab w:val="center" w:pos="4680"/>
              </w:tabs>
              <w:suppressAutoHyphens/>
              <w:rPr>
                <w:spacing w:val="-2"/>
                <w:szCs w:val="22"/>
              </w:rPr>
            </w:pPr>
            <w:r w:rsidRPr="00913C27">
              <w:rPr>
                <w:spacing w:val="-2"/>
                <w:szCs w:val="22"/>
              </w:rPr>
              <w:t>AT&amp;T Mobility LLC,</w:t>
            </w:r>
          </w:p>
          <w:p w:rsidR="00557632" w:rsidRPr="00913C27" w:rsidRDefault="00557632" w:rsidP="007115F7">
            <w:pPr>
              <w:tabs>
                <w:tab w:val="center" w:pos="4680"/>
              </w:tabs>
              <w:suppressAutoHyphens/>
              <w:rPr>
                <w:spacing w:val="-2"/>
                <w:szCs w:val="22"/>
              </w:rPr>
            </w:pPr>
            <w:r w:rsidRPr="00913C27">
              <w:rPr>
                <w:spacing w:val="-2"/>
                <w:szCs w:val="22"/>
              </w:rPr>
              <w:t xml:space="preserve">     Defendant</w:t>
            </w:r>
          </w:p>
          <w:p w:rsidR="00557632" w:rsidRPr="00913C27" w:rsidRDefault="00557632" w:rsidP="007115F7">
            <w:pPr>
              <w:tabs>
                <w:tab w:val="center" w:pos="4680"/>
              </w:tabs>
              <w:suppressAutoHyphens/>
              <w:rPr>
                <w:spacing w:val="-2"/>
                <w:szCs w:val="22"/>
              </w:rPr>
            </w:pPr>
          </w:p>
        </w:tc>
        <w:tc>
          <w:tcPr>
            <w:tcW w:w="630" w:type="dxa"/>
          </w:tcPr>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b/>
                <w:spacing w:val="-2"/>
                <w:szCs w:val="22"/>
              </w:rPr>
            </w:pPr>
            <w:r w:rsidRPr="00913C27">
              <w:rPr>
                <w:b/>
                <w:spacing w:val="-2"/>
                <w:szCs w:val="22"/>
              </w:rPr>
              <w:t>)</w:t>
            </w:r>
          </w:p>
          <w:p w:rsidR="004C2EE3" w:rsidRPr="00913C27" w:rsidRDefault="004C2EE3">
            <w:pPr>
              <w:tabs>
                <w:tab w:val="center" w:pos="4680"/>
              </w:tabs>
              <w:suppressAutoHyphens/>
              <w:rPr>
                <w:spacing w:val="-2"/>
                <w:szCs w:val="22"/>
              </w:rPr>
            </w:pPr>
            <w:r w:rsidRPr="00913C27">
              <w:rPr>
                <w:b/>
                <w:spacing w:val="-2"/>
                <w:szCs w:val="22"/>
              </w:rPr>
              <w:t>)</w:t>
            </w:r>
          </w:p>
        </w:tc>
        <w:tc>
          <w:tcPr>
            <w:tcW w:w="4248" w:type="dxa"/>
          </w:tcPr>
          <w:p w:rsidR="004C2EE3" w:rsidRPr="00913C27" w:rsidRDefault="004C2EE3">
            <w:pPr>
              <w:tabs>
                <w:tab w:val="center" w:pos="4680"/>
              </w:tabs>
              <w:suppressAutoHyphens/>
              <w:rPr>
                <w:spacing w:val="-2"/>
                <w:szCs w:val="22"/>
              </w:rPr>
            </w:pPr>
          </w:p>
          <w:p w:rsidR="004C2EE3" w:rsidRPr="00913C27" w:rsidRDefault="004C2EE3">
            <w:pPr>
              <w:pStyle w:val="TOAHeading"/>
              <w:tabs>
                <w:tab w:val="clear" w:pos="9360"/>
                <w:tab w:val="center" w:pos="4680"/>
              </w:tabs>
              <w:rPr>
                <w:spacing w:val="-2"/>
                <w:szCs w:val="22"/>
              </w:rPr>
            </w:pPr>
          </w:p>
          <w:p w:rsidR="00BA044A" w:rsidRPr="00913C27" w:rsidRDefault="00BA044A">
            <w:pPr>
              <w:tabs>
                <w:tab w:val="center" w:pos="4680"/>
              </w:tabs>
              <w:suppressAutoHyphens/>
              <w:rPr>
                <w:spacing w:val="-2"/>
                <w:szCs w:val="22"/>
              </w:rPr>
            </w:pPr>
          </w:p>
          <w:p w:rsidR="004C2EE3" w:rsidRPr="00913C27" w:rsidRDefault="00557632">
            <w:pPr>
              <w:tabs>
                <w:tab w:val="center" w:pos="4680"/>
              </w:tabs>
              <w:suppressAutoHyphens/>
              <w:rPr>
                <w:spacing w:val="-2"/>
                <w:szCs w:val="22"/>
              </w:rPr>
            </w:pPr>
            <w:r w:rsidRPr="00913C27">
              <w:rPr>
                <w:spacing w:val="-2"/>
                <w:szCs w:val="22"/>
              </w:rPr>
              <w:t>Proceeding No. 14-260</w:t>
            </w:r>
          </w:p>
          <w:p w:rsidR="00557632" w:rsidRPr="00913C27" w:rsidRDefault="00557632">
            <w:pPr>
              <w:tabs>
                <w:tab w:val="center" w:pos="4680"/>
              </w:tabs>
              <w:suppressAutoHyphens/>
              <w:rPr>
                <w:spacing w:val="-2"/>
                <w:szCs w:val="22"/>
              </w:rPr>
            </w:pPr>
            <w:r w:rsidRPr="00913C27">
              <w:rPr>
                <w:spacing w:val="-2"/>
                <w:szCs w:val="22"/>
              </w:rPr>
              <w:t>File No. EB-14-MD-016</w:t>
            </w:r>
          </w:p>
        </w:tc>
      </w:tr>
    </w:tbl>
    <w:p w:rsidR="004C2EE3" w:rsidRPr="00913C27" w:rsidRDefault="004C2EE3" w:rsidP="0070224F">
      <w:pPr>
        <w:rPr>
          <w:szCs w:val="22"/>
        </w:rPr>
      </w:pPr>
    </w:p>
    <w:p w:rsidR="00841AB1" w:rsidRPr="00913C27" w:rsidRDefault="00557632" w:rsidP="00F021FA">
      <w:pPr>
        <w:pStyle w:val="StyleBoldCentered"/>
        <w:rPr>
          <w:rFonts w:ascii="Times New Roman" w:hAnsi="Times New Roman"/>
        </w:rPr>
      </w:pPr>
      <w:r w:rsidRPr="00913C27">
        <w:rPr>
          <w:rFonts w:ascii="Times New Roman" w:hAnsi="Times New Roman"/>
        </w:rPr>
        <w:t>order</w:t>
      </w:r>
      <w:r w:rsidR="00540C26" w:rsidRPr="00913C27">
        <w:rPr>
          <w:rFonts w:ascii="Times New Roman" w:hAnsi="Times New Roman"/>
        </w:rPr>
        <w:t xml:space="preserve"> on reconsideration</w:t>
      </w:r>
    </w:p>
    <w:p w:rsidR="004C2EE3" w:rsidRPr="00913C27" w:rsidRDefault="004C2EE3">
      <w:pPr>
        <w:tabs>
          <w:tab w:val="left" w:pos="-720"/>
        </w:tabs>
        <w:suppressAutoHyphens/>
        <w:spacing w:line="227" w:lineRule="auto"/>
        <w:rPr>
          <w:spacing w:val="-2"/>
          <w:szCs w:val="22"/>
        </w:rPr>
      </w:pPr>
    </w:p>
    <w:p w:rsidR="004C2EE3" w:rsidRPr="00913C27" w:rsidRDefault="004C2EE3" w:rsidP="00133F79">
      <w:pPr>
        <w:tabs>
          <w:tab w:val="left" w:pos="720"/>
          <w:tab w:val="right" w:pos="9360"/>
        </w:tabs>
        <w:suppressAutoHyphens/>
        <w:spacing w:line="227" w:lineRule="auto"/>
        <w:rPr>
          <w:spacing w:val="-2"/>
          <w:szCs w:val="22"/>
        </w:rPr>
      </w:pPr>
      <w:r w:rsidRPr="00913C27">
        <w:rPr>
          <w:b/>
          <w:spacing w:val="-2"/>
          <w:szCs w:val="22"/>
        </w:rPr>
        <w:t xml:space="preserve">Adopted:  </w:t>
      </w:r>
      <w:r w:rsidR="001D4186">
        <w:rPr>
          <w:b/>
          <w:spacing w:val="-2"/>
          <w:szCs w:val="22"/>
        </w:rPr>
        <w:t>O</w:t>
      </w:r>
      <w:r w:rsidR="00F8164B">
        <w:rPr>
          <w:b/>
          <w:spacing w:val="-2"/>
          <w:szCs w:val="22"/>
        </w:rPr>
        <w:t>ctober 15</w:t>
      </w:r>
      <w:r w:rsidR="001D4186">
        <w:rPr>
          <w:b/>
          <w:spacing w:val="-2"/>
          <w:szCs w:val="22"/>
        </w:rPr>
        <w:t>, 2015</w:t>
      </w:r>
      <w:r w:rsidRPr="00913C27">
        <w:rPr>
          <w:b/>
          <w:spacing w:val="-2"/>
          <w:szCs w:val="22"/>
        </w:rPr>
        <w:tab/>
      </w:r>
      <w:r w:rsidR="00822CE0" w:rsidRPr="00913C27">
        <w:rPr>
          <w:b/>
          <w:spacing w:val="-2"/>
          <w:szCs w:val="22"/>
        </w:rPr>
        <w:t>Released</w:t>
      </w:r>
      <w:r w:rsidRPr="00913C27">
        <w:rPr>
          <w:b/>
          <w:spacing w:val="-2"/>
          <w:szCs w:val="22"/>
        </w:rPr>
        <w:t>:</w:t>
      </w:r>
      <w:r w:rsidR="00822CE0" w:rsidRPr="00913C27">
        <w:rPr>
          <w:b/>
          <w:spacing w:val="-2"/>
          <w:szCs w:val="22"/>
        </w:rPr>
        <w:t xml:space="preserve"> </w:t>
      </w:r>
      <w:r w:rsidRPr="00913C27">
        <w:rPr>
          <w:b/>
          <w:spacing w:val="-2"/>
          <w:szCs w:val="22"/>
        </w:rPr>
        <w:t xml:space="preserve"> </w:t>
      </w:r>
      <w:r w:rsidR="001D4186">
        <w:rPr>
          <w:b/>
          <w:spacing w:val="-2"/>
          <w:szCs w:val="22"/>
        </w:rPr>
        <w:t>O</w:t>
      </w:r>
      <w:r w:rsidR="00E2436E">
        <w:rPr>
          <w:b/>
          <w:spacing w:val="-2"/>
          <w:szCs w:val="22"/>
        </w:rPr>
        <w:t>ctober 16</w:t>
      </w:r>
      <w:r w:rsidR="001D4186">
        <w:rPr>
          <w:b/>
          <w:spacing w:val="-2"/>
          <w:szCs w:val="22"/>
        </w:rPr>
        <w:t>, 2015</w:t>
      </w:r>
    </w:p>
    <w:p w:rsidR="00822CE0" w:rsidRPr="00913C27" w:rsidRDefault="00822CE0">
      <w:pPr>
        <w:rPr>
          <w:szCs w:val="22"/>
        </w:rPr>
      </w:pPr>
    </w:p>
    <w:p w:rsidR="004C2EE3" w:rsidRPr="00913C27" w:rsidRDefault="004C2EE3">
      <w:pPr>
        <w:rPr>
          <w:spacing w:val="-2"/>
          <w:szCs w:val="22"/>
        </w:rPr>
      </w:pPr>
      <w:r w:rsidRPr="00913C27">
        <w:rPr>
          <w:szCs w:val="22"/>
        </w:rPr>
        <w:t xml:space="preserve">By </w:t>
      </w:r>
      <w:r w:rsidR="004E4A22" w:rsidRPr="00913C27">
        <w:rPr>
          <w:szCs w:val="22"/>
        </w:rPr>
        <w:t>the</w:t>
      </w:r>
      <w:r w:rsidR="002A2D2E" w:rsidRPr="00913C27">
        <w:rPr>
          <w:szCs w:val="22"/>
        </w:rPr>
        <w:t xml:space="preserve"> </w:t>
      </w:r>
      <w:r w:rsidR="00952871" w:rsidRPr="00913C27">
        <w:rPr>
          <w:szCs w:val="22"/>
        </w:rPr>
        <w:t xml:space="preserve">Chief, Enforcement </w:t>
      </w:r>
      <w:r w:rsidR="00557632" w:rsidRPr="00913C27">
        <w:rPr>
          <w:spacing w:val="-2"/>
          <w:szCs w:val="22"/>
        </w:rPr>
        <w:t>Bureau</w:t>
      </w:r>
      <w:r w:rsidRPr="00913C27">
        <w:rPr>
          <w:spacing w:val="-2"/>
          <w:szCs w:val="22"/>
        </w:rPr>
        <w:t>:</w:t>
      </w:r>
    </w:p>
    <w:p w:rsidR="00412FC5" w:rsidRPr="00913C27" w:rsidRDefault="00412FC5" w:rsidP="00412FC5">
      <w:pPr>
        <w:rPr>
          <w:szCs w:val="22"/>
        </w:rPr>
      </w:pPr>
    </w:p>
    <w:p w:rsidR="002C00E8" w:rsidRPr="00913C27" w:rsidRDefault="00421C05" w:rsidP="002C00E8">
      <w:pPr>
        <w:pStyle w:val="Heading1"/>
        <w:rPr>
          <w:rFonts w:ascii="Times New Roman" w:hAnsi="Times New Roman"/>
          <w:szCs w:val="22"/>
        </w:rPr>
      </w:pPr>
      <w:r w:rsidRPr="00913C27">
        <w:rPr>
          <w:rFonts w:ascii="Times New Roman" w:hAnsi="Times New Roman"/>
          <w:szCs w:val="22"/>
        </w:rPr>
        <w:t>INTRODUCTION</w:t>
      </w:r>
    </w:p>
    <w:p w:rsidR="00CF7A69" w:rsidRPr="00A07AB9" w:rsidRDefault="00DA3947" w:rsidP="00CF7A69">
      <w:pPr>
        <w:pStyle w:val="ParaNum"/>
        <w:tabs>
          <w:tab w:val="clear" w:pos="1080"/>
          <w:tab w:val="num" w:pos="1440"/>
        </w:tabs>
        <w:rPr>
          <w:szCs w:val="22"/>
        </w:rPr>
      </w:pPr>
      <w:r w:rsidRPr="00913C27">
        <w:rPr>
          <w:szCs w:val="22"/>
        </w:rPr>
        <w:t xml:space="preserve">On July 10, 2015, </w:t>
      </w:r>
      <w:r w:rsidRPr="00A07AB9">
        <w:rPr>
          <w:szCs w:val="22"/>
        </w:rPr>
        <w:t xml:space="preserve">the Enforcement Bureau dismissed this case because the complaint </w:t>
      </w:r>
      <w:r w:rsidR="00CF7A69" w:rsidRPr="00A07AB9">
        <w:rPr>
          <w:szCs w:val="22"/>
        </w:rPr>
        <w:t>was not filed within two years of the alleged injury, as required by the Communication</w:t>
      </w:r>
      <w:r w:rsidR="00B748DA" w:rsidRPr="00A07AB9">
        <w:rPr>
          <w:szCs w:val="22"/>
        </w:rPr>
        <w:t>s</w:t>
      </w:r>
      <w:r w:rsidR="00911D07" w:rsidRPr="00A07AB9">
        <w:rPr>
          <w:szCs w:val="22"/>
        </w:rPr>
        <w:t xml:space="preserve"> Act.  </w:t>
      </w:r>
      <w:r w:rsidRPr="00A07AB9">
        <w:rPr>
          <w:color w:val="000000"/>
          <w:szCs w:val="22"/>
        </w:rPr>
        <w:t xml:space="preserve">In this order, </w:t>
      </w:r>
      <w:r w:rsidRPr="00A07AB9">
        <w:rPr>
          <w:szCs w:val="22"/>
        </w:rPr>
        <w:t xml:space="preserve">we deny a motion for reconsideration filed by complainant James Chelmowski because </w:t>
      </w:r>
      <w:r w:rsidR="00911D07" w:rsidRPr="00A07AB9">
        <w:rPr>
          <w:szCs w:val="22"/>
        </w:rPr>
        <w:t>the m</w:t>
      </w:r>
      <w:r w:rsidR="00CF7A69" w:rsidRPr="00A07AB9">
        <w:rPr>
          <w:szCs w:val="22"/>
        </w:rPr>
        <w:t xml:space="preserve">otion </w:t>
      </w:r>
      <w:r w:rsidRPr="00A07AB9">
        <w:rPr>
          <w:szCs w:val="22"/>
        </w:rPr>
        <w:t xml:space="preserve">does not </w:t>
      </w:r>
      <w:r w:rsidR="00CF7A69" w:rsidRPr="00A07AB9">
        <w:rPr>
          <w:szCs w:val="22"/>
        </w:rPr>
        <w:t xml:space="preserve">identify any material error, omission, or reason warranting reconsideration, and </w:t>
      </w:r>
      <w:r w:rsidRPr="00A07AB9">
        <w:rPr>
          <w:szCs w:val="22"/>
        </w:rPr>
        <w:t xml:space="preserve">merely repeats </w:t>
      </w:r>
      <w:r w:rsidR="00CF7A69" w:rsidRPr="00A07AB9">
        <w:rPr>
          <w:szCs w:val="22"/>
        </w:rPr>
        <w:t xml:space="preserve">arguments that were fully </w:t>
      </w:r>
      <w:r w:rsidR="00911D07" w:rsidRPr="00A07AB9">
        <w:rPr>
          <w:szCs w:val="22"/>
        </w:rPr>
        <w:t xml:space="preserve">considered and rejected in the </w:t>
      </w:r>
      <w:r w:rsidRPr="00A07AB9">
        <w:rPr>
          <w:szCs w:val="22"/>
        </w:rPr>
        <w:t xml:space="preserve">dismissal </w:t>
      </w:r>
      <w:r w:rsidR="00911D07" w:rsidRPr="00A07AB9">
        <w:rPr>
          <w:szCs w:val="22"/>
        </w:rPr>
        <w:t>o</w:t>
      </w:r>
      <w:r w:rsidR="00CF7A69" w:rsidRPr="00A07AB9">
        <w:rPr>
          <w:szCs w:val="22"/>
        </w:rPr>
        <w:t xml:space="preserve">rder.  </w:t>
      </w:r>
    </w:p>
    <w:p w:rsidR="00421C05" w:rsidRPr="00A07AB9" w:rsidRDefault="00FF0FDE" w:rsidP="00FF0FDE">
      <w:pPr>
        <w:pStyle w:val="Heading1"/>
        <w:rPr>
          <w:rFonts w:ascii="Times New Roman" w:hAnsi="Times New Roman"/>
          <w:szCs w:val="22"/>
        </w:rPr>
      </w:pPr>
      <w:r w:rsidRPr="00A07AB9">
        <w:rPr>
          <w:rFonts w:ascii="Times New Roman" w:hAnsi="Times New Roman"/>
          <w:szCs w:val="22"/>
        </w:rPr>
        <w:t>background</w:t>
      </w:r>
    </w:p>
    <w:p w:rsidR="0008789D" w:rsidRPr="00A07AB9" w:rsidRDefault="00DA3947" w:rsidP="008A6970">
      <w:pPr>
        <w:pStyle w:val="ParaNum"/>
        <w:tabs>
          <w:tab w:val="clear" w:pos="1080"/>
          <w:tab w:val="num" w:pos="1440"/>
        </w:tabs>
        <w:rPr>
          <w:szCs w:val="22"/>
        </w:rPr>
      </w:pPr>
      <w:r w:rsidRPr="00A07AB9">
        <w:rPr>
          <w:szCs w:val="22"/>
        </w:rPr>
        <w:t xml:space="preserve">On August 10, 2015, </w:t>
      </w:r>
      <w:r w:rsidR="00ED19FE" w:rsidRPr="00A07AB9">
        <w:rPr>
          <w:szCs w:val="22"/>
        </w:rPr>
        <w:t>Chelmowski</w:t>
      </w:r>
      <w:r w:rsidR="00736527" w:rsidRPr="00A07AB9">
        <w:rPr>
          <w:szCs w:val="22"/>
        </w:rPr>
        <w:t xml:space="preserve"> filed a </w:t>
      </w:r>
      <w:r w:rsidR="00234FC4" w:rsidRPr="00A07AB9">
        <w:rPr>
          <w:szCs w:val="22"/>
        </w:rPr>
        <w:t>M</w:t>
      </w:r>
      <w:r w:rsidRPr="00A07AB9">
        <w:rPr>
          <w:szCs w:val="22"/>
        </w:rPr>
        <w:t>otion</w:t>
      </w:r>
      <w:r w:rsidR="00736527" w:rsidRPr="00A07AB9">
        <w:rPr>
          <w:szCs w:val="22"/>
        </w:rPr>
        <w:t xml:space="preserve"> </w:t>
      </w:r>
      <w:r w:rsidRPr="00A07AB9">
        <w:rPr>
          <w:szCs w:val="22"/>
        </w:rPr>
        <w:t xml:space="preserve">to </w:t>
      </w:r>
      <w:r w:rsidR="00234FC4" w:rsidRPr="00A07AB9">
        <w:rPr>
          <w:szCs w:val="22"/>
        </w:rPr>
        <w:t>Reconsider</w:t>
      </w:r>
      <w:r w:rsidRPr="00A07AB9">
        <w:rPr>
          <w:rStyle w:val="FootnoteReference"/>
          <w:sz w:val="22"/>
          <w:szCs w:val="22"/>
        </w:rPr>
        <w:footnoteReference w:id="2"/>
      </w:r>
      <w:r w:rsidR="00ED19FE" w:rsidRPr="00A07AB9">
        <w:rPr>
          <w:szCs w:val="22"/>
        </w:rPr>
        <w:t xml:space="preserve"> the Enforcement Bureau</w:t>
      </w:r>
      <w:r w:rsidRPr="00A07AB9">
        <w:rPr>
          <w:szCs w:val="22"/>
        </w:rPr>
        <w:t>’s Order</w:t>
      </w:r>
      <w:r w:rsidR="00ED19FE" w:rsidRPr="00A07AB9">
        <w:rPr>
          <w:rStyle w:val="FootnoteReference"/>
          <w:sz w:val="22"/>
          <w:szCs w:val="22"/>
        </w:rPr>
        <w:footnoteReference w:id="3"/>
      </w:r>
      <w:r w:rsidR="00ED19FE" w:rsidRPr="00A07AB9">
        <w:rPr>
          <w:szCs w:val="22"/>
        </w:rPr>
        <w:t xml:space="preserve"> that dismissed </w:t>
      </w:r>
      <w:r w:rsidRPr="00A07AB9">
        <w:rPr>
          <w:szCs w:val="22"/>
        </w:rPr>
        <w:t xml:space="preserve">his </w:t>
      </w:r>
      <w:r w:rsidR="00ED19FE" w:rsidRPr="00A07AB9">
        <w:rPr>
          <w:szCs w:val="22"/>
        </w:rPr>
        <w:t xml:space="preserve">formal </w:t>
      </w:r>
      <w:r w:rsidR="00234FC4" w:rsidRPr="00A07AB9">
        <w:rPr>
          <w:szCs w:val="22"/>
        </w:rPr>
        <w:t>C</w:t>
      </w:r>
      <w:r w:rsidR="00ED19FE" w:rsidRPr="00A07AB9">
        <w:rPr>
          <w:szCs w:val="22"/>
        </w:rPr>
        <w:t xml:space="preserve">omplaint against </w:t>
      </w:r>
      <w:r w:rsidR="00ED19FE" w:rsidRPr="00A07AB9">
        <w:rPr>
          <w:spacing w:val="-2"/>
          <w:szCs w:val="22"/>
        </w:rPr>
        <w:t>AT&amp;T Mobility LLC</w:t>
      </w:r>
      <w:r w:rsidR="00ED19FE" w:rsidRPr="00A07AB9">
        <w:rPr>
          <w:szCs w:val="22"/>
        </w:rPr>
        <w:t xml:space="preserve"> (AT&amp;T)</w:t>
      </w:r>
      <w:r w:rsidR="00736527" w:rsidRPr="00A07AB9">
        <w:rPr>
          <w:szCs w:val="22"/>
        </w:rPr>
        <w:t>.</w:t>
      </w:r>
      <w:r w:rsidRPr="00A07AB9">
        <w:rPr>
          <w:rStyle w:val="FootnoteReference"/>
          <w:sz w:val="22"/>
          <w:szCs w:val="22"/>
        </w:rPr>
        <w:footnoteReference w:id="4"/>
      </w:r>
      <w:r w:rsidR="00ED19FE" w:rsidRPr="00A07AB9">
        <w:rPr>
          <w:szCs w:val="22"/>
        </w:rPr>
        <w:t xml:space="preserve"> </w:t>
      </w:r>
      <w:r w:rsidR="00B51E3C" w:rsidRPr="00A07AB9">
        <w:rPr>
          <w:szCs w:val="22"/>
        </w:rPr>
        <w:t xml:space="preserve"> </w:t>
      </w:r>
      <w:r w:rsidR="009B2EFC" w:rsidRPr="00A07AB9">
        <w:rPr>
          <w:szCs w:val="22"/>
        </w:rPr>
        <w:t>The Complaint</w:t>
      </w:r>
      <w:r w:rsidR="00B51E3C" w:rsidRPr="00A07AB9">
        <w:rPr>
          <w:szCs w:val="22"/>
        </w:rPr>
        <w:t xml:space="preserve">, filed on December 11, 2014, </w:t>
      </w:r>
      <w:r w:rsidR="009B2EFC" w:rsidRPr="00A07AB9">
        <w:rPr>
          <w:szCs w:val="22"/>
        </w:rPr>
        <w:t>alleged that AT&amp;T violated Commission rules 52.35 and 52.36</w:t>
      </w:r>
      <w:r w:rsidR="009B2EFC" w:rsidRPr="00A07AB9">
        <w:rPr>
          <w:rStyle w:val="FootnoteReference"/>
          <w:sz w:val="22"/>
          <w:szCs w:val="22"/>
        </w:rPr>
        <w:footnoteReference w:id="5"/>
      </w:r>
      <w:r w:rsidR="009B2EFC" w:rsidRPr="00A07AB9">
        <w:rPr>
          <w:szCs w:val="22"/>
        </w:rPr>
        <w:t xml:space="preserve"> </w:t>
      </w:r>
      <w:r w:rsidR="009B2EFC" w:rsidRPr="00A07AB9">
        <w:rPr>
          <w:szCs w:val="22"/>
        </w:rPr>
        <w:lastRenderedPageBreak/>
        <w:t xml:space="preserve">by failing to port </w:t>
      </w:r>
      <w:r w:rsidR="00B51E3C" w:rsidRPr="00A07AB9">
        <w:rPr>
          <w:szCs w:val="22"/>
        </w:rPr>
        <w:t xml:space="preserve">Chelmowski’s </w:t>
      </w:r>
      <w:r w:rsidR="009B2EFC" w:rsidRPr="00A07AB9">
        <w:rPr>
          <w:szCs w:val="22"/>
        </w:rPr>
        <w:t>telephone number from AT&amp;T to his new provider in 2011.</w:t>
      </w:r>
      <w:r w:rsidR="009B2EFC" w:rsidRPr="00A07AB9">
        <w:rPr>
          <w:rStyle w:val="FootnoteReference"/>
          <w:sz w:val="22"/>
          <w:szCs w:val="22"/>
        </w:rPr>
        <w:footnoteReference w:id="6"/>
      </w:r>
      <w:r w:rsidR="009B2EFC" w:rsidRPr="00A07AB9">
        <w:rPr>
          <w:szCs w:val="22"/>
        </w:rPr>
        <w:t xml:space="preserve">  Chelmowski previously filed three informal complaints against AT&amp;T </w:t>
      </w:r>
      <w:r w:rsidR="00C529AE" w:rsidRPr="00A07AB9">
        <w:rPr>
          <w:szCs w:val="22"/>
        </w:rPr>
        <w:t>concerning</w:t>
      </w:r>
      <w:r w:rsidR="009B2EFC" w:rsidRPr="00A07AB9">
        <w:rPr>
          <w:szCs w:val="22"/>
        </w:rPr>
        <w:t xml:space="preserve"> the same failed number port on March 23, 2011,</w:t>
      </w:r>
      <w:r w:rsidR="009B2EFC" w:rsidRPr="00A07AB9">
        <w:rPr>
          <w:rStyle w:val="FootnoteReference"/>
          <w:sz w:val="22"/>
          <w:szCs w:val="22"/>
        </w:rPr>
        <w:footnoteReference w:id="7"/>
      </w:r>
      <w:r w:rsidR="009B2EFC" w:rsidRPr="00A07AB9">
        <w:rPr>
          <w:szCs w:val="22"/>
        </w:rPr>
        <w:t xml:space="preserve"> August 31, 2011,</w:t>
      </w:r>
      <w:r w:rsidR="009B2EFC" w:rsidRPr="00A07AB9">
        <w:rPr>
          <w:rStyle w:val="FootnoteReference"/>
          <w:sz w:val="22"/>
          <w:szCs w:val="22"/>
        </w:rPr>
        <w:footnoteReference w:id="8"/>
      </w:r>
      <w:r w:rsidR="009B2EFC" w:rsidRPr="00A07AB9">
        <w:rPr>
          <w:szCs w:val="22"/>
        </w:rPr>
        <w:t xml:space="preserve"> and July 31, 2014.</w:t>
      </w:r>
      <w:r w:rsidR="009B2EFC" w:rsidRPr="00A07AB9">
        <w:rPr>
          <w:rStyle w:val="FootnoteReference"/>
          <w:sz w:val="22"/>
          <w:szCs w:val="22"/>
        </w:rPr>
        <w:footnoteReference w:id="9"/>
      </w:r>
      <w:r w:rsidR="009B2EFC" w:rsidRPr="00A07AB9">
        <w:rPr>
          <w:szCs w:val="22"/>
        </w:rPr>
        <w:t xml:space="preserve">  AT&amp;T responded to the three informal complaints on April 13, 2011, September 22, 2011, and August 13, 2014, respectively.</w:t>
      </w:r>
      <w:r w:rsidR="009B2EFC" w:rsidRPr="00A07AB9">
        <w:rPr>
          <w:rStyle w:val="FootnoteReference"/>
          <w:sz w:val="22"/>
          <w:szCs w:val="22"/>
        </w:rPr>
        <w:footnoteReference w:id="10"/>
      </w:r>
      <w:r w:rsidR="009B2EFC" w:rsidRPr="00A07AB9">
        <w:rPr>
          <w:szCs w:val="22"/>
        </w:rPr>
        <w:t xml:space="preserve">  </w:t>
      </w:r>
      <w:r w:rsidR="0008789D" w:rsidRPr="00A07AB9">
        <w:rPr>
          <w:szCs w:val="22"/>
        </w:rPr>
        <w:t>Although Chelmowski claims he never received AT&amp;T’s responses to the first and second informal complaints directly from AT&amp;T,</w:t>
      </w:r>
      <w:r w:rsidR="0008789D" w:rsidRPr="00A07AB9">
        <w:rPr>
          <w:rStyle w:val="FootnoteReference"/>
          <w:sz w:val="22"/>
          <w:szCs w:val="22"/>
        </w:rPr>
        <w:footnoteReference w:id="11"/>
      </w:r>
      <w:r w:rsidR="0008789D" w:rsidRPr="00A07AB9">
        <w:rPr>
          <w:szCs w:val="22"/>
        </w:rPr>
        <w:t> the record shows that the Commission provided Chelmowski with a copy of AT&amp;T’s responses to the first informal complaint and the second informal complaint on May 24, 2013</w:t>
      </w:r>
      <w:r w:rsidR="0008789D" w:rsidRPr="00A07AB9">
        <w:rPr>
          <w:rStyle w:val="FootnoteReference"/>
          <w:sz w:val="22"/>
          <w:szCs w:val="22"/>
        </w:rPr>
        <w:footnoteReference w:id="12"/>
      </w:r>
      <w:r w:rsidR="0008789D" w:rsidRPr="00A07AB9">
        <w:rPr>
          <w:szCs w:val="22"/>
        </w:rPr>
        <w:t xml:space="preserve"> and October 22, 2013,</w:t>
      </w:r>
      <w:r w:rsidR="0008789D" w:rsidRPr="00A07AB9">
        <w:rPr>
          <w:rStyle w:val="FootnoteReference"/>
          <w:sz w:val="22"/>
          <w:szCs w:val="22"/>
        </w:rPr>
        <w:footnoteReference w:id="13"/>
      </w:r>
      <w:r w:rsidR="0008789D" w:rsidRPr="00A07AB9">
        <w:rPr>
          <w:szCs w:val="22"/>
        </w:rPr>
        <w:t xml:space="preserve"> respectively. </w:t>
      </w:r>
    </w:p>
    <w:p w:rsidR="00B43CB9" w:rsidRPr="00A07AB9" w:rsidRDefault="00234FC4" w:rsidP="004C39CE">
      <w:pPr>
        <w:pStyle w:val="ParaNum"/>
        <w:tabs>
          <w:tab w:val="clear" w:pos="1080"/>
          <w:tab w:val="num" w:pos="1440"/>
        </w:tabs>
        <w:rPr>
          <w:szCs w:val="22"/>
        </w:rPr>
      </w:pPr>
      <w:r w:rsidRPr="00A07AB9">
        <w:rPr>
          <w:szCs w:val="22"/>
        </w:rPr>
        <w:t xml:space="preserve">The </w:t>
      </w:r>
      <w:r w:rsidR="00EA3233" w:rsidRPr="00A07AB9">
        <w:rPr>
          <w:szCs w:val="22"/>
        </w:rPr>
        <w:t xml:space="preserve">Bureau </w:t>
      </w:r>
      <w:r w:rsidR="00ED6589" w:rsidRPr="00A07AB9">
        <w:rPr>
          <w:szCs w:val="22"/>
        </w:rPr>
        <w:t xml:space="preserve">dismissed </w:t>
      </w:r>
      <w:r w:rsidR="00EA3233" w:rsidRPr="00A07AB9">
        <w:rPr>
          <w:szCs w:val="22"/>
        </w:rPr>
        <w:t>the</w:t>
      </w:r>
      <w:r w:rsidR="00ED6589" w:rsidRPr="00A07AB9">
        <w:rPr>
          <w:szCs w:val="22"/>
        </w:rPr>
        <w:t xml:space="preserve"> Complaint</w:t>
      </w:r>
      <w:r w:rsidR="000510F2" w:rsidRPr="00A07AB9">
        <w:rPr>
          <w:szCs w:val="22"/>
        </w:rPr>
        <w:t xml:space="preserve"> as time-barred under the two-year statute of limitations in section 415(b) </w:t>
      </w:r>
      <w:r w:rsidR="00DB2FD9">
        <w:rPr>
          <w:szCs w:val="22"/>
        </w:rPr>
        <w:t xml:space="preserve">of </w:t>
      </w:r>
      <w:r w:rsidR="000510F2" w:rsidRPr="00A07AB9">
        <w:rPr>
          <w:spacing w:val="-2"/>
          <w:szCs w:val="22"/>
        </w:rPr>
        <w:t>the Act</w:t>
      </w:r>
      <w:r w:rsidR="006F7951" w:rsidRPr="00A07AB9">
        <w:rPr>
          <w:spacing w:val="-2"/>
          <w:szCs w:val="22"/>
        </w:rPr>
        <w:t>.</w:t>
      </w:r>
      <w:r w:rsidR="000510F2" w:rsidRPr="00A07AB9">
        <w:rPr>
          <w:rStyle w:val="FootnoteReference"/>
          <w:sz w:val="22"/>
          <w:szCs w:val="22"/>
        </w:rPr>
        <w:footnoteReference w:id="14"/>
      </w:r>
      <w:r w:rsidR="000510F2" w:rsidRPr="00A07AB9">
        <w:rPr>
          <w:szCs w:val="22"/>
        </w:rPr>
        <w:t xml:space="preserve"> </w:t>
      </w:r>
      <w:r w:rsidR="006F7951" w:rsidRPr="00A07AB9">
        <w:rPr>
          <w:szCs w:val="22"/>
        </w:rPr>
        <w:t xml:space="preserve">  The Bureau held that </w:t>
      </w:r>
      <w:r w:rsidR="00736527" w:rsidRPr="00A07AB9">
        <w:rPr>
          <w:szCs w:val="22"/>
        </w:rPr>
        <w:t xml:space="preserve">the Complaint was untimely </w:t>
      </w:r>
      <w:r w:rsidR="006F7951" w:rsidRPr="00A07AB9">
        <w:rPr>
          <w:szCs w:val="22"/>
        </w:rPr>
        <w:t>because Chelmowski’s cause of action accrued at the time of his alleged injury</w:t>
      </w:r>
      <w:r w:rsidR="00DD7F56" w:rsidRPr="00A07AB9">
        <w:rPr>
          <w:szCs w:val="22"/>
        </w:rPr>
        <w:t xml:space="preserve"> from the failed number port</w:t>
      </w:r>
      <w:r w:rsidR="006F7951" w:rsidRPr="00A07AB9">
        <w:rPr>
          <w:szCs w:val="22"/>
        </w:rPr>
        <w:t xml:space="preserve">, </w:t>
      </w:r>
      <w:r w:rsidR="00736527" w:rsidRPr="00A07AB9">
        <w:rPr>
          <w:szCs w:val="22"/>
        </w:rPr>
        <w:t xml:space="preserve">which occurred more than </w:t>
      </w:r>
      <w:r w:rsidR="006F7951" w:rsidRPr="00A07AB9">
        <w:rPr>
          <w:szCs w:val="22"/>
        </w:rPr>
        <w:t>two years</w:t>
      </w:r>
      <w:r w:rsidR="00736527" w:rsidRPr="00A07AB9">
        <w:rPr>
          <w:szCs w:val="22"/>
        </w:rPr>
        <w:t xml:space="preserve"> before he filed the Complaint</w:t>
      </w:r>
      <w:r w:rsidR="000510F2" w:rsidRPr="00A07AB9">
        <w:rPr>
          <w:szCs w:val="22"/>
        </w:rPr>
        <w:t>.</w:t>
      </w:r>
      <w:r w:rsidR="006B11F9" w:rsidRPr="00A07AB9">
        <w:rPr>
          <w:rStyle w:val="FootnoteReference"/>
          <w:sz w:val="22"/>
          <w:szCs w:val="22"/>
        </w:rPr>
        <w:footnoteReference w:id="15"/>
      </w:r>
      <w:r w:rsidR="00ED6589" w:rsidRPr="00A07AB9">
        <w:rPr>
          <w:szCs w:val="22"/>
        </w:rPr>
        <w:t xml:space="preserve">  </w:t>
      </w:r>
      <w:r w:rsidR="0011138F" w:rsidRPr="00A07AB9">
        <w:rPr>
          <w:szCs w:val="22"/>
        </w:rPr>
        <w:t>The Bureau</w:t>
      </w:r>
      <w:r w:rsidR="00736527" w:rsidRPr="00A07AB9">
        <w:rPr>
          <w:szCs w:val="22"/>
        </w:rPr>
        <w:t xml:space="preserve"> </w:t>
      </w:r>
      <w:r w:rsidR="000510F2" w:rsidRPr="00A07AB9">
        <w:rPr>
          <w:szCs w:val="22"/>
        </w:rPr>
        <w:t xml:space="preserve">rejected </w:t>
      </w:r>
      <w:r w:rsidR="00A07B92" w:rsidRPr="00A07AB9">
        <w:rPr>
          <w:szCs w:val="22"/>
        </w:rPr>
        <w:t>Chelmowski</w:t>
      </w:r>
      <w:r w:rsidR="000510F2" w:rsidRPr="00A07AB9">
        <w:rPr>
          <w:szCs w:val="22"/>
        </w:rPr>
        <w:t xml:space="preserve">’s </w:t>
      </w:r>
      <w:r w:rsidR="00CF33D0" w:rsidRPr="00A07AB9">
        <w:rPr>
          <w:szCs w:val="22"/>
        </w:rPr>
        <w:t>argu</w:t>
      </w:r>
      <w:r w:rsidR="000510F2" w:rsidRPr="00A07AB9">
        <w:rPr>
          <w:szCs w:val="22"/>
        </w:rPr>
        <w:t xml:space="preserve">ment that </w:t>
      </w:r>
      <w:r w:rsidR="00A07B92" w:rsidRPr="00A07AB9">
        <w:rPr>
          <w:szCs w:val="22"/>
        </w:rPr>
        <w:t xml:space="preserve">the </w:t>
      </w:r>
      <w:r w:rsidR="00736527" w:rsidRPr="00A07AB9">
        <w:rPr>
          <w:szCs w:val="22"/>
        </w:rPr>
        <w:t>two year</w:t>
      </w:r>
      <w:r w:rsidR="00C357B9" w:rsidRPr="00A07AB9">
        <w:rPr>
          <w:szCs w:val="22"/>
        </w:rPr>
        <w:t xml:space="preserve"> </w:t>
      </w:r>
      <w:r w:rsidR="00A07B92" w:rsidRPr="00A07AB9">
        <w:rPr>
          <w:szCs w:val="22"/>
        </w:rPr>
        <w:t>limitations</w:t>
      </w:r>
      <w:r w:rsidR="00DD7F56" w:rsidRPr="00A07AB9">
        <w:rPr>
          <w:szCs w:val="22"/>
        </w:rPr>
        <w:t xml:space="preserve"> period</w:t>
      </w:r>
      <w:r w:rsidR="00C357B9" w:rsidRPr="00A07AB9">
        <w:rPr>
          <w:szCs w:val="22"/>
        </w:rPr>
        <w:t xml:space="preserve"> </w:t>
      </w:r>
      <w:r w:rsidR="00A07B92" w:rsidRPr="00A07AB9">
        <w:rPr>
          <w:szCs w:val="22"/>
        </w:rPr>
        <w:t>should be tolled</w:t>
      </w:r>
      <w:r w:rsidR="00116845" w:rsidRPr="00A07AB9">
        <w:rPr>
          <w:szCs w:val="22"/>
        </w:rPr>
        <w:t xml:space="preserve"> </w:t>
      </w:r>
      <w:r w:rsidR="00A07B92" w:rsidRPr="00A07AB9">
        <w:rPr>
          <w:szCs w:val="22"/>
        </w:rPr>
        <w:t>because AT&amp;T fraudulently concealed “material facts [relating] to the basis of his claim.”</w:t>
      </w:r>
      <w:r w:rsidR="00A07B92" w:rsidRPr="00A07AB9">
        <w:rPr>
          <w:rStyle w:val="FootnoteReference"/>
          <w:sz w:val="22"/>
          <w:szCs w:val="22"/>
        </w:rPr>
        <w:footnoteReference w:id="16"/>
      </w:r>
      <w:r w:rsidR="00A07B92" w:rsidRPr="00A07AB9">
        <w:rPr>
          <w:szCs w:val="22"/>
        </w:rPr>
        <w:t xml:space="preserve">  The Bureau found that Mr. Chelmowski had the</w:t>
      </w:r>
      <w:r w:rsidR="00736527" w:rsidRPr="00A07AB9">
        <w:rPr>
          <w:szCs w:val="22"/>
        </w:rPr>
        <w:t xml:space="preserve"> basic facts needed to assert</w:t>
      </w:r>
      <w:r w:rsidR="00A07B92" w:rsidRPr="00A07AB9">
        <w:rPr>
          <w:szCs w:val="22"/>
        </w:rPr>
        <w:t xml:space="preserve"> his claim </w:t>
      </w:r>
      <w:r w:rsidR="00736527" w:rsidRPr="00A07AB9">
        <w:rPr>
          <w:szCs w:val="22"/>
        </w:rPr>
        <w:t xml:space="preserve">when he filed </w:t>
      </w:r>
      <w:r w:rsidR="00896E52" w:rsidRPr="00A07AB9">
        <w:rPr>
          <w:szCs w:val="22"/>
        </w:rPr>
        <w:t>two</w:t>
      </w:r>
      <w:r w:rsidR="00736527" w:rsidRPr="00A07AB9">
        <w:rPr>
          <w:szCs w:val="22"/>
        </w:rPr>
        <w:t xml:space="preserve"> </w:t>
      </w:r>
      <w:r w:rsidR="00A07B92" w:rsidRPr="00A07AB9">
        <w:rPr>
          <w:szCs w:val="22"/>
        </w:rPr>
        <w:t>informal complaints</w:t>
      </w:r>
      <w:r w:rsidR="00DD7F56" w:rsidRPr="00A07AB9">
        <w:rPr>
          <w:szCs w:val="22"/>
        </w:rPr>
        <w:t xml:space="preserve"> </w:t>
      </w:r>
      <w:r w:rsidR="00896E52" w:rsidRPr="00A07AB9">
        <w:rPr>
          <w:szCs w:val="22"/>
        </w:rPr>
        <w:t xml:space="preserve">about </w:t>
      </w:r>
      <w:r w:rsidR="00DD7F56" w:rsidRPr="00A07AB9">
        <w:rPr>
          <w:szCs w:val="22"/>
        </w:rPr>
        <w:t xml:space="preserve">the failed ports </w:t>
      </w:r>
      <w:r w:rsidR="00736527" w:rsidRPr="00A07AB9">
        <w:rPr>
          <w:szCs w:val="22"/>
        </w:rPr>
        <w:t>in 2011</w:t>
      </w:r>
      <w:r w:rsidR="00896E52" w:rsidRPr="00A07AB9">
        <w:rPr>
          <w:szCs w:val="22"/>
        </w:rPr>
        <w:t>—more than two years before he filed the Complaint.</w:t>
      </w:r>
      <w:r w:rsidR="005C22AA" w:rsidRPr="00A07AB9">
        <w:rPr>
          <w:rStyle w:val="FootnoteReference"/>
          <w:sz w:val="22"/>
          <w:szCs w:val="22"/>
        </w:rPr>
        <w:footnoteReference w:id="17"/>
      </w:r>
      <w:r w:rsidR="002C7925" w:rsidRPr="00A07AB9">
        <w:rPr>
          <w:szCs w:val="22"/>
        </w:rPr>
        <w:t xml:space="preserve">  </w:t>
      </w:r>
    </w:p>
    <w:p w:rsidR="008F4E8A" w:rsidRPr="00A07AB9" w:rsidRDefault="001A5AF5" w:rsidP="00835D10">
      <w:pPr>
        <w:pStyle w:val="ParaNum"/>
        <w:tabs>
          <w:tab w:val="clear" w:pos="1080"/>
          <w:tab w:val="num" w:pos="1440"/>
        </w:tabs>
        <w:rPr>
          <w:szCs w:val="22"/>
        </w:rPr>
      </w:pPr>
      <w:r w:rsidRPr="00A07AB9">
        <w:rPr>
          <w:szCs w:val="22"/>
        </w:rPr>
        <w:t xml:space="preserve">Petitions for reconsideration are granted only in limited circumstances.  Reconsideration is </w:t>
      </w:r>
      <w:r w:rsidR="00BC0215" w:rsidRPr="00A07AB9">
        <w:rPr>
          <w:szCs w:val="22"/>
        </w:rPr>
        <w:t xml:space="preserve">not </w:t>
      </w:r>
      <w:r w:rsidRPr="00A07AB9">
        <w:rPr>
          <w:szCs w:val="22"/>
        </w:rPr>
        <w:t xml:space="preserve">appropriate where the petitioner </w:t>
      </w:r>
      <w:r w:rsidR="00BC0215" w:rsidRPr="00A07AB9">
        <w:rPr>
          <w:szCs w:val="22"/>
        </w:rPr>
        <w:t>fails to demonstrate</w:t>
      </w:r>
      <w:r w:rsidRPr="00A07AB9">
        <w:rPr>
          <w:szCs w:val="22"/>
        </w:rPr>
        <w:t xml:space="preserve"> a material error or omission in the original order</w:t>
      </w:r>
      <w:r w:rsidR="00BC0215" w:rsidRPr="00A07AB9">
        <w:rPr>
          <w:szCs w:val="22"/>
        </w:rPr>
        <w:t>,</w:t>
      </w:r>
      <w:r w:rsidRPr="00A07AB9">
        <w:rPr>
          <w:szCs w:val="22"/>
        </w:rPr>
        <w:t xml:space="preserve"> or </w:t>
      </w:r>
      <w:r w:rsidR="00BC0215" w:rsidRPr="00A07AB9">
        <w:rPr>
          <w:szCs w:val="22"/>
        </w:rPr>
        <w:t>does not raise</w:t>
      </w:r>
      <w:r w:rsidRPr="00A07AB9">
        <w:rPr>
          <w:szCs w:val="22"/>
        </w:rPr>
        <w:t xml:space="preserve"> additional facts not known or not existing until after the petitioner’s last opportunity to present such matters.</w:t>
      </w:r>
      <w:r w:rsidR="00D93210" w:rsidRPr="00A07AB9">
        <w:rPr>
          <w:rStyle w:val="FootnoteReference"/>
          <w:sz w:val="22"/>
          <w:szCs w:val="22"/>
        </w:rPr>
        <w:footnoteReference w:id="18"/>
      </w:r>
      <w:r w:rsidRPr="00A07AB9">
        <w:rPr>
          <w:szCs w:val="22"/>
        </w:rPr>
        <w:t xml:space="preserve">  A petition for reconsideration that </w:t>
      </w:r>
      <w:r w:rsidR="002C22FA" w:rsidRPr="00A07AB9">
        <w:rPr>
          <w:szCs w:val="22"/>
        </w:rPr>
        <w:t>only</w:t>
      </w:r>
      <w:r w:rsidRPr="00A07AB9">
        <w:rPr>
          <w:szCs w:val="22"/>
        </w:rPr>
        <w:t xml:space="preserve"> reiterates </w:t>
      </w:r>
      <w:r w:rsidR="00B251F0" w:rsidRPr="00A07AB9">
        <w:rPr>
          <w:szCs w:val="22"/>
        </w:rPr>
        <w:t xml:space="preserve">facts and </w:t>
      </w:r>
      <w:r w:rsidRPr="00A07AB9">
        <w:rPr>
          <w:szCs w:val="22"/>
        </w:rPr>
        <w:t>arguments previously considered and rejected will be denied.</w:t>
      </w:r>
      <w:r w:rsidR="00D93210" w:rsidRPr="00A07AB9">
        <w:rPr>
          <w:rStyle w:val="FootnoteReference"/>
          <w:sz w:val="22"/>
          <w:szCs w:val="22"/>
        </w:rPr>
        <w:footnoteReference w:id="19"/>
      </w:r>
      <w:r w:rsidRPr="00A07AB9">
        <w:rPr>
          <w:szCs w:val="22"/>
        </w:rPr>
        <w:t xml:space="preserve">  </w:t>
      </w:r>
    </w:p>
    <w:p w:rsidR="007B7798" w:rsidRPr="00A07AB9" w:rsidRDefault="00234FC4" w:rsidP="00A1770A">
      <w:pPr>
        <w:pStyle w:val="ParaNum"/>
        <w:rPr>
          <w:szCs w:val="22"/>
        </w:rPr>
      </w:pPr>
      <w:r w:rsidRPr="00A07AB9">
        <w:rPr>
          <w:szCs w:val="22"/>
        </w:rPr>
        <w:lastRenderedPageBreak/>
        <w:t xml:space="preserve">Chelmowski’s </w:t>
      </w:r>
      <w:r w:rsidR="00A1770A" w:rsidRPr="00A07AB9">
        <w:rPr>
          <w:szCs w:val="22"/>
        </w:rPr>
        <w:t xml:space="preserve">Motion fails to present any information or argument </w:t>
      </w:r>
      <w:r w:rsidR="00BE3561" w:rsidRPr="00A07AB9">
        <w:rPr>
          <w:szCs w:val="22"/>
        </w:rPr>
        <w:t>warranting reconsideration of the Order.</w:t>
      </w:r>
      <w:r w:rsidR="00A1770A" w:rsidRPr="00A07AB9">
        <w:rPr>
          <w:szCs w:val="22"/>
        </w:rPr>
        <w:t xml:space="preserve">  The Motion does not challenge the Bureau’s finding that Chelmowski filed informal complaint</w:t>
      </w:r>
      <w:r w:rsidR="0083123B" w:rsidRPr="00A07AB9">
        <w:rPr>
          <w:szCs w:val="22"/>
        </w:rPr>
        <w:t>s</w:t>
      </w:r>
      <w:r w:rsidR="00A1770A" w:rsidRPr="00A07AB9">
        <w:rPr>
          <w:szCs w:val="22"/>
        </w:rPr>
        <w:t xml:space="preserve"> in </w:t>
      </w:r>
      <w:r w:rsidR="0083123B" w:rsidRPr="00A07AB9">
        <w:rPr>
          <w:szCs w:val="22"/>
        </w:rPr>
        <w:t xml:space="preserve">March and August </w:t>
      </w:r>
      <w:r w:rsidR="00A1770A" w:rsidRPr="00A07AB9">
        <w:rPr>
          <w:szCs w:val="22"/>
        </w:rPr>
        <w:t xml:space="preserve">2011 concerning the same injury alleged in the Complaint.  Instead, the Motion focuses on Chelmowski’s </w:t>
      </w:r>
      <w:r w:rsidR="00BE3561" w:rsidRPr="00A07AB9">
        <w:rPr>
          <w:szCs w:val="22"/>
        </w:rPr>
        <w:t xml:space="preserve">argument that he should be </w:t>
      </w:r>
      <w:r w:rsidR="00A1770A" w:rsidRPr="00A07AB9">
        <w:rPr>
          <w:szCs w:val="22"/>
        </w:rPr>
        <w:t>entitled to obtain additional information from AT&amp;T to substantiate the unlawfulness of AT&amp;T’s alleged porting violation.</w:t>
      </w:r>
      <w:r w:rsidR="00A1770A" w:rsidRPr="00A07AB9">
        <w:rPr>
          <w:rStyle w:val="FootnoteReference"/>
          <w:sz w:val="22"/>
          <w:szCs w:val="22"/>
        </w:rPr>
        <w:footnoteReference w:id="20"/>
      </w:r>
      <w:r w:rsidR="00A1770A" w:rsidRPr="00A07AB9">
        <w:rPr>
          <w:szCs w:val="22"/>
        </w:rPr>
        <w:t xml:space="preserve">  Such evidence, even if available, would provide no grounds for reversing the Bureau’s Order because the record plainly shows that Chelmowski knew of his </w:t>
      </w:r>
      <w:r w:rsidRPr="00A07AB9">
        <w:rPr>
          <w:szCs w:val="22"/>
        </w:rPr>
        <w:t xml:space="preserve">alleged </w:t>
      </w:r>
      <w:r w:rsidR="00A1770A" w:rsidRPr="00A07AB9">
        <w:rPr>
          <w:szCs w:val="22"/>
        </w:rPr>
        <w:t xml:space="preserve">injury when he filed the first informal complaint </w:t>
      </w:r>
      <w:r w:rsidR="0083123B" w:rsidRPr="00A07AB9">
        <w:rPr>
          <w:szCs w:val="22"/>
        </w:rPr>
        <w:t xml:space="preserve">in </w:t>
      </w:r>
      <w:r w:rsidR="00A1770A" w:rsidRPr="00A07AB9">
        <w:rPr>
          <w:szCs w:val="22"/>
        </w:rPr>
        <w:t xml:space="preserve">2011. </w:t>
      </w:r>
      <w:r w:rsidR="00426716" w:rsidRPr="00A07AB9">
        <w:rPr>
          <w:szCs w:val="22"/>
        </w:rPr>
        <w:t xml:space="preserve"> </w:t>
      </w:r>
      <w:r w:rsidR="00A1770A" w:rsidRPr="00A07AB9">
        <w:rPr>
          <w:szCs w:val="22"/>
        </w:rPr>
        <w:t>The Complaint, filed in December</w:t>
      </w:r>
      <w:r w:rsidR="00BE3561" w:rsidRPr="00A07AB9">
        <w:rPr>
          <w:szCs w:val="22"/>
        </w:rPr>
        <w:t>,</w:t>
      </w:r>
      <w:r w:rsidR="00A1770A" w:rsidRPr="00A07AB9">
        <w:rPr>
          <w:szCs w:val="22"/>
        </w:rPr>
        <w:t xml:space="preserve"> 2014, is thus barred by the two year limitation</w:t>
      </w:r>
      <w:r w:rsidR="00426716" w:rsidRPr="00A07AB9">
        <w:rPr>
          <w:szCs w:val="22"/>
        </w:rPr>
        <w:t>s</w:t>
      </w:r>
      <w:r w:rsidR="00DB2FD9">
        <w:rPr>
          <w:szCs w:val="22"/>
        </w:rPr>
        <w:t xml:space="preserve"> period in s</w:t>
      </w:r>
      <w:r w:rsidR="00A1770A" w:rsidRPr="00A07AB9">
        <w:rPr>
          <w:szCs w:val="22"/>
        </w:rPr>
        <w:t>ection 415(b) of the Act</w:t>
      </w:r>
      <w:r w:rsidR="007B7798" w:rsidRPr="00A07AB9">
        <w:rPr>
          <w:szCs w:val="22"/>
        </w:rPr>
        <w:t>,</w:t>
      </w:r>
      <w:r w:rsidR="00A1770A" w:rsidRPr="00A07AB9">
        <w:rPr>
          <w:szCs w:val="22"/>
        </w:rPr>
        <w:t xml:space="preserve"> and additional discovery concerning the alleged unlawfulness of AT&amp;T’s porting conduct cannot change that conclusion.</w:t>
      </w:r>
      <w:r w:rsidR="00BB1B42" w:rsidRPr="00A07AB9">
        <w:rPr>
          <w:rStyle w:val="FootnoteReference"/>
          <w:sz w:val="22"/>
          <w:szCs w:val="22"/>
        </w:rPr>
        <w:footnoteReference w:id="21"/>
      </w:r>
      <w:r w:rsidR="00A1770A" w:rsidRPr="00A07AB9">
        <w:rPr>
          <w:szCs w:val="22"/>
        </w:rPr>
        <w:t xml:space="preserve">  </w:t>
      </w:r>
    </w:p>
    <w:p w:rsidR="001D4186" w:rsidRDefault="00BE3561" w:rsidP="005605B3">
      <w:pPr>
        <w:pStyle w:val="ParaNum"/>
        <w:rPr>
          <w:snapToGrid/>
          <w:szCs w:val="22"/>
        </w:rPr>
      </w:pPr>
      <w:r w:rsidRPr="00A07AB9">
        <w:rPr>
          <w:szCs w:val="22"/>
        </w:rPr>
        <w:t xml:space="preserve">The </w:t>
      </w:r>
      <w:r w:rsidR="00A1770A" w:rsidRPr="00A07AB9">
        <w:rPr>
          <w:szCs w:val="22"/>
        </w:rPr>
        <w:t>Motion</w:t>
      </w:r>
      <w:r w:rsidRPr="00A07AB9">
        <w:rPr>
          <w:szCs w:val="22"/>
        </w:rPr>
        <w:t xml:space="preserve"> also</w:t>
      </w:r>
      <w:r w:rsidR="005605B3" w:rsidRPr="00A07AB9">
        <w:rPr>
          <w:szCs w:val="22"/>
        </w:rPr>
        <w:t xml:space="preserve"> repeats </w:t>
      </w:r>
      <w:r w:rsidRPr="00A07AB9">
        <w:rPr>
          <w:szCs w:val="22"/>
        </w:rPr>
        <w:t>Chelmowski’s argument</w:t>
      </w:r>
      <w:r w:rsidR="00C60F29" w:rsidRPr="00A07AB9">
        <w:rPr>
          <w:szCs w:val="22"/>
        </w:rPr>
        <w:t>, fully considered in the Order, that the statu</w:t>
      </w:r>
      <w:r w:rsidR="005605B3" w:rsidRPr="00A07AB9">
        <w:rPr>
          <w:szCs w:val="22"/>
        </w:rPr>
        <w:t>t</w:t>
      </w:r>
      <w:r w:rsidR="00C60F29" w:rsidRPr="00A07AB9">
        <w:rPr>
          <w:szCs w:val="22"/>
        </w:rPr>
        <w:t xml:space="preserve">e of limitations should be tolled based on </w:t>
      </w:r>
      <w:r w:rsidR="007B7798" w:rsidRPr="00A07AB9">
        <w:rPr>
          <w:szCs w:val="22"/>
        </w:rPr>
        <w:t xml:space="preserve">AT&amp;T’s alleged fraudulent concealment </w:t>
      </w:r>
      <w:r w:rsidR="00C60F29" w:rsidRPr="00A07AB9">
        <w:rPr>
          <w:szCs w:val="22"/>
        </w:rPr>
        <w:t xml:space="preserve">of </w:t>
      </w:r>
      <w:r w:rsidRPr="00A07AB9">
        <w:rPr>
          <w:szCs w:val="22"/>
        </w:rPr>
        <w:t>his injury.</w:t>
      </w:r>
      <w:r w:rsidR="00C60F29" w:rsidRPr="00A07AB9">
        <w:rPr>
          <w:szCs w:val="22"/>
        </w:rPr>
        <w:t xml:space="preserve">  </w:t>
      </w:r>
      <w:r w:rsidR="0028628B" w:rsidRPr="00A07AB9">
        <w:rPr>
          <w:szCs w:val="22"/>
        </w:rPr>
        <w:t>The Motion</w:t>
      </w:r>
      <w:r w:rsidR="005605B3" w:rsidRPr="00A07AB9">
        <w:rPr>
          <w:szCs w:val="22"/>
        </w:rPr>
        <w:t xml:space="preserve"> provides no basis to reconsider the </w:t>
      </w:r>
      <w:r w:rsidR="00C60F29" w:rsidRPr="00A07AB9">
        <w:rPr>
          <w:szCs w:val="22"/>
        </w:rPr>
        <w:t xml:space="preserve">Bureau’s conclusion that </w:t>
      </w:r>
      <w:r w:rsidR="0028628B" w:rsidRPr="00A07AB9">
        <w:rPr>
          <w:szCs w:val="22"/>
        </w:rPr>
        <w:t xml:space="preserve">such </w:t>
      </w:r>
      <w:r w:rsidR="00C60F29" w:rsidRPr="00A07AB9">
        <w:rPr>
          <w:szCs w:val="22"/>
        </w:rPr>
        <w:t>tolling i</w:t>
      </w:r>
      <w:r w:rsidR="00EA7B24" w:rsidRPr="00A07AB9">
        <w:rPr>
          <w:szCs w:val="22"/>
        </w:rPr>
        <w:t xml:space="preserve">s unavailable here because </w:t>
      </w:r>
      <w:r w:rsidR="00C60F29" w:rsidRPr="00A07AB9">
        <w:rPr>
          <w:szCs w:val="22"/>
        </w:rPr>
        <w:t>Chelmowski had the basic facts needed to assert a claim, and he actually did so</w:t>
      </w:r>
      <w:r w:rsidRPr="00A07AB9">
        <w:rPr>
          <w:szCs w:val="22"/>
        </w:rPr>
        <w:t>,</w:t>
      </w:r>
      <w:r w:rsidR="00C60F29" w:rsidRPr="00A07AB9">
        <w:rPr>
          <w:szCs w:val="22"/>
        </w:rPr>
        <w:t xml:space="preserve"> in two informal complaints in 2011</w:t>
      </w:r>
      <w:r w:rsidR="0083123B" w:rsidRPr="00A07AB9">
        <w:rPr>
          <w:szCs w:val="22"/>
        </w:rPr>
        <w:t>.</w:t>
      </w:r>
      <w:r w:rsidR="00EA7B24" w:rsidRPr="00A07AB9">
        <w:rPr>
          <w:rStyle w:val="FootnoteReference"/>
          <w:sz w:val="22"/>
          <w:szCs w:val="22"/>
        </w:rPr>
        <w:footnoteReference w:id="22"/>
      </w:r>
      <w:r w:rsidR="00C60F29" w:rsidRPr="00A07AB9">
        <w:rPr>
          <w:szCs w:val="22"/>
        </w:rPr>
        <w:t xml:space="preserve">  </w:t>
      </w:r>
      <w:r w:rsidR="00F003B4" w:rsidRPr="00A07AB9">
        <w:rPr>
          <w:szCs w:val="22"/>
        </w:rPr>
        <w:t xml:space="preserve">Accordingly, because Chelmowski fails to </w:t>
      </w:r>
      <w:r w:rsidRPr="00A07AB9">
        <w:rPr>
          <w:szCs w:val="22"/>
        </w:rPr>
        <w:t xml:space="preserve">provide </w:t>
      </w:r>
      <w:r w:rsidR="006E5F0C" w:rsidRPr="00A07AB9">
        <w:rPr>
          <w:szCs w:val="22"/>
        </w:rPr>
        <w:t>any new information,</w:t>
      </w:r>
      <w:r w:rsidR="00F003B4" w:rsidRPr="00A07AB9">
        <w:rPr>
          <w:snapToGrid/>
          <w:szCs w:val="22"/>
        </w:rPr>
        <w:t xml:space="preserve"> </w:t>
      </w:r>
      <w:r w:rsidRPr="00A07AB9">
        <w:rPr>
          <w:snapToGrid/>
          <w:szCs w:val="22"/>
        </w:rPr>
        <w:t>or to r</w:t>
      </w:r>
      <w:r w:rsidR="00F003B4" w:rsidRPr="00A07AB9">
        <w:rPr>
          <w:snapToGrid/>
          <w:szCs w:val="22"/>
        </w:rPr>
        <w:t>aise</w:t>
      </w:r>
      <w:r w:rsidR="00F448B7" w:rsidRPr="00A07AB9">
        <w:rPr>
          <w:snapToGrid/>
          <w:szCs w:val="22"/>
        </w:rPr>
        <w:t xml:space="preserve"> any </w:t>
      </w:r>
      <w:r w:rsidR="00E466EC" w:rsidRPr="00A07AB9">
        <w:rPr>
          <w:snapToGrid/>
          <w:szCs w:val="22"/>
        </w:rPr>
        <w:t xml:space="preserve">new </w:t>
      </w:r>
      <w:r w:rsidR="00F003B4" w:rsidRPr="00A07AB9">
        <w:rPr>
          <w:snapToGrid/>
          <w:szCs w:val="22"/>
        </w:rPr>
        <w:t xml:space="preserve">arguments </w:t>
      </w:r>
      <w:r w:rsidR="0028628B" w:rsidRPr="00A07AB9">
        <w:rPr>
          <w:snapToGrid/>
          <w:szCs w:val="22"/>
        </w:rPr>
        <w:t xml:space="preserve">not </w:t>
      </w:r>
      <w:r w:rsidR="00F003B4" w:rsidRPr="00A07AB9">
        <w:rPr>
          <w:snapToGrid/>
          <w:szCs w:val="22"/>
        </w:rPr>
        <w:t xml:space="preserve">previously considered and rejected by the </w:t>
      </w:r>
      <w:r w:rsidR="006E5F0C" w:rsidRPr="00A07AB9">
        <w:rPr>
          <w:snapToGrid/>
          <w:szCs w:val="22"/>
        </w:rPr>
        <w:t>Bureau</w:t>
      </w:r>
      <w:r w:rsidR="00F003B4" w:rsidRPr="00A07AB9">
        <w:rPr>
          <w:snapToGrid/>
          <w:szCs w:val="22"/>
        </w:rPr>
        <w:t xml:space="preserve">, we deny the Motion </w:t>
      </w:r>
      <w:r w:rsidR="006306EA" w:rsidRPr="00A07AB9">
        <w:rPr>
          <w:snapToGrid/>
          <w:szCs w:val="22"/>
        </w:rPr>
        <w:t>pursuant to s</w:t>
      </w:r>
      <w:r w:rsidR="00F003B4" w:rsidRPr="00A07AB9">
        <w:rPr>
          <w:snapToGrid/>
          <w:szCs w:val="22"/>
        </w:rPr>
        <w:t>ection</w:t>
      </w:r>
      <w:r w:rsidR="00F003B4" w:rsidRPr="00A07AB9">
        <w:rPr>
          <w:szCs w:val="22"/>
        </w:rPr>
        <w:t xml:space="preserve"> </w:t>
      </w:r>
      <w:r w:rsidR="006306EA" w:rsidRPr="00A07AB9">
        <w:rPr>
          <w:snapToGrid/>
          <w:szCs w:val="22"/>
        </w:rPr>
        <w:t>405 of the Act and s</w:t>
      </w:r>
      <w:r w:rsidR="00F003B4" w:rsidRPr="00A07AB9">
        <w:rPr>
          <w:snapToGrid/>
          <w:szCs w:val="22"/>
        </w:rPr>
        <w:t xml:space="preserve">ection 1.106 of the </w:t>
      </w:r>
      <w:r w:rsidR="00F003B4" w:rsidRPr="00A07AB9">
        <w:rPr>
          <w:szCs w:val="22"/>
        </w:rPr>
        <w:t>Commission’s ru</w:t>
      </w:r>
      <w:r w:rsidR="00F003B4" w:rsidRPr="00A07AB9">
        <w:rPr>
          <w:snapToGrid/>
          <w:szCs w:val="22"/>
        </w:rPr>
        <w:t>les.</w:t>
      </w:r>
    </w:p>
    <w:p w:rsidR="007A77C4" w:rsidRPr="001D4186" w:rsidRDefault="001D4186" w:rsidP="001D4186">
      <w:pPr>
        <w:widowControl/>
        <w:rPr>
          <w:snapToGrid/>
          <w:szCs w:val="22"/>
        </w:rPr>
      </w:pPr>
      <w:r>
        <w:rPr>
          <w:snapToGrid/>
          <w:szCs w:val="22"/>
        </w:rPr>
        <w:br w:type="page"/>
      </w:r>
    </w:p>
    <w:p w:rsidR="00F907C4" w:rsidRPr="00A07AB9" w:rsidRDefault="002E26C5" w:rsidP="00385BA5">
      <w:pPr>
        <w:pStyle w:val="Heading1"/>
        <w:rPr>
          <w:rFonts w:ascii="Times New Roman" w:hAnsi="Times New Roman"/>
          <w:szCs w:val="22"/>
        </w:rPr>
      </w:pPr>
      <w:r w:rsidRPr="00A07AB9">
        <w:rPr>
          <w:rFonts w:ascii="Times New Roman" w:hAnsi="Times New Roman"/>
          <w:szCs w:val="22"/>
        </w:rPr>
        <w:t>ordering clause</w:t>
      </w:r>
    </w:p>
    <w:p w:rsidR="00F907C4" w:rsidRPr="00A07AB9" w:rsidRDefault="00F907C4" w:rsidP="00385BA5">
      <w:pPr>
        <w:pStyle w:val="ParaNum"/>
        <w:tabs>
          <w:tab w:val="clear" w:pos="1080"/>
          <w:tab w:val="num" w:pos="1440"/>
        </w:tabs>
        <w:rPr>
          <w:szCs w:val="22"/>
        </w:rPr>
      </w:pPr>
      <w:r w:rsidRPr="00A07AB9">
        <w:rPr>
          <w:szCs w:val="22"/>
        </w:rPr>
        <w:t xml:space="preserve">Accordingly, IT IS ORDERED </w:t>
      </w:r>
      <w:r w:rsidR="00385BA5" w:rsidRPr="00A07AB9">
        <w:rPr>
          <w:szCs w:val="22"/>
        </w:rPr>
        <w:t>that, pursuant to s</w:t>
      </w:r>
      <w:r w:rsidRPr="00A07AB9">
        <w:rPr>
          <w:szCs w:val="22"/>
        </w:rPr>
        <w:t xml:space="preserve">ection 405 of the Communications Act of 1934, as amended, </w:t>
      </w:r>
      <w:r w:rsidR="00385BA5" w:rsidRPr="00A07AB9">
        <w:rPr>
          <w:szCs w:val="22"/>
        </w:rPr>
        <w:t xml:space="preserve">47 U.S.C. § 405, </w:t>
      </w:r>
      <w:r w:rsidRPr="00A07AB9">
        <w:rPr>
          <w:szCs w:val="22"/>
        </w:rPr>
        <w:t xml:space="preserve">and </w:t>
      </w:r>
      <w:r w:rsidR="00385BA5" w:rsidRPr="00A07AB9">
        <w:rPr>
          <w:szCs w:val="22"/>
        </w:rPr>
        <w:t>s</w:t>
      </w:r>
      <w:r w:rsidRPr="00A07AB9">
        <w:rPr>
          <w:szCs w:val="22"/>
        </w:rPr>
        <w:t xml:space="preserve">ection 1.106 of the </w:t>
      </w:r>
      <w:r w:rsidR="00385BA5" w:rsidRPr="00A07AB9">
        <w:rPr>
          <w:szCs w:val="22"/>
        </w:rPr>
        <w:t>of the Commission’s rules</w:t>
      </w:r>
      <w:r w:rsidRPr="00A07AB9">
        <w:rPr>
          <w:szCs w:val="22"/>
        </w:rPr>
        <w:t xml:space="preserve">, </w:t>
      </w:r>
      <w:r w:rsidR="00385BA5" w:rsidRPr="00A07AB9">
        <w:rPr>
          <w:szCs w:val="22"/>
        </w:rPr>
        <w:t xml:space="preserve">47 C.F.R. § 1.106, </w:t>
      </w:r>
      <w:r w:rsidRPr="00A07AB9">
        <w:rPr>
          <w:szCs w:val="22"/>
        </w:rPr>
        <w:t>the Motion to Reconsider filed by James Chelmowski on August 10, 2015 is hereby DENIED</w:t>
      </w:r>
      <w:r w:rsidR="00BC69EE" w:rsidRPr="00A07AB9">
        <w:rPr>
          <w:szCs w:val="22"/>
        </w:rPr>
        <w:t>.</w:t>
      </w:r>
    </w:p>
    <w:p w:rsidR="002E26C5" w:rsidRPr="00A07AB9" w:rsidRDefault="002E26C5" w:rsidP="002E26C5">
      <w:pPr>
        <w:pStyle w:val="ParaNum"/>
        <w:widowControl/>
        <w:numPr>
          <w:ilvl w:val="0"/>
          <w:numId w:val="0"/>
        </w:numPr>
        <w:ind w:left="90"/>
        <w:rPr>
          <w:spacing w:val="-2"/>
          <w:szCs w:val="22"/>
        </w:rPr>
      </w:pPr>
    </w:p>
    <w:p w:rsidR="002E26C5" w:rsidRPr="00A07AB9" w:rsidRDefault="002E26C5" w:rsidP="002E26C5">
      <w:pPr>
        <w:pStyle w:val="ParaNum"/>
        <w:numPr>
          <w:ilvl w:val="0"/>
          <w:numId w:val="0"/>
        </w:numPr>
        <w:ind w:left="3600"/>
        <w:rPr>
          <w:szCs w:val="22"/>
        </w:rPr>
      </w:pPr>
      <w:r w:rsidRPr="00A07AB9">
        <w:rPr>
          <w:szCs w:val="22"/>
        </w:rPr>
        <w:t>FEDERAL COMMUNICATIONS COMMISSION</w:t>
      </w:r>
    </w:p>
    <w:p w:rsidR="002E26C5" w:rsidRPr="00A07AB9" w:rsidRDefault="002E26C5" w:rsidP="002E26C5">
      <w:pPr>
        <w:pStyle w:val="ParaNum"/>
        <w:numPr>
          <w:ilvl w:val="0"/>
          <w:numId w:val="0"/>
        </w:numPr>
        <w:rPr>
          <w:szCs w:val="22"/>
        </w:rPr>
      </w:pPr>
    </w:p>
    <w:p w:rsidR="00BC69EE" w:rsidRPr="00A07AB9" w:rsidRDefault="00BC69EE" w:rsidP="002E26C5">
      <w:pPr>
        <w:pStyle w:val="ParaNum"/>
        <w:numPr>
          <w:ilvl w:val="0"/>
          <w:numId w:val="0"/>
        </w:numPr>
        <w:rPr>
          <w:szCs w:val="22"/>
        </w:rPr>
      </w:pPr>
    </w:p>
    <w:p w:rsidR="002E26C5" w:rsidRPr="00A07AB9" w:rsidRDefault="002E26C5" w:rsidP="002E26C5">
      <w:pPr>
        <w:pStyle w:val="ParaNum"/>
        <w:numPr>
          <w:ilvl w:val="0"/>
          <w:numId w:val="0"/>
        </w:numPr>
        <w:spacing w:after="0"/>
        <w:ind w:left="3600"/>
        <w:rPr>
          <w:szCs w:val="22"/>
        </w:rPr>
      </w:pPr>
      <w:r w:rsidRPr="00A07AB9">
        <w:rPr>
          <w:szCs w:val="22"/>
        </w:rPr>
        <w:t>Travis LeBlanc</w:t>
      </w:r>
    </w:p>
    <w:p w:rsidR="00DF201D" w:rsidRPr="00A07AB9" w:rsidRDefault="002E26C5" w:rsidP="0000736F">
      <w:pPr>
        <w:pStyle w:val="ParaNum"/>
        <w:numPr>
          <w:ilvl w:val="0"/>
          <w:numId w:val="0"/>
        </w:numPr>
        <w:spacing w:after="0"/>
        <w:rPr>
          <w:szCs w:val="22"/>
        </w:rPr>
      </w:pPr>
      <w:r w:rsidRPr="00A07AB9">
        <w:rPr>
          <w:szCs w:val="22"/>
        </w:rPr>
        <w:tab/>
      </w:r>
      <w:r w:rsidRPr="00A07AB9">
        <w:rPr>
          <w:szCs w:val="22"/>
        </w:rPr>
        <w:tab/>
      </w:r>
      <w:r w:rsidRPr="00A07AB9">
        <w:rPr>
          <w:szCs w:val="22"/>
        </w:rPr>
        <w:tab/>
      </w:r>
      <w:r w:rsidRPr="00A07AB9">
        <w:rPr>
          <w:szCs w:val="22"/>
        </w:rPr>
        <w:tab/>
      </w:r>
      <w:r w:rsidRPr="00A07AB9">
        <w:rPr>
          <w:szCs w:val="22"/>
        </w:rPr>
        <w:tab/>
        <w:t>Chief, Enforcement Bureau</w:t>
      </w:r>
    </w:p>
    <w:sectPr w:rsidR="00DF201D" w:rsidRPr="00A07AB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12" w:rsidRDefault="00001512">
      <w:pPr>
        <w:spacing w:line="20" w:lineRule="exact"/>
      </w:pPr>
    </w:p>
  </w:endnote>
  <w:endnote w:type="continuationSeparator" w:id="0">
    <w:p w:rsidR="00001512" w:rsidRDefault="00001512">
      <w:r>
        <w:t xml:space="preserve"> </w:t>
      </w:r>
    </w:p>
  </w:endnote>
  <w:endnote w:type="continuationNotice" w:id="1">
    <w:p w:rsidR="00001512" w:rsidRDefault="000015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E" w:rsidRDefault="008E123E" w:rsidP="0055614C">
    <w:pPr>
      <w:pStyle w:val="Footer"/>
      <w:framePr w:wrap="around" w:vAnchor="text" w:hAnchor="margin" w:xAlign="center" w:y="1"/>
    </w:pPr>
    <w:r>
      <w:fldChar w:fldCharType="begin"/>
    </w:r>
    <w:r>
      <w:instrText xml:space="preserve">PAGE  </w:instrText>
    </w:r>
    <w:r>
      <w:fldChar w:fldCharType="end"/>
    </w:r>
  </w:p>
  <w:p w:rsidR="008E123E" w:rsidRDefault="008E1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E" w:rsidRDefault="008E123E" w:rsidP="0055614C">
    <w:pPr>
      <w:pStyle w:val="Footer"/>
      <w:framePr w:wrap="around" w:vAnchor="text" w:hAnchor="margin" w:xAlign="center" w:y="1"/>
    </w:pPr>
    <w:r>
      <w:fldChar w:fldCharType="begin"/>
    </w:r>
    <w:r>
      <w:instrText xml:space="preserve">PAGE  </w:instrText>
    </w:r>
    <w:r>
      <w:fldChar w:fldCharType="separate"/>
    </w:r>
    <w:r w:rsidR="001D59B9">
      <w:rPr>
        <w:noProof/>
      </w:rPr>
      <w:t>2</w:t>
    </w:r>
    <w:r>
      <w:fldChar w:fldCharType="end"/>
    </w:r>
  </w:p>
  <w:p w:rsidR="008E123E" w:rsidRDefault="008E123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3E" w:rsidRDefault="008E123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12" w:rsidRDefault="00001512">
      <w:r>
        <w:separator/>
      </w:r>
    </w:p>
  </w:footnote>
  <w:footnote w:type="continuationSeparator" w:id="0">
    <w:p w:rsidR="00001512" w:rsidRDefault="00001512" w:rsidP="00C721AC">
      <w:pPr>
        <w:spacing w:before="120"/>
        <w:rPr>
          <w:sz w:val="20"/>
        </w:rPr>
      </w:pPr>
      <w:r>
        <w:rPr>
          <w:sz w:val="20"/>
        </w:rPr>
        <w:t xml:space="preserve">(Continued from previous page)  </w:t>
      </w:r>
      <w:r>
        <w:rPr>
          <w:sz w:val="20"/>
        </w:rPr>
        <w:separator/>
      </w:r>
    </w:p>
  </w:footnote>
  <w:footnote w:type="continuationNotice" w:id="1">
    <w:p w:rsidR="00001512" w:rsidRDefault="00001512" w:rsidP="00C721AC">
      <w:pPr>
        <w:jc w:val="right"/>
        <w:rPr>
          <w:sz w:val="20"/>
        </w:rPr>
      </w:pPr>
      <w:r>
        <w:rPr>
          <w:sz w:val="20"/>
        </w:rPr>
        <w:t>(continued….)</w:t>
      </w:r>
    </w:p>
  </w:footnote>
  <w:footnote w:id="2">
    <w:p w:rsidR="00DA3947" w:rsidRPr="00C94AD8" w:rsidRDefault="00DA3947" w:rsidP="00DA3947">
      <w:pPr>
        <w:spacing w:after="120"/>
        <w:rPr>
          <w:sz w:val="20"/>
        </w:rPr>
      </w:pPr>
      <w:r w:rsidRPr="00C94AD8">
        <w:rPr>
          <w:rStyle w:val="FootnoteReference"/>
        </w:rPr>
        <w:footnoteRef/>
      </w:r>
      <w:r w:rsidRPr="00C94AD8">
        <w:rPr>
          <w:sz w:val="20"/>
        </w:rPr>
        <w:t xml:space="preserve"> Motion to Reconsider, File No. EB-14-MD-016, FCC No. 14-260 (filed Aug. 10, 2015) (Motion).  AT&amp;T filed an opposition to the Motion and Chelmowski filed a reply.  </w:t>
      </w:r>
      <w:r w:rsidRPr="00C94AD8">
        <w:rPr>
          <w:i/>
          <w:sz w:val="20"/>
        </w:rPr>
        <w:t>See</w:t>
      </w:r>
      <w:r w:rsidRPr="00C94AD8">
        <w:rPr>
          <w:sz w:val="20"/>
        </w:rPr>
        <w:t xml:space="preserve"> Opposition to Motion to Reconsider, File No. EB-14-MD-016, FCC No. 14-260 (filed Aug. 19, 2015) (Opposition); Complainant’s Reply to Defendant’s Opposition to Motion/Petition to Reconsideration, File No. EB-14-MD-016, FCC No. 14-260 (filed Aug. 27, 2015) (Motion to Reconsider Reply).  Although the Motion does not cite a specific section of the Commission’s rules, because the Motion asks the Bureau to “reconsider” the Order, we treat the Motion as a petition for reconsideration under Commission rule 1.106, 47 C.F.R. § 1.106 and section 405 </w:t>
      </w:r>
      <w:r w:rsidRPr="00C94AD8">
        <w:rPr>
          <w:spacing w:val="-2"/>
          <w:sz w:val="20"/>
        </w:rPr>
        <w:t xml:space="preserve">of the Communications Act of 1934, as amended (Act), </w:t>
      </w:r>
      <w:r w:rsidRPr="00C94AD8">
        <w:rPr>
          <w:sz w:val="20"/>
        </w:rPr>
        <w:t xml:space="preserve">47 U.S.C. § 405.  </w:t>
      </w:r>
      <w:r w:rsidRPr="00C94AD8">
        <w:rPr>
          <w:i/>
          <w:sz w:val="20"/>
        </w:rPr>
        <w:t>See, e.g.</w:t>
      </w:r>
      <w:r w:rsidRPr="00C94AD8">
        <w:rPr>
          <w:sz w:val="20"/>
        </w:rPr>
        <w:t>,</w:t>
      </w:r>
      <w:r w:rsidRPr="00C94AD8">
        <w:rPr>
          <w:i/>
          <w:sz w:val="20"/>
        </w:rPr>
        <w:t xml:space="preserve"> </w:t>
      </w:r>
      <w:r w:rsidRPr="00C94AD8">
        <w:rPr>
          <w:sz w:val="20"/>
        </w:rPr>
        <w:t>Motion at cover page, 15, para. 44; Motion to Reconsider Reply at cover page, 24, para. 71.</w:t>
      </w:r>
    </w:p>
  </w:footnote>
  <w:footnote w:id="3">
    <w:p w:rsidR="00ED19FE" w:rsidRPr="00C94AD8" w:rsidRDefault="00ED19FE" w:rsidP="00ED19FE">
      <w:pPr>
        <w:pStyle w:val="FootnoteText"/>
      </w:pPr>
      <w:r w:rsidRPr="00C94AD8">
        <w:rPr>
          <w:rStyle w:val="FootnoteReference"/>
        </w:rPr>
        <w:footnoteRef/>
      </w:r>
      <w:r w:rsidRPr="00C94AD8">
        <w:t xml:space="preserve"> </w:t>
      </w:r>
      <w:r w:rsidR="00713D4B" w:rsidRPr="00C94AD8">
        <w:rPr>
          <w:i/>
        </w:rPr>
        <w:t>James Chelmowski v. AT&amp;T Mobility, LLC</w:t>
      </w:r>
      <w:r w:rsidR="00713D4B" w:rsidRPr="00C94AD8">
        <w:t>, Memorandum Opinion and Order, File No. EB-14-MD-016, FCC No. 14-260 (Enf. Bur. rel. July 10, 2015) (Order)</w:t>
      </w:r>
      <w:r w:rsidRPr="00C94AD8">
        <w:t>.</w:t>
      </w:r>
    </w:p>
  </w:footnote>
  <w:footnote w:id="4">
    <w:p w:rsidR="00DA3947" w:rsidRPr="00C94AD8" w:rsidRDefault="00DA3947" w:rsidP="00DA3947">
      <w:pPr>
        <w:pStyle w:val="FootnoteText"/>
      </w:pPr>
      <w:r w:rsidRPr="00C94AD8">
        <w:rPr>
          <w:rStyle w:val="FootnoteReference"/>
        </w:rPr>
        <w:footnoteRef/>
      </w:r>
      <w:r w:rsidRPr="00C94AD8">
        <w:t xml:space="preserve"> Formal Complaint, File No. EB-14-MD-016, FCC No. 14-260 (filed Dec. 11, 2014) (Complaint).  The Complaint was filed </w:t>
      </w:r>
      <w:r w:rsidRPr="00C94AD8">
        <w:rPr>
          <w:spacing w:val="-2"/>
        </w:rPr>
        <w:t xml:space="preserve">pursuant to section 208 of the Act, </w:t>
      </w:r>
      <w:r w:rsidRPr="00C94AD8">
        <w:t xml:space="preserve">47 U.S.C. § 208.  AT&amp;T filed an answer to the Complaint and Chelmowski filed a reply.  </w:t>
      </w:r>
      <w:r w:rsidRPr="00C94AD8">
        <w:rPr>
          <w:i/>
        </w:rPr>
        <w:t>See</w:t>
      </w:r>
      <w:r w:rsidRPr="00C94AD8">
        <w:t xml:space="preserve"> Answer to Complaint, File No. EB-14-MD-016, FCC No. 14-260 (filed Jan. 16, 2015) (Answer); FCC Formal Complaint Reply, File No. EB-14-MD-016, FCC No. 14-260 (filed Jan. 26, 2015) (Reply).</w:t>
      </w:r>
    </w:p>
  </w:footnote>
  <w:footnote w:id="5">
    <w:p w:rsidR="009B2EFC" w:rsidRPr="00C94AD8" w:rsidRDefault="009B2EFC" w:rsidP="009B2EFC">
      <w:pPr>
        <w:pStyle w:val="FootnoteText"/>
      </w:pPr>
      <w:r w:rsidRPr="00C94AD8">
        <w:rPr>
          <w:rStyle w:val="FootnoteReference"/>
        </w:rPr>
        <w:footnoteRef/>
      </w:r>
      <w:r w:rsidRPr="00C94AD8">
        <w:t xml:space="preserve"> 47 C.F.R. §§ 52.35, 52.36.</w:t>
      </w:r>
    </w:p>
  </w:footnote>
  <w:footnote w:id="6">
    <w:p w:rsidR="009B2EFC" w:rsidRPr="00C94AD8" w:rsidRDefault="009B2EFC" w:rsidP="009B2EFC">
      <w:pPr>
        <w:pStyle w:val="FootnoteText"/>
      </w:pPr>
      <w:r w:rsidRPr="00C94AD8">
        <w:rPr>
          <w:rStyle w:val="FootnoteReference"/>
        </w:rPr>
        <w:footnoteRef/>
      </w:r>
      <w:r w:rsidRPr="00C94AD8">
        <w:t xml:space="preserve"> Order at para. 4 (citing Complaint at 17-18, para. 52-66 and Answer at 5, para. 8).</w:t>
      </w:r>
    </w:p>
  </w:footnote>
  <w:footnote w:id="7">
    <w:p w:rsidR="009B2EFC" w:rsidRPr="00C94AD8" w:rsidRDefault="009B2EFC" w:rsidP="009B2EFC">
      <w:pPr>
        <w:pStyle w:val="FootnoteText"/>
      </w:pPr>
      <w:r w:rsidRPr="00C94AD8">
        <w:rPr>
          <w:rStyle w:val="FootnoteReference"/>
        </w:rPr>
        <w:footnoteRef/>
      </w:r>
      <w:r w:rsidRPr="00C94AD8">
        <w:t xml:space="preserve"> </w:t>
      </w:r>
      <w:r w:rsidRPr="00C94AD8">
        <w:rPr>
          <w:i/>
          <w:iCs/>
        </w:rPr>
        <w:t>See</w:t>
      </w:r>
      <w:r w:rsidRPr="00C94AD8">
        <w:rPr>
          <w:i/>
        </w:rPr>
        <w:t xml:space="preserve"> id.</w:t>
      </w:r>
      <w:r w:rsidRPr="00C94AD8">
        <w:t xml:space="preserve"> at para. 5 (citing Informal Complaint 11-C00292341-1 (filed Mar. 23, 2011)).</w:t>
      </w:r>
    </w:p>
  </w:footnote>
  <w:footnote w:id="8">
    <w:p w:rsidR="009B2EFC" w:rsidRPr="00C94AD8" w:rsidRDefault="009B2EFC" w:rsidP="009B2EFC">
      <w:pPr>
        <w:spacing w:after="120"/>
        <w:rPr>
          <w:sz w:val="20"/>
        </w:rPr>
      </w:pPr>
      <w:r w:rsidRPr="00C94AD8">
        <w:rPr>
          <w:rStyle w:val="FootnoteReference"/>
        </w:rPr>
        <w:footnoteRef/>
      </w:r>
      <w:r w:rsidRPr="00C94AD8">
        <w:rPr>
          <w:sz w:val="20"/>
        </w:rPr>
        <w:t xml:space="preserve"> </w:t>
      </w:r>
      <w:r w:rsidRPr="00C94AD8">
        <w:rPr>
          <w:i/>
          <w:sz w:val="20"/>
        </w:rPr>
        <w:t>See id</w:t>
      </w:r>
      <w:r w:rsidRPr="00C94AD8">
        <w:rPr>
          <w:sz w:val="20"/>
        </w:rPr>
        <w:t>. at para. 5 (citing Informal Complaint 11-C00325771-1 (filed Aug. 31, 2011)).</w:t>
      </w:r>
    </w:p>
  </w:footnote>
  <w:footnote w:id="9">
    <w:p w:rsidR="009B2EFC" w:rsidRPr="00C94AD8" w:rsidRDefault="009B2EFC" w:rsidP="009B2EFC">
      <w:pPr>
        <w:pStyle w:val="FootnoteText"/>
      </w:pPr>
      <w:r w:rsidRPr="00C94AD8">
        <w:rPr>
          <w:rStyle w:val="FootnoteReference"/>
        </w:rPr>
        <w:footnoteRef/>
      </w:r>
      <w:r w:rsidRPr="00C94AD8">
        <w:t xml:space="preserve"> </w:t>
      </w:r>
      <w:r w:rsidRPr="00C94AD8">
        <w:rPr>
          <w:i/>
        </w:rPr>
        <w:t>See id</w:t>
      </w:r>
      <w:r w:rsidRPr="00C94AD8">
        <w:t>. at para. 7 (citing Informal Complaint 14-C00602676 (dated July 31, 2014)).</w:t>
      </w:r>
    </w:p>
  </w:footnote>
  <w:footnote w:id="10">
    <w:p w:rsidR="009B2EFC" w:rsidRPr="00C94AD8" w:rsidRDefault="009B2EFC" w:rsidP="009B2EFC">
      <w:pPr>
        <w:pStyle w:val="FootnoteText"/>
      </w:pPr>
      <w:r w:rsidRPr="00C94AD8">
        <w:rPr>
          <w:rStyle w:val="FootnoteReference"/>
        </w:rPr>
        <w:footnoteRef/>
      </w:r>
      <w:r w:rsidRPr="00C94AD8">
        <w:t xml:space="preserve"> </w:t>
      </w:r>
      <w:r w:rsidRPr="00C94AD8">
        <w:rPr>
          <w:i/>
        </w:rPr>
        <w:t>See</w:t>
      </w:r>
      <w:r w:rsidRPr="00C94AD8">
        <w:t xml:space="preserve"> </w:t>
      </w:r>
      <w:r w:rsidRPr="00C94AD8">
        <w:rPr>
          <w:i/>
        </w:rPr>
        <w:t>id.</w:t>
      </w:r>
      <w:r w:rsidRPr="00C94AD8">
        <w:t xml:space="preserve"> at para. 7 (citing Complaint, Ex-0030 (Response to Notice of Informal Complaint 11-C00292341-1 (dated Apr. 13, 2011), Complaint, Ex-0029 (Response to Notice of Informal Complaint 11-C00325771-1 (dated Sept. 22, 2011)), and Complaint, Ex-0029 (Response to Notice of Informal Complaint 14-C00602676-1 (dated Aug. 13, 2014))).</w:t>
      </w:r>
    </w:p>
  </w:footnote>
  <w:footnote w:id="11">
    <w:p w:rsidR="0008789D" w:rsidRPr="00C94AD8" w:rsidRDefault="0008789D" w:rsidP="0008789D">
      <w:pPr>
        <w:pStyle w:val="FootnoteText"/>
      </w:pPr>
      <w:r w:rsidRPr="00C94AD8">
        <w:rPr>
          <w:rStyle w:val="FootnoteReference"/>
        </w:rPr>
        <w:footnoteRef/>
      </w:r>
      <w:r w:rsidRPr="00C94AD8">
        <w:t xml:space="preserve"> </w:t>
      </w:r>
      <w:r w:rsidRPr="00C94AD8">
        <w:rPr>
          <w:i/>
        </w:rPr>
        <w:t>See, e.g.</w:t>
      </w:r>
      <w:r w:rsidRPr="00C94AD8">
        <w:t>, Complaint at 18, para. 63.</w:t>
      </w:r>
    </w:p>
  </w:footnote>
  <w:footnote w:id="12">
    <w:p w:rsidR="0008789D" w:rsidRPr="00C94AD8" w:rsidRDefault="0008789D" w:rsidP="0008789D">
      <w:pPr>
        <w:spacing w:after="120"/>
        <w:rPr>
          <w:sz w:val="20"/>
        </w:rPr>
      </w:pPr>
      <w:r w:rsidRPr="00C94AD8">
        <w:rPr>
          <w:rStyle w:val="FootnoteReference"/>
        </w:rPr>
        <w:footnoteRef/>
      </w:r>
      <w:r w:rsidRPr="00C94AD8">
        <w:rPr>
          <w:sz w:val="20"/>
        </w:rPr>
        <w:t xml:space="preserve">  </w:t>
      </w:r>
      <w:r w:rsidRPr="00C94AD8">
        <w:rPr>
          <w:i/>
          <w:sz w:val="20"/>
        </w:rPr>
        <w:t>See</w:t>
      </w:r>
      <w:r w:rsidRPr="00C94AD8">
        <w:rPr>
          <w:sz w:val="20"/>
        </w:rPr>
        <w:t xml:space="preserve"> Order at para. 5 (citing Complaint, Ex-0030 (Response to Notice of Informal Complaint 11-C00292341-1 (dated Apr. 13, 2011) (showing a facsimile date-stamp from the Commission of May 24, 2013)).</w:t>
      </w:r>
    </w:p>
  </w:footnote>
  <w:footnote w:id="13">
    <w:p w:rsidR="0008789D" w:rsidRPr="00C94AD8" w:rsidRDefault="0008789D" w:rsidP="0008789D">
      <w:pPr>
        <w:spacing w:after="120"/>
        <w:rPr>
          <w:sz w:val="20"/>
        </w:rPr>
      </w:pPr>
      <w:r w:rsidRPr="00C94AD8">
        <w:rPr>
          <w:rStyle w:val="FootnoteReference"/>
        </w:rPr>
        <w:footnoteRef/>
      </w:r>
      <w:r w:rsidRPr="00C94AD8">
        <w:rPr>
          <w:sz w:val="20"/>
        </w:rPr>
        <w:t xml:space="preserve"> </w:t>
      </w:r>
      <w:r w:rsidRPr="00C94AD8">
        <w:rPr>
          <w:i/>
          <w:sz w:val="20"/>
        </w:rPr>
        <w:t>See id.</w:t>
      </w:r>
      <w:r w:rsidRPr="00C94AD8">
        <w:rPr>
          <w:sz w:val="20"/>
        </w:rPr>
        <w:t xml:space="preserve"> at para. 8.</w:t>
      </w:r>
    </w:p>
  </w:footnote>
  <w:footnote w:id="14">
    <w:p w:rsidR="000510F2" w:rsidRPr="00C94AD8" w:rsidRDefault="000510F2" w:rsidP="000510F2">
      <w:pPr>
        <w:pStyle w:val="FootnoteText"/>
      </w:pPr>
      <w:r w:rsidRPr="00C94AD8">
        <w:rPr>
          <w:rStyle w:val="FootnoteReference"/>
        </w:rPr>
        <w:footnoteRef/>
      </w:r>
      <w:r w:rsidRPr="00C94AD8">
        <w:t xml:space="preserve"> 47 U.S.C. § 415(b).</w:t>
      </w:r>
    </w:p>
  </w:footnote>
  <w:footnote w:id="15">
    <w:p w:rsidR="006B11F9" w:rsidRPr="00C94AD8" w:rsidRDefault="006B11F9">
      <w:pPr>
        <w:pStyle w:val="FootnoteText"/>
      </w:pPr>
      <w:r w:rsidRPr="00C94AD8">
        <w:rPr>
          <w:rStyle w:val="FootnoteReference"/>
        </w:rPr>
        <w:footnoteRef/>
      </w:r>
      <w:r w:rsidRPr="00C94AD8">
        <w:t xml:space="preserve"> Order at para. 8.</w:t>
      </w:r>
    </w:p>
  </w:footnote>
  <w:footnote w:id="16">
    <w:p w:rsidR="00A07B92" w:rsidRPr="00C94AD8" w:rsidRDefault="00A07B92" w:rsidP="001D32C5">
      <w:pPr>
        <w:pStyle w:val="FootnoteText"/>
      </w:pPr>
      <w:r w:rsidRPr="00C94AD8">
        <w:rPr>
          <w:rStyle w:val="FootnoteReference"/>
        </w:rPr>
        <w:footnoteRef/>
      </w:r>
      <w:r w:rsidRPr="00C94AD8">
        <w:t xml:space="preserve"> Complaint at 10-11, para. 35.</w:t>
      </w:r>
    </w:p>
  </w:footnote>
  <w:footnote w:id="17">
    <w:p w:rsidR="005C22AA" w:rsidRPr="00C94AD8" w:rsidRDefault="005C22AA" w:rsidP="001D32C5">
      <w:pPr>
        <w:pStyle w:val="FootnoteText"/>
      </w:pPr>
      <w:r w:rsidRPr="00C94AD8">
        <w:rPr>
          <w:rStyle w:val="FootnoteReference"/>
        </w:rPr>
        <w:footnoteRef/>
      </w:r>
      <w:r w:rsidRPr="00C94AD8">
        <w:t xml:space="preserve"> </w:t>
      </w:r>
      <w:r w:rsidR="00B251F0" w:rsidRPr="00C94AD8">
        <w:rPr>
          <w:i/>
        </w:rPr>
        <w:t>See</w:t>
      </w:r>
      <w:r w:rsidR="00B251F0" w:rsidRPr="00C94AD8">
        <w:t xml:space="preserve"> </w:t>
      </w:r>
      <w:r w:rsidR="00E47B41" w:rsidRPr="00C94AD8">
        <w:t>Order</w:t>
      </w:r>
      <w:r w:rsidR="00D25F60" w:rsidRPr="00C94AD8">
        <w:t xml:space="preserve"> at paras. 8-11</w:t>
      </w:r>
      <w:r w:rsidR="00E47B41" w:rsidRPr="00C94AD8">
        <w:t>.</w:t>
      </w:r>
    </w:p>
  </w:footnote>
  <w:footnote w:id="18">
    <w:p w:rsidR="00D93210" w:rsidRPr="00C94AD8" w:rsidRDefault="00D93210" w:rsidP="001D32C5">
      <w:pPr>
        <w:pStyle w:val="NormalWeb"/>
        <w:spacing w:before="0" w:beforeAutospacing="0" w:after="120" w:afterAutospacing="0"/>
        <w:rPr>
          <w:sz w:val="20"/>
          <w:szCs w:val="20"/>
        </w:rPr>
      </w:pPr>
      <w:r w:rsidRPr="00C94AD8">
        <w:rPr>
          <w:rStyle w:val="FootnoteReference"/>
          <w:szCs w:val="20"/>
        </w:rPr>
        <w:footnoteRef/>
      </w:r>
      <w:r w:rsidRPr="00C94AD8">
        <w:rPr>
          <w:sz w:val="20"/>
          <w:szCs w:val="20"/>
        </w:rPr>
        <w:t xml:space="preserve"> </w:t>
      </w:r>
      <w:r w:rsidR="00CE3076" w:rsidRPr="00C94AD8">
        <w:rPr>
          <w:sz w:val="20"/>
          <w:szCs w:val="20"/>
        </w:rPr>
        <w:t>47 C.F.R. § 1.106(p)</w:t>
      </w:r>
      <w:r w:rsidR="0031706B" w:rsidRPr="00C94AD8">
        <w:rPr>
          <w:sz w:val="20"/>
          <w:szCs w:val="20"/>
        </w:rPr>
        <w:t xml:space="preserve">(1) (petitions for reconsideration may be dismissed or denied where they “[f]ail to identify any material error, omission, or reason warranting reconsideration”). </w:t>
      </w:r>
      <w:r w:rsidRPr="00C94AD8">
        <w:rPr>
          <w:i/>
          <w:sz w:val="20"/>
          <w:szCs w:val="20"/>
        </w:rPr>
        <w:t>See</w:t>
      </w:r>
      <w:r w:rsidRPr="00C94AD8">
        <w:rPr>
          <w:sz w:val="20"/>
          <w:szCs w:val="20"/>
        </w:rPr>
        <w:t>,</w:t>
      </w:r>
      <w:r w:rsidRPr="00C94AD8">
        <w:rPr>
          <w:i/>
          <w:sz w:val="20"/>
          <w:szCs w:val="20"/>
        </w:rPr>
        <w:t xml:space="preserve"> e.g.</w:t>
      </w:r>
      <w:r w:rsidRPr="00C94AD8">
        <w:rPr>
          <w:sz w:val="20"/>
          <w:szCs w:val="20"/>
        </w:rPr>
        <w:t xml:space="preserve">, </w:t>
      </w:r>
      <w:r w:rsidRPr="00C94AD8">
        <w:rPr>
          <w:i/>
          <w:sz w:val="20"/>
          <w:szCs w:val="20"/>
        </w:rPr>
        <w:t>EZ Sacramento, Inc.</w:t>
      </w:r>
      <w:r w:rsidRPr="00C94AD8">
        <w:rPr>
          <w:sz w:val="20"/>
          <w:szCs w:val="20"/>
        </w:rPr>
        <w:t xml:space="preserve">, Memorandum Opinion and Order, 15 FCC Rcd 18257, para. 2 (Enf. Bur. 2000); </w:t>
      </w:r>
      <w:r w:rsidRPr="00C94AD8">
        <w:rPr>
          <w:i/>
          <w:sz w:val="20"/>
          <w:szCs w:val="20"/>
        </w:rPr>
        <w:t>Ely Radio, LLC</w:t>
      </w:r>
      <w:r w:rsidRPr="00C94AD8">
        <w:rPr>
          <w:sz w:val="20"/>
          <w:szCs w:val="20"/>
        </w:rPr>
        <w:t>, Memorandum Opinion and Order, 27 FCC Rcd 7608, 7610, para. 6 (Enf. Bur. 2012).</w:t>
      </w:r>
    </w:p>
  </w:footnote>
  <w:footnote w:id="19">
    <w:p w:rsidR="00D93210" w:rsidRPr="00C94AD8" w:rsidRDefault="00D93210" w:rsidP="001D32C5">
      <w:pPr>
        <w:pStyle w:val="NormalWeb"/>
        <w:spacing w:before="0" w:beforeAutospacing="0" w:after="120" w:afterAutospacing="0"/>
        <w:rPr>
          <w:sz w:val="20"/>
          <w:szCs w:val="20"/>
        </w:rPr>
      </w:pPr>
      <w:r w:rsidRPr="00C94AD8">
        <w:rPr>
          <w:rStyle w:val="FootnoteReference"/>
          <w:szCs w:val="20"/>
        </w:rPr>
        <w:footnoteRef/>
      </w:r>
      <w:r w:rsidRPr="00C94AD8">
        <w:rPr>
          <w:sz w:val="20"/>
          <w:szCs w:val="20"/>
        </w:rPr>
        <w:t xml:space="preserve"> </w:t>
      </w:r>
      <w:r w:rsidR="002753BA">
        <w:rPr>
          <w:sz w:val="20"/>
          <w:szCs w:val="20"/>
        </w:rPr>
        <w:t xml:space="preserve">47 C.F.R. </w:t>
      </w:r>
      <w:r w:rsidR="0031706B" w:rsidRPr="00C94AD8">
        <w:rPr>
          <w:sz w:val="20"/>
          <w:szCs w:val="20"/>
        </w:rPr>
        <w:t>§ 1.106(a)(3)</w:t>
      </w:r>
      <w:r w:rsidR="00394897" w:rsidRPr="00C94AD8">
        <w:rPr>
          <w:sz w:val="20"/>
          <w:szCs w:val="20"/>
        </w:rPr>
        <w:t xml:space="preserve"> (petitions for reconsideration may be dismissed or denied where they</w:t>
      </w:r>
      <w:r w:rsidR="0031706B" w:rsidRPr="00C94AD8">
        <w:rPr>
          <w:sz w:val="20"/>
          <w:szCs w:val="20"/>
        </w:rPr>
        <w:t xml:space="preserve"> “[r]ely on arguments that have been fully considered and rejected by the Commis</w:t>
      </w:r>
      <w:r w:rsidR="00B461AC">
        <w:rPr>
          <w:sz w:val="20"/>
          <w:szCs w:val="20"/>
        </w:rPr>
        <w:t>sion within the same proceeding</w:t>
      </w:r>
      <w:r w:rsidR="0031706B" w:rsidRPr="00C94AD8">
        <w:rPr>
          <w:sz w:val="20"/>
          <w:szCs w:val="20"/>
        </w:rPr>
        <w:t>”</w:t>
      </w:r>
      <w:r w:rsidR="00394897" w:rsidRPr="00C94AD8">
        <w:rPr>
          <w:sz w:val="20"/>
          <w:szCs w:val="20"/>
        </w:rPr>
        <w:t xml:space="preserve">).  </w:t>
      </w:r>
      <w:r w:rsidR="00394897" w:rsidRPr="00C94AD8">
        <w:rPr>
          <w:i/>
          <w:sz w:val="20"/>
          <w:szCs w:val="20"/>
        </w:rPr>
        <w:t>See, e.g.</w:t>
      </w:r>
      <w:r w:rsidR="00394897" w:rsidRPr="002753BA">
        <w:rPr>
          <w:sz w:val="20"/>
          <w:szCs w:val="20"/>
        </w:rPr>
        <w:t>,</w:t>
      </w:r>
      <w:r w:rsidR="0031706B" w:rsidRPr="00C94AD8">
        <w:rPr>
          <w:sz w:val="20"/>
          <w:szCs w:val="20"/>
        </w:rPr>
        <w:t xml:space="preserve"> </w:t>
      </w:r>
      <w:r w:rsidR="008F4E8A" w:rsidRPr="00C94AD8">
        <w:rPr>
          <w:i/>
          <w:sz w:val="20"/>
          <w:szCs w:val="20"/>
        </w:rPr>
        <w:t>WWIZ, Inc.</w:t>
      </w:r>
      <w:r w:rsidR="008F4E8A" w:rsidRPr="00C94AD8">
        <w:rPr>
          <w:sz w:val="20"/>
          <w:szCs w:val="20"/>
        </w:rPr>
        <w:t>, Memorandum Opinion and Order, 37 FCC 685, 686, para. 2 (1964)</w:t>
      </w:r>
      <w:r w:rsidR="00CE3076" w:rsidRPr="00C94AD8">
        <w:rPr>
          <w:sz w:val="20"/>
          <w:szCs w:val="20"/>
        </w:rPr>
        <w:t xml:space="preserve"> (reconsideration “will not be granted merely for the purpose of again debating matters on which the tribunal has once deliberated and spoken”)</w:t>
      </w:r>
      <w:r w:rsidR="008F4E8A" w:rsidRPr="00C94AD8">
        <w:rPr>
          <w:sz w:val="20"/>
          <w:szCs w:val="20"/>
        </w:rPr>
        <w:t xml:space="preserve">, </w:t>
      </w:r>
      <w:r w:rsidR="008F4E8A" w:rsidRPr="00C94AD8">
        <w:rPr>
          <w:i/>
          <w:sz w:val="20"/>
          <w:szCs w:val="20"/>
        </w:rPr>
        <w:t>aff’d</w:t>
      </w:r>
      <w:r w:rsidR="008F4E8A" w:rsidRPr="00C94AD8">
        <w:rPr>
          <w:sz w:val="20"/>
          <w:szCs w:val="20"/>
        </w:rPr>
        <w:t xml:space="preserve"> </w:t>
      </w:r>
      <w:r w:rsidR="008F4E8A" w:rsidRPr="00C94AD8">
        <w:rPr>
          <w:i/>
          <w:sz w:val="20"/>
          <w:szCs w:val="20"/>
        </w:rPr>
        <w:t>Lorain Journal Co. v. FCC</w:t>
      </w:r>
      <w:r w:rsidR="008F4E8A" w:rsidRPr="00C94AD8">
        <w:rPr>
          <w:sz w:val="20"/>
          <w:szCs w:val="20"/>
        </w:rPr>
        <w:t xml:space="preserve">, 351 F.2d 824 (D.C. Cir. 1965), </w:t>
      </w:r>
      <w:r w:rsidR="008F4E8A" w:rsidRPr="00C94AD8">
        <w:rPr>
          <w:i/>
          <w:sz w:val="20"/>
          <w:szCs w:val="20"/>
        </w:rPr>
        <w:t>cert. denied</w:t>
      </w:r>
      <w:r w:rsidR="0000736F" w:rsidRPr="00C94AD8">
        <w:rPr>
          <w:sz w:val="20"/>
          <w:szCs w:val="20"/>
        </w:rPr>
        <w:t xml:space="preserve">, 383 U.S. 967 (1966); </w:t>
      </w:r>
      <w:r w:rsidR="0000736F" w:rsidRPr="00C94AD8">
        <w:rPr>
          <w:i/>
          <w:sz w:val="20"/>
          <w:szCs w:val="20"/>
        </w:rPr>
        <w:t>Ely Radio</w:t>
      </w:r>
      <w:r w:rsidR="0000736F" w:rsidRPr="00C94AD8">
        <w:rPr>
          <w:sz w:val="20"/>
          <w:szCs w:val="20"/>
        </w:rPr>
        <w:t xml:space="preserve">, 27 FCC Rcd at 7610, para. 6; </w:t>
      </w:r>
      <w:r w:rsidR="0000736F" w:rsidRPr="00C94AD8">
        <w:rPr>
          <w:i/>
          <w:sz w:val="20"/>
          <w:szCs w:val="20"/>
        </w:rPr>
        <w:t>EZ Sacramento</w:t>
      </w:r>
      <w:r w:rsidR="0000736F" w:rsidRPr="002753BA">
        <w:rPr>
          <w:sz w:val="20"/>
          <w:szCs w:val="20"/>
        </w:rPr>
        <w:t>,</w:t>
      </w:r>
      <w:r w:rsidR="0000736F" w:rsidRPr="00C94AD8">
        <w:rPr>
          <w:sz w:val="20"/>
          <w:szCs w:val="20"/>
        </w:rPr>
        <w:t xml:space="preserve"> 15 FCC Rcd </w:t>
      </w:r>
      <w:r w:rsidR="002753BA">
        <w:rPr>
          <w:sz w:val="20"/>
          <w:szCs w:val="20"/>
        </w:rPr>
        <w:t xml:space="preserve">at </w:t>
      </w:r>
      <w:r w:rsidR="0000736F" w:rsidRPr="00C94AD8">
        <w:rPr>
          <w:sz w:val="20"/>
          <w:szCs w:val="20"/>
        </w:rPr>
        <w:t>18257</w:t>
      </w:r>
      <w:r w:rsidR="002753BA">
        <w:rPr>
          <w:sz w:val="20"/>
          <w:szCs w:val="20"/>
        </w:rPr>
        <w:t>,</w:t>
      </w:r>
      <w:r w:rsidR="00C94AD8">
        <w:rPr>
          <w:sz w:val="20"/>
          <w:szCs w:val="20"/>
        </w:rPr>
        <w:t xml:space="preserve"> </w:t>
      </w:r>
      <w:r w:rsidR="0000736F" w:rsidRPr="00C94AD8">
        <w:rPr>
          <w:sz w:val="20"/>
          <w:szCs w:val="20"/>
        </w:rPr>
        <w:t>para. 2.</w:t>
      </w:r>
    </w:p>
  </w:footnote>
  <w:footnote w:id="20">
    <w:p w:rsidR="00A1770A" w:rsidRPr="00C94AD8" w:rsidRDefault="00A1770A" w:rsidP="0000736F">
      <w:pPr>
        <w:pStyle w:val="NormalWeb"/>
        <w:spacing w:before="0" w:beforeAutospacing="0" w:after="120" w:afterAutospacing="0"/>
        <w:rPr>
          <w:sz w:val="20"/>
          <w:szCs w:val="20"/>
        </w:rPr>
      </w:pPr>
      <w:r w:rsidRPr="00C94AD8">
        <w:rPr>
          <w:rStyle w:val="FootnoteReference"/>
          <w:szCs w:val="20"/>
        </w:rPr>
        <w:footnoteRef/>
      </w:r>
      <w:r w:rsidR="00DB0E11" w:rsidRPr="00C94AD8">
        <w:rPr>
          <w:sz w:val="20"/>
          <w:szCs w:val="20"/>
        </w:rPr>
        <w:t xml:space="preserve"> For example, Chelmowski suggests that staff’s decision to waive the requirement in rules 1.724(c) and 1.726(c) that the answer and reply include proposed findings of fact and conclusions of law somehow deprived him of an opportunity to learn material facts regarding AT&amp;T’s conduct.  47 C.F.R. </w:t>
      </w:r>
      <w:r w:rsidR="00DB0E11" w:rsidRPr="00C94AD8">
        <w:rPr>
          <w:bCs/>
          <w:sz w:val="20"/>
          <w:szCs w:val="20"/>
        </w:rPr>
        <w:t>§§</w:t>
      </w:r>
      <w:r w:rsidR="00DB0E11" w:rsidRPr="00C94AD8">
        <w:rPr>
          <w:b/>
          <w:bCs/>
          <w:sz w:val="20"/>
          <w:szCs w:val="20"/>
        </w:rPr>
        <w:t xml:space="preserve"> </w:t>
      </w:r>
      <w:r w:rsidR="00DB0E11" w:rsidRPr="00C94AD8">
        <w:rPr>
          <w:sz w:val="20"/>
          <w:szCs w:val="20"/>
        </w:rPr>
        <w:t>1.724(c) and 1.726(c).</w:t>
      </w:r>
      <w:r w:rsidR="00DB0E11" w:rsidRPr="00C94AD8">
        <w:rPr>
          <w:b/>
          <w:bCs/>
          <w:sz w:val="20"/>
          <w:szCs w:val="20"/>
        </w:rPr>
        <w:t xml:space="preserve"> </w:t>
      </w:r>
      <w:r w:rsidR="0000736F" w:rsidRPr="00C94AD8">
        <w:rPr>
          <w:b/>
          <w:bCs/>
          <w:sz w:val="20"/>
          <w:szCs w:val="20"/>
        </w:rPr>
        <w:t xml:space="preserve"> </w:t>
      </w:r>
      <w:r w:rsidR="00DB0E11" w:rsidRPr="00C94AD8">
        <w:rPr>
          <w:i/>
          <w:sz w:val="20"/>
          <w:szCs w:val="20"/>
        </w:rPr>
        <w:t>See, e.g</w:t>
      </w:r>
      <w:r w:rsidR="00297828">
        <w:rPr>
          <w:sz w:val="20"/>
          <w:szCs w:val="20"/>
        </w:rPr>
        <w:t>., Motion at 4, paras. 9-10.</w:t>
      </w:r>
      <w:r w:rsidR="00DB0E11" w:rsidRPr="00C94AD8">
        <w:rPr>
          <w:sz w:val="20"/>
          <w:szCs w:val="20"/>
        </w:rPr>
        <w:t xml:space="preserve">  </w:t>
      </w:r>
      <w:r w:rsidR="00DB0E11" w:rsidRPr="00C94AD8">
        <w:rPr>
          <w:i/>
          <w:sz w:val="20"/>
          <w:szCs w:val="20"/>
        </w:rPr>
        <w:t>See</w:t>
      </w:r>
      <w:r w:rsidR="00DB0E11" w:rsidRPr="00C94AD8">
        <w:rPr>
          <w:sz w:val="20"/>
          <w:szCs w:val="20"/>
        </w:rPr>
        <w:t xml:space="preserve"> Letter Order, File No. EB-14-MD-016, FCC No. 14-260, at 2 and n.5 (dated Dec. 16, 2014) (Letter Order).  Staff explained that the waiver was warranted because “[e]xperience has shown that proposed findings of fact and conclusions of law are of limited value at this stage of the proceedings” and </w:t>
      </w:r>
      <w:r w:rsidR="0000736F" w:rsidRPr="00C94AD8">
        <w:rPr>
          <w:sz w:val="20"/>
          <w:szCs w:val="20"/>
        </w:rPr>
        <w:t xml:space="preserve">directed that </w:t>
      </w:r>
      <w:r w:rsidR="00DB0E11" w:rsidRPr="00C94AD8">
        <w:rPr>
          <w:sz w:val="20"/>
          <w:szCs w:val="20"/>
        </w:rPr>
        <w:t>“the answer and reply still must include comprehensive factual support and a thorough legal analysis, as r</w:t>
      </w:r>
      <w:r w:rsidR="00297828">
        <w:rPr>
          <w:sz w:val="20"/>
          <w:szCs w:val="20"/>
        </w:rPr>
        <w:t>equired by Commission rules ..</w:t>
      </w:r>
      <w:r w:rsidR="00DB0E11" w:rsidRPr="00C94AD8">
        <w:rPr>
          <w:sz w:val="20"/>
          <w:szCs w:val="20"/>
        </w:rPr>
        <w:t>..”  Letter Order at 2, n.5.  Chelmowski’s argument overlooks th</w:t>
      </w:r>
      <w:r w:rsidR="0000736F" w:rsidRPr="00C94AD8">
        <w:rPr>
          <w:sz w:val="20"/>
          <w:szCs w:val="20"/>
        </w:rPr>
        <w:t>is directive and the</w:t>
      </w:r>
      <w:r w:rsidR="00DB0E11" w:rsidRPr="00C94AD8">
        <w:rPr>
          <w:sz w:val="20"/>
          <w:szCs w:val="20"/>
        </w:rPr>
        <w:t xml:space="preserve"> </w:t>
      </w:r>
      <w:r w:rsidR="0000736F" w:rsidRPr="00C94AD8">
        <w:rPr>
          <w:sz w:val="20"/>
          <w:szCs w:val="20"/>
        </w:rPr>
        <w:t xml:space="preserve">rule </w:t>
      </w:r>
      <w:r w:rsidR="00DB0E11" w:rsidRPr="00C94AD8">
        <w:rPr>
          <w:sz w:val="20"/>
          <w:szCs w:val="20"/>
        </w:rPr>
        <w:t xml:space="preserve">provisions requiring parties to include </w:t>
      </w:r>
      <w:r w:rsidR="00DB0E11" w:rsidRPr="00C94AD8">
        <w:rPr>
          <w:i/>
          <w:sz w:val="20"/>
          <w:szCs w:val="20"/>
        </w:rPr>
        <w:t>all</w:t>
      </w:r>
      <w:r w:rsidR="00DB0E11" w:rsidRPr="00C94AD8">
        <w:rPr>
          <w:sz w:val="20"/>
          <w:szCs w:val="20"/>
        </w:rPr>
        <w:t xml:space="preserve"> material facts, supporting evidence and legal authorities in their pleadings.    </w:t>
      </w:r>
      <w:r w:rsidR="00DB0E11" w:rsidRPr="00C94AD8">
        <w:rPr>
          <w:i/>
          <w:sz w:val="20"/>
          <w:szCs w:val="20"/>
        </w:rPr>
        <w:t>See, e.g.</w:t>
      </w:r>
      <w:r w:rsidR="00297828">
        <w:rPr>
          <w:sz w:val="20"/>
          <w:szCs w:val="20"/>
        </w:rPr>
        <w:t>, 47 C.F.</w:t>
      </w:r>
      <w:r w:rsidR="00DB0E11" w:rsidRPr="00C94AD8">
        <w:rPr>
          <w:sz w:val="20"/>
          <w:szCs w:val="20"/>
        </w:rPr>
        <w:t>R. §§ 1.720(a)-(i); 1.724(b)-(g); 1.726(a), (d)-(e).  Thus, the rules do not contemplate that a party’s proposed findings of fact and conclusions of law will supply any facts or law not already stated in the pleadings.</w:t>
      </w:r>
    </w:p>
  </w:footnote>
  <w:footnote w:id="21">
    <w:p w:rsidR="00BB1B42" w:rsidRPr="00C94AD8" w:rsidRDefault="00BB1B42">
      <w:pPr>
        <w:pStyle w:val="FootnoteText"/>
      </w:pPr>
      <w:r w:rsidRPr="00C94AD8">
        <w:rPr>
          <w:rStyle w:val="FootnoteReference"/>
        </w:rPr>
        <w:footnoteRef/>
      </w:r>
      <w:r w:rsidRPr="00C94AD8">
        <w:t xml:space="preserve"> </w:t>
      </w:r>
      <w:r w:rsidR="0000736F" w:rsidRPr="00C94AD8">
        <w:t xml:space="preserve">As a further basis for reconsideration, </w:t>
      </w:r>
      <w:r w:rsidRPr="00C94AD8">
        <w:t xml:space="preserve">Chelmowski </w:t>
      </w:r>
      <w:r w:rsidR="0000736F" w:rsidRPr="00C94AD8">
        <w:t xml:space="preserve">cites </w:t>
      </w:r>
      <w:r w:rsidRPr="00C94AD8">
        <w:t>an arbitration proceeding between the parties, which Chelmowski admits is “not part of the sco</w:t>
      </w:r>
      <w:r w:rsidR="00B461AC">
        <w:t>pe” of the Complaint proceeding</w:t>
      </w:r>
      <w:r w:rsidRPr="00C94AD8">
        <w:t xml:space="preserve">.  </w:t>
      </w:r>
      <w:r w:rsidRPr="00C94AD8">
        <w:rPr>
          <w:i/>
        </w:rPr>
        <w:t>Id.</w:t>
      </w:r>
      <w:r w:rsidRPr="00C94AD8">
        <w:t xml:space="preserve"> at 11, para. 29; </w:t>
      </w:r>
      <w:r w:rsidRPr="00C94AD8">
        <w:rPr>
          <w:i/>
        </w:rPr>
        <w:t>see also</w:t>
      </w:r>
      <w:r w:rsidRPr="00C94AD8">
        <w:t xml:space="preserve"> Motion to Reconsider Reply at 14, para. 37 (“AAA Arbitrator apparently had no jurisdiction on Telecommunications Act and FCC Regulations.”).  Chelmowski</w:t>
      </w:r>
      <w:r w:rsidR="0000736F" w:rsidRPr="00C94AD8">
        <w:t xml:space="preserve">, however, </w:t>
      </w:r>
      <w:r w:rsidRPr="00C94AD8">
        <w:t>provides no reason why reconsideration is warranted based on the potential outcome of an arbitration proceeding which</w:t>
      </w:r>
      <w:r w:rsidR="000F5B58" w:rsidRPr="00C94AD8">
        <w:t xml:space="preserve"> admittedly</w:t>
      </w:r>
      <w:r w:rsidRPr="00C94AD8">
        <w:t xml:space="preserve"> addresses claims not arising under the Act.  Motion to Reconsider Reply at 14, para. 37.</w:t>
      </w:r>
    </w:p>
  </w:footnote>
  <w:footnote w:id="22">
    <w:p w:rsidR="005605B3" w:rsidRPr="00C94AD8" w:rsidRDefault="00EA7B24" w:rsidP="005605B3">
      <w:pPr>
        <w:pStyle w:val="FootnoteText"/>
      </w:pPr>
      <w:r w:rsidRPr="00C94AD8">
        <w:rPr>
          <w:rStyle w:val="FootnoteReference"/>
        </w:rPr>
        <w:footnoteRef/>
      </w:r>
      <w:r w:rsidRPr="00C94AD8">
        <w:t xml:space="preserve"> </w:t>
      </w:r>
      <w:r w:rsidRPr="00C94AD8">
        <w:rPr>
          <w:snapToGrid w:val="0"/>
          <w:kern w:val="28"/>
        </w:rPr>
        <w:t>Order at para. 10.</w:t>
      </w:r>
      <w:r w:rsidR="005605B3" w:rsidRPr="00C94AD8">
        <w:rPr>
          <w:snapToGrid w:val="0"/>
          <w:kern w:val="28"/>
        </w:rPr>
        <w:t xml:space="preserve">  </w:t>
      </w:r>
      <w:r w:rsidR="005605B3" w:rsidRPr="00C94AD8">
        <w:t xml:space="preserve">We thus find no merit in </w:t>
      </w:r>
      <w:r w:rsidR="005605B3" w:rsidRPr="00C94AD8">
        <w:rPr>
          <w:snapToGrid w:val="0"/>
          <w:kern w:val="28"/>
        </w:rPr>
        <w:t>Chelmowski’s argument that the Bureau should reconsider its denial of his discovery requests to “end th[e] fraudulent concealment scheme which AT&amp;T is continuing since 2011.”</w:t>
      </w:r>
      <w:r w:rsidR="000F5B58" w:rsidRPr="00C94AD8">
        <w:rPr>
          <w:snapToGrid w:val="0"/>
          <w:kern w:val="28"/>
        </w:rPr>
        <w:t xml:space="preserve">  </w:t>
      </w:r>
      <w:r w:rsidR="005605B3" w:rsidRPr="00C94AD8">
        <w:rPr>
          <w:snapToGrid w:val="0"/>
          <w:kern w:val="28"/>
        </w:rPr>
        <w:t>Motion at 14-15, para. 42.</w:t>
      </w:r>
    </w:p>
    <w:p w:rsidR="00EA7B24" w:rsidRPr="00C94AD8" w:rsidRDefault="00EA7B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27" w:rsidRDefault="001A2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E4" w:rsidRDefault="00A551E4" w:rsidP="00810B6F">
    <w:pPr>
      <w:pStyle w:val="Header"/>
    </w:pPr>
  </w:p>
  <w:p w:rsidR="008E123E" w:rsidRDefault="008E123E" w:rsidP="00810B6F">
    <w:pPr>
      <w:pStyle w:val="Header"/>
      <w:rPr>
        <w:b w:val="0"/>
      </w:rPr>
    </w:pPr>
    <w:r>
      <w:tab/>
      <w:t>Federal Communications Commission</w:t>
    </w:r>
    <w:r>
      <w:tab/>
    </w:r>
    <w:r w:rsidR="00396322">
      <w:rPr>
        <w:spacing w:val="-2"/>
      </w:rPr>
      <w:t xml:space="preserve">DA </w:t>
    </w:r>
    <w:r w:rsidR="00FA49BF">
      <w:rPr>
        <w:spacing w:val="-2"/>
      </w:rPr>
      <w:t>15-1175</w:t>
    </w:r>
  </w:p>
  <w:p w:rsidR="008E123E" w:rsidRDefault="008E123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0C82042" wp14:editId="088A49B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5375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E123E" w:rsidRDefault="008E123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E4" w:rsidRDefault="00A551E4" w:rsidP="00A551E4">
    <w:pPr>
      <w:pStyle w:val="Header"/>
      <w:jc w:val="center"/>
      <w:rPr>
        <w:szCs w:val="22"/>
      </w:rPr>
    </w:pPr>
  </w:p>
  <w:p w:rsidR="008E123E" w:rsidRDefault="008E123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C3B8F42" wp14:editId="53F3A84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CACE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FA49BF">
      <w:rPr>
        <w:spacing w:val="-2"/>
      </w:rPr>
      <w:t>15-1175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277A3A"/>
    <w:multiLevelType w:val="hybridMultilevel"/>
    <w:tmpl w:val="B6A6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E511D4"/>
    <w:multiLevelType w:val="hybridMultilevel"/>
    <w:tmpl w:val="39CC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AB5153"/>
    <w:multiLevelType w:val="hybridMultilevel"/>
    <w:tmpl w:val="3C7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68C5AC6"/>
    <w:multiLevelType w:val="hybridMultilevel"/>
    <w:tmpl w:val="6B5A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7C07A0D"/>
    <w:multiLevelType w:val="hybridMultilevel"/>
    <w:tmpl w:val="B2FA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10"/>
  </w:num>
  <w:num w:numId="8">
    <w:abstractNumId w:val="6"/>
  </w:num>
  <w:num w:numId="9">
    <w:abstractNumId w:val="7"/>
  </w:num>
  <w:num w:numId="10">
    <w:abstractNumId w:val="9"/>
  </w:num>
  <w:num w:numId="11">
    <w:abstractNumId w:val="4"/>
  </w:num>
  <w:num w:numId="12">
    <w:abstractNumId w:val="4"/>
  </w:num>
  <w:num w:numId="13">
    <w:abstractNumId w:val="8"/>
    <w:lvlOverride w:ilvl="0">
      <w:startOverride w:val="1"/>
    </w:lvlOverride>
  </w:num>
  <w:num w:numId="14">
    <w:abstractNumId w:val="8"/>
  </w:num>
  <w:num w:numId="15">
    <w:abstractNumId w:val="8"/>
    <w:lvlOverride w:ilvl="0">
      <w:startOverride w:val="1"/>
    </w:lvlOverride>
  </w:num>
  <w:num w:numId="16">
    <w:abstractNumId w:val="8"/>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EB"/>
    <w:rsid w:val="00001512"/>
    <w:rsid w:val="0000337A"/>
    <w:rsid w:val="0000736F"/>
    <w:rsid w:val="00027DF1"/>
    <w:rsid w:val="00036039"/>
    <w:rsid w:val="00037F90"/>
    <w:rsid w:val="000510F2"/>
    <w:rsid w:val="00056CBA"/>
    <w:rsid w:val="00062FE8"/>
    <w:rsid w:val="000657CA"/>
    <w:rsid w:val="00066559"/>
    <w:rsid w:val="0007069E"/>
    <w:rsid w:val="00080C52"/>
    <w:rsid w:val="00086D68"/>
    <w:rsid w:val="000875BF"/>
    <w:rsid w:val="0008789D"/>
    <w:rsid w:val="00096D8C"/>
    <w:rsid w:val="000B1263"/>
    <w:rsid w:val="000B5AC8"/>
    <w:rsid w:val="000B6E3D"/>
    <w:rsid w:val="000C0B65"/>
    <w:rsid w:val="000C5B6A"/>
    <w:rsid w:val="000C63A3"/>
    <w:rsid w:val="000C6D13"/>
    <w:rsid w:val="000D1C0F"/>
    <w:rsid w:val="000E05FE"/>
    <w:rsid w:val="000E3D42"/>
    <w:rsid w:val="000F4AAF"/>
    <w:rsid w:val="000F5294"/>
    <w:rsid w:val="000F5B58"/>
    <w:rsid w:val="00103A68"/>
    <w:rsid w:val="001104EF"/>
    <w:rsid w:val="001106E8"/>
    <w:rsid w:val="0011138F"/>
    <w:rsid w:val="00116845"/>
    <w:rsid w:val="00122BD5"/>
    <w:rsid w:val="0013205D"/>
    <w:rsid w:val="00133F79"/>
    <w:rsid w:val="00135556"/>
    <w:rsid w:val="00143CC9"/>
    <w:rsid w:val="00150129"/>
    <w:rsid w:val="00151725"/>
    <w:rsid w:val="00153866"/>
    <w:rsid w:val="00154398"/>
    <w:rsid w:val="001552C2"/>
    <w:rsid w:val="0016081C"/>
    <w:rsid w:val="00162744"/>
    <w:rsid w:val="001737C7"/>
    <w:rsid w:val="00181624"/>
    <w:rsid w:val="0018762E"/>
    <w:rsid w:val="00194A66"/>
    <w:rsid w:val="00197FCA"/>
    <w:rsid w:val="001A1D39"/>
    <w:rsid w:val="001A2089"/>
    <w:rsid w:val="001A25ED"/>
    <w:rsid w:val="001A2827"/>
    <w:rsid w:val="001A5AF5"/>
    <w:rsid w:val="001C5DA8"/>
    <w:rsid w:val="001D05E1"/>
    <w:rsid w:val="001D32C5"/>
    <w:rsid w:val="001D4186"/>
    <w:rsid w:val="001D59B9"/>
    <w:rsid w:val="001D6BCF"/>
    <w:rsid w:val="001E01CA"/>
    <w:rsid w:val="001F14C3"/>
    <w:rsid w:val="001F1A18"/>
    <w:rsid w:val="001F66C8"/>
    <w:rsid w:val="001F7BB3"/>
    <w:rsid w:val="002159D4"/>
    <w:rsid w:val="0021601B"/>
    <w:rsid w:val="00216E0A"/>
    <w:rsid w:val="00221927"/>
    <w:rsid w:val="0023388B"/>
    <w:rsid w:val="00234FC4"/>
    <w:rsid w:val="002369B7"/>
    <w:rsid w:val="00240E77"/>
    <w:rsid w:val="00242CAC"/>
    <w:rsid w:val="0024584A"/>
    <w:rsid w:val="00247AE0"/>
    <w:rsid w:val="00247B24"/>
    <w:rsid w:val="0025610C"/>
    <w:rsid w:val="00263CD7"/>
    <w:rsid w:val="002753BA"/>
    <w:rsid w:val="00275CF5"/>
    <w:rsid w:val="0028301F"/>
    <w:rsid w:val="00285017"/>
    <w:rsid w:val="0028628B"/>
    <w:rsid w:val="002908F7"/>
    <w:rsid w:val="00294094"/>
    <w:rsid w:val="00297828"/>
    <w:rsid w:val="002A2D2E"/>
    <w:rsid w:val="002A5F26"/>
    <w:rsid w:val="002B43A7"/>
    <w:rsid w:val="002C00E8"/>
    <w:rsid w:val="002C0F0F"/>
    <w:rsid w:val="002C220F"/>
    <w:rsid w:val="002C22FA"/>
    <w:rsid w:val="002C6227"/>
    <w:rsid w:val="002C7089"/>
    <w:rsid w:val="002C7925"/>
    <w:rsid w:val="002D5189"/>
    <w:rsid w:val="002D5A44"/>
    <w:rsid w:val="002E26C5"/>
    <w:rsid w:val="002E6C11"/>
    <w:rsid w:val="002F4403"/>
    <w:rsid w:val="002F4DA0"/>
    <w:rsid w:val="0030131F"/>
    <w:rsid w:val="003050C4"/>
    <w:rsid w:val="00307565"/>
    <w:rsid w:val="00314BD3"/>
    <w:rsid w:val="003150A5"/>
    <w:rsid w:val="0031706B"/>
    <w:rsid w:val="00336820"/>
    <w:rsid w:val="00343749"/>
    <w:rsid w:val="00345E10"/>
    <w:rsid w:val="00356330"/>
    <w:rsid w:val="003653BC"/>
    <w:rsid w:val="003660ED"/>
    <w:rsid w:val="00371BD7"/>
    <w:rsid w:val="00385BA5"/>
    <w:rsid w:val="00392D32"/>
    <w:rsid w:val="00394897"/>
    <w:rsid w:val="003953D2"/>
    <w:rsid w:val="00396322"/>
    <w:rsid w:val="003B0499"/>
    <w:rsid w:val="003B0550"/>
    <w:rsid w:val="003B694F"/>
    <w:rsid w:val="003B6ACB"/>
    <w:rsid w:val="003C2B31"/>
    <w:rsid w:val="003C73F4"/>
    <w:rsid w:val="003E0F6A"/>
    <w:rsid w:val="003E615A"/>
    <w:rsid w:val="003E730B"/>
    <w:rsid w:val="003F171C"/>
    <w:rsid w:val="00412FC5"/>
    <w:rsid w:val="00414EF6"/>
    <w:rsid w:val="0041725E"/>
    <w:rsid w:val="00421C05"/>
    <w:rsid w:val="00422276"/>
    <w:rsid w:val="004242F1"/>
    <w:rsid w:val="00426716"/>
    <w:rsid w:val="00432CB9"/>
    <w:rsid w:val="00434CEC"/>
    <w:rsid w:val="0043730C"/>
    <w:rsid w:val="0044531D"/>
    <w:rsid w:val="00445A00"/>
    <w:rsid w:val="004466B4"/>
    <w:rsid w:val="00450DE8"/>
    <w:rsid w:val="00451B0F"/>
    <w:rsid w:val="00453DAD"/>
    <w:rsid w:val="00456365"/>
    <w:rsid w:val="0045650B"/>
    <w:rsid w:val="00467C9B"/>
    <w:rsid w:val="004752A3"/>
    <w:rsid w:val="00481E06"/>
    <w:rsid w:val="004829BD"/>
    <w:rsid w:val="00486024"/>
    <w:rsid w:val="00493600"/>
    <w:rsid w:val="004B2204"/>
    <w:rsid w:val="004B722E"/>
    <w:rsid w:val="004C1B85"/>
    <w:rsid w:val="004C1C13"/>
    <w:rsid w:val="004C1D6F"/>
    <w:rsid w:val="004C1DD7"/>
    <w:rsid w:val="004C2EE3"/>
    <w:rsid w:val="004C39CE"/>
    <w:rsid w:val="004D3F7B"/>
    <w:rsid w:val="004E0B02"/>
    <w:rsid w:val="004E4A22"/>
    <w:rsid w:val="004E5F8D"/>
    <w:rsid w:val="00500CBD"/>
    <w:rsid w:val="00501524"/>
    <w:rsid w:val="00511968"/>
    <w:rsid w:val="00511F34"/>
    <w:rsid w:val="00523478"/>
    <w:rsid w:val="00527AC3"/>
    <w:rsid w:val="005300F3"/>
    <w:rsid w:val="00534934"/>
    <w:rsid w:val="00537A79"/>
    <w:rsid w:val="00540C26"/>
    <w:rsid w:val="00545FFD"/>
    <w:rsid w:val="0055614C"/>
    <w:rsid w:val="00557632"/>
    <w:rsid w:val="005605B3"/>
    <w:rsid w:val="00565010"/>
    <w:rsid w:val="00565E2B"/>
    <w:rsid w:val="0057500D"/>
    <w:rsid w:val="00583966"/>
    <w:rsid w:val="00585B1F"/>
    <w:rsid w:val="005916EF"/>
    <w:rsid w:val="005942C4"/>
    <w:rsid w:val="00596470"/>
    <w:rsid w:val="00597615"/>
    <w:rsid w:val="005B73A1"/>
    <w:rsid w:val="005C22AA"/>
    <w:rsid w:val="005C6039"/>
    <w:rsid w:val="005D30BD"/>
    <w:rsid w:val="005E14AF"/>
    <w:rsid w:val="005E14C2"/>
    <w:rsid w:val="005E700A"/>
    <w:rsid w:val="005F7446"/>
    <w:rsid w:val="00607BA5"/>
    <w:rsid w:val="0061180A"/>
    <w:rsid w:val="00626EB6"/>
    <w:rsid w:val="006306EA"/>
    <w:rsid w:val="00635085"/>
    <w:rsid w:val="00636F7C"/>
    <w:rsid w:val="00647FE1"/>
    <w:rsid w:val="006515B3"/>
    <w:rsid w:val="006528BF"/>
    <w:rsid w:val="00653ED1"/>
    <w:rsid w:val="006548E4"/>
    <w:rsid w:val="00655D03"/>
    <w:rsid w:val="00662FB9"/>
    <w:rsid w:val="00675DE5"/>
    <w:rsid w:val="00683388"/>
    <w:rsid w:val="00683F84"/>
    <w:rsid w:val="00691143"/>
    <w:rsid w:val="00697072"/>
    <w:rsid w:val="006A004B"/>
    <w:rsid w:val="006A108D"/>
    <w:rsid w:val="006A26DF"/>
    <w:rsid w:val="006A6A81"/>
    <w:rsid w:val="006A7AAB"/>
    <w:rsid w:val="006B11F9"/>
    <w:rsid w:val="006B1BED"/>
    <w:rsid w:val="006B4BC7"/>
    <w:rsid w:val="006C5B4F"/>
    <w:rsid w:val="006D2D57"/>
    <w:rsid w:val="006E4FB5"/>
    <w:rsid w:val="006E5F0C"/>
    <w:rsid w:val="006F5704"/>
    <w:rsid w:val="006F7393"/>
    <w:rsid w:val="006F7951"/>
    <w:rsid w:val="0070224F"/>
    <w:rsid w:val="007024B0"/>
    <w:rsid w:val="007056FE"/>
    <w:rsid w:val="007115F7"/>
    <w:rsid w:val="00713D4B"/>
    <w:rsid w:val="00715F19"/>
    <w:rsid w:val="00722B39"/>
    <w:rsid w:val="00727EA0"/>
    <w:rsid w:val="00734DC6"/>
    <w:rsid w:val="00736527"/>
    <w:rsid w:val="00751226"/>
    <w:rsid w:val="00751EEB"/>
    <w:rsid w:val="00756F81"/>
    <w:rsid w:val="007572A2"/>
    <w:rsid w:val="007614BE"/>
    <w:rsid w:val="00772C7C"/>
    <w:rsid w:val="00785689"/>
    <w:rsid w:val="00786327"/>
    <w:rsid w:val="0079105B"/>
    <w:rsid w:val="0079754B"/>
    <w:rsid w:val="007A1E6D"/>
    <w:rsid w:val="007A4B69"/>
    <w:rsid w:val="007A6222"/>
    <w:rsid w:val="007A77C4"/>
    <w:rsid w:val="007B0EB2"/>
    <w:rsid w:val="007B67D4"/>
    <w:rsid w:val="007B7798"/>
    <w:rsid w:val="007C700B"/>
    <w:rsid w:val="007D7952"/>
    <w:rsid w:val="007E60A3"/>
    <w:rsid w:val="00810B6F"/>
    <w:rsid w:val="00810F15"/>
    <w:rsid w:val="00815775"/>
    <w:rsid w:val="00822CE0"/>
    <w:rsid w:val="00831063"/>
    <w:rsid w:val="0083123B"/>
    <w:rsid w:val="008319E9"/>
    <w:rsid w:val="00831D1F"/>
    <w:rsid w:val="00834012"/>
    <w:rsid w:val="00835D10"/>
    <w:rsid w:val="00841AB1"/>
    <w:rsid w:val="008526D3"/>
    <w:rsid w:val="00865681"/>
    <w:rsid w:val="0088303A"/>
    <w:rsid w:val="00885A76"/>
    <w:rsid w:val="00890C2C"/>
    <w:rsid w:val="00893392"/>
    <w:rsid w:val="00896E52"/>
    <w:rsid w:val="008A0EC4"/>
    <w:rsid w:val="008A3984"/>
    <w:rsid w:val="008A6970"/>
    <w:rsid w:val="008B4336"/>
    <w:rsid w:val="008B4A61"/>
    <w:rsid w:val="008C0686"/>
    <w:rsid w:val="008C6257"/>
    <w:rsid w:val="008C663C"/>
    <w:rsid w:val="008C68F1"/>
    <w:rsid w:val="008C773A"/>
    <w:rsid w:val="008D4AF7"/>
    <w:rsid w:val="008D52F1"/>
    <w:rsid w:val="008E123E"/>
    <w:rsid w:val="008E158F"/>
    <w:rsid w:val="008F21D0"/>
    <w:rsid w:val="008F2981"/>
    <w:rsid w:val="008F29D4"/>
    <w:rsid w:val="008F4E8A"/>
    <w:rsid w:val="008F677D"/>
    <w:rsid w:val="008F6C7D"/>
    <w:rsid w:val="008F73EE"/>
    <w:rsid w:val="008F7777"/>
    <w:rsid w:val="009038F5"/>
    <w:rsid w:val="00906139"/>
    <w:rsid w:val="00911D07"/>
    <w:rsid w:val="009124B1"/>
    <w:rsid w:val="00913C27"/>
    <w:rsid w:val="00921803"/>
    <w:rsid w:val="00926503"/>
    <w:rsid w:val="00952871"/>
    <w:rsid w:val="00954598"/>
    <w:rsid w:val="009545C8"/>
    <w:rsid w:val="00962E1E"/>
    <w:rsid w:val="00967767"/>
    <w:rsid w:val="009726D8"/>
    <w:rsid w:val="009739C6"/>
    <w:rsid w:val="0097745F"/>
    <w:rsid w:val="009775C7"/>
    <w:rsid w:val="009863D7"/>
    <w:rsid w:val="00991C13"/>
    <w:rsid w:val="00994BE8"/>
    <w:rsid w:val="009A69A1"/>
    <w:rsid w:val="009B14FB"/>
    <w:rsid w:val="009B2EFC"/>
    <w:rsid w:val="009C216D"/>
    <w:rsid w:val="009D1570"/>
    <w:rsid w:val="009D24F8"/>
    <w:rsid w:val="009D5AB1"/>
    <w:rsid w:val="009E14E6"/>
    <w:rsid w:val="009E6BDA"/>
    <w:rsid w:val="009F3EEB"/>
    <w:rsid w:val="009F4386"/>
    <w:rsid w:val="009F76DB"/>
    <w:rsid w:val="00A04C0A"/>
    <w:rsid w:val="00A07AB9"/>
    <w:rsid w:val="00A07B92"/>
    <w:rsid w:val="00A1770A"/>
    <w:rsid w:val="00A26937"/>
    <w:rsid w:val="00A32C3B"/>
    <w:rsid w:val="00A35CA0"/>
    <w:rsid w:val="00A3602C"/>
    <w:rsid w:val="00A4346A"/>
    <w:rsid w:val="00A4408F"/>
    <w:rsid w:val="00A45F4F"/>
    <w:rsid w:val="00A5299F"/>
    <w:rsid w:val="00A551E4"/>
    <w:rsid w:val="00A5606D"/>
    <w:rsid w:val="00A573BE"/>
    <w:rsid w:val="00A57986"/>
    <w:rsid w:val="00A600A9"/>
    <w:rsid w:val="00A71729"/>
    <w:rsid w:val="00A92237"/>
    <w:rsid w:val="00AA4071"/>
    <w:rsid w:val="00AA55B7"/>
    <w:rsid w:val="00AA5B9E"/>
    <w:rsid w:val="00AA5D5D"/>
    <w:rsid w:val="00AB2407"/>
    <w:rsid w:val="00AB302E"/>
    <w:rsid w:val="00AB53DF"/>
    <w:rsid w:val="00AB76D5"/>
    <w:rsid w:val="00AC1067"/>
    <w:rsid w:val="00AC1584"/>
    <w:rsid w:val="00AC3FD0"/>
    <w:rsid w:val="00AD3E86"/>
    <w:rsid w:val="00AD484B"/>
    <w:rsid w:val="00B07E5C"/>
    <w:rsid w:val="00B123C7"/>
    <w:rsid w:val="00B22249"/>
    <w:rsid w:val="00B224C9"/>
    <w:rsid w:val="00B251F0"/>
    <w:rsid w:val="00B251FB"/>
    <w:rsid w:val="00B34892"/>
    <w:rsid w:val="00B41B38"/>
    <w:rsid w:val="00B43CB9"/>
    <w:rsid w:val="00B461AC"/>
    <w:rsid w:val="00B51AD8"/>
    <w:rsid w:val="00B51E3C"/>
    <w:rsid w:val="00B54FE0"/>
    <w:rsid w:val="00B748DA"/>
    <w:rsid w:val="00B811F7"/>
    <w:rsid w:val="00B90EBF"/>
    <w:rsid w:val="00B9360D"/>
    <w:rsid w:val="00BA044A"/>
    <w:rsid w:val="00BA5DC6"/>
    <w:rsid w:val="00BA6196"/>
    <w:rsid w:val="00BB1B42"/>
    <w:rsid w:val="00BB3B3B"/>
    <w:rsid w:val="00BC0215"/>
    <w:rsid w:val="00BC69EE"/>
    <w:rsid w:val="00BC6D8C"/>
    <w:rsid w:val="00BC7E23"/>
    <w:rsid w:val="00BD0A8C"/>
    <w:rsid w:val="00BE3561"/>
    <w:rsid w:val="00BE5602"/>
    <w:rsid w:val="00C07020"/>
    <w:rsid w:val="00C116D6"/>
    <w:rsid w:val="00C1561C"/>
    <w:rsid w:val="00C16598"/>
    <w:rsid w:val="00C22445"/>
    <w:rsid w:val="00C238B6"/>
    <w:rsid w:val="00C31600"/>
    <w:rsid w:val="00C34006"/>
    <w:rsid w:val="00C3547B"/>
    <w:rsid w:val="00C357B9"/>
    <w:rsid w:val="00C426B1"/>
    <w:rsid w:val="00C4387E"/>
    <w:rsid w:val="00C43A4C"/>
    <w:rsid w:val="00C529AE"/>
    <w:rsid w:val="00C60F29"/>
    <w:rsid w:val="00C66160"/>
    <w:rsid w:val="00C721AC"/>
    <w:rsid w:val="00C72DEB"/>
    <w:rsid w:val="00C874E5"/>
    <w:rsid w:val="00C90D6A"/>
    <w:rsid w:val="00C94AD8"/>
    <w:rsid w:val="00C96A7F"/>
    <w:rsid w:val="00CA1880"/>
    <w:rsid w:val="00CA247E"/>
    <w:rsid w:val="00CB2E54"/>
    <w:rsid w:val="00CC0965"/>
    <w:rsid w:val="00CC72B6"/>
    <w:rsid w:val="00CD14F7"/>
    <w:rsid w:val="00CD5876"/>
    <w:rsid w:val="00CE3076"/>
    <w:rsid w:val="00CE5670"/>
    <w:rsid w:val="00CF33D0"/>
    <w:rsid w:val="00CF6A9C"/>
    <w:rsid w:val="00CF7A69"/>
    <w:rsid w:val="00D0218D"/>
    <w:rsid w:val="00D05957"/>
    <w:rsid w:val="00D11167"/>
    <w:rsid w:val="00D25F60"/>
    <w:rsid w:val="00D25FB5"/>
    <w:rsid w:val="00D44223"/>
    <w:rsid w:val="00D506B9"/>
    <w:rsid w:val="00D570F2"/>
    <w:rsid w:val="00D61476"/>
    <w:rsid w:val="00D669C6"/>
    <w:rsid w:val="00D735D8"/>
    <w:rsid w:val="00D808BA"/>
    <w:rsid w:val="00D848EB"/>
    <w:rsid w:val="00D93210"/>
    <w:rsid w:val="00D95BD9"/>
    <w:rsid w:val="00D97159"/>
    <w:rsid w:val="00D973EA"/>
    <w:rsid w:val="00DA2529"/>
    <w:rsid w:val="00DA3947"/>
    <w:rsid w:val="00DA5372"/>
    <w:rsid w:val="00DB0E11"/>
    <w:rsid w:val="00DB130A"/>
    <w:rsid w:val="00DB1B9D"/>
    <w:rsid w:val="00DB2834"/>
    <w:rsid w:val="00DB2EBB"/>
    <w:rsid w:val="00DB2FD9"/>
    <w:rsid w:val="00DB581B"/>
    <w:rsid w:val="00DC10A1"/>
    <w:rsid w:val="00DC1262"/>
    <w:rsid w:val="00DC231E"/>
    <w:rsid w:val="00DC655F"/>
    <w:rsid w:val="00DD0B59"/>
    <w:rsid w:val="00DD7EBD"/>
    <w:rsid w:val="00DD7F56"/>
    <w:rsid w:val="00DE28E8"/>
    <w:rsid w:val="00DF201D"/>
    <w:rsid w:val="00DF62B6"/>
    <w:rsid w:val="00E00EFC"/>
    <w:rsid w:val="00E05657"/>
    <w:rsid w:val="00E07225"/>
    <w:rsid w:val="00E16052"/>
    <w:rsid w:val="00E20673"/>
    <w:rsid w:val="00E2436E"/>
    <w:rsid w:val="00E4114E"/>
    <w:rsid w:val="00E466EC"/>
    <w:rsid w:val="00E47B41"/>
    <w:rsid w:val="00E47C82"/>
    <w:rsid w:val="00E5409F"/>
    <w:rsid w:val="00E54BBB"/>
    <w:rsid w:val="00E61BAF"/>
    <w:rsid w:val="00E63609"/>
    <w:rsid w:val="00E66255"/>
    <w:rsid w:val="00E80F96"/>
    <w:rsid w:val="00E8335D"/>
    <w:rsid w:val="00E852B2"/>
    <w:rsid w:val="00E947B8"/>
    <w:rsid w:val="00E977E0"/>
    <w:rsid w:val="00EA2668"/>
    <w:rsid w:val="00EA3233"/>
    <w:rsid w:val="00EA5CD7"/>
    <w:rsid w:val="00EA7B24"/>
    <w:rsid w:val="00EB26CF"/>
    <w:rsid w:val="00EB6247"/>
    <w:rsid w:val="00EC042D"/>
    <w:rsid w:val="00EC4325"/>
    <w:rsid w:val="00ED19FE"/>
    <w:rsid w:val="00ED4938"/>
    <w:rsid w:val="00ED6589"/>
    <w:rsid w:val="00EE4525"/>
    <w:rsid w:val="00EE6488"/>
    <w:rsid w:val="00EF1592"/>
    <w:rsid w:val="00EF2641"/>
    <w:rsid w:val="00EF4DF5"/>
    <w:rsid w:val="00F003B4"/>
    <w:rsid w:val="00F00DED"/>
    <w:rsid w:val="00F021FA"/>
    <w:rsid w:val="00F0299A"/>
    <w:rsid w:val="00F0555D"/>
    <w:rsid w:val="00F06CB7"/>
    <w:rsid w:val="00F15DB8"/>
    <w:rsid w:val="00F2144E"/>
    <w:rsid w:val="00F3250C"/>
    <w:rsid w:val="00F33BC1"/>
    <w:rsid w:val="00F35111"/>
    <w:rsid w:val="00F448B7"/>
    <w:rsid w:val="00F44B52"/>
    <w:rsid w:val="00F44CF9"/>
    <w:rsid w:val="00F45799"/>
    <w:rsid w:val="00F47F8B"/>
    <w:rsid w:val="00F53852"/>
    <w:rsid w:val="00F5442B"/>
    <w:rsid w:val="00F56B79"/>
    <w:rsid w:val="00F624A2"/>
    <w:rsid w:val="00F626E1"/>
    <w:rsid w:val="00F62E97"/>
    <w:rsid w:val="00F64209"/>
    <w:rsid w:val="00F80154"/>
    <w:rsid w:val="00F8164B"/>
    <w:rsid w:val="00F83AAA"/>
    <w:rsid w:val="00F840AC"/>
    <w:rsid w:val="00F907C4"/>
    <w:rsid w:val="00F93BF5"/>
    <w:rsid w:val="00F97CDC"/>
    <w:rsid w:val="00FA2EC6"/>
    <w:rsid w:val="00FA3C13"/>
    <w:rsid w:val="00FA49BF"/>
    <w:rsid w:val="00FA6633"/>
    <w:rsid w:val="00FB19DF"/>
    <w:rsid w:val="00FB5639"/>
    <w:rsid w:val="00FF05FE"/>
    <w:rsid w:val="00FF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34CEC"/>
    <w:pPr>
      <w:widowControl/>
      <w:ind w:left="720"/>
    </w:pPr>
    <w:rPr>
      <w:rFonts w:ascii="Calibri" w:eastAsiaTheme="minorHAnsi" w:hAnsi="Calibri" w:cs="Calibri"/>
      <w:snapToGrid/>
      <w:kern w:val="0"/>
      <w:szCs w:val="22"/>
    </w:rPr>
  </w:style>
  <w:style w:type="character" w:customStyle="1" w:styleId="HeaderChar">
    <w:name w:val="Header Char"/>
    <w:link w:val="Header"/>
    <w:rsid w:val="00A551E4"/>
    <w:rPr>
      <w:b/>
      <w:snapToGrid w:val="0"/>
      <w:kern w:val="28"/>
      <w:sz w:val="22"/>
    </w:rPr>
  </w:style>
  <w:style w:type="paragraph" w:styleId="BalloonText">
    <w:name w:val="Balloon Text"/>
    <w:basedOn w:val="Normal"/>
    <w:link w:val="BalloonTextChar"/>
    <w:rsid w:val="006C5B4F"/>
    <w:rPr>
      <w:rFonts w:ascii="Tahoma" w:hAnsi="Tahoma" w:cs="Tahoma"/>
      <w:sz w:val="16"/>
      <w:szCs w:val="16"/>
    </w:rPr>
  </w:style>
  <w:style w:type="character" w:customStyle="1" w:styleId="BalloonTextChar">
    <w:name w:val="Balloon Text Char"/>
    <w:basedOn w:val="DefaultParagraphFont"/>
    <w:link w:val="BalloonText"/>
    <w:rsid w:val="006C5B4F"/>
    <w:rPr>
      <w:rFonts w:ascii="Tahoma" w:hAnsi="Tahoma" w:cs="Tahoma"/>
      <w:snapToGrid w:val="0"/>
      <w:kern w:val="28"/>
      <w:sz w:val="16"/>
      <w:szCs w:val="16"/>
    </w:rPr>
  </w:style>
  <w:style w:type="character" w:customStyle="1" w:styleId="FootnoteTextChar">
    <w:name w:val="Footnote Text Char"/>
    <w:basedOn w:val="DefaultParagraphFont"/>
    <w:link w:val="FootnoteText"/>
    <w:rsid w:val="00534934"/>
  </w:style>
  <w:style w:type="paragraph" w:styleId="NormalWeb">
    <w:name w:val="Normal (Web)"/>
    <w:basedOn w:val="Normal"/>
    <w:uiPriority w:val="99"/>
    <w:unhideWhenUsed/>
    <w:rsid w:val="001A5AF5"/>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34CEC"/>
    <w:pPr>
      <w:widowControl/>
      <w:ind w:left="720"/>
    </w:pPr>
    <w:rPr>
      <w:rFonts w:ascii="Calibri" w:eastAsiaTheme="minorHAnsi" w:hAnsi="Calibri" w:cs="Calibri"/>
      <w:snapToGrid/>
      <w:kern w:val="0"/>
      <w:szCs w:val="22"/>
    </w:rPr>
  </w:style>
  <w:style w:type="character" w:customStyle="1" w:styleId="HeaderChar">
    <w:name w:val="Header Char"/>
    <w:link w:val="Header"/>
    <w:rsid w:val="00A551E4"/>
    <w:rPr>
      <w:b/>
      <w:snapToGrid w:val="0"/>
      <w:kern w:val="28"/>
      <w:sz w:val="22"/>
    </w:rPr>
  </w:style>
  <w:style w:type="paragraph" w:styleId="BalloonText">
    <w:name w:val="Balloon Text"/>
    <w:basedOn w:val="Normal"/>
    <w:link w:val="BalloonTextChar"/>
    <w:rsid w:val="006C5B4F"/>
    <w:rPr>
      <w:rFonts w:ascii="Tahoma" w:hAnsi="Tahoma" w:cs="Tahoma"/>
      <w:sz w:val="16"/>
      <w:szCs w:val="16"/>
    </w:rPr>
  </w:style>
  <w:style w:type="character" w:customStyle="1" w:styleId="BalloonTextChar">
    <w:name w:val="Balloon Text Char"/>
    <w:basedOn w:val="DefaultParagraphFont"/>
    <w:link w:val="BalloonText"/>
    <w:rsid w:val="006C5B4F"/>
    <w:rPr>
      <w:rFonts w:ascii="Tahoma" w:hAnsi="Tahoma" w:cs="Tahoma"/>
      <w:snapToGrid w:val="0"/>
      <w:kern w:val="28"/>
      <w:sz w:val="16"/>
      <w:szCs w:val="16"/>
    </w:rPr>
  </w:style>
  <w:style w:type="character" w:customStyle="1" w:styleId="FootnoteTextChar">
    <w:name w:val="Footnote Text Char"/>
    <w:basedOn w:val="DefaultParagraphFont"/>
    <w:link w:val="FootnoteText"/>
    <w:rsid w:val="00534934"/>
  </w:style>
  <w:style w:type="paragraph" w:styleId="NormalWeb">
    <w:name w:val="Normal (Web)"/>
    <w:basedOn w:val="Normal"/>
    <w:uiPriority w:val="99"/>
    <w:unhideWhenUsed/>
    <w:rsid w:val="001A5AF5"/>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44109">
      <w:bodyDiv w:val="1"/>
      <w:marLeft w:val="0"/>
      <w:marRight w:val="0"/>
      <w:marTop w:val="30"/>
      <w:marBottom w:val="750"/>
      <w:divBdr>
        <w:top w:val="none" w:sz="0" w:space="0" w:color="auto"/>
        <w:left w:val="none" w:sz="0" w:space="0" w:color="auto"/>
        <w:bottom w:val="none" w:sz="0" w:space="0" w:color="auto"/>
        <w:right w:val="none" w:sz="0" w:space="0" w:color="auto"/>
      </w:divBdr>
      <w:divsChild>
        <w:div w:id="1484270242">
          <w:marLeft w:val="0"/>
          <w:marRight w:val="0"/>
          <w:marTop w:val="0"/>
          <w:marBottom w:val="0"/>
          <w:divBdr>
            <w:top w:val="none" w:sz="0" w:space="0" w:color="auto"/>
            <w:left w:val="none" w:sz="0" w:space="0" w:color="auto"/>
            <w:bottom w:val="none" w:sz="0" w:space="0" w:color="auto"/>
            <w:right w:val="none" w:sz="0" w:space="0" w:color="auto"/>
          </w:divBdr>
        </w:div>
      </w:divsChild>
    </w:div>
    <w:div w:id="1163474333">
      <w:bodyDiv w:val="1"/>
      <w:marLeft w:val="0"/>
      <w:marRight w:val="0"/>
      <w:marTop w:val="30"/>
      <w:marBottom w:val="750"/>
      <w:divBdr>
        <w:top w:val="none" w:sz="0" w:space="0" w:color="auto"/>
        <w:left w:val="none" w:sz="0" w:space="0" w:color="auto"/>
        <w:bottom w:val="none" w:sz="0" w:space="0" w:color="auto"/>
        <w:right w:val="none" w:sz="0" w:space="0" w:color="auto"/>
      </w:divBdr>
      <w:divsChild>
        <w:div w:id="2088305425">
          <w:marLeft w:val="0"/>
          <w:marRight w:val="0"/>
          <w:marTop w:val="0"/>
          <w:marBottom w:val="0"/>
          <w:divBdr>
            <w:top w:val="none" w:sz="0" w:space="0" w:color="auto"/>
            <w:left w:val="none" w:sz="0" w:space="0" w:color="auto"/>
            <w:bottom w:val="none" w:sz="0" w:space="0" w:color="auto"/>
            <w:right w:val="none" w:sz="0" w:space="0" w:color="auto"/>
          </w:divBdr>
        </w:div>
      </w:divsChild>
    </w:div>
    <w:div w:id="1411737426">
      <w:bodyDiv w:val="1"/>
      <w:marLeft w:val="0"/>
      <w:marRight w:val="0"/>
      <w:marTop w:val="30"/>
      <w:marBottom w:val="750"/>
      <w:divBdr>
        <w:top w:val="none" w:sz="0" w:space="0" w:color="auto"/>
        <w:left w:val="none" w:sz="0" w:space="0" w:color="auto"/>
        <w:bottom w:val="none" w:sz="0" w:space="0" w:color="auto"/>
        <w:right w:val="none" w:sz="0" w:space="0" w:color="auto"/>
      </w:divBdr>
      <w:divsChild>
        <w:div w:id="1888685607">
          <w:marLeft w:val="0"/>
          <w:marRight w:val="0"/>
          <w:marTop w:val="0"/>
          <w:marBottom w:val="0"/>
          <w:divBdr>
            <w:top w:val="none" w:sz="0" w:space="0" w:color="auto"/>
            <w:left w:val="none" w:sz="0" w:space="0" w:color="auto"/>
            <w:bottom w:val="none" w:sz="0" w:space="0" w:color="auto"/>
            <w:right w:val="none" w:sz="0" w:space="0" w:color="auto"/>
          </w:divBdr>
        </w:div>
      </w:divsChild>
    </w:div>
    <w:div w:id="1499691172">
      <w:bodyDiv w:val="1"/>
      <w:marLeft w:val="0"/>
      <w:marRight w:val="0"/>
      <w:marTop w:val="30"/>
      <w:marBottom w:val="750"/>
      <w:divBdr>
        <w:top w:val="none" w:sz="0" w:space="0" w:color="auto"/>
        <w:left w:val="none" w:sz="0" w:space="0" w:color="auto"/>
        <w:bottom w:val="none" w:sz="0" w:space="0" w:color="auto"/>
        <w:right w:val="none" w:sz="0" w:space="0" w:color="auto"/>
      </w:divBdr>
      <w:divsChild>
        <w:div w:id="1927952815">
          <w:marLeft w:val="0"/>
          <w:marRight w:val="0"/>
          <w:marTop w:val="0"/>
          <w:marBottom w:val="0"/>
          <w:divBdr>
            <w:top w:val="none" w:sz="0" w:space="0" w:color="auto"/>
            <w:left w:val="none" w:sz="0" w:space="0" w:color="auto"/>
            <w:bottom w:val="none" w:sz="0" w:space="0" w:color="auto"/>
            <w:right w:val="none" w:sz="0" w:space="0" w:color="auto"/>
          </w:divBdr>
        </w:div>
      </w:divsChild>
    </w:div>
    <w:div w:id="1552184526">
      <w:bodyDiv w:val="1"/>
      <w:marLeft w:val="0"/>
      <w:marRight w:val="0"/>
      <w:marTop w:val="0"/>
      <w:marBottom w:val="0"/>
      <w:divBdr>
        <w:top w:val="none" w:sz="0" w:space="0" w:color="auto"/>
        <w:left w:val="none" w:sz="0" w:space="0" w:color="auto"/>
        <w:bottom w:val="none" w:sz="0" w:space="0" w:color="auto"/>
        <w:right w:val="none" w:sz="0" w:space="0" w:color="auto"/>
      </w:divBdr>
    </w:div>
    <w:div w:id="2033216205">
      <w:bodyDiv w:val="1"/>
      <w:marLeft w:val="0"/>
      <w:marRight w:val="0"/>
      <w:marTop w:val="30"/>
      <w:marBottom w:val="750"/>
      <w:divBdr>
        <w:top w:val="none" w:sz="0" w:space="0" w:color="auto"/>
        <w:left w:val="none" w:sz="0" w:space="0" w:color="auto"/>
        <w:bottom w:val="none" w:sz="0" w:space="0" w:color="auto"/>
        <w:right w:val="none" w:sz="0" w:space="0" w:color="auto"/>
      </w:divBdr>
      <w:divsChild>
        <w:div w:id="912593483">
          <w:marLeft w:val="0"/>
          <w:marRight w:val="0"/>
          <w:marTop w:val="0"/>
          <w:marBottom w:val="0"/>
          <w:divBdr>
            <w:top w:val="none" w:sz="0" w:space="0" w:color="auto"/>
            <w:left w:val="none" w:sz="0" w:space="0" w:color="auto"/>
            <w:bottom w:val="none" w:sz="0" w:space="0" w:color="auto"/>
            <w:right w:val="none" w:sz="0" w:space="0" w:color="auto"/>
          </w:divBdr>
        </w:div>
      </w:divsChild>
    </w:div>
    <w:div w:id="2121025405">
      <w:bodyDiv w:val="1"/>
      <w:marLeft w:val="0"/>
      <w:marRight w:val="0"/>
      <w:marTop w:val="0"/>
      <w:marBottom w:val="0"/>
      <w:divBdr>
        <w:top w:val="none" w:sz="0" w:space="0" w:color="auto"/>
        <w:left w:val="none" w:sz="0" w:space="0" w:color="auto"/>
        <w:bottom w:val="none" w:sz="0" w:space="0" w:color="auto"/>
        <w:right w:val="none" w:sz="0" w:space="0" w:color="auto"/>
      </w:divBdr>
      <w:divsChild>
        <w:div w:id="31342873">
          <w:marLeft w:val="0"/>
          <w:marRight w:val="0"/>
          <w:marTop w:val="0"/>
          <w:marBottom w:val="0"/>
          <w:divBdr>
            <w:top w:val="none" w:sz="0" w:space="0" w:color="auto"/>
            <w:left w:val="none" w:sz="0" w:space="0" w:color="auto"/>
            <w:bottom w:val="none" w:sz="0" w:space="0" w:color="auto"/>
            <w:right w:val="none" w:sz="0" w:space="0" w:color="auto"/>
          </w:divBdr>
        </w:div>
        <w:div w:id="1196121117">
          <w:marLeft w:val="0"/>
          <w:marRight w:val="0"/>
          <w:marTop w:val="0"/>
          <w:marBottom w:val="0"/>
          <w:divBdr>
            <w:top w:val="none" w:sz="0" w:space="0" w:color="auto"/>
            <w:left w:val="none" w:sz="0" w:space="0" w:color="auto"/>
            <w:bottom w:val="none" w:sz="0" w:space="0" w:color="auto"/>
            <w:right w:val="none" w:sz="0" w:space="0" w:color="auto"/>
          </w:divBdr>
        </w:div>
        <w:div w:id="1334648009">
          <w:marLeft w:val="0"/>
          <w:marRight w:val="0"/>
          <w:marTop w:val="0"/>
          <w:marBottom w:val="0"/>
          <w:divBdr>
            <w:top w:val="none" w:sz="0" w:space="0" w:color="auto"/>
            <w:left w:val="none" w:sz="0" w:space="0" w:color="auto"/>
            <w:bottom w:val="none" w:sz="0" w:space="0" w:color="auto"/>
            <w:right w:val="none" w:sz="0" w:space="0" w:color="auto"/>
          </w:divBdr>
        </w:div>
        <w:div w:id="1557357377">
          <w:marLeft w:val="0"/>
          <w:marRight w:val="0"/>
          <w:marTop w:val="0"/>
          <w:marBottom w:val="0"/>
          <w:divBdr>
            <w:top w:val="none" w:sz="0" w:space="0" w:color="auto"/>
            <w:left w:val="none" w:sz="0" w:space="0" w:color="auto"/>
            <w:bottom w:val="none" w:sz="0" w:space="0" w:color="auto"/>
            <w:right w:val="none" w:sz="0" w:space="0" w:color="auto"/>
          </w:divBdr>
        </w:div>
        <w:div w:id="1656911779">
          <w:marLeft w:val="0"/>
          <w:marRight w:val="0"/>
          <w:marTop w:val="0"/>
          <w:marBottom w:val="0"/>
          <w:divBdr>
            <w:top w:val="none" w:sz="0" w:space="0" w:color="auto"/>
            <w:left w:val="none" w:sz="0" w:space="0" w:color="auto"/>
            <w:bottom w:val="none" w:sz="0" w:space="0" w:color="auto"/>
            <w:right w:val="none" w:sz="0" w:space="0" w:color="auto"/>
          </w:divBdr>
        </w:div>
        <w:div w:id="1750074417">
          <w:marLeft w:val="0"/>
          <w:marRight w:val="0"/>
          <w:marTop w:val="0"/>
          <w:marBottom w:val="0"/>
          <w:divBdr>
            <w:top w:val="none" w:sz="0" w:space="0" w:color="auto"/>
            <w:left w:val="none" w:sz="0" w:space="0" w:color="auto"/>
            <w:bottom w:val="none" w:sz="0" w:space="0" w:color="auto"/>
            <w:right w:val="none" w:sz="0" w:space="0" w:color="auto"/>
          </w:divBdr>
        </w:div>
        <w:div w:id="191870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773</Words>
  <Characters>4222</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2015-09-15T15:06:00Z</cp:lastPrinted>
  <dcterms:created xsi:type="dcterms:W3CDTF">2015-10-16T14:37:00Z</dcterms:created>
  <dcterms:modified xsi:type="dcterms:W3CDTF">2015-10-16T14:37:00Z</dcterms:modified>
  <cp:category> </cp:category>
  <cp:contentStatus> </cp:contentStatus>
</cp:coreProperties>
</file>