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AA8C0" w14:textId="77777777" w:rsidR="00C8491A" w:rsidRDefault="00C8491A" w:rsidP="00C8491A">
      <w:pPr>
        <w:jc w:val="center"/>
        <w:rPr>
          <w:rFonts w:ascii="Times New Roman Bold" w:hAnsi="Times New Roman Bold"/>
          <w:b/>
          <w:kern w:val="0"/>
          <w:szCs w:val="22"/>
        </w:rPr>
      </w:pPr>
      <w:bookmarkStart w:id="0" w:name="_GoBack"/>
      <w:bookmarkEnd w:id="0"/>
    </w:p>
    <w:p w14:paraId="548D607F" w14:textId="77777777" w:rsidR="00C8491A" w:rsidRDefault="00C8491A" w:rsidP="00C8491A">
      <w:pPr>
        <w:jc w:val="center"/>
        <w:rPr>
          <w:b/>
        </w:rPr>
      </w:pPr>
      <w:r w:rsidRPr="0070224F">
        <w:rPr>
          <w:rFonts w:ascii="Times New Roman Bold" w:hAnsi="Times New Roman Bold"/>
          <w:b/>
          <w:kern w:val="0"/>
          <w:szCs w:val="22"/>
        </w:rPr>
        <w:t>Before</w:t>
      </w:r>
      <w:r>
        <w:rPr>
          <w:b/>
        </w:rPr>
        <w:t xml:space="preserve"> the</w:t>
      </w:r>
    </w:p>
    <w:p w14:paraId="4EBBDD2D" w14:textId="77777777" w:rsidR="00C8491A" w:rsidRDefault="00C8491A" w:rsidP="00C8491A">
      <w:pPr>
        <w:pStyle w:val="StyleBoldCentered"/>
      </w:pPr>
      <w:r>
        <w:t>F</w:t>
      </w:r>
      <w:r>
        <w:rPr>
          <w:caps w:val="0"/>
        </w:rPr>
        <w:t>ederal Communications Commission</w:t>
      </w:r>
    </w:p>
    <w:p w14:paraId="1820D68D" w14:textId="77777777" w:rsidR="00C8491A" w:rsidRDefault="00C8491A" w:rsidP="00C8491A">
      <w:pPr>
        <w:pStyle w:val="StyleBoldCentered"/>
      </w:pPr>
      <w:r>
        <w:rPr>
          <w:caps w:val="0"/>
        </w:rPr>
        <w:t>Washington, DC 20554</w:t>
      </w:r>
    </w:p>
    <w:p w14:paraId="3ED39279" w14:textId="77777777" w:rsidR="00C8491A" w:rsidRDefault="00C8491A" w:rsidP="00C8491A"/>
    <w:p w14:paraId="55A70F16" w14:textId="77777777" w:rsidR="00C8491A" w:rsidRDefault="00C8491A" w:rsidP="00C8491A"/>
    <w:tbl>
      <w:tblPr>
        <w:tblW w:w="0" w:type="auto"/>
        <w:tblLayout w:type="fixed"/>
        <w:tblLook w:val="0000" w:firstRow="0" w:lastRow="0" w:firstColumn="0" w:lastColumn="0" w:noHBand="0" w:noVBand="0"/>
      </w:tblPr>
      <w:tblGrid>
        <w:gridCol w:w="4698"/>
        <w:gridCol w:w="630"/>
        <w:gridCol w:w="4248"/>
      </w:tblGrid>
      <w:tr w:rsidR="00C8491A" w14:paraId="72F2B09B" w14:textId="77777777" w:rsidTr="005A39E9">
        <w:tc>
          <w:tcPr>
            <w:tcW w:w="4698" w:type="dxa"/>
          </w:tcPr>
          <w:p w14:paraId="04FAA4C0" w14:textId="77777777" w:rsidR="00C8491A" w:rsidRDefault="00C8491A" w:rsidP="005A39E9">
            <w:pPr>
              <w:tabs>
                <w:tab w:val="center" w:pos="4680"/>
              </w:tabs>
              <w:suppressAutoHyphens/>
              <w:rPr>
                <w:spacing w:val="-2"/>
              </w:rPr>
            </w:pPr>
            <w:r>
              <w:rPr>
                <w:spacing w:val="-2"/>
              </w:rPr>
              <w:t>In the Matter of</w:t>
            </w:r>
          </w:p>
          <w:p w14:paraId="1E8F007E" w14:textId="77777777" w:rsidR="00C8491A" w:rsidRDefault="00C8491A" w:rsidP="005A39E9">
            <w:pPr>
              <w:tabs>
                <w:tab w:val="center" w:pos="4680"/>
              </w:tabs>
              <w:suppressAutoHyphens/>
              <w:rPr>
                <w:spacing w:val="-2"/>
              </w:rPr>
            </w:pPr>
          </w:p>
          <w:p w14:paraId="6F1291BA" w14:textId="77777777" w:rsidR="00C8491A" w:rsidRPr="0053409B" w:rsidRDefault="00C8491A" w:rsidP="005A39E9">
            <w:pPr>
              <w:tabs>
                <w:tab w:val="center" w:pos="4680"/>
              </w:tabs>
              <w:suppressAutoHyphens/>
              <w:rPr>
                <w:spacing w:val="-2"/>
              </w:rPr>
            </w:pPr>
            <w:r w:rsidRPr="00E53D1B">
              <w:rPr>
                <w:spacing w:val="-2"/>
              </w:rPr>
              <w:t>General Communication, Inc.,</w:t>
            </w:r>
            <w:r>
              <w:rPr>
                <w:spacing w:val="-2"/>
              </w:rPr>
              <w:t xml:space="preserve"> indirect </w:t>
            </w:r>
            <w:r w:rsidRPr="0053409B">
              <w:rPr>
                <w:spacing w:val="-2"/>
              </w:rPr>
              <w:t>parent</w:t>
            </w:r>
          </w:p>
          <w:p w14:paraId="366D7000" w14:textId="77777777" w:rsidR="00C8491A" w:rsidRPr="00E53D1B" w:rsidRDefault="00C8491A" w:rsidP="005A39E9">
            <w:pPr>
              <w:tabs>
                <w:tab w:val="center" w:pos="4680"/>
              </w:tabs>
              <w:suppressAutoHyphens/>
              <w:rPr>
                <w:spacing w:val="-2"/>
              </w:rPr>
            </w:pPr>
            <w:r w:rsidRPr="0053409B">
              <w:rPr>
                <w:spacing w:val="-2"/>
              </w:rPr>
              <w:t>company of The Alaska Wireless Network, LLC</w:t>
            </w:r>
          </w:p>
          <w:p w14:paraId="1F6E8B57" w14:textId="77777777" w:rsidR="00C8491A" w:rsidRPr="007115F7" w:rsidRDefault="00C8491A" w:rsidP="005A39E9">
            <w:pPr>
              <w:tabs>
                <w:tab w:val="center" w:pos="4680"/>
              </w:tabs>
              <w:suppressAutoHyphens/>
              <w:rPr>
                <w:spacing w:val="-2"/>
              </w:rPr>
            </w:pPr>
          </w:p>
        </w:tc>
        <w:tc>
          <w:tcPr>
            <w:tcW w:w="630" w:type="dxa"/>
          </w:tcPr>
          <w:p w14:paraId="6EE44C30" w14:textId="77777777" w:rsidR="00C8491A" w:rsidRDefault="00C8491A" w:rsidP="005A39E9">
            <w:pPr>
              <w:tabs>
                <w:tab w:val="center" w:pos="4680"/>
              </w:tabs>
              <w:suppressAutoHyphens/>
              <w:rPr>
                <w:b/>
                <w:spacing w:val="-2"/>
              </w:rPr>
            </w:pPr>
            <w:r>
              <w:rPr>
                <w:b/>
                <w:spacing w:val="-2"/>
              </w:rPr>
              <w:t>)</w:t>
            </w:r>
          </w:p>
          <w:p w14:paraId="474BC77F" w14:textId="77777777" w:rsidR="00C8491A" w:rsidRDefault="00C8491A" w:rsidP="005A39E9">
            <w:pPr>
              <w:tabs>
                <w:tab w:val="center" w:pos="4680"/>
              </w:tabs>
              <w:suppressAutoHyphens/>
              <w:rPr>
                <w:b/>
                <w:spacing w:val="-2"/>
              </w:rPr>
            </w:pPr>
            <w:r>
              <w:rPr>
                <w:b/>
                <w:spacing w:val="-2"/>
              </w:rPr>
              <w:t>)</w:t>
            </w:r>
          </w:p>
          <w:p w14:paraId="413128EE" w14:textId="77777777" w:rsidR="00C8491A" w:rsidRDefault="00C8491A" w:rsidP="005A39E9">
            <w:pPr>
              <w:tabs>
                <w:tab w:val="center" w:pos="4680"/>
              </w:tabs>
              <w:suppressAutoHyphens/>
              <w:rPr>
                <w:b/>
                <w:spacing w:val="-2"/>
              </w:rPr>
            </w:pPr>
            <w:r>
              <w:rPr>
                <w:b/>
                <w:spacing w:val="-2"/>
              </w:rPr>
              <w:t>)</w:t>
            </w:r>
          </w:p>
          <w:p w14:paraId="15FC0B7B" w14:textId="77777777" w:rsidR="00C8491A" w:rsidRDefault="00C8491A" w:rsidP="005A39E9">
            <w:pPr>
              <w:tabs>
                <w:tab w:val="center" w:pos="4680"/>
              </w:tabs>
              <w:suppressAutoHyphens/>
              <w:rPr>
                <w:b/>
                <w:spacing w:val="-2"/>
              </w:rPr>
            </w:pPr>
            <w:r>
              <w:rPr>
                <w:b/>
                <w:spacing w:val="-2"/>
              </w:rPr>
              <w:t>)</w:t>
            </w:r>
          </w:p>
          <w:p w14:paraId="01511912" w14:textId="77777777" w:rsidR="00C8491A" w:rsidRDefault="00C8491A" w:rsidP="005A39E9">
            <w:pPr>
              <w:tabs>
                <w:tab w:val="center" w:pos="4680"/>
              </w:tabs>
              <w:suppressAutoHyphens/>
              <w:rPr>
                <w:b/>
                <w:spacing w:val="-2"/>
              </w:rPr>
            </w:pPr>
            <w:r>
              <w:rPr>
                <w:b/>
                <w:spacing w:val="-2"/>
              </w:rPr>
              <w:t>)</w:t>
            </w:r>
          </w:p>
          <w:p w14:paraId="1F3B8189" w14:textId="77777777" w:rsidR="00C8491A" w:rsidRDefault="00C8491A" w:rsidP="005A39E9">
            <w:pPr>
              <w:tabs>
                <w:tab w:val="center" w:pos="4680"/>
              </w:tabs>
              <w:suppressAutoHyphens/>
              <w:rPr>
                <w:b/>
                <w:spacing w:val="-2"/>
              </w:rPr>
            </w:pPr>
            <w:r>
              <w:rPr>
                <w:b/>
                <w:spacing w:val="-2"/>
              </w:rPr>
              <w:t>)</w:t>
            </w:r>
          </w:p>
          <w:p w14:paraId="48E52EE0" w14:textId="77777777" w:rsidR="00C8491A" w:rsidRDefault="00C8491A" w:rsidP="005A39E9">
            <w:pPr>
              <w:tabs>
                <w:tab w:val="center" w:pos="4680"/>
              </w:tabs>
              <w:suppressAutoHyphens/>
              <w:rPr>
                <w:spacing w:val="-2"/>
              </w:rPr>
            </w:pPr>
          </w:p>
        </w:tc>
        <w:tc>
          <w:tcPr>
            <w:tcW w:w="4248" w:type="dxa"/>
          </w:tcPr>
          <w:p w14:paraId="1B441F02" w14:textId="77777777" w:rsidR="00C8491A" w:rsidRDefault="00C8491A" w:rsidP="005A39E9">
            <w:pPr>
              <w:tabs>
                <w:tab w:val="center" w:pos="4680"/>
              </w:tabs>
              <w:suppressAutoHyphens/>
              <w:rPr>
                <w:spacing w:val="-2"/>
              </w:rPr>
            </w:pPr>
          </w:p>
          <w:p w14:paraId="1F66406F" w14:textId="77777777" w:rsidR="00C8491A" w:rsidRPr="00994E33" w:rsidRDefault="00C8491A" w:rsidP="005A39E9">
            <w:pPr>
              <w:pStyle w:val="TOAHeading"/>
              <w:widowControl/>
              <w:tabs>
                <w:tab w:val="clear" w:pos="9360"/>
                <w:tab w:val="center" w:pos="4680"/>
              </w:tabs>
              <w:ind w:firstLine="522"/>
              <w:rPr>
                <w:szCs w:val="22"/>
                <w:lang w:val="es-ES_tradnl"/>
              </w:rPr>
            </w:pPr>
            <w:r w:rsidRPr="00994E33">
              <w:rPr>
                <w:szCs w:val="22"/>
                <w:lang w:val="es-ES"/>
              </w:rPr>
              <w:t xml:space="preserve">File Nos.:  </w:t>
            </w:r>
            <w:r>
              <w:rPr>
                <w:szCs w:val="22"/>
                <w:lang w:val="es-ES_tradnl"/>
              </w:rPr>
              <w:t>EB-SED-15-00018810</w:t>
            </w:r>
          </w:p>
          <w:p w14:paraId="30C29859" w14:textId="77777777" w:rsidR="00C8491A" w:rsidRPr="00994E33" w:rsidRDefault="00C8491A" w:rsidP="005A39E9">
            <w:pPr>
              <w:pStyle w:val="TOAHeading"/>
              <w:widowControl/>
              <w:tabs>
                <w:tab w:val="clear" w:pos="9360"/>
                <w:tab w:val="center" w:pos="4680"/>
              </w:tabs>
              <w:ind w:firstLine="522"/>
              <w:rPr>
                <w:spacing w:val="-2"/>
                <w:szCs w:val="22"/>
                <w:lang w:val="es-ES_tradnl"/>
              </w:rPr>
            </w:pPr>
            <w:r w:rsidRPr="00994E33">
              <w:rPr>
                <w:szCs w:val="22"/>
                <w:lang w:val="es-ES_tradnl"/>
              </w:rPr>
              <w:t xml:space="preserve">                  </w:t>
            </w:r>
          </w:p>
          <w:p w14:paraId="345B66C0" w14:textId="77777777" w:rsidR="00C8491A" w:rsidRDefault="00C8491A" w:rsidP="005A39E9">
            <w:pPr>
              <w:pStyle w:val="TOAHeading"/>
              <w:widowControl/>
              <w:tabs>
                <w:tab w:val="clear" w:pos="9360"/>
                <w:tab w:val="center" w:pos="4680"/>
              </w:tabs>
              <w:ind w:firstLine="522"/>
              <w:rPr>
                <w:spacing w:val="-2"/>
                <w:szCs w:val="22"/>
                <w:lang w:val="es-ES_tradnl"/>
              </w:rPr>
            </w:pPr>
            <w:r w:rsidRPr="00994E33">
              <w:rPr>
                <w:spacing w:val="-2"/>
                <w:szCs w:val="22"/>
                <w:lang w:val="es-ES_tradnl"/>
              </w:rPr>
              <w:t xml:space="preserve">Acct. No.:  </w:t>
            </w:r>
            <w:r>
              <w:t>201632100001</w:t>
            </w:r>
            <w:r>
              <w:rPr>
                <w:spacing w:val="-2"/>
                <w:szCs w:val="22"/>
                <w:lang w:val="es-ES_tradnl"/>
              </w:rPr>
              <w:t xml:space="preserve"> </w:t>
            </w:r>
          </w:p>
          <w:p w14:paraId="3181941D" w14:textId="77777777" w:rsidR="00C8491A" w:rsidRPr="001E64E4" w:rsidRDefault="00C8491A" w:rsidP="005A39E9">
            <w:pPr>
              <w:rPr>
                <w:lang w:val="es-ES_tradnl"/>
              </w:rPr>
            </w:pPr>
          </w:p>
          <w:p w14:paraId="531BF77F" w14:textId="77777777" w:rsidR="00C8491A" w:rsidRPr="00D45F75" w:rsidRDefault="00C8491A" w:rsidP="005A39E9">
            <w:pPr>
              <w:tabs>
                <w:tab w:val="center" w:pos="4680"/>
              </w:tabs>
              <w:suppressAutoHyphens/>
              <w:ind w:firstLine="522"/>
              <w:rPr>
                <w:spacing w:val="-2"/>
                <w:szCs w:val="22"/>
                <w:lang w:val="es-ES_tradnl"/>
              </w:rPr>
            </w:pPr>
            <w:r w:rsidRPr="00994E33">
              <w:rPr>
                <w:spacing w:val="-2"/>
                <w:szCs w:val="22"/>
                <w:lang w:val="es-ES_tradnl"/>
              </w:rPr>
              <w:t xml:space="preserve">FRN:  </w:t>
            </w:r>
            <w:r w:rsidRPr="00955335">
              <w:rPr>
                <w:spacing w:val="-2"/>
                <w:szCs w:val="22"/>
                <w:lang w:val="es-ES_tradnl"/>
              </w:rPr>
              <w:t>0001570951</w:t>
            </w:r>
          </w:p>
        </w:tc>
      </w:tr>
    </w:tbl>
    <w:p w14:paraId="636E129B" w14:textId="77777777" w:rsidR="00C8491A" w:rsidRDefault="00C8491A" w:rsidP="00C8491A">
      <w:pPr>
        <w:pStyle w:val="StyleBoldCentered"/>
      </w:pPr>
      <w:r>
        <w:t>Order</w:t>
      </w:r>
    </w:p>
    <w:p w14:paraId="10CCBE85" w14:textId="77777777" w:rsidR="00C8491A" w:rsidRDefault="00C8491A" w:rsidP="00C8491A">
      <w:pPr>
        <w:tabs>
          <w:tab w:val="left" w:pos="-720"/>
        </w:tabs>
        <w:suppressAutoHyphens/>
        <w:spacing w:line="227" w:lineRule="auto"/>
        <w:jc w:val="center"/>
        <w:rPr>
          <w:spacing w:val="-2"/>
        </w:rPr>
      </w:pPr>
    </w:p>
    <w:p w14:paraId="19B5B19C" w14:textId="379E0C80" w:rsidR="00C8491A" w:rsidRDefault="00516CE9" w:rsidP="00C8491A">
      <w:pPr>
        <w:tabs>
          <w:tab w:val="left" w:pos="720"/>
          <w:tab w:val="right" w:pos="9360"/>
        </w:tabs>
        <w:suppressAutoHyphens/>
        <w:spacing w:line="227" w:lineRule="auto"/>
        <w:rPr>
          <w:spacing w:val="-2"/>
        </w:rPr>
      </w:pPr>
      <w:r>
        <w:rPr>
          <w:b/>
          <w:spacing w:val="-2"/>
        </w:rPr>
        <w:t>Adopted: October 20, 2015</w:t>
      </w:r>
      <w:r>
        <w:rPr>
          <w:b/>
          <w:spacing w:val="-2"/>
        </w:rPr>
        <w:tab/>
        <w:t>Released:  October 20</w:t>
      </w:r>
      <w:r w:rsidR="00C8491A">
        <w:rPr>
          <w:b/>
          <w:spacing w:val="-2"/>
        </w:rPr>
        <w:t>, 2015</w:t>
      </w:r>
    </w:p>
    <w:p w14:paraId="6A6B7779" w14:textId="77777777" w:rsidR="00C8491A" w:rsidRDefault="00C8491A" w:rsidP="00C8491A"/>
    <w:p w14:paraId="37D359F0" w14:textId="77777777" w:rsidR="00C8491A" w:rsidRDefault="00C8491A" w:rsidP="00C8491A">
      <w:pPr>
        <w:rPr>
          <w:spacing w:val="-2"/>
        </w:rPr>
      </w:pPr>
      <w:r>
        <w:t xml:space="preserve">By the </w:t>
      </w:r>
      <w:r>
        <w:rPr>
          <w:spacing w:val="-2"/>
        </w:rPr>
        <w:t>Chief, Enforcement Bureau:</w:t>
      </w:r>
    </w:p>
    <w:p w14:paraId="422E2521" w14:textId="77777777" w:rsidR="00C8491A" w:rsidRDefault="00C8491A" w:rsidP="00C8491A">
      <w:pPr>
        <w:pStyle w:val="MediumGrid21"/>
      </w:pPr>
    </w:p>
    <w:p w14:paraId="7F532DC3" w14:textId="77777777" w:rsidR="00C8491A" w:rsidRPr="00AB312B" w:rsidRDefault="00C8491A" w:rsidP="00C8491A">
      <w:pPr>
        <w:pStyle w:val="Paranum0"/>
        <w:numPr>
          <w:ilvl w:val="0"/>
          <w:numId w:val="40"/>
        </w:numPr>
        <w:tabs>
          <w:tab w:val="clear" w:pos="1080"/>
          <w:tab w:val="num" w:pos="1440"/>
        </w:tabs>
        <w:spacing w:after="120"/>
        <w:jc w:val="left"/>
        <w:rPr>
          <w:szCs w:val="22"/>
        </w:rPr>
      </w:pPr>
      <w:r w:rsidRPr="00BF14B5">
        <w:rPr>
          <w:szCs w:val="22"/>
        </w:rPr>
        <w:t xml:space="preserve">The </w:t>
      </w:r>
      <w:r w:rsidRPr="00BF14B5">
        <w:rPr>
          <w:bCs/>
          <w:szCs w:val="22"/>
        </w:rPr>
        <w:t xml:space="preserve">Enforcement Bureau </w:t>
      </w:r>
      <w:r>
        <w:rPr>
          <w:bCs/>
          <w:szCs w:val="22"/>
        </w:rPr>
        <w:t xml:space="preserve">(Bureau) </w:t>
      </w:r>
      <w:r w:rsidRPr="00BF14B5">
        <w:rPr>
          <w:szCs w:val="22"/>
        </w:rPr>
        <w:t xml:space="preserve">of the Federal Communications Commission </w:t>
      </w:r>
      <w:r>
        <w:rPr>
          <w:szCs w:val="22"/>
        </w:rPr>
        <w:t xml:space="preserve">(Commission) </w:t>
      </w:r>
      <w:r w:rsidRPr="00BF14B5">
        <w:rPr>
          <w:szCs w:val="22"/>
        </w:rPr>
        <w:t xml:space="preserve">has </w:t>
      </w:r>
      <w:r>
        <w:rPr>
          <w:szCs w:val="22"/>
        </w:rPr>
        <w:t>entered into a Consent Decree to conclude</w:t>
      </w:r>
      <w:r w:rsidRPr="00BF14B5">
        <w:rPr>
          <w:szCs w:val="22"/>
        </w:rPr>
        <w:t xml:space="preserve"> its investigation into whether General Communication, Inc., </w:t>
      </w:r>
      <w:r>
        <w:rPr>
          <w:szCs w:val="22"/>
        </w:rPr>
        <w:t>indirect parent company of The Alaska Wireless Network, LLC</w:t>
      </w:r>
      <w:r w:rsidRPr="00BF14B5">
        <w:rPr>
          <w:szCs w:val="22"/>
        </w:rPr>
        <w:t xml:space="preserve">, </w:t>
      </w:r>
      <w:r>
        <w:rPr>
          <w:szCs w:val="22"/>
        </w:rPr>
        <w:t>(collectively GCI) failed to comply with the Commission’s antenna structure registration and lighting requirements.  GCI has admitted that it failed to register numerous antenna structures with the Commission prior to constructing the towers and failed to properly light several structures, as required by the</w:t>
      </w:r>
      <w:r w:rsidRPr="00AB312B">
        <w:rPr>
          <w:szCs w:val="22"/>
        </w:rPr>
        <w:t xml:space="preserve"> Commission’s </w:t>
      </w:r>
      <w:r>
        <w:rPr>
          <w:szCs w:val="22"/>
        </w:rPr>
        <w:t>antenna structure registration and lighting requirements.  These requirements operate in concert with Federal Aviation Administration regulations to ensure that antenna structures do not present hazards to air navigation and advance the Bureau’s priority of public safety.  To settle this matter</w:t>
      </w:r>
      <w:r w:rsidRPr="00AB312B">
        <w:rPr>
          <w:szCs w:val="22"/>
        </w:rPr>
        <w:t xml:space="preserve">, GCI </w:t>
      </w:r>
      <w:r>
        <w:rPr>
          <w:szCs w:val="22"/>
        </w:rPr>
        <w:t>admits that it failed to comply with the Commission’s antenna structure registration and lighting requirements, will</w:t>
      </w:r>
      <w:r w:rsidRPr="00AB312B">
        <w:rPr>
          <w:szCs w:val="22"/>
        </w:rPr>
        <w:t xml:space="preserve"> implement a three-year </w:t>
      </w:r>
      <w:r>
        <w:rPr>
          <w:szCs w:val="22"/>
        </w:rPr>
        <w:t xml:space="preserve">compliance </w:t>
      </w:r>
      <w:r w:rsidRPr="00AB312B">
        <w:rPr>
          <w:szCs w:val="22"/>
        </w:rPr>
        <w:t>plan to ensure future compliance with these important requirements</w:t>
      </w:r>
      <w:r>
        <w:rPr>
          <w:szCs w:val="22"/>
        </w:rPr>
        <w:t>, as well as with the Commission’s environmental and historic preservation review requirements, and will pay a $620,500 civil penalty</w:t>
      </w:r>
      <w:r w:rsidRPr="00AB312B">
        <w:rPr>
          <w:szCs w:val="22"/>
        </w:rPr>
        <w:t>.</w:t>
      </w:r>
    </w:p>
    <w:p w14:paraId="350F9CAF" w14:textId="77777777" w:rsidR="00C8491A" w:rsidRDefault="00C8491A" w:rsidP="00C8491A">
      <w:pPr>
        <w:pStyle w:val="Paranum0"/>
        <w:numPr>
          <w:ilvl w:val="0"/>
          <w:numId w:val="40"/>
        </w:numPr>
        <w:tabs>
          <w:tab w:val="clear" w:pos="1080"/>
          <w:tab w:val="num" w:pos="1440"/>
        </w:tabs>
        <w:spacing w:after="120"/>
        <w:jc w:val="left"/>
        <w:rPr>
          <w:szCs w:val="22"/>
        </w:rPr>
      </w:pPr>
      <w:r>
        <w:rPr>
          <w:szCs w:val="22"/>
        </w:rPr>
        <w:t xml:space="preserve">After reviewing the terms of the Consent Decree and evaluating the facts before us, we find that the public interest would be served by adopting the Consent Decree and terminating the investigation </w:t>
      </w:r>
      <w:r>
        <w:rPr>
          <w:bCs/>
          <w:szCs w:val="22"/>
        </w:rPr>
        <w:t xml:space="preserve">into </w:t>
      </w:r>
      <w:r>
        <w:rPr>
          <w:szCs w:val="22"/>
        </w:rPr>
        <w:t>GCI’s compliance with Section 303(q) of the Communications Act of 1934, as amended (Act),</w:t>
      </w:r>
      <w:r>
        <w:rPr>
          <w:rStyle w:val="FootnoteReference"/>
          <w:szCs w:val="22"/>
        </w:rPr>
        <w:footnoteReference w:id="2"/>
      </w:r>
      <w:r>
        <w:rPr>
          <w:szCs w:val="22"/>
        </w:rPr>
        <w:t xml:space="preserve"> and </w:t>
      </w:r>
      <w:r w:rsidRPr="00994E33">
        <w:rPr>
          <w:szCs w:val="22"/>
        </w:rPr>
        <w:t>Section</w:t>
      </w:r>
      <w:r>
        <w:rPr>
          <w:szCs w:val="22"/>
        </w:rPr>
        <w:t>s 17.4(a) and 17.21 o</w:t>
      </w:r>
      <w:r w:rsidRPr="00994E33">
        <w:rPr>
          <w:szCs w:val="22"/>
        </w:rPr>
        <w:t>f the Commission’s rules</w:t>
      </w:r>
      <w:r>
        <w:rPr>
          <w:szCs w:val="22"/>
        </w:rPr>
        <w:t xml:space="preserve"> (Rules).</w:t>
      </w:r>
      <w:r w:rsidRPr="00994E33">
        <w:rPr>
          <w:rStyle w:val="FootnoteReference"/>
          <w:szCs w:val="22"/>
        </w:rPr>
        <w:footnoteReference w:id="3"/>
      </w:r>
      <w:r w:rsidRPr="00BE1C8A">
        <w:rPr>
          <w:rStyle w:val="FootnoteReference"/>
          <w:szCs w:val="22"/>
        </w:rPr>
        <w:t xml:space="preserve"> </w:t>
      </w:r>
    </w:p>
    <w:p w14:paraId="32FAAF61" w14:textId="77777777" w:rsidR="00C8491A" w:rsidRDefault="00C8491A" w:rsidP="00C8491A">
      <w:pPr>
        <w:pStyle w:val="Paranum0"/>
        <w:numPr>
          <w:ilvl w:val="0"/>
          <w:numId w:val="40"/>
        </w:numPr>
        <w:tabs>
          <w:tab w:val="clear" w:pos="1080"/>
          <w:tab w:val="num" w:pos="1440"/>
        </w:tabs>
        <w:spacing w:after="120"/>
        <w:jc w:val="left"/>
        <w:rPr>
          <w:szCs w:val="22"/>
        </w:rPr>
      </w:pPr>
      <w:r>
        <w:rPr>
          <w:szCs w:val="22"/>
        </w:rPr>
        <w:t>In the absence of material new evidence relating to this matter, we do not set for hearing the question of GCI’s basic qualifications to hold or obtain any Commission license or authorization.</w:t>
      </w:r>
      <w:r>
        <w:rPr>
          <w:rStyle w:val="FootnoteReference"/>
          <w:szCs w:val="22"/>
        </w:rPr>
        <w:footnoteReference w:id="4"/>
      </w:r>
    </w:p>
    <w:p w14:paraId="5626F2DB" w14:textId="77777777" w:rsidR="00C8491A" w:rsidRDefault="00C8491A" w:rsidP="00C8491A">
      <w:pPr>
        <w:pStyle w:val="Paranum0"/>
        <w:numPr>
          <w:ilvl w:val="0"/>
          <w:numId w:val="40"/>
        </w:numPr>
        <w:tabs>
          <w:tab w:val="clear" w:pos="1080"/>
          <w:tab w:val="num" w:pos="1440"/>
        </w:tabs>
        <w:spacing w:after="120"/>
        <w:jc w:val="left"/>
        <w:rPr>
          <w:szCs w:val="22"/>
        </w:rPr>
      </w:pPr>
      <w:r>
        <w:rPr>
          <w:szCs w:val="22"/>
        </w:rPr>
        <w:t xml:space="preserve">Accordingly, </w:t>
      </w:r>
      <w:r>
        <w:rPr>
          <w:b/>
          <w:szCs w:val="22"/>
        </w:rPr>
        <w:t>IT IS ORDERED</w:t>
      </w:r>
      <w:r>
        <w:rPr>
          <w:szCs w:val="22"/>
        </w:rPr>
        <w:t xml:space="preserve"> that, pursuant to Sections 4(i) and 4(j) of the Communications Act of 1934, as amended,</w:t>
      </w:r>
      <w:r>
        <w:rPr>
          <w:rStyle w:val="FootnoteReference"/>
          <w:szCs w:val="22"/>
        </w:rPr>
        <w:footnoteReference w:id="5"/>
      </w:r>
      <w:r>
        <w:rPr>
          <w:szCs w:val="22"/>
        </w:rPr>
        <w:t xml:space="preserve"> </w:t>
      </w:r>
      <w:r>
        <w:rPr>
          <w:bCs/>
          <w:szCs w:val="22"/>
        </w:rPr>
        <w:t>and Sections 0.111 and 0.311 of the Rules,</w:t>
      </w:r>
      <w:r>
        <w:rPr>
          <w:rStyle w:val="FootnoteReference"/>
          <w:bCs/>
          <w:szCs w:val="22"/>
        </w:rPr>
        <w:footnoteReference w:id="6"/>
      </w:r>
      <w:r>
        <w:rPr>
          <w:bCs/>
          <w:szCs w:val="22"/>
        </w:rPr>
        <w:t xml:space="preserve"> the</w:t>
      </w:r>
      <w:r>
        <w:rPr>
          <w:szCs w:val="22"/>
        </w:rPr>
        <w:t xml:space="preserve"> Consent Decree attached to this Order </w:t>
      </w:r>
      <w:r>
        <w:rPr>
          <w:b/>
          <w:szCs w:val="22"/>
        </w:rPr>
        <w:t xml:space="preserve">IS ADOPTED </w:t>
      </w:r>
      <w:r w:rsidRPr="00120AAD">
        <w:rPr>
          <w:szCs w:val="22"/>
        </w:rPr>
        <w:t>and</w:t>
      </w:r>
      <w:r>
        <w:rPr>
          <w:b/>
          <w:szCs w:val="22"/>
        </w:rPr>
        <w:t xml:space="preserve"> </w:t>
      </w:r>
      <w:r>
        <w:rPr>
          <w:szCs w:val="22"/>
        </w:rPr>
        <w:t>its terms incorporated by reference.</w:t>
      </w:r>
    </w:p>
    <w:p w14:paraId="2F3F9480" w14:textId="77777777" w:rsidR="00C8491A" w:rsidRDefault="00C8491A" w:rsidP="00C8491A">
      <w:pPr>
        <w:pStyle w:val="Paranum0"/>
        <w:keepNext/>
        <w:keepLines/>
        <w:numPr>
          <w:ilvl w:val="0"/>
          <w:numId w:val="40"/>
        </w:numPr>
        <w:tabs>
          <w:tab w:val="clear" w:pos="1080"/>
          <w:tab w:val="num" w:pos="1440"/>
        </w:tabs>
        <w:spacing w:after="120"/>
        <w:jc w:val="left"/>
        <w:rPr>
          <w:szCs w:val="22"/>
        </w:rPr>
      </w:pPr>
      <w:r>
        <w:rPr>
          <w:b/>
          <w:szCs w:val="22"/>
        </w:rPr>
        <w:lastRenderedPageBreak/>
        <w:t xml:space="preserve">IT IS FURTHER ORDERED </w:t>
      </w:r>
      <w:r>
        <w:rPr>
          <w:szCs w:val="22"/>
        </w:rPr>
        <w:t xml:space="preserve">that the above-captioned matter </w:t>
      </w:r>
      <w:r>
        <w:rPr>
          <w:b/>
          <w:szCs w:val="22"/>
        </w:rPr>
        <w:t>IS TERMINATED</w:t>
      </w:r>
      <w:r>
        <w:rPr>
          <w:szCs w:val="22"/>
        </w:rPr>
        <w:t>.</w:t>
      </w:r>
    </w:p>
    <w:p w14:paraId="3530BD48" w14:textId="77777777" w:rsidR="00C8491A" w:rsidRPr="00E53D1B" w:rsidRDefault="00C8491A" w:rsidP="00C8491A">
      <w:pPr>
        <w:pStyle w:val="Paranum0"/>
        <w:keepNext/>
        <w:keepLines/>
        <w:numPr>
          <w:ilvl w:val="0"/>
          <w:numId w:val="40"/>
        </w:numPr>
        <w:tabs>
          <w:tab w:val="clear" w:pos="1080"/>
          <w:tab w:val="num" w:pos="1440"/>
        </w:tabs>
        <w:spacing w:after="120"/>
        <w:jc w:val="left"/>
        <w:rPr>
          <w:szCs w:val="22"/>
        </w:rPr>
      </w:pPr>
      <w:r w:rsidRPr="00E53D1B">
        <w:rPr>
          <w:b/>
          <w:szCs w:val="22"/>
        </w:rPr>
        <w:t xml:space="preserve">IT IS FURTHER ORDERED </w:t>
      </w:r>
      <w:r w:rsidRPr="00E53D1B">
        <w:rPr>
          <w:szCs w:val="22"/>
        </w:rPr>
        <w:t xml:space="preserve">that a copy of this Order and Consent Decree shall be sent by first class mail and certified mail, return receipt requested, to </w:t>
      </w:r>
      <w:r>
        <w:rPr>
          <w:szCs w:val="22"/>
        </w:rPr>
        <w:t>counsel for General Communication, Inc.,</w:t>
      </w:r>
      <w:r w:rsidRPr="00E53D1B">
        <w:rPr>
          <w:szCs w:val="22"/>
        </w:rPr>
        <w:t xml:space="preserve"> </w:t>
      </w:r>
      <w:r>
        <w:rPr>
          <w:szCs w:val="22"/>
        </w:rPr>
        <w:t xml:space="preserve">John T. Nakahata, </w:t>
      </w:r>
      <w:r w:rsidRPr="00E53D1B">
        <w:rPr>
          <w:szCs w:val="22"/>
        </w:rPr>
        <w:t>Esq.,</w:t>
      </w:r>
      <w:r>
        <w:rPr>
          <w:szCs w:val="22"/>
        </w:rPr>
        <w:t xml:space="preserve"> and Randall W. Sifers, Esq., Harris, Wiltshire &amp; Grannis LLP, 1919 M Street NW, Suite 800</w:t>
      </w:r>
      <w:r w:rsidRPr="00E53D1B">
        <w:rPr>
          <w:szCs w:val="22"/>
        </w:rPr>
        <w:t>, Washington DC 20</w:t>
      </w:r>
      <w:r>
        <w:rPr>
          <w:szCs w:val="22"/>
        </w:rPr>
        <w:t>036</w:t>
      </w:r>
      <w:r w:rsidRPr="00E53D1B">
        <w:rPr>
          <w:szCs w:val="22"/>
        </w:rPr>
        <w:t xml:space="preserve">.  </w:t>
      </w:r>
    </w:p>
    <w:p w14:paraId="29DA3146" w14:textId="77777777" w:rsidR="00C8491A" w:rsidRDefault="00C8491A" w:rsidP="00C8491A">
      <w:pPr>
        <w:tabs>
          <w:tab w:val="left" w:pos="0"/>
        </w:tabs>
        <w:suppressAutoHyphens/>
        <w:spacing w:line="240" w:lineRule="atLeast"/>
        <w:jc w:val="both"/>
        <w:rPr>
          <w:szCs w:val="22"/>
        </w:rPr>
      </w:pPr>
      <w:r>
        <w:rPr>
          <w:szCs w:val="22"/>
        </w:rPr>
        <w:tab/>
      </w:r>
      <w:r>
        <w:rPr>
          <w:szCs w:val="22"/>
        </w:rPr>
        <w:tab/>
      </w:r>
      <w:r>
        <w:rPr>
          <w:szCs w:val="22"/>
        </w:rPr>
        <w:tab/>
      </w:r>
      <w:r>
        <w:rPr>
          <w:szCs w:val="22"/>
        </w:rPr>
        <w:tab/>
      </w:r>
      <w:r>
        <w:rPr>
          <w:szCs w:val="22"/>
        </w:rPr>
        <w:tab/>
      </w:r>
      <w:r>
        <w:rPr>
          <w:szCs w:val="22"/>
        </w:rPr>
        <w:tab/>
      </w:r>
    </w:p>
    <w:p w14:paraId="32A11429" w14:textId="77777777" w:rsidR="00C8491A" w:rsidRDefault="00C8491A" w:rsidP="00C8491A">
      <w:pPr>
        <w:tabs>
          <w:tab w:val="left" w:pos="0"/>
        </w:tabs>
        <w:suppressAutoHyphens/>
        <w:spacing w:line="240" w:lineRule="atLeast"/>
        <w:jc w:val="both"/>
        <w:rPr>
          <w:szCs w:val="22"/>
        </w:rPr>
      </w:pPr>
    </w:p>
    <w:p w14:paraId="688F388B" w14:textId="77777777" w:rsidR="00C8491A" w:rsidRDefault="00C8491A" w:rsidP="00C8491A">
      <w:pPr>
        <w:tabs>
          <w:tab w:val="left" w:pos="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Pr>
          <w:szCs w:val="22"/>
        </w:rPr>
        <w:tab/>
      </w:r>
      <w:r>
        <w:rPr>
          <w:spacing w:val="-2"/>
          <w:szCs w:val="22"/>
        </w:rPr>
        <w:t>FEDERAL COMMUNICATIONS COMMISSION</w:t>
      </w:r>
    </w:p>
    <w:p w14:paraId="5979098E" w14:textId="77777777" w:rsidR="00C8491A" w:rsidRDefault="00C8491A" w:rsidP="00C8491A">
      <w:pPr>
        <w:pStyle w:val="MediumGrid21"/>
        <w:rPr>
          <w:sz w:val="22"/>
          <w:szCs w:val="22"/>
        </w:rPr>
      </w:pPr>
    </w:p>
    <w:p w14:paraId="13707D5B" w14:textId="77777777" w:rsidR="00C8491A" w:rsidRDefault="00C8491A" w:rsidP="00C8491A">
      <w:pPr>
        <w:pStyle w:val="MediumGrid21"/>
        <w:rPr>
          <w:sz w:val="22"/>
          <w:szCs w:val="22"/>
        </w:rPr>
      </w:pPr>
    </w:p>
    <w:p w14:paraId="2EA5E0DD" w14:textId="77777777" w:rsidR="00C8491A" w:rsidRDefault="00C8491A" w:rsidP="00C8491A">
      <w:pPr>
        <w:pStyle w:val="MediumGrid21"/>
        <w:rPr>
          <w:sz w:val="22"/>
          <w:szCs w:val="22"/>
        </w:rPr>
      </w:pPr>
    </w:p>
    <w:p w14:paraId="5D85CDB2" w14:textId="77777777" w:rsidR="00C8491A" w:rsidRDefault="00C8491A" w:rsidP="00C8491A">
      <w:pPr>
        <w:pStyle w:val="MediumGrid21"/>
        <w:rPr>
          <w:color w:val="000000"/>
          <w:sz w:val="22"/>
          <w:szCs w:val="22"/>
        </w:rPr>
      </w:pPr>
    </w:p>
    <w:p w14:paraId="713103FF" w14:textId="77777777" w:rsidR="00C8491A" w:rsidRDefault="00C8491A" w:rsidP="00C8491A">
      <w:pPr>
        <w:pStyle w:val="MediumGrid21"/>
        <w:ind w:left="4320"/>
        <w:rPr>
          <w:color w:val="000000"/>
          <w:sz w:val="22"/>
          <w:szCs w:val="22"/>
        </w:rPr>
      </w:pPr>
      <w:smartTag w:uri="urn:schemas-microsoft-com:office:smarttags" w:element="PersonName">
        <w:r>
          <w:rPr>
            <w:color w:val="000000"/>
            <w:sz w:val="22"/>
            <w:szCs w:val="22"/>
          </w:rPr>
          <w:t>Travis LeBlanc</w:t>
        </w:r>
      </w:smartTag>
    </w:p>
    <w:p w14:paraId="007341C8" w14:textId="77777777" w:rsidR="00C8491A" w:rsidRDefault="00C8491A" w:rsidP="00C8491A">
      <w:pPr>
        <w:ind w:left="4320"/>
        <w:rPr>
          <w:color w:val="000000"/>
          <w:szCs w:val="22"/>
        </w:rPr>
      </w:pPr>
      <w:r>
        <w:rPr>
          <w:color w:val="000000"/>
          <w:szCs w:val="22"/>
        </w:rPr>
        <w:t>Chief</w:t>
      </w:r>
    </w:p>
    <w:p w14:paraId="60AF37BF" w14:textId="77777777" w:rsidR="00C8491A" w:rsidRDefault="00C8491A" w:rsidP="00C8491A">
      <w:pPr>
        <w:ind w:left="4320"/>
      </w:pPr>
      <w:r>
        <w:rPr>
          <w:color w:val="000000"/>
          <w:szCs w:val="22"/>
        </w:rPr>
        <w:t>Enforcement</w:t>
      </w:r>
      <w:r>
        <w:rPr>
          <w:color w:val="000000"/>
        </w:rPr>
        <w:t xml:space="preserve"> </w:t>
      </w:r>
      <w:r>
        <w:rPr>
          <w:color w:val="000000"/>
          <w:szCs w:val="22"/>
        </w:rPr>
        <w:t>Bureau</w:t>
      </w:r>
      <w:r>
        <w:t xml:space="preserve"> </w:t>
      </w:r>
    </w:p>
    <w:p w14:paraId="3CFA8D07" w14:textId="77777777" w:rsidR="00C8491A" w:rsidRDefault="00C8491A" w:rsidP="00C8491A">
      <w:pPr>
        <w:ind w:left="4320"/>
      </w:pPr>
    </w:p>
    <w:p w14:paraId="73012766" w14:textId="77777777" w:rsidR="00C8491A" w:rsidRDefault="00C8491A" w:rsidP="00C8491A">
      <w:pPr>
        <w:ind w:left="4320"/>
      </w:pPr>
    </w:p>
    <w:p w14:paraId="4B7A07E4" w14:textId="77777777" w:rsidR="00C8491A" w:rsidRDefault="00C8491A" w:rsidP="00153746">
      <w:pPr>
        <w:jc w:val="center"/>
        <w:rPr>
          <w:b/>
          <w:szCs w:val="22"/>
        </w:rPr>
        <w:sectPr w:rsidR="00C8491A" w:rsidSect="0017094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14:paraId="2E8B1FED" w14:textId="4DBC4A45" w:rsidR="00FB7B04" w:rsidRDefault="00FB7B04" w:rsidP="00153746">
      <w:pPr>
        <w:jc w:val="center"/>
        <w:rPr>
          <w:b/>
          <w:szCs w:val="22"/>
        </w:rPr>
      </w:pPr>
    </w:p>
    <w:p w14:paraId="548E746F" w14:textId="77777777" w:rsidR="005B4F0E" w:rsidRPr="00153746" w:rsidRDefault="005B4F0E" w:rsidP="00153746">
      <w:pPr>
        <w:jc w:val="center"/>
        <w:rPr>
          <w:b/>
          <w:szCs w:val="22"/>
        </w:rPr>
      </w:pPr>
      <w:r w:rsidRPr="00153746">
        <w:rPr>
          <w:b/>
          <w:szCs w:val="22"/>
        </w:rPr>
        <w:t>Before the</w:t>
      </w:r>
    </w:p>
    <w:p w14:paraId="7815B909" w14:textId="4DB2C640" w:rsidR="005B4F0E" w:rsidRPr="00AA2529" w:rsidRDefault="005B4F0E" w:rsidP="00AA2529">
      <w:pPr>
        <w:jc w:val="center"/>
        <w:rPr>
          <w:b/>
        </w:rPr>
      </w:pPr>
      <w:r w:rsidRPr="00AA2529">
        <w:rPr>
          <w:b/>
        </w:rPr>
        <w:t>Federal Communications Commission</w:t>
      </w:r>
    </w:p>
    <w:p w14:paraId="746891FE" w14:textId="77777777" w:rsidR="005B4F0E" w:rsidRPr="00153746" w:rsidRDefault="005B4F0E" w:rsidP="005B4F0E">
      <w:pPr>
        <w:pStyle w:val="StyleBoldCentered"/>
        <w:rPr>
          <w:rFonts w:ascii="Times New Roman" w:hAnsi="Times New Roman"/>
        </w:rPr>
      </w:pPr>
      <w:r w:rsidRPr="00153746">
        <w:rPr>
          <w:rFonts w:ascii="Times New Roman" w:hAnsi="Times New Roman"/>
          <w:caps w:val="0"/>
        </w:rPr>
        <w:t>Washington, DC 20554</w:t>
      </w:r>
    </w:p>
    <w:p w14:paraId="6AB5A3B3" w14:textId="77777777" w:rsidR="005B4F0E" w:rsidRPr="00153746" w:rsidRDefault="005B4F0E" w:rsidP="005B4F0E">
      <w:pPr>
        <w:rPr>
          <w:szCs w:val="22"/>
        </w:rPr>
      </w:pPr>
    </w:p>
    <w:tbl>
      <w:tblPr>
        <w:tblW w:w="9498" w:type="dxa"/>
        <w:tblLayout w:type="fixed"/>
        <w:tblLook w:val="0000" w:firstRow="0" w:lastRow="0" w:firstColumn="0" w:lastColumn="0" w:noHBand="0" w:noVBand="0"/>
      </w:tblPr>
      <w:tblGrid>
        <w:gridCol w:w="4605"/>
        <w:gridCol w:w="632"/>
        <w:gridCol w:w="4261"/>
      </w:tblGrid>
      <w:tr w:rsidR="005B4F0E" w:rsidRPr="00153746" w14:paraId="5826EB8F" w14:textId="77777777" w:rsidTr="00DE55B1">
        <w:trPr>
          <w:trHeight w:val="1513"/>
        </w:trPr>
        <w:tc>
          <w:tcPr>
            <w:tcW w:w="4605" w:type="dxa"/>
          </w:tcPr>
          <w:p w14:paraId="5555EF8E" w14:textId="77777777" w:rsidR="005B4F0E" w:rsidRPr="00153746" w:rsidRDefault="005B4F0E" w:rsidP="00D14F53">
            <w:pPr>
              <w:tabs>
                <w:tab w:val="center" w:pos="4680"/>
              </w:tabs>
              <w:suppressAutoHyphens/>
              <w:rPr>
                <w:spacing w:val="-2"/>
                <w:szCs w:val="22"/>
              </w:rPr>
            </w:pPr>
            <w:r w:rsidRPr="00153746">
              <w:rPr>
                <w:spacing w:val="-2"/>
                <w:szCs w:val="22"/>
              </w:rPr>
              <w:t>In the Matter of</w:t>
            </w:r>
          </w:p>
          <w:p w14:paraId="5CD3F925" w14:textId="77777777" w:rsidR="00153746" w:rsidRPr="00153746" w:rsidRDefault="00153746" w:rsidP="00153746">
            <w:pPr>
              <w:tabs>
                <w:tab w:val="center" w:pos="4680"/>
              </w:tabs>
              <w:suppressAutoHyphens/>
              <w:rPr>
                <w:spacing w:val="-2"/>
                <w:szCs w:val="22"/>
              </w:rPr>
            </w:pPr>
          </w:p>
          <w:p w14:paraId="4B09E31F" w14:textId="3AF03711" w:rsidR="008C06ED" w:rsidRPr="00153746" w:rsidRDefault="008C06ED" w:rsidP="00153746">
            <w:pPr>
              <w:tabs>
                <w:tab w:val="center" w:pos="4680"/>
              </w:tabs>
              <w:suppressAutoHyphens/>
              <w:rPr>
                <w:spacing w:val="-2"/>
                <w:szCs w:val="22"/>
              </w:rPr>
            </w:pPr>
            <w:r w:rsidRPr="00153746">
              <w:rPr>
                <w:snapToGrid/>
                <w:spacing w:val="-2"/>
                <w:szCs w:val="22"/>
              </w:rPr>
              <w:t>G</w:t>
            </w:r>
            <w:r w:rsidR="009B050F" w:rsidRPr="00153746">
              <w:rPr>
                <w:snapToGrid/>
                <w:spacing w:val="-2"/>
                <w:szCs w:val="22"/>
              </w:rPr>
              <w:t>eneral</w:t>
            </w:r>
            <w:r w:rsidR="009B050F" w:rsidRPr="00153746">
              <w:rPr>
                <w:spacing w:val="-2"/>
                <w:szCs w:val="22"/>
              </w:rPr>
              <w:t xml:space="preserve"> </w:t>
            </w:r>
            <w:r w:rsidR="00740567" w:rsidRPr="00153746">
              <w:rPr>
                <w:spacing w:val="-2"/>
                <w:szCs w:val="22"/>
              </w:rPr>
              <w:t>Communication</w:t>
            </w:r>
            <w:r w:rsidR="00D308CF">
              <w:rPr>
                <w:spacing w:val="-2"/>
                <w:szCs w:val="22"/>
              </w:rPr>
              <w:t>,</w:t>
            </w:r>
            <w:r w:rsidR="00A24346" w:rsidRPr="00153746">
              <w:rPr>
                <w:spacing w:val="-2"/>
                <w:szCs w:val="22"/>
              </w:rPr>
              <w:t xml:space="preserve"> Inc</w:t>
            </w:r>
            <w:r w:rsidRPr="00153746">
              <w:rPr>
                <w:spacing w:val="-2"/>
                <w:szCs w:val="22"/>
              </w:rPr>
              <w:t xml:space="preserve">., </w:t>
            </w:r>
            <w:r w:rsidR="00A24346" w:rsidRPr="00153746">
              <w:rPr>
                <w:spacing w:val="-2"/>
                <w:szCs w:val="22"/>
              </w:rPr>
              <w:t xml:space="preserve">indirect </w:t>
            </w:r>
            <w:r w:rsidRPr="00153746">
              <w:rPr>
                <w:spacing w:val="-2"/>
                <w:szCs w:val="22"/>
              </w:rPr>
              <w:t>parent</w:t>
            </w:r>
          </w:p>
          <w:p w14:paraId="555AFE91" w14:textId="76917BAB" w:rsidR="00117BD4" w:rsidRDefault="008C06ED" w:rsidP="00AA2529">
            <w:pPr>
              <w:rPr>
                <w:spacing w:val="-2"/>
                <w:szCs w:val="22"/>
              </w:rPr>
            </w:pPr>
            <w:r w:rsidRPr="00153746">
              <w:rPr>
                <w:spacing w:val="-2"/>
                <w:szCs w:val="22"/>
              </w:rPr>
              <w:t>company of The Alaska Wireless</w:t>
            </w:r>
          </w:p>
          <w:p w14:paraId="1EE4E681" w14:textId="77777777" w:rsidR="008C06ED" w:rsidRPr="00153746" w:rsidRDefault="00153746" w:rsidP="00153746">
            <w:pPr>
              <w:rPr>
                <w:spacing w:val="-2"/>
                <w:szCs w:val="22"/>
              </w:rPr>
            </w:pPr>
            <w:r w:rsidRPr="00153746">
              <w:rPr>
                <w:spacing w:val="-2"/>
                <w:szCs w:val="22"/>
              </w:rPr>
              <w:t>Network, LLC</w:t>
            </w:r>
            <w:r w:rsidR="008C06ED" w:rsidRPr="00153746">
              <w:rPr>
                <w:spacing w:val="-2"/>
                <w:szCs w:val="22"/>
              </w:rPr>
              <w:t xml:space="preserve"> </w:t>
            </w:r>
          </w:p>
          <w:p w14:paraId="4E6BB6EF" w14:textId="77777777" w:rsidR="008C06ED" w:rsidRPr="00153746" w:rsidRDefault="008C06ED" w:rsidP="00153746">
            <w:pPr>
              <w:tabs>
                <w:tab w:val="center" w:pos="4680"/>
              </w:tabs>
              <w:suppressAutoHyphens/>
              <w:rPr>
                <w:spacing w:val="-2"/>
                <w:szCs w:val="22"/>
              </w:rPr>
            </w:pPr>
          </w:p>
        </w:tc>
        <w:tc>
          <w:tcPr>
            <w:tcW w:w="632" w:type="dxa"/>
          </w:tcPr>
          <w:p w14:paraId="1555C106" w14:textId="77777777" w:rsidR="005B4F0E" w:rsidRPr="00153746" w:rsidRDefault="005B4F0E" w:rsidP="00153746">
            <w:pPr>
              <w:tabs>
                <w:tab w:val="center" w:pos="4680"/>
              </w:tabs>
              <w:suppressAutoHyphens/>
              <w:rPr>
                <w:b/>
                <w:snapToGrid/>
                <w:spacing w:val="-2"/>
                <w:szCs w:val="22"/>
              </w:rPr>
            </w:pPr>
            <w:r w:rsidRPr="00153746">
              <w:rPr>
                <w:b/>
                <w:snapToGrid/>
                <w:spacing w:val="-2"/>
                <w:szCs w:val="22"/>
              </w:rPr>
              <w:t>)</w:t>
            </w:r>
          </w:p>
          <w:p w14:paraId="15DAC0A0" w14:textId="77777777" w:rsidR="005B4F0E" w:rsidRPr="00153746" w:rsidRDefault="005B4F0E" w:rsidP="00153746">
            <w:pPr>
              <w:tabs>
                <w:tab w:val="center" w:pos="4680"/>
              </w:tabs>
              <w:suppressAutoHyphens/>
              <w:rPr>
                <w:b/>
                <w:snapToGrid/>
                <w:spacing w:val="-2"/>
                <w:szCs w:val="22"/>
              </w:rPr>
            </w:pPr>
            <w:r w:rsidRPr="00153746">
              <w:rPr>
                <w:b/>
                <w:snapToGrid/>
                <w:spacing w:val="-2"/>
                <w:szCs w:val="22"/>
              </w:rPr>
              <w:t>)</w:t>
            </w:r>
          </w:p>
          <w:p w14:paraId="041C6B82" w14:textId="77777777" w:rsidR="005B4F0E" w:rsidRPr="00153746" w:rsidRDefault="005B4F0E" w:rsidP="00153746">
            <w:pPr>
              <w:tabs>
                <w:tab w:val="center" w:pos="4680"/>
              </w:tabs>
              <w:suppressAutoHyphens/>
              <w:rPr>
                <w:b/>
                <w:snapToGrid/>
                <w:spacing w:val="-2"/>
                <w:szCs w:val="22"/>
              </w:rPr>
            </w:pPr>
            <w:r w:rsidRPr="00153746">
              <w:rPr>
                <w:b/>
                <w:snapToGrid/>
                <w:spacing w:val="-2"/>
                <w:szCs w:val="22"/>
              </w:rPr>
              <w:t>)</w:t>
            </w:r>
          </w:p>
          <w:p w14:paraId="5155023D" w14:textId="77777777" w:rsidR="005B4F0E" w:rsidRPr="00153746" w:rsidRDefault="005B4F0E" w:rsidP="00153746">
            <w:pPr>
              <w:tabs>
                <w:tab w:val="center" w:pos="4680"/>
              </w:tabs>
              <w:suppressAutoHyphens/>
              <w:rPr>
                <w:b/>
                <w:snapToGrid/>
                <w:spacing w:val="-2"/>
                <w:szCs w:val="22"/>
              </w:rPr>
            </w:pPr>
            <w:r w:rsidRPr="00153746">
              <w:rPr>
                <w:b/>
                <w:snapToGrid/>
                <w:spacing w:val="-2"/>
                <w:szCs w:val="22"/>
              </w:rPr>
              <w:t>)</w:t>
            </w:r>
          </w:p>
          <w:p w14:paraId="4543B7D9" w14:textId="46424043" w:rsidR="00302835" w:rsidRPr="00AA2529" w:rsidRDefault="00117BD4" w:rsidP="00CA08CD">
            <w:pPr>
              <w:tabs>
                <w:tab w:val="center" w:pos="4680"/>
              </w:tabs>
              <w:suppressAutoHyphens/>
              <w:rPr>
                <w:b/>
                <w:spacing w:val="-2"/>
              </w:rPr>
            </w:pPr>
            <w:r>
              <w:rPr>
                <w:b/>
                <w:snapToGrid/>
                <w:spacing w:val="-2"/>
                <w:szCs w:val="22"/>
              </w:rPr>
              <w:t>)</w:t>
            </w:r>
          </w:p>
        </w:tc>
        <w:tc>
          <w:tcPr>
            <w:tcW w:w="4261" w:type="dxa"/>
          </w:tcPr>
          <w:p w14:paraId="51F0E9EE" w14:textId="77777777" w:rsidR="00153746" w:rsidRPr="00153746" w:rsidRDefault="00153746" w:rsidP="00AA2529">
            <w:pPr>
              <w:rPr>
                <w:spacing w:val="-2"/>
                <w:szCs w:val="22"/>
              </w:rPr>
            </w:pPr>
          </w:p>
          <w:p w14:paraId="224B3118" w14:textId="77777777" w:rsidR="00153746" w:rsidRPr="00153746" w:rsidRDefault="00153746" w:rsidP="00AA2529">
            <w:pPr>
              <w:rPr>
                <w:spacing w:val="-2"/>
                <w:szCs w:val="22"/>
              </w:rPr>
            </w:pPr>
            <w:r w:rsidRPr="00153746">
              <w:rPr>
                <w:spacing w:val="-2"/>
                <w:szCs w:val="22"/>
              </w:rPr>
              <w:t>File No.:  EB-SED-15-00018810</w:t>
            </w:r>
          </w:p>
          <w:p w14:paraId="39A73332" w14:textId="2D1EB7C3" w:rsidR="00153746" w:rsidRPr="00153746" w:rsidRDefault="00153746" w:rsidP="00AA2529">
            <w:pPr>
              <w:rPr>
                <w:spacing w:val="-2"/>
                <w:szCs w:val="22"/>
              </w:rPr>
            </w:pPr>
            <w:r w:rsidRPr="00153746">
              <w:rPr>
                <w:spacing w:val="-2"/>
                <w:szCs w:val="22"/>
              </w:rPr>
              <w:t xml:space="preserve">Acct. No.:  </w:t>
            </w:r>
            <w:r w:rsidR="00D80B30">
              <w:t>201632100001</w:t>
            </w:r>
          </w:p>
          <w:p w14:paraId="5E63D7F5" w14:textId="77777777" w:rsidR="00843A5F" w:rsidRPr="00AA2529" w:rsidRDefault="00153746" w:rsidP="00AA2529">
            <w:pPr>
              <w:tabs>
                <w:tab w:val="center" w:pos="4680"/>
              </w:tabs>
              <w:suppressAutoHyphens/>
              <w:rPr>
                <w:spacing w:val="-2"/>
              </w:rPr>
            </w:pPr>
            <w:r w:rsidRPr="00AA2529">
              <w:rPr>
                <w:spacing w:val="-2"/>
              </w:rPr>
              <w:t>FRN:  0001570951</w:t>
            </w:r>
          </w:p>
          <w:p w14:paraId="3760C731" w14:textId="77777777" w:rsidR="00843A5F" w:rsidRPr="00153746" w:rsidRDefault="00843A5F" w:rsidP="00076C13">
            <w:pPr>
              <w:tabs>
                <w:tab w:val="center" w:pos="4680"/>
              </w:tabs>
              <w:suppressAutoHyphens/>
              <w:ind w:left="432"/>
              <w:rPr>
                <w:spacing w:val="-2"/>
                <w:szCs w:val="22"/>
              </w:rPr>
            </w:pPr>
          </w:p>
          <w:p w14:paraId="16C67FF1" w14:textId="77777777" w:rsidR="005B4F0E" w:rsidRPr="00153746" w:rsidRDefault="005B4F0E" w:rsidP="00076C13">
            <w:pPr>
              <w:tabs>
                <w:tab w:val="center" w:pos="4680"/>
              </w:tabs>
              <w:suppressAutoHyphens/>
              <w:ind w:left="432"/>
              <w:rPr>
                <w:spacing w:val="-2"/>
                <w:szCs w:val="22"/>
              </w:rPr>
            </w:pPr>
          </w:p>
        </w:tc>
      </w:tr>
    </w:tbl>
    <w:p w14:paraId="6827B0D4" w14:textId="77777777" w:rsidR="00064ADC" w:rsidRDefault="00BD08D2" w:rsidP="00064ADC">
      <w:pPr>
        <w:pStyle w:val="StyleBoldCentered"/>
        <w:rPr>
          <w:rFonts w:ascii="Times New Roman" w:hAnsi="Times New Roman"/>
        </w:rPr>
      </w:pPr>
      <w:r w:rsidRPr="00153746">
        <w:rPr>
          <w:rFonts w:ascii="Times New Roman" w:hAnsi="Times New Roman"/>
        </w:rPr>
        <w:t>CONSENT DECREE</w:t>
      </w:r>
    </w:p>
    <w:p w14:paraId="55B793B9" w14:textId="77777777" w:rsidR="00CA08CD" w:rsidRPr="00153746" w:rsidRDefault="00CA08CD" w:rsidP="00064ADC">
      <w:pPr>
        <w:pStyle w:val="StyleBoldCentered"/>
        <w:rPr>
          <w:rFonts w:ascii="Times New Roman" w:hAnsi="Times New Roman"/>
        </w:rPr>
      </w:pPr>
    </w:p>
    <w:p w14:paraId="7EAB10D2" w14:textId="2C7D6909" w:rsidR="00E02214" w:rsidRPr="00153746" w:rsidRDefault="00BD08D2" w:rsidP="00AB6A82">
      <w:pPr>
        <w:pStyle w:val="ParaNum"/>
      </w:pPr>
      <w:r w:rsidRPr="00233756">
        <w:rPr>
          <w:snapToGrid/>
        </w:rPr>
        <w:t>The Enforcement Bureau of the Federal Communications Commission and</w:t>
      </w:r>
      <w:r w:rsidR="00302835" w:rsidRPr="00233756">
        <w:rPr>
          <w:snapToGrid/>
        </w:rPr>
        <w:t xml:space="preserve"> </w:t>
      </w:r>
      <w:r w:rsidR="00B92FA2" w:rsidRPr="00233756">
        <w:rPr>
          <w:snapToGrid/>
        </w:rPr>
        <w:t>General</w:t>
      </w:r>
      <w:r w:rsidR="00B92FA2" w:rsidRPr="00153746">
        <w:t xml:space="preserve"> Communication</w:t>
      </w:r>
      <w:r w:rsidR="00D308CF">
        <w:t>,</w:t>
      </w:r>
      <w:r w:rsidR="00B92FA2" w:rsidRPr="00153746">
        <w:t xml:space="preserve"> Inc., indirect parent company of The Alaska Wireless Network, LLC </w:t>
      </w:r>
      <w:r w:rsidR="000B1A38" w:rsidRPr="00153746">
        <w:rPr>
          <w:spacing w:val="-2"/>
        </w:rPr>
        <w:t>(GCI)</w:t>
      </w:r>
      <w:r w:rsidR="008C06ED" w:rsidRPr="00153746">
        <w:rPr>
          <w:spacing w:val="-2"/>
        </w:rPr>
        <w:t>,</w:t>
      </w:r>
      <w:r w:rsidRPr="00153746">
        <w:t xml:space="preserve"> by their authorized representatives, hereby enter into this Consent Decree for the purpose of terminating the </w:t>
      </w:r>
      <w:r w:rsidR="00FD0F9C" w:rsidRPr="00153746">
        <w:t xml:space="preserve">Enforcement </w:t>
      </w:r>
      <w:r w:rsidR="00B709FD" w:rsidRPr="00153746">
        <w:t xml:space="preserve">Bureau’s </w:t>
      </w:r>
      <w:r w:rsidR="00D65117" w:rsidRPr="00153746">
        <w:t>investigation into</w:t>
      </w:r>
      <w:r w:rsidRPr="00153746">
        <w:t xml:space="preserve"> </w:t>
      </w:r>
      <w:r w:rsidR="00073450" w:rsidRPr="00153746">
        <w:t>whether</w:t>
      </w:r>
      <w:r w:rsidR="008C06ED" w:rsidRPr="00153746">
        <w:t xml:space="preserve"> GCI v</w:t>
      </w:r>
      <w:r w:rsidR="00073450" w:rsidRPr="00153746">
        <w:t>iolated</w:t>
      </w:r>
      <w:r w:rsidR="00EF5FE2" w:rsidRPr="00153746">
        <w:t xml:space="preserve"> </w:t>
      </w:r>
      <w:r w:rsidR="008C06ED" w:rsidRPr="00153746">
        <w:t xml:space="preserve">Section 303(q) of the Communications Act of 1934, as amended, and Sections 17.4 and 17.21 of the Commission’s rules </w:t>
      </w:r>
      <w:r w:rsidR="00EF5FE2" w:rsidRPr="00153746">
        <w:t xml:space="preserve">in connection with </w:t>
      </w:r>
      <w:r w:rsidR="008C06ED" w:rsidRPr="00153746">
        <w:t>GCI’s numerous apparent failures to comply with the Commission’s antenna structure registration and lighting requirements</w:t>
      </w:r>
      <w:r w:rsidRPr="00153746">
        <w:t>.</w:t>
      </w:r>
    </w:p>
    <w:p w14:paraId="03B148B8" w14:textId="77777777" w:rsidR="00BD08D2" w:rsidRPr="00153746" w:rsidRDefault="00BD08D2" w:rsidP="00233756">
      <w:pPr>
        <w:pStyle w:val="Heading1"/>
        <w:rPr>
          <w:rFonts w:ascii="Times New Roman" w:hAnsi="Times New Roman"/>
          <w:szCs w:val="22"/>
        </w:rPr>
      </w:pPr>
      <w:r w:rsidRPr="00153746">
        <w:rPr>
          <w:rFonts w:ascii="Times New Roman" w:hAnsi="Times New Roman"/>
          <w:szCs w:val="22"/>
        </w:rPr>
        <w:t>DEFINITIONS</w:t>
      </w:r>
    </w:p>
    <w:p w14:paraId="433F7B35" w14:textId="77777777" w:rsidR="00BD08D2" w:rsidRPr="00153746" w:rsidRDefault="00BD08D2" w:rsidP="00AB6A82">
      <w:pPr>
        <w:pStyle w:val="ParaNum"/>
      </w:pPr>
      <w:r w:rsidRPr="00153746">
        <w:t>For the purposes of this Consent Decree, the following definitions shall apply:</w:t>
      </w:r>
    </w:p>
    <w:p w14:paraId="75667B37" w14:textId="77777777" w:rsidR="00BD08D2" w:rsidRPr="00153746" w:rsidRDefault="00BD08D2" w:rsidP="00B8391A">
      <w:pPr>
        <w:numPr>
          <w:ilvl w:val="0"/>
          <w:numId w:val="5"/>
        </w:numPr>
        <w:tabs>
          <w:tab w:val="clear" w:pos="1224"/>
        </w:tabs>
        <w:spacing w:after="120"/>
        <w:ind w:left="1890"/>
        <w:rPr>
          <w:szCs w:val="22"/>
        </w:rPr>
      </w:pPr>
      <w:r w:rsidRPr="00153746">
        <w:rPr>
          <w:szCs w:val="22"/>
        </w:rPr>
        <w:t>“Act”</w:t>
      </w:r>
      <w:r w:rsidRPr="00153746">
        <w:rPr>
          <w:rStyle w:val="ParanumChar0"/>
          <w:szCs w:val="22"/>
        </w:rPr>
        <w:t xml:space="preserve"> </w:t>
      </w:r>
      <w:r w:rsidRPr="00153746">
        <w:rPr>
          <w:szCs w:val="22"/>
        </w:rPr>
        <w:t>means the Communications Act of 1934, as amended</w:t>
      </w:r>
      <w:r w:rsidR="00610208" w:rsidRPr="00153746">
        <w:rPr>
          <w:szCs w:val="22"/>
        </w:rPr>
        <w:t>.</w:t>
      </w:r>
      <w:r w:rsidR="00843A5F" w:rsidRPr="00153746">
        <w:rPr>
          <w:rStyle w:val="FootnoteReference"/>
          <w:sz w:val="22"/>
          <w:szCs w:val="22"/>
        </w:rPr>
        <w:footnoteReference w:id="7"/>
      </w:r>
    </w:p>
    <w:p w14:paraId="7791DA73" w14:textId="77777777" w:rsidR="00BD08D2" w:rsidRPr="00153746" w:rsidRDefault="00BD08D2" w:rsidP="00B8391A">
      <w:pPr>
        <w:numPr>
          <w:ilvl w:val="0"/>
          <w:numId w:val="5"/>
        </w:numPr>
        <w:tabs>
          <w:tab w:val="clear" w:pos="1224"/>
        </w:tabs>
        <w:spacing w:after="120"/>
        <w:ind w:left="1890"/>
        <w:rPr>
          <w:szCs w:val="22"/>
        </w:rPr>
      </w:pPr>
      <w:r w:rsidRPr="00153746">
        <w:rPr>
          <w:szCs w:val="22"/>
        </w:rPr>
        <w:t>“Adopting</w:t>
      </w:r>
      <w:r w:rsidR="00246786" w:rsidRPr="00153746">
        <w:rPr>
          <w:szCs w:val="22"/>
        </w:rPr>
        <w:t xml:space="preserve"> Order” means an o</w:t>
      </w:r>
      <w:r w:rsidRPr="00153746">
        <w:rPr>
          <w:szCs w:val="22"/>
        </w:rPr>
        <w:t>rder of the Bureau adopting the terms of this Consent Decree without change, addition, deletion, or modification.</w:t>
      </w:r>
    </w:p>
    <w:p w14:paraId="31765627" w14:textId="77777777" w:rsidR="00462BA2" w:rsidRPr="00153746" w:rsidRDefault="00462BA2" w:rsidP="00B8391A">
      <w:pPr>
        <w:numPr>
          <w:ilvl w:val="0"/>
          <w:numId w:val="5"/>
        </w:numPr>
        <w:tabs>
          <w:tab w:val="clear" w:pos="1224"/>
        </w:tabs>
        <w:spacing w:after="120"/>
        <w:ind w:left="1890"/>
        <w:rPr>
          <w:szCs w:val="22"/>
        </w:rPr>
      </w:pPr>
      <w:r w:rsidRPr="00153746">
        <w:rPr>
          <w:szCs w:val="22"/>
        </w:rPr>
        <w:t xml:space="preserve">“Antenna Structure Lighting Rules” means </w:t>
      </w:r>
      <w:r w:rsidR="00975937" w:rsidRPr="00153746">
        <w:rPr>
          <w:szCs w:val="22"/>
        </w:rPr>
        <w:t xml:space="preserve">Section </w:t>
      </w:r>
      <w:r w:rsidRPr="00153746">
        <w:rPr>
          <w:szCs w:val="22"/>
        </w:rPr>
        <w:t>303(q)</w:t>
      </w:r>
      <w:r w:rsidR="00975937" w:rsidRPr="00153746">
        <w:rPr>
          <w:szCs w:val="22"/>
        </w:rPr>
        <w:t xml:space="preserve"> of the Act, Section 17.21 of the Rules, </w:t>
      </w:r>
      <w:r w:rsidRPr="00153746">
        <w:rPr>
          <w:szCs w:val="22"/>
        </w:rPr>
        <w:t xml:space="preserve">and other provisions of the Act, the Rules, and Commission orders related to </w:t>
      </w:r>
      <w:r w:rsidR="00B4239E" w:rsidRPr="00153746">
        <w:rPr>
          <w:szCs w:val="22"/>
        </w:rPr>
        <w:t xml:space="preserve">the lighting </w:t>
      </w:r>
      <w:r w:rsidR="00042D71" w:rsidRPr="00153746">
        <w:rPr>
          <w:szCs w:val="22"/>
        </w:rPr>
        <w:t>of certain antenna structures according to FAA and Commission specifications</w:t>
      </w:r>
      <w:r w:rsidR="00896CFD" w:rsidRPr="00153746">
        <w:rPr>
          <w:szCs w:val="22"/>
        </w:rPr>
        <w:t>.</w:t>
      </w:r>
      <w:r w:rsidR="00F23B80" w:rsidRPr="00AA2529">
        <w:rPr>
          <w:rStyle w:val="FootnoteReference"/>
          <w:sz w:val="22"/>
        </w:rPr>
        <w:footnoteReference w:id="8"/>
      </w:r>
      <w:r w:rsidRPr="00153746">
        <w:rPr>
          <w:szCs w:val="22"/>
        </w:rPr>
        <w:t xml:space="preserve"> </w:t>
      </w:r>
    </w:p>
    <w:p w14:paraId="23D3F10F" w14:textId="77777777" w:rsidR="007F327A" w:rsidRPr="00153746" w:rsidRDefault="007F327A" w:rsidP="00B8391A">
      <w:pPr>
        <w:numPr>
          <w:ilvl w:val="0"/>
          <w:numId w:val="5"/>
        </w:numPr>
        <w:tabs>
          <w:tab w:val="clear" w:pos="1224"/>
        </w:tabs>
        <w:spacing w:after="120"/>
        <w:ind w:left="1890"/>
        <w:rPr>
          <w:szCs w:val="22"/>
        </w:rPr>
      </w:pPr>
      <w:r w:rsidRPr="00153746">
        <w:rPr>
          <w:szCs w:val="22"/>
        </w:rPr>
        <w:t xml:space="preserve">“Antenna Structure Registration Rules” means </w:t>
      </w:r>
      <w:r w:rsidR="00896CFD" w:rsidRPr="00153746">
        <w:rPr>
          <w:szCs w:val="22"/>
        </w:rPr>
        <w:t>Section</w:t>
      </w:r>
      <w:r w:rsidRPr="00153746">
        <w:rPr>
          <w:szCs w:val="22"/>
        </w:rPr>
        <w:t xml:space="preserve"> 17.4(a) </w:t>
      </w:r>
      <w:r w:rsidR="00896CFD" w:rsidRPr="00153746">
        <w:rPr>
          <w:szCs w:val="22"/>
        </w:rPr>
        <w:t xml:space="preserve">of the Rules </w:t>
      </w:r>
      <w:r w:rsidRPr="00153746">
        <w:rPr>
          <w:szCs w:val="22"/>
        </w:rPr>
        <w:t xml:space="preserve">and other provisions of the Act, the Rules, and Commission orders related to </w:t>
      </w:r>
      <w:r w:rsidR="007068B5" w:rsidRPr="00153746">
        <w:rPr>
          <w:szCs w:val="22"/>
        </w:rPr>
        <w:t>the</w:t>
      </w:r>
      <w:r w:rsidR="00896CFD" w:rsidRPr="00153746">
        <w:rPr>
          <w:szCs w:val="22"/>
        </w:rPr>
        <w:t xml:space="preserve"> registration of </w:t>
      </w:r>
      <w:r w:rsidR="00042D71" w:rsidRPr="00153746">
        <w:rPr>
          <w:szCs w:val="22"/>
        </w:rPr>
        <w:t xml:space="preserve">certain </w:t>
      </w:r>
      <w:r w:rsidR="00896CFD" w:rsidRPr="00153746">
        <w:rPr>
          <w:szCs w:val="22"/>
        </w:rPr>
        <w:t>antenna structures with the Commission.</w:t>
      </w:r>
      <w:r w:rsidR="00F23B80" w:rsidRPr="00AA2529">
        <w:rPr>
          <w:rStyle w:val="FootnoteReference"/>
          <w:sz w:val="22"/>
        </w:rPr>
        <w:footnoteReference w:id="9"/>
      </w:r>
    </w:p>
    <w:p w14:paraId="14D38C97" w14:textId="77777777" w:rsidR="00BD08D2" w:rsidRPr="00153746" w:rsidRDefault="00BD08D2" w:rsidP="00B8391A">
      <w:pPr>
        <w:numPr>
          <w:ilvl w:val="0"/>
          <w:numId w:val="5"/>
        </w:numPr>
        <w:tabs>
          <w:tab w:val="clear" w:pos="1224"/>
        </w:tabs>
        <w:spacing w:after="120"/>
        <w:ind w:left="1890"/>
        <w:rPr>
          <w:szCs w:val="22"/>
        </w:rPr>
      </w:pPr>
      <w:r w:rsidRPr="00153746">
        <w:rPr>
          <w:szCs w:val="22"/>
        </w:rPr>
        <w:t>“Bureau” means the Enforcement Bureau of the Federal Communications Commission.</w:t>
      </w:r>
    </w:p>
    <w:p w14:paraId="12C542EB" w14:textId="77777777" w:rsidR="00BD08D2" w:rsidRPr="00153746" w:rsidRDefault="00BD08D2" w:rsidP="00B8391A">
      <w:pPr>
        <w:numPr>
          <w:ilvl w:val="0"/>
          <w:numId w:val="5"/>
        </w:numPr>
        <w:tabs>
          <w:tab w:val="clear" w:pos="1224"/>
        </w:tabs>
        <w:spacing w:after="120"/>
        <w:ind w:left="1890"/>
        <w:rPr>
          <w:szCs w:val="22"/>
        </w:rPr>
      </w:pPr>
      <w:r w:rsidRPr="00153746">
        <w:rPr>
          <w:szCs w:val="22"/>
        </w:rPr>
        <w:t>“Commission” and “FCC” mean the Federal Communications Commission and all of its bureaus and offices.</w:t>
      </w:r>
    </w:p>
    <w:p w14:paraId="34A4DE7B" w14:textId="77777777" w:rsidR="00BD08D2" w:rsidRPr="00153746" w:rsidRDefault="00BD08D2" w:rsidP="00B8391A">
      <w:pPr>
        <w:numPr>
          <w:ilvl w:val="0"/>
          <w:numId w:val="5"/>
        </w:numPr>
        <w:tabs>
          <w:tab w:val="clear" w:pos="1224"/>
        </w:tabs>
        <w:spacing w:after="120"/>
        <w:ind w:left="1890"/>
        <w:rPr>
          <w:szCs w:val="22"/>
        </w:rPr>
      </w:pPr>
      <w:r w:rsidRPr="00153746">
        <w:rPr>
          <w:szCs w:val="22"/>
        </w:rPr>
        <w:t>“Communications Laws” means collectively, the Act, the Rules, and the published and promulgated orders and decision</w:t>
      </w:r>
      <w:r w:rsidR="00302835" w:rsidRPr="00153746">
        <w:rPr>
          <w:szCs w:val="22"/>
        </w:rPr>
        <w:t xml:space="preserve">s of the Commission to which </w:t>
      </w:r>
      <w:r w:rsidR="00740567" w:rsidRPr="00153746">
        <w:rPr>
          <w:szCs w:val="22"/>
        </w:rPr>
        <w:t xml:space="preserve">GCI </w:t>
      </w:r>
      <w:r w:rsidRPr="00153746">
        <w:rPr>
          <w:szCs w:val="22"/>
        </w:rPr>
        <w:t>is subject by vi</w:t>
      </w:r>
      <w:r w:rsidR="00246786" w:rsidRPr="00153746">
        <w:rPr>
          <w:szCs w:val="22"/>
        </w:rPr>
        <w:t>rtue of its business activities</w:t>
      </w:r>
      <w:r w:rsidR="008155A1" w:rsidRPr="00153746">
        <w:rPr>
          <w:szCs w:val="22"/>
        </w:rPr>
        <w:t xml:space="preserve">, including but not limited to the </w:t>
      </w:r>
      <w:r w:rsidR="001F2CA4" w:rsidRPr="00153746">
        <w:rPr>
          <w:szCs w:val="22"/>
        </w:rPr>
        <w:t>Antenna Structure Lighting Rules</w:t>
      </w:r>
      <w:r w:rsidR="005F64AA" w:rsidRPr="00153746">
        <w:rPr>
          <w:szCs w:val="22"/>
        </w:rPr>
        <w:t xml:space="preserve">, </w:t>
      </w:r>
      <w:r w:rsidR="001F2CA4" w:rsidRPr="00153746">
        <w:rPr>
          <w:szCs w:val="22"/>
        </w:rPr>
        <w:t>Antenna Structure Registration</w:t>
      </w:r>
      <w:r w:rsidR="00740567" w:rsidRPr="00153746">
        <w:rPr>
          <w:szCs w:val="22"/>
        </w:rPr>
        <w:t xml:space="preserve"> </w:t>
      </w:r>
      <w:r w:rsidR="001F2CA4" w:rsidRPr="00153746">
        <w:rPr>
          <w:szCs w:val="22"/>
        </w:rPr>
        <w:t>Rules</w:t>
      </w:r>
      <w:r w:rsidR="005F64AA" w:rsidRPr="00153746">
        <w:rPr>
          <w:szCs w:val="22"/>
        </w:rPr>
        <w:t>, and Environmental Processing Rules</w:t>
      </w:r>
      <w:r w:rsidRPr="00153746">
        <w:rPr>
          <w:szCs w:val="22"/>
        </w:rPr>
        <w:t>.</w:t>
      </w:r>
    </w:p>
    <w:p w14:paraId="33F7D57F" w14:textId="77777777" w:rsidR="00BD08D2" w:rsidRPr="00153746" w:rsidRDefault="00BD08D2" w:rsidP="00AA2529">
      <w:pPr>
        <w:widowControl/>
        <w:numPr>
          <w:ilvl w:val="0"/>
          <w:numId w:val="5"/>
        </w:numPr>
        <w:tabs>
          <w:tab w:val="clear" w:pos="1224"/>
        </w:tabs>
        <w:spacing w:after="120"/>
        <w:ind w:left="1886"/>
        <w:rPr>
          <w:szCs w:val="22"/>
        </w:rPr>
      </w:pPr>
      <w:r w:rsidRPr="00153746">
        <w:rPr>
          <w:szCs w:val="22"/>
        </w:rPr>
        <w:t>“Compliance Plan” means the compliance obligations</w:t>
      </w:r>
      <w:r w:rsidR="008155A1" w:rsidRPr="00153746">
        <w:rPr>
          <w:szCs w:val="22"/>
        </w:rPr>
        <w:t xml:space="preserve">, </w:t>
      </w:r>
      <w:r w:rsidRPr="00153746">
        <w:rPr>
          <w:szCs w:val="22"/>
        </w:rPr>
        <w:t>program</w:t>
      </w:r>
      <w:r w:rsidR="008155A1" w:rsidRPr="00153746">
        <w:rPr>
          <w:szCs w:val="22"/>
        </w:rPr>
        <w:t>, and procedures</w:t>
      </w:r>
      <w:r w:rsidR="00BC7821" w:rsidRPr="00153746">
        <w:rPr>
          <w:szCs w:val="22"/>
        </w:rPr>
        <w:t xml:space="preserve"> d</w:t>
      </w:r>
      <w:r w:rsidRPr="00153746">
        <w:rPr>
          <w:szCs w:val="22"/>
        </w:rPr>
        <w:t>escribed in this Consent Decree at paragraph</w:t>
      </w:r>
      <w:r w:rsidR="001F2CA4" w:rsidRPr="00153746">
        <w:rPr>
          <w:szCs w:val="22"/>
        </w:rPr>
        <w:t xml:space="preserve"> 12.</w:t>
      </w:r>
    </w:p>
    <w:p w14:paraId="45C6478C" w14:textId="21676C7E" w:rsidR="001F2CA4" w:rsidRPr="00153746" w:rsidRDefault="00BD08D2" w:rsidP="00B8391A">
      <w:pPr>
        <w:numPr>
          <w:ilvl w:val="0"/>
          <w:numId w:val="5"/>
        </w:numPr>
        <w:tabs>
          <w:tab w:val="clear" w:pos="1224"/>
        </w:tabs>
        <w:spacing w:after="120"/>
        <w:ind w:left="1890"/>
        <w:rPr>
          <w:szCs w:val="22"/>
        </w:rPr>
      </w:pPr>
      <w:r w:rsidRPr="00153746">
        <w:rPr>
          <w:szCs w:val="22"/>
        </w:rPr>
        <w:t>“C</w:t>
      </w:r>
      <w:r w:rsidR="00BF2C49" w:rsidRPr="00153746">
        <w:rPr>
          <w:szCs w:val="22"/>
        </w:rPr>
        <w:t xml:space="preserve">overed </w:t>
      </w:r>
      <w:r w:rsidR="00474491" w:rsidRPr="00153746">
        <w:rPr>
          <w:szCs w:val="22"/>
        </w:rPr>
        <w:t>Persons</w:t>
      </w:r>
      <w:r w:rsidR="004F088C" w:rsidRPr="00153746">
        <w:rPr>
          <w:szCs w:val="22"/>
        </w:rPr>
        <w:t>” means</w:t>
      </w:r>
      <w:r w:rsidR="001F2CA4" w:rsidRPr="00153746">
        <w:rPr>
          <w:szCs w:val="22"/>
        </w:rPr>
        <w:t xml:space="preserve"> all </w:t>
      </w:r>
      <w:r w:rsidR="009B050F" w:rsidRPr="00153746">
        <w:rPr>
          <w:szCs w:val="22"/>
        </w:rPr>
        <w:t>employees</w:t>
      </w:r>
      <w:r w:rsidR="00F070F5" w:rsidRPr="00153746">
        <w:rPr>
          <w:szCs w:val="22"/>
        </w:rPr>
        <w:t>, contractors or agents</w:t>
      </w:r>
      <w:r w:rsidR="009B050F" w:rsidRPr="00153746">
        <w:rPr>
          <w:szCs w:val="22"/>
        </w:rPr>
        <w:t xml:space="preserve"> of </w:t>
      </w:r>
      <w:r w:rsidR="001F2CA4" w:rsidRPr="00153746">
        <w:rPr>
          <w:szCs w:val="22"/>
        </w:rPr>
        <w:t xml:space="preserve">GCI </w:t>
      </w:r>
      <w:r w:rsidR="00B36CDF" w:rsidRPr="00153746">
        <w:rPr>
          <w:szCs w:val="22"/>
        </w:rPr>
        <w:t xml:space="preserve">(i) </w:t>
      </w:r>
      <w:r w:rsidR="009B050F" w:rsidRPr="00153746">
        <w:rPr>
          <w:szCs w:val="22"/>
        </w:rPr>
        <w:t>who perform,</w:t>
      </w:r>
      <w:r w:rsidR="001F2CA4" w:rsidRPr="00153746">
        <w:rPr>
          <w:szCs w:val="22"/>
        </w:rPr>
        <w:t xml:space="preserve"> or </w:t>
      </w:r>
      <w:r w:rsidR="008D64F8" w:rsidRPr="00153746">
        <w:rPr>
          <w:szCs w:val="22"/>
        </w:rPr>
        <w:t xml:space="preserve">directly </w:t>
      </w:r>
      <w:r w:rsidR="001F2CA4" w:rsidRPr="00153746">
        <w:rPr>
          <w:szCs w:val="22"/>
        </w:rPr>
        <w:t>supervise</w:t>
      </w:r>
      <w:r w:rsidRPr="00153746">
        <w:rPr>
          <w:szCs w:val="22"/>
        </w:rPr>
        <w:t>, oversee, or manage</w:t>
      </w:r>
      <w:r w:rsidR="00B36CDF" w:rsidRPr="00153746">
        <w:rPr>
          <w:szCs w:val="22"/>
        </w:rPr>
        <w:t>,</w:t>
      </w:r>
      <w:r w:rsidR="00F070F5" w:rsidRPr="00153746">
        <w:rPr>
          <w:szCs w:val="22"/>
        </w:rPr>
        <w:t xml:space="preserve"> site selection or authorization of construction or modification </w:t>
      </w:r>
      <w:r w:rsidR="00B36CDF" w:rsidRPr="00153746">
        <w:rPr>
          <w:szCs w:val="22"/>
        </w:rPr>
        <w:t>for</w:t>
      </w:r>
      <w:r w:rsidR="00F070F5" w:rsidRPr="00153746">
        <w:rPr>
          <w:szCs w:val="22"/>
        </w:rPr>
        <w:t xml:space="preserve"> structures subject to the Antenna Structure Lighting Rules, Antenna Structure Registration Rules, and Environmental Processing Rules, or collocation on such structures (whether by GCI on</w:t>
      </w:r>
      <w:r w:rsidR="00B36CDF" w:rsidRPr="00153746">
        <w:rPr>
          <w:szCs w:val="22"/>
        </w:rPr>
        <w:t xml:space="preserve"> its own or</w:t>
      </w:r>
      <w:r w:rsidR="00F070F5" w:rsidRPr="00153746">
        <w:rPr>
          <w:szCs w:val="22"/>
        </w:rPr>
        <w:t xml:space="preserve"> a third party</w:t>
      </w:r>
      <w:r w:rsidR="00B36CDF" w:rsidRPr="00153746">
        <w:rPr>
          <w:szCs w:val="22"/>
        </w:rPr>
        <w:t>’s</w:t>
      </w:r>
      <w:r w:rsidR="00F070F5" w:rsidRPr="00153746">
        <w:rPr>
          <w:szCs w:val="22"/>
        </w:rPr>
        <w:t xml:space="preserve"> structure or by a third party on</w:t>
      </w:r>
      <w:r w:rsidR="00B36CDF" w:rsidRPr="00153746">
        <w:rPr>
          <w:szCs w:val="22"/>
        </w:rPr>
        <w:t xml:space="preserve"> a</w:t>
      </w:r>
      <w:r w:rsidR="00F070F5" w:rsidRPr="00153746">
        <w:rPr>
          <w:szCs w:val="22"/>
        </w:rPr>
        <w:t xml:space="preserve"> GCI structure) or (ii) who perform, or directly supervise, oversee, or manage, compliance with</w:t>
      </w:r>
      <w:r w:rsidR="00B36CDF" w:rsidRPr="00153746">
        <w:rPr>
          <w:szCs w:val="22"/>
        </w:rPr>
        <w:t xml:space="preserve"> the</w:t>
      </w:r>
      <w:r w:rsidR="00F070F5" w:rsidRPr="00153746">
        <w:rPr>
          <w:szCs w:val="22"/>
        </w:rPr>
        <w:t xml:space="preserve"> Antenna Structure Lighting Rules, Antenna Structure Registration Rules, and Environmental Processing Rules.  Covered </w:t>
      </w:r>
      <w:r w:rsidR="00474491" w:rsidRPr="00153746">
        <w:rPr>
          <w:szCs w:val="22"/>
        </w:rPr>
        <w:t>Person</w:t>
      </w:r>
      <w:r w:rsidR="00DA0110" w:rsidRPr="00153746">
        <w:rPr>
          <w:szCs w:val="22"/>
        </w:rPr>
        <w:t>s</w:t>
      </w:r>
      <w:r w:rsidR="00F070F5" w:rsidRPr="00153746">
        <w:rPr>
          <w:szCs w:val="22"/>
        </w:rPr>
        <w:t xml:space="preserve"> does not include</w:t>
      </w:r>
      <w:r w:rsidR="00B36CDF" w:rsidRPr="00153746">
        <w:rPr>
          <w:szCs w:val="22"/>
        </w:rPr>
        <w:t xml:space="preserve"> a</w:t>
      </w:r>
      <w:r w:rsidR="00F070F5" w:rsidRPr="00153746">
        <w:rPr>
          <w:szCs w:val="22"/>
        </w:rPr>
        <w:t xml:space="preserve"> co</w:t>
      </w:r>
      <w:r w:rsidR="00441B6B" w:rsidRPr="00153746">
        <w:rPr>
          <w:szCs w:val="22"/>
        </w:rPr>
        <w:t>ntractor or agent to the extent that person only conducts a site survey or performs an environmental review.</w:t>
      </w:r>
    </w:p>
    <w:p w14:paraId="62B39A9A" w14:textId="77777777" w:rsidR="00DD4F34" w:rsidRPr="00153746" w:rsidRDefault="00BD08D2" w:rsidP="00B8391A">
      <w:pPr>
        <w:numPr>
          <w:ilvl w:val="0"/>
          <w:numId w:val="5"/>
        </w:numPr>
        <w:tabs>
          <w:tab w:val="clear" w:pos="1224"/>
        </w:tabs>
        <w:spacing w:after="120"/>
        <w:ind w:left="1886"/>
        <w:rPr>
          <w:szCs w:val="22"/>
        </w:rPr>
      </w:pPr>
      <w:r w:rsidRPr="00153746">
        <w:rPr>
          <w:szCs w:val="22"/>
        </w:rPr>
        <w:t>“Effective</w:t>
      </w:r>
      <w:r w:rsidR="00CE68FE" w:rsidRPr="00153746">
        <w:rPr>
          <w:szCs w:val="22"/>
        </w:rPr>
        <w:t xml:space="preserve"> Date” means the date by</w:t>
      </w:r>
      <w:r w:rsidR="00C04651" w:rsidRPr="00153746">
        <w:rPr>
          <w:szCs w:val="22"/>
        </w:rPr>
        <w:t xml:space="preserve"> which </w:t>
      </w:r>
      <w:r w:rsidR="00CE68FE" w:rsidRPr="00153746">
        <w:rPr>
          <w:szCs w:val="22"/>
        </w:rPr>
        <w:t xml:space="preserve">both </w:t>
      </w:r>
      <w:r w:rsidR="00C04651" w:rsidRPr="00153746">
        <w:rPr>
          <w:szCs w:val="22"/>
        </w:rPr>
        <w:t xml:space="preserve">the Bureau </w:t>
      </w:r>
      <w:r w:rsidR="00CE68FE" w:rsidRPr="00153746">
        <w:rPr>
          <w:szCs w:val="22"/>
        </w:rPr>
        <w:t xml:space="preserve">and </w:t>
      </w:r>
      <w:r w:rsidR="00740567" w:rsidRPr="00153746">
        <w:rPr>
          <w:szCs w:val="22"/>
        </w:rPr>
        <w:t xml:space="preserve">GCI </w:t>
      </w:r>
      <w:r w:rsidR="00CE68FE" w:rsidRPr="00153746">
        <w:rPr>
          <w:szCs w:val="22"/>
        </w:rPr>
        <w:t>have signed the Consent Decree</w:t>
      </w:r>
      <w:r w:rsidR="00C04651" w:rsidRPr="00153746">
        <w:rPr>
          <w:szCs w:val="22"/>
        </w:rPr>
        <w:t>.</w:t>
      </w:r>
    </w:p>
    <w:p w14:paraId="1F3EF07F" w14:textId="77777777" w:rsidR="00B4239E" w:rsidRPr="00153746" w:rsidRDefault="004F088C" w:rsidP="00B8391A">
      <w:pPr>
        <w:numPr>
          <w:ilvl w:val="0"/>
          <w:numId w:val="5"/>
        </w:numPr>
        <w:tabs>
          <w:tab w:val="clear" w:pos="1224"/>
        </w:tabs>
        <w:spacing w:after="120"/>
        <w:ind w:left="1886"/>
        <w:rPr>
          <w:szCs w:val="22"/>
        </w:rPr>
      </w:pPr>
      <w:r w:rsidRPr="00153746">
        <w:rPr>
          <w:szCs w:val="22"/>
        </w:rPr>
        <w:t>“</w:t>
      </w:r>
      <w:r w:rsidR="00D90F07" w:rsidRPr="00153746">
        <w:rPr>
          <w:szCs w:val="22"/>
        </w:rPr>
        <w:t xml:space="preserve">Environmental Processing Rules” means </w:t>
      </w:r>
      <w:r w:rsidRPr="00153746">
        <w:rPr>
          <w:szCs w:val="22"/>
        </w:rPr>
        <w:t xml:space="preserve">Sections </w:t>
      </w:r>
      <w:r w:rsidR="00D90F07" w:rsidRPr="00153746">
        <w:rPr>
          <w:szCs w:val="22"/>
        </w:rPr>
        <w:t>1.1301</w:t>
      </w:r>
      <w:r w:rsidRPr="00153746">
        <w:rPr>
          <w:szCs w:val="22"/>
        </w:rPr>
        <w:t>–</w:t>
      </w:r>
      <w:r w:rsidR="00D90F07" w:rsidRPr="00153746">
        <w:rPr>
          <w:szCs w:val="22"/>
        </w:rPr>
        <w:t xml:space="preserve">1.1319 of the </w:t>
      </w:r>
      <w:r w:rsidRPr="00153746">
        <w:rPr>
          <w:szCs w:val="22"/>
        </w:rPr>
        <w:t>R</w:t>
      </w:r>
      <w:r w:rsidR="00D90F07" w:rsidRPr="00153746">
        <w:rPr>
          <w:szCs w:val="22"/>
        </w:rPr>
        <w:t xml:space="preserve">ules and other provisions of the Act, the Rules, and Commission orders related to </w:t>
      </w:r>
      <w:r w:rsidR="00914AC0" w:rsidRPr="00153746">
        <w:rPr>
          <w:szCs w:val="22"/>
        </w:rPr>
        <w:t>the implementation of Subchapter I of the National Environmental Policy Act of 1969, as amended</w:t>
      </w:r>
      <w:r w:rsidR="001F1D5B" w:rsidRPr="00153746">
        <w:rPr>
          <w:szCs w:val="22"/>
        </w:rPr>
        <w:t xml:space="preserve">, relating to </w:t>
      </w:r>
      <w:r w:rsidR="00C3309D" w:rsidRPr="00153746">
        <w:rPr>
          <w:szCs w:val="22"/>
        </w:rPr>
        <w:t xml:space="preserve">federal </w:t>
      </w:r>
      <w:r w:rsidR="001F1D5B" w:rsidRPr="00153746">
        <w:rPr>
          <w:szCs w:val="22"/>
        </w:rPr>
        <w:t>actions that may or will have a significant impact on the quality of the human environment</w:t>
      </w:r>
      <w:r w:rsidR="00914AC0" w:rsidRPr="00153746">
        <w:rPr>
          <w:szCs w:val="22"/>
        </w:rPr>
        <w:t>.</w:t>
      </w:r>
      <w:r w:rsidR="00914AC0" w:rsidRPr="00AA2529">
        <w:rPr>
          <w:rStyle w:val="FootnoteReference"/>
          <w:sz w:val="22"/>
        </w:rPr>
        <w:footnoteReference w:id="10"/>
      </w:r>
    </w:p>
    <w:p w14:paraId="4C9CF6DA" w14:textId="77777777" w:rsidR="00D90F07" w:rsidRPr="00153746" w:rsidRDefault="00B4239E" w:rsidP="00B8391A">
      <w:pPr>
        <w:numPr>
          <w:ilvl w:val="0"/>
          <w:numId w:val="5"/>
        </w:numPr>
        <w:tabs>
          <w:tab w:val="clear" w:pos="1224"/>
        </w:tabs>
        <w:spacing w:after="120"/>
        <w:ind w:left="1886"/>
        <w:rPr>
          <w:szCs w:val="22"/>
        </w:rPr>
      </w:pPr>
      <w:r w:rsidRPr="00153746">
        <w:rPr>
          <w:szCs w:val="22"/>
        </w:rPr>
        <w:t xml:space="preserve">“FAA” means </w:t>
      </w:r>
      <w:r w:rsidR="00572509" w:rsidRPr="00153746">
        <w:rPr>
          <w:szCs w:val="22"/>
        </w:rPr>
        <w:t xml:space="preserve">the </w:t>
      </w:r>
      <w:r w:rsidRPr="00153746">
        <w:rPr>
          <w:szCs w:val="22"/>
        </w:rPr>
        <w:t>Federal Aviation Administration.</w:t>
      </w:r>
      <w:r w:rsidR="00914AC0" w:rsidRPr="00153746">
        <w:rPr>
          <w:szCs w:val="22"/>
        </w:rPr>
        <w:t xml:space="preserve"> </w:t>
      </w:r>
    </w:p>
    <w:p w14:paraId="3CB6E44F" w14:textId="77777777" w:rsidR="00462BA2" w:rsidRPr="00153746" w:rsidRDefault="00462BA2" w:rsidP="00B8391A">
      <w:pPr>
        <w:numPr>
          <w:ilvl w:val="0"/>
          <w:numId w:val="5"/>
        </w:numPr>
        <w:tabs>
          <w:tab w:val="clear" w:pos="1224"/>
        </w:tabs>
        <w:spacing w:after="120"/>
        <w:ind w:left="1890"/>
        <w:rPr>
          <w:szCs w:val="22"/>
        </w:rPr>
      </w:pPr>
      <w:r w:rsidRPr="00153746">
        <w:rPr>
          <w:szCs w:val="22"/>
        </w:rPr>
        <w:t xml:space="preserve">“GCI” means </w:t>
      </w:r>
      <w:r w:rsidRPr="00153746">
        <w:rPr>
          <w:spacing w:val="-2"/>
          <w:szCs w:val="22"/>
        </w:rPr>
        <w:t>G</w:t>
      </w:r>
      <w:r w:rsidR="009B050F" w:rsidRPr="00153746">
        <w:rPr>
          <w:spacing w:val="-2"/>
          <w:szCs w:val="22"/>
        </w:rPr>
        <w:t xml:space="preserve">eneral </w:t>
      </w:r>
      <w:r w:rsidRPr="00153746">
        <w:rPr>
          <w:spacing w:val="-2"/>
          <w:szCs w:val="22"/>
        </w:rPr>
        <w:t xml:space="preserve">Communication </w:t>
      </w:r>
      <w:r w:rsidR="00A24346" w:rsidRPr="00153746">
        <w:rPr>
          <w:spacing w:val="-2"/>
          <w:szCs w:val="22"/>
        </w:rPr>
        <w:t>Inc.</w:t>
      </w:r>
      <w:r w:rsidRPr="00153746">
        <w:rPr>
          <w:spacing w:val="-2"/>
          <w:szCs w:val="22"/>
        </w:rPr>
        <w:t xml:space="preserve">, </w:t>
      </w:r>
      <w:r w:rsidR="00A24346" w:rsidRPr="00153746">
        <w:rPr>
          <w:spacing w:val="-2"/>
          <w:szCs w:val="22"/>
        </w:rPr>
        <w:t xml:space="preserve">indirect </w:t>
      </w:r>
      <w:r w:rsidRPr="00153746">
        <w:rPr>
          <w:spacing w:val="-2"/>
          <w:szCs w:val="22"/>
        </w:rPr>
        <w:t>parent company of The Alaska Wireless Network, LLC</w:t>
      </w:r>
      <w:r w:rsidR="00572509" w:rsidRPr="00153746">
        <w:rPr>
          <w:spacing w:val="-2"/>
          <w:szCs w:val="22"/>
        </w:rPr>
        <w:t>,</w:t>
      </w:r>
      <w:r w:rsidRPr="00153746">
        <w:rPr>
          <w:spacing w:val="-2"/>
          <w:szCs w:val="22"/>
        </w:rPr>
        <w:t xml:space="preserve"> </w:t>
      </w:r>
      <w:r w:rsidRPr="00153746">
        <w:rPr>
          <w:szCs w:val="22"/>
        </w:rPr>
        <w:t>and its affiliates, subsidiaries, predecessors-in-interest, and successors-in-interest.</w:t>
      </w:r>
    </w:p>
    <w:p w14:paraId="4F617FBE" w14:textId="1F8119EE" w:rsidR="00056532" w:rsidRPr="00153746" w:rsidRDefault="00056532" w:rsidP="00B8391A">
      <w:pPr>
        <w:numPr>
          <w:ilvl w:val="0"/>
          <w:numId w:val="5"/>
        </w:numPr>
        <w:tabs>
          <w:tab w:val="clear" w:pos="1224"/>
        </w:tabs>
        <w:spacing w:after="120"/>
        <w:ind w:left="1890"/>
        <w:rPr>
          <w:szCs w:val="22"/>
        </w:rPr>
      </w:pPr>
      <w:r w:rsidRPr="00153746">
        <w:rPr>
          <w:szCs w:val="22"/>
        </w:rPr>
        <w:t>“In-Compliance Date” means either April 30, 2016</w:t>
      </w:r>
      <w:r w:rsidR="00AE2D0A">
        <w:rPr>
          <w:szCs w:val="22"/>
        </w:rPr>
        <w:t>,</w:t>
      </w:r>
      <w:r w:rsidRPr="00153746">
        <w:rPr>
          <w:szCs w:val="22"/>
        </w:rPr>
        <w:t xml:space="preserve"> or the date that GCI notifies the Commission that all antenna structures involved in the instant Investigation are compliant with the </w:t>
      </w:r>
      <w:r w:rsidR="00033708" w:rsidRPr="00153746">
        <w:rPr>
          <w:szCs w:val="22"/>
        </w:rPr>
        <w:t>Antenna Structure Lighting Rules</w:t>
      </w:r>
      <w:r w:rsidR="00033708" w:rsidRPr="00153746" w:rsidDel="00033708">
        <w:rPr>
          <w:szCs w:val="22"/>
        </w:rPr>
        <w:t xml:space="preserve"> </w:t>
      </w:r>
      <w:r w:rsidRPr="00153746">
        <w:rPr>
          <w:szCs w:val="22"/>
        </w:rPr>
        <w:t xml:space="preserve">and </w:t>
      </w:r>
      <w:r w:rsidR="00033708" w:rsidRPr="00153746">
        <w:rPr>
          <w:szCs w:val="22"/>
        </w:rPr>
        <w:t>Antenna Structure Registration Rules</w:t>
      </w:r>
      <w:r w:rsidRPr="00153746">
        <w:rPr>
          <w:szCs w:val="22"/>
        </w:rPr>
        <w:t>, whichever is earlier</w:t>
      </w:r>
      <w:r w:rsidR="00864879" w:rsidRPr="00153746">
        <w:rPr>
          <w:szCs w:val="22"/>
        </w:rPr>
        <w:t>.</w:t>
      </w:r>
    </w:p>
    <w:p w14:paraId="6A6E7C14" w14:textId="0E7C7B66" w:rsidR="006464E5" w:rsidRPr="00153746" w:rsidRDefault="006464E5" w:rsidP="00B8391A">
      <w:pPr>
        <w:numPr>
          <w:ilvl w:val="0"/>
          <w:numId w:val="5"/>
        </w:numPr>
        <w:tabs>
          <w:tab w:val="clear" w:pos="1224"/>
        </w:tabs>
        <w:spacing w:after="120"/>
        <w:ind w:left="1890"/>
        <w:rPr>
          <w:szCs w:val="22"/>
        </w:rPr>
      </w:pPr>
      <w:r w:rsidRPr="00153746">
        <w:rPr>
          <w:szCs w:val="22"/>
        </w:rPr>
        <w:t>“Investigation” means the investigation c</w:t>
      </w:r>
      <w:r w:rsidR="00073450" w:rsidRPr="00153746">
        <w:rPr>
          <w:szCs w:val="22"/>
        </w:rPr>
        <w:t>ommenced</w:t>
      </w:r>
      <w:r w:rsidR="00BD08D2" w:rsidRPr="00153746">
        <w:rPr>
          <w:szCs w:val="22"/>
        </w:rPr>
        <w:t xml:space="preserve"> by the Bureau in </w:t>
      </w:r>
      <w:r w:rsidR="00740567" w:rsidRPr="00153746">
        <w:rPr>
          <w:szCs w:val="22"/>
        </w:rPr>
        <w:t xml:space="preserve">its </w:t>
      </w:r>
      <w:r w:rsidR="00033708" w:rsidRPr="00153746">
        <w:rPr>
          <w:szCs w:val="22"/>
        </w:rPr>
        <w:t>L</w:t>
      </w:r>
      <w:r w:rsidR="001D60BE" w:rsidRPr="00153746">
        <w:rPr>
          <w:szCs w:val="22"/>
        </w:rPr>
        <w:t>OI</w:t>
      </w:r>
      <w:r w:rsidR="00740567" w:rsidRPr="00153746">
        <w:rPr>
          <w:szCs w:val="22"/>
        </w:rPr>
        <w:t xml:space="preserve"> </w:t>
      </w:r>
      <w:r w:rsidR="005D58F4" w:rsidRPr="00153746">
        <w:rPr>
          <w:szCs w:val="22"/>
        </w:rPr>
        <w:t xml:space="preserve">following GCI’s voluntary disclosure </w:t>
      </w:r>
      <w:r w:rsidR="00740567" w:rsidRPr="00153746">
        <w:rPr>
          <w:spacing w:val="-2"/>
          <w:szCs w:val="22"/>
        </w:rPr>
        <w:t>r</w:t>
      </w:r>
      <w:r w:rsidR="00BD08D2" w:rsidRPr="00153746">
        <w:rPr>
          <w:spacing w:val="-2"/>
          <w:szCs w:val="22"/>
        </w:rPr>
        <w:t>egarding</w:t>
      </w:r>
      <w:r w:rsidR="00BD08D2" w:rsidRPr="00153746">
        <w:rPr>
          <w:szCs w:val="22"/>
        </w:rPr>
        <w:t xml:space="preserve"> </w:t>
      </w:r>
      <w:r w:rsidR="00073450" w:rsidRPr="00153746">
        <w:rPr>
          <w:szCs w:val="22"/>
        </w:rPr>
        <w:t xml:space="preserve">whether </w:t>
      </w:r>
      <w:r w:rsidR="00740567" w:rsidRPr="00153746">
        <w:rPr>
          <w:szCs w:val="22"/>
        </w:rPr>
        <w:t xml:space="preserve">GCI </w:t>
      </w:r>
      <w:r w:rsidR="00073450" w:rsidRPr="00153746">
        <w:rPr>
          <w:szCs w:val="22"/>
        </w:rPr>
        <w:t xml:space="preserve">violated </w:t>
      </w:r>
      <w:r w:rsidR="00BD08D2" w:rsidRPr="00153746">
        <w:rPr>
          <w:szCs w:val="22"/>
        </w:rPr>
        <w:t xml:space="preserve">the </w:t>
      </w:r>
      <w:r w:rsidR="001D60BE" w:rsidRPr="00153746">
        <w:rPr>
          <w:szCs w:val="22"/>
        </w:rPr>
        <w:t>Antenna Structure Lighting Rules</w:t>
      </w:r>
      <w:r w:rsidR="00740567" w:rsidRPr="00153746">
        <w:rPr>
          <w:szCs w:val="22"/>
        </w:rPr>
        <w:t xml:space="preserve"> and </w:t>
      </w:r>
      <w:r w:rsidR="001D60BE" w:rsidRPr="00153746">
        <w:rPr>
          <w:szCs w:val="22"/>
        </w:rPr>
        <w:t>Antenna Structure Registration Rules</w:t>
      </w:r>
      <w:r w:rsidR="00DA0110" w:rsidRPr="00153746">
        <w:rPr>
          <w:szCs w:val="22"/>
        </w:rPr>
        <w:t xml:space="preserve">.  Investigation </w:t>
      </w:r>
      <w:r w:rsidRPr="00153746">
        <w:rPr>
          <w:szCs w:val="22"/>
        </w:rPr>
        <w:t>does not include violations of the Environmental Processing Rules.</w:t>
      </w:r>
    </w:p>
    <w:p w14:paraId="2B9B0639" w14:textId="7B0D08DB" w:rsidR="00462BA2" w:rsidRPr="00153746" w:rsidRDefault="00462BA2" w:rsidP="00B8391A">
      <w:pPr>
        <w:numPr>
          <w:ilvl w:val="0"/>
          <w:numId w:val="5"/>
        </w:numPr>
        <w:tabs>
          <w:tab w:val="clear" w:pos="1224"/>
        </w:tabs>
        <w:spacing w:after="120"/>
        <w:ind w:left="1890"/>
        <w:rPr>
          <w:szCs w:val="22"/>
        </w:rPr>
      </w:pPr>
      <w:r w:rsidRPr="00153746">
        <w:rPr>
          <w:szCs w:val="22"/>
        </w:rPr>
        <w:t>“LOI” means the Letter of Inquiry issued by the Bureau to GCI on April 27, 2015</w:t>
      </w:r>
      <w:r w:rsidR="00AE2D0A">
        <w:rPr>
          <w:szCs w:val="22"/>
        </w:rPr>
        <w:t>,</w:t>
      </w:r>
      <w:r w:rsidRPr="00153746">
        <w:rPr>
          <w:szCs w:val="22"/>
        </w:rPr>
        <w:t xml:space="preserve"> </w:t>
      </w:r>
      <w:r w:rsidR="009051FC">
        <w:rPr>
          <w:szCs w:val="22"/>
        </w:rPr>
        <w:t xml:space="preserve">in File No. </w:t>
      </w:r>
      <w:r w:rsidR="009051FC" w:rsidRPr="00153746">
        <w:rPr>
          <w:spacing w:val="-2"/>
          <w:szCs w:val="22"/>
        </w:rPr>
        <w:t>EB-SED-15-00018810</w:t>
      </w:r>
      <w:r w:rsidR="009051FC">
        <w:rPr>
          <w:spacing w:val="-2"/>
          <w:szCs w:val="22"/>
        </w:rPr>
        <w:t>,</w:t>
      </w:r>
      <w:r w:rsidR="009051FC" w:rsidRPr="00AA2529">
        <w:rPr>
          <w:spacing w:val="-2"/>
        </w:rPr>
        <w:t xml:space="preserve"> </w:t>
      </w:r>
      <w:r w:rsidRPr="00153746">
        <w:rPr>
          <w:szCs w:val="22"/>
        </w:rPr>
        <w:t>in connection with GCI’</w:t>
      </w:r>
      <w:r w:rsidR="0079280A" w:rsidRPr="00153746">
        <w:rPr>
          <w:szCs w:val="22"/>
        </w:rPr>
        <w:t>s</w:t>
      </w:r>
      <w:r w:rsidRPr="00153746">
        <w:rPr>
          <w:szCs w:val="22"/>
        </w:rPr>
        <w:t xml:space="preserve"> apparent noncompliance with the </w:t>
      </w:r>
      <w:r w:rsidR="00353791" w:rsidRPr="00153746">
        <w:rPr>
          <w:szCs w:val="22"/>
        </w:rPr>
        <w:t>Antenna Structure Lighting Rules and Antenna Structure Registration Rules</w:t>
      </w:r>
      <w:r w:rsidRPr="00153746">
        <w:rPr>
          <w:szCs w:val="22"/>
        </w:rPr>
        <w:t>.</w:t>
      </w:r>
    </w:p>
    <w:p w14:paraId="754A9551" w14:textId="77777777" w:rsidR="00BD08D2" w:rsidRPr="00153746" w:rsidRDefault="00BD08D2" w:rsidP="00B8391A">
      <w:pPr>
        <w:numPr>
          <w:ilvl w:val="0"/>
          <w:numId w:val="5"/>
        </w:numPr>
        <w:tabs>
          <w:tab w:val="clear" w:pos="1224"/>
        </w:tabs>
        <w:spacing w:after="120"/>
        <w:ind w:left="1890"/>
        <w:rPr>
          <w:szCs w:val="22"/>
        </w:rPr>
      </w:pPr>
      <w:r w:rsidRPr="00153746">
        <w:rPr>
          <w:szCs w:val="22"/>
        </w:rPr>
        <w:t>“Operating Procedures” mean</w:t>
      </w:r>
      <w:r w:rsidR="003010FA" w:rsidRPr="00153746">
        <w:rPr>
          <w:szCs w:val="22"/>
        </w:rPr>
        <w:t>s</w:t>
      </w:r>
      <w:r w:rsidR="00683B2D" w:rsidRPr="00153746">
        <w:rPr>
          <w:szCs w:val="22"/>
        </w:rPr>
        <w:t xml:space="preserve"> the standard</w:t>
      </w:r>
      <w:r w:rsidRPr="00153746">
        <w:rPr>
          <w:szCs w:val="22"/>
        </w:rPr>
        <w:t xml:space="preserve"> internal operating procedures and compliance pol</w:t>
      </w:r>
      <w:r w:rsidR="00AD6D76" w:rsidRPr="00153746">
        <w:rPr>
          <w:szCs w:val="22"/>
        </w:rPr>
        <w:t xml:space="preserve">icies established by </w:t>
      </w:r>
      <w:r w:rsidR="00740567" w:rsidRPr="00153746">
        <w:rPr>
          <w:szCs w:val="22"/>
        </w:rPr>
        <w:t>GCI</w:t>
      </w:r>
      <w:r w:rsidRPr="00153746">
        <w:rPr>
          <w:szCs w:val="22"/>
        </w:rPr>
        <w:t xml:space="preserve"> to implement the Compliance Plan.</w:t>
      </w:r>
    </w:p>
    <w:p w14:paraId="494F31BF" w14:textId="77777777" w:rsidR="00BD08D2" w:rsidRPr="00153746" w:rsidRDefault="00BD08D2" w:rsidP="00B8391A">
      <w:pPr>
        <w:numPr>
          <w:ilvl w:val="0"/>
          <w:numId w:val="5"/>
        </w:numPr>
        <w:tabs>
          <w:tab w:val="clear" w:pos="1224"/>
        </w:tabs>
        <w:spacing w:after="120"/>
        <w:ind w:left="1890"/>
        <w:rPr>
          <w:szCs w:val="22"/>
        </w:rPr>
      </w:pPr>
      <w:r w:rsidRPr="00153746">
        <w:rPr>
          <w:szCs w:val="22"/>
        </w:rPr>
        <w:t>“Parties” mean</w:t>
      </w:r>
      <w:r w:rsidR="003010FA" w:rsidRPr="00153746">
        <w:rPr>
          <w:szCs w:val="22"/>
        </w:rPr>
        <w:t>s</w:t>
      </w:r>
      <w:r w:rsidRPr="00153746">
        <w:rPr>
          <w:szCs w:val="22"/>
        </w:rPr>
        <w:t xml:space="preserve"> </w:t>
      </w:r>
      <w:r w:rsidR="00740567" w:rsidRPr="00153746">
        <w:rPr>
          <w:szCs w:val="22"/>
        </w:rPr>
        <w:t xml:space="preserve">GCI </w:t>
      </w:r>
      <w:r w:rsidRPr="00153746">
        <w:rPr>
          <w:szCs w:val="22"/>
        </w:rPr>
        <w:t>and the Bureau, each of which is a “Party.”</w:t>
      </w:r>
    </w:p>
    <w:p w14:paraId="7E3446D2" w14:textId="77777777" w:rsidR="00BD08D2" w:rsidRPr="00153746" w:rsidRDefault="00BD08D2" w:rsidP="00B8391A">
      <w:pPr>
        <w:numPr>
          <w:ilvl w:val="0"/>
          <w:numId w:val="5"/>
        </w:numPr>
        <w:tabs>
          <w:tab w:val="clear" w:pos="1224"/>
        </w:tabs>
        <w:spacing w:after="120"/>
        <w:ind w:left="1890"/>
        <w:rPr>
          <w:szCs w:val="22"/>
        </w:rPr>
      </w:pPr>
      <w:r w:rsidRPr="00153746">
        <w:rPr>
          <w:szCs w:val="22"/>
        </w:rPr>
        <w:t>“Rules” mean</w:t>
      </w:r>
      <w:r w:rsidR="003010FA" w:rsidRPr="00153746">
        <w:rPr>
          <w:szCs w:val="22"/>
        </w:rPr>
        <w:t>s</w:t>
      </w:r>
      <w:r w:rsidRPr="00153746">
        <w:rPr>
          <w:szCs w:val="22"/>
        </w:rPr>
        <w:t xml:space="preserve"> the Commission’s regulations found in Title 47 of the Code of Federal Regulations.</w:t>
      </w:r>
    </w:p>
    <w:p w14:paraId="368DEFB5" w14:textId="77777777" w:rsidR="00D7242F" w:rsidRPr="00153746" w:rsidRDefault="00D7242F" w:rsidP="00B8391A">
      <w:pPr>
        <w:numPr>
          <w:ilvl w:val="0"/>
          <w:numId w:val="5"/>
        </w:numPr>
        <w:tabs>
          <w:tab w:val="clear" w:pos="1224"/>
        </w:tabs>
        <w:spacing w:after="120"/>
        <w:ind w:left="1890"/>
        <w:rPr>
          <w:szCs w:val="22"/>
        </w:rPr>
      </w:pPr>
      <w:r w:rsidRPr="00153746">
        <w:rPr>
          <w:szCs w:val="22"/>
        </w:rPr>
        <w:t>“WTB” means the Wireless Telecommunications Bureau</w:t>
      </w:r>
      <w:r w:rsidR="00502FAF" w:rsidRPr="00153746">
        <w:rPr>
          <w:szCs w:val="22"/>
        </w:rPr>
        <w:t xml:space="preserve"> of the Federal Communications Commission</w:t>
      </w:r>
      <w:r w:rsidRPr="00153746">
        <w:rPr>
          <w:szCs w:val="22"/>
        </w:rPr>
        <w:t>.</w:t>
      </w:r>
    </w:p>
    <w:p w14:paraId="7E31D1AF" w14:textId="77777777" w:rsidR="00E02214" w:rsidRPr="00153746" w:rsidRDefault="00E02214">
      <w:pPr>
        <w:pStyle w:val="Heading1"/>
        <w:rPr>
          <w:rFonts w:ascii="Times New Roman" w:hAnsi="Times New Roman"/>
          <w:szCs w:val="22"/>
        </w:rPr>
      </w:pPr>
      <w:r w:rsidRPr="00153746">
        <w:rPr>
          <w:rFonts w:ascii="Times New Roman" w:hAnsi="Times New Roman"/>
          <w:szCs w:val="22"/>
        </w:rPr>
        <w:t>BACKGROUND</w:t>
      </w:r>
    </w:p>
    <w:p w14:paraId="58462C18" w14:textId="59A5B9AF" w:rsidR="006E271D" w:rsidRPr="00153746" w:rsidRDefault="006E271D" w:rsidP="00AA2529">
      <w:pPr>
        <w:pStyle w:val="ParaNum"/>
        <w:widowControl/>
        <w:rPr>
          <w:szCs w:val="22"/>
        </w:rPr>
      </w:pPr>
      <w:r w:rsidRPr="00153746">
        <w:rPr>
          <w:szCs w:val="22"/>
        </w:rPr>
        <w:t xml:space="preserve">The </w:t>
      </w:r>
      <w:r w:rsidR="00481264" w:rsidRPr="00153746">
        <w:rPr>
          <w:szCs w:val="22"/>
        </w:rPr>
        <w:t>Antenna Structure Lighting Rules</w:t>
      </w:r>
      <w:r w:rsidR="00481264" w:rsidRPr="00153746" w:rsidDel="00033708">
        <w:rPr>
          <w:szCs w:val="22"/>
        </w:rPr>
        <w:t xml:space="preserve"> </w:t>
      </w:r>
      <w:r w:rsidR="00481264" w:rsidRPr="00153746">
        <w:rPr>
          <w:szCs w:val="22"/>
        </w:rPr>
        <w:t xml:space="preserve">and Antenna Structure Registration Rules </w:t>
      </w:r>
      <w:r w:rsidRPr="00153746">
        <w:rPr>
          <w:szCs w:val="22"/>
        </w:rPr>
        <w:t>operate in concert with F</w:t>
      </w:r>
      <w:r w:rsidR="00481264" w:rsidRPr="00153746">
        <w:rPr>
          <w:szCs w:val="22"/>
        </w:rPr>
        <w:t>AA</w:t>
      </w:r>
      <w:r w:rsidRPr="00153746">
        <w:rPr>
          <w:szCs w:val="22"/>
        </w:rPr>
        <w:t xml:space="preserve"> regulations to ensure that antenna structures do not present hazards to air navigation and</w:t>
      </w:r>
      <w:r w:rsidR="009051FC">
        <w:rPr>
          <w:szCs w:val="22"/>
        </w:rPr>
        <w:t xml:space="preserve"> to</w:t>
      </w:r>
      <w:r w:rsidRPr="00153746">
        <w:rPr>
          <w:szCs w:val="22"/>
        </w:rPr>
        <w:t xml:space="preserve"> advance the Bureau’s priority of public safety.</w:t>
      </w:r>
      <w:r w:rsidR="00481264" w:rsidRPr="00153746">
        <w:rPr>
          <w:szCs w:val="22"/>
        </w:rPr>
        <w:t xml:space="preserve">  </w:t>
      </w:r>
      <w:r w:rsidR="00481264" w:rsidRPr="00153746">
        <w:rPr>
          <w:spacing w:val="-3"/>
          <w:szCs w:val="22"/>
        </w:rPr>
        <w:t>Section</w:t>
      </w:r>
      <w:r w:rsidR="00A75FE5" w:rsidRPr="00153746">
        <w:rPr>
          <w:szCs w:val="22"/>
        </w:rPr>
        <w:t xml:space="preserve"> 303(q) of the Act requires</w:t>
      </w:r>
      <w:r w:rsidR="00481264" w:rsidRPr="00153746">
        <w:rPr>
          <w:szCs w:val="22"/>
        </w:rPr>
        <w:t xml:space="preserve"> that </w:t>
      </w:r>
      <w:r w:rsidR="00C55F20" w:rsidRPr="00153746">
        <w:rPr>
          <w:szCs w:val="22"/>
        </w:rPr>
        <w:t xml:space="preserve">certain </w:t>
      </w:r>
      <w:r w:rsidR="00481264" w:rsidRPr="00153746">
        <w:rPr>
          <w:szCs w:val="22"/>
        </w:rPr>
        <w:t xml:space="preserve">antenna structure owners </w:t>
      </w:r>
      <w:r w:rsidR="00F60D87" w:rsidRPr="00153746">
        <w:rPr>
          <w:szCs w:val="22"/>
        </w:rPr>
        <w:t>m</w:t>
      </w:r>
      <w:r w:rsidR="00C55F20" w:rsidRPr="00153746">
        <w:rPr>
          <w:szCs w:val="22"/>
        </w:rPr>
        <w:t xml:space="preserve">aintain </w:t>
      </w:r>
      <w:r w:rsidR="00481264" w:rsidRPr="00153746">
        <w:rPr>
          <w:szCs w:val="22"/>
        </w:rPr>
        <w:t>lighting as prescribed by the Commission</w:t>
      </w:r>
      <w:r w:rsidR="00C55F20" w:rsidRPr="00153746">
        <w:rPr>
          <w:szCs w:val="22"/>
        </w:rPr>
        <w:t xml:space="preserve"> and FAA</w:t>
      </w:r>
      <w:r w:rsidR="00481264" w:rsidRPr="00153746">
        <w:rPr>
          <w:szCs w:val="22"/>
        </w:rPr>
        <w:t>.</w:t>
      </w:r>
      <w:r w:rsidR="00481264" w:rsidRPr="00AA2529">
        <w:rPr>
          <w:rStyle w:val="FootnoteReference"/>
          <w:sz w:val="22"/>
        </w:rPr>
        <w:footnoteReference w:id="11"/>
      </w:r>
      <w:r w:rsidR="00481264" w:rsidRPr="00153746">
        <w:rPr>
          <w:szCs w:val="22"/>
        </w:rPr>
        <w:t xml:space="preserve">  </w:t>
      </w:r>
      <w:r w:rsidR="00481264" w:rsidRPr="00153746">
        <w:rPr>
          <w:spacing w:val="-2"/>
          <w:szCs w:val="22"/>
        </w:rPr>
        <w:t xml:space="preserve">Section 17.21(a) of the Rules requires </w:t>
      </w:r>
      <w:r w:rsidR="000B3970" w:rsidRPr="00153746">
        <w:rPr>
          <w:spacing w:val="-2"/>
          <w:szCs w:val="22"/>
        </w:rPr>
        <w:t>antenna structures to be lit</w:t>
      </w:r>
      <w:r w:rsidR="00481264" w:rsidRPr="00153746">
        <w:rPr>
          <w:spacing w:val="-2"/>
          <w:szCs w:val="22"/>
        </w:rPr>
        <w:t xml:space="preserve"> when the</w:t>
      </w:r>
      <w:r w:rsidR="00B94930" w:rsidRPr="00153746">
        <w:rPr>
          <w:spacing w:val="-2"/>
          <w:szCs w:val="22"/>
        </w:rPr>
        <w:t>ir height exceeds any obstruction standard requiring notification to the FAA</w:t>
      </w:r>
      <w:r w:rsidR="00481264" w:rsidRPr="00153746">
        <w:rPr>
          <w:spacing w:val="-2"/>
          <w:szCs w:val="22"/>
        </w:rPr>
        <w:t>.</w:t>
      </w:r>
      <w:r w:rsidR="00481264" w:rsidRPr="00AA2529">
        <w:rPr>
          <w:rStyle w:val="FootnoteReference"/>
          <w:spacing w:val="-2"/>
          <w:sz w:val="22"/>
        </w:rPr>
        <w:footnoteReference w:id="12"/>
      </w:r>
      <w:r w:rsidR="00481264" w:rsidRPr="00153746">
        <w:rPr>
          <w:spacing w:val="-2"/>
          <w:szCs w:val="22"/>
        </w:rPr>
        <w:t xml:space="preserve">  </w:t>
      </w:r>
      <w:r w:rsidR="00A75FE5" w:rsidRPr="00153746">
        <w:rPr>
          <w:spacing w:val="-2"/>
          <w:szCs w:val="22"/>
        </w:rPr>
        <w:t xml:space="preserve">Section 17.4(a) of the Rules requires </w:t>
      </w:r>
      <w:r w:rsidR="009901DE" w:rsidRPr="00153746">
        <w:rPr>
          <w:spacing w:val="-2"/>
          <w:szCs w:val="22"/>
        </w:rPr>
        <w:t xml:space="preserve">owners of </w:t>
      </w:r>
      <w:r w:rsidR="00C55F20" w:rsidRPr="00153746">
        <w:rPr>
          <w:spacing w:val="-2"/>
          <w:szCs w:val="22"/>
        </w:rPr>
        <w:t xml:space="preserve">antenna structures </w:t>
      </w:r>
      <w:r w:rsidR="00B94930" w:rsidRPr="00153746">
        <w:rPr>
          <w:spacing w:val="-2"/>
          <w:szCs w:val="22"/>
        </w:rPr>
        <w:t xml:space="preserve">that require notice of proposed construction to the FAA to register </w:t>
      </w:r>
      <w:r w:rsidR="00C55F20" w:rsidRPr="00153746">
        <w:rPr>
          <w:szCs w:val="22"/>
        </w:rPr>
        <w:t>such</w:t>
      </w:r>
      <w:r w:rsidR="00A75FE5" w:rsidRPr="00153746">
        <w:rPr>
          <w:szCs w:val="22"/>
        </w:rPr>
        <w:t xml:space="preserve"> structure</w:t>
      </w:r>
      <w:r w:rsidR="00C55F20" w:rsidRPr="00153746">
        <w:rPr>
          <w:szCs w:val="22"/>
        </w:rPr>
        <w:t>s</w:t>
      </w:r>
      <w:r w:rsidR="00A75FE5" w:rsidRPr="00153746">
        <w:rPr>
          <w:szCs w:val="22"/>
        </w:rPr>
        <w:t xml:space="preserve"> with the Commission</w:t>
      </w:r>
      <w:r w:rsidR="009901DE" w:rsidRPr="00153746">
        <w:rPr>
          <w:szCs w:val="22"/>
        </w:rPr>
        <w:t>.</w:t>
      </w:r>
      <w:r w:rsidR="00CB43A5" w:rsidRPr="00AA2529">
        <w:rPr>
          <w:rStyle w:val="FootnoteReference"/>
          <w:sz w:val="22"/>
        </w:rPr>
        <w:footnoteReference w:id="13"/>
      </w:r>
      <w:r w:rsidR="009901DE" w:rsidRPr="00153746">
        <w:rPr>
          <w:szCs w:val="22"/>
        </w:rPr>
        <w:t xml:space="preserve">  </w:t>
      </w:r>
      <w:r w:rsidR="00B94930" w:rsidRPr="00153746">
        <w:rPr>
          <w:szCs w:val="22"/>
        </w:rPr>
        <w:t>Antenna structures requiring notification to the FA</w:t>
      </w:r>
      <w:r w:rsidR="00572509" w:rsidRPr="00153746">
        <w:rPr>
          <w:color w:val="212121"/>
          <w:szCs w:val="22"/>
          <w:shd w:val="clear" w:color="auto" w:fill="FFFFFF"/>
        </w:rPr>
        <w:t>A</w:t>
      </w:r>
      <w:r w:rsidR="00B94930" w:rsidRPr="00153746">
        <w:rPr>
          <w:color w:val="212121"/>
          <w:szCs w:val="22"/>
          <w:shd w:val="clear" w:color="auto" w:fill="FFFFFF"/>
        </w:rPr>
        <w:t xml:space="preserve"> generally include those over 200 feet in height and certain antenna structures located near airports.</w:t>
      </w:r>
      <w:r w:rsidR="00B94930" w:rsidRPr="00AA2529">
        <w:rPr>
          <w:rStyle w:val="FootnoteReference"/>
          <w:sz w:val="22"/>
          <w:shd w:val="clear" w:color="auto" w:fill="FFFFFF"/>
        </w:rPr>
        <w:footnoteReference w:id="14"/>
      </w:r>
      <w:r w:rsidR="00B94930" w:rsidRPr="00153746">
        <w:rPr>
          <w:color w:val="212121"/>
          <w:szCs w:val="22"/>
          <w:shd w:val="clear" w:color="auto" w:fill="FFFFFF"/>
        </w:rPr>
        <w:t xml:space="preserve">  A</w:t>
      </w:r>
      <w:r w:rsidR="00572509" w:rsidRPr="00153746">
        <w:rPr>
          <w:color w:val="212121"/>
          <w:szCs w:val="22"/>
          <w:shd w:val="clear" w:color="auto" w:fill="FFFFFF"/>
        </w:rPr>
        <w:t>n up-to-date, complete, and accurate antenna structure database is critical to public safety</w:t>
      </w:r>
      <w:r w:rsidR="00481264" w:rsidRPr="00153746">
        <w:rPr>
          <w:szCs w:val="22"/>
        </w:rPr>
        <w:t>.</w:t>
      </w:r>
    </w:p>
    <w:p w14:paraId="171688EF" w14:textId="77777777" w:rsidR="00040BB5" w:rsidRPr="00153746" w:rsidRDefault="006E271D">
      <w:pPr>
        <w:pStyle w:val="ParaNum"/>
        <w:rPr>
          <w:szCs w:val="22"/>
        </w:rPr>
      </w:pPr>
      <w:r w:rsidRPr="00153746">
        <w:rPr>
          <w:szCs w:val="22"/>
        </w:rPr>
        <w:t>In mid-2013, G</w:t>
      </w:r>
      <w:r w:rsidR="009B050F" w:rsidRPr="00153746">
        <w:rPr>
          <w:szCs w:val="22"/>
        </w:rPr>
        <w:t xml:space="preserve">CI </w:t>
      </w:r>
      <w:r w:rsidRPr="00153746">
        <w:rPr>
          <w:szCs w:val="22"/>
        </w:rPr>
        <w:t xml:space="preserve">and Alaska Communications Systems (ACS) merged their spectrum licenses and wireless </w:t>
      </w:r>
      <w:r w:rsidR="00572509" w:rsidRPr="00153746">
        <w:rPr>
          <w:szCs w:val="22"/>
        </w:rPr>
        <w:t>antenna structures</w:t>
      </w:r>
      <w:r w:rsidRPr="00153746">
        <w:rPr>
          <w:szCs w:val="22"/>
        </w:rPr>
        <w:t xml:space="preserve"> into a jointly-owned subsidiary, </w:t>
      </w:r>
      <w:r w:rsidR="00881AE1" w:rsidRPr="00153746">
        <w:rPr>
          <w:szCs w:val="22"/>
        </w:rPr>
        <w:t xml:space="preserve">The </w:t>
      </w:r>
      <w:r w:rsidRPr="00153746">
        <w:rPr>
          <w:szCs w:val="22"/>
        </w:rPr>
        <w:t>Alaska Wireless Network</w:t>
      </w:r>
      <w:r w:rsidR="00881AE1" w:rsidRPr="00153746">
        <w:rPr>
          <w:szCs w:val="22"/>
        </w:rPr>
        <w:t>, LLC</w:t>
      </w:r>
      <w:r w:rsidRPr="00153746">
        <w:rPr>
          <w:szCs w:val="22"/>
        </w:rPr>
        <w:t xml:space="preserve"> (AWN).  GCI</w:t>
      </w:r>
      <w:r w:rsidR="00D14F53" w:rsidRPr="00153746" w:rsidDel="00D14F53">
        <w:rPr>
          <w:szCs w:val="22"/>
        </w:rPr>
        <w:t xml:space="preserve"> </w:t>
      </w:r>
      <w:r w:rsidRPr="00153746">
        <w:rPr>
          <w:szCs w:val="22"/>
        </w:rPr>
        <w:t>subsequently acquired all of ACS</w:t>
      </w:r>
      <w:r w:rsidR="00D14F53" w:rsidRPr="00153746">
        <w:rPr>
          <w:szCs w:val="22"/>
        </w:rPr>
        <w:t>’</w:t>
      </w:r>
      <w:r w:rsidRPr="00153746">
        <w:rPr>
          <w:szCs w:val="22"/>
        </w:rPr>
        <w:t xml:space="preserve">s interest in AWN.  After completing the merger, GCI began an internal inventory of AWN </w:t>
      </w:r>
      <w:r w:rsidR="00572509" w:rsidRPr="00153746">
        <w:rPr>
          <w:szCs w:val="22"/>
        </w:rPr>
        <w:t>antenna structures</w:t>
      </w:r>
      <w:r w:rsidRPr="00153746">
        <w:rPr>
          <w:szCs w:val="22"/>
        </w:rPr>
        <w:t xml:space="preserve">, resulting in the discovery of numerous violations of </w:t>
      </w:r>
      <w:r w:rsidR="00D14F53" w:rsidRPr="00153746">
        <w:rPr>
          <w:szCs w:val="22"/>
        </w:rPr>
        <w:t xml:space="preserve">the </w:t>
      </w:r>
      <w:r w:rsidR="0023470C" w:rsidRPr="00153746">
        <w:rPr>
          <w:szCs w:val="22"/>
        </w:rPr>
        <w:t>Act and R</w:t>
      </w:r>
      <w:r w:rsidRPr="00153746">
        <w:rPr>
          <w:szCs w:val="22"/>
        </w:rPr>
        <w:t>ules.  Specifically,</w:t>
      </w:r>
      <w:r w:rsidR="00614340" w:rsidRPr="00153746">
        <w:rPr>
          <w:szCs w:val="22"/>
        </w:rPr>
        <w:t xml:space="preserve"> </w:t>
      </w:r>
      <w:r w:rsidR="003A3C0A" w:rsidRPr="00153746">
        <w:rPr>
          <w:szCs w:val="22"/>
        </w:rPr>
        <w:t>GCI found that various</w:t>
      </w:r>
      <w:r w:rsidRPr="00153746">
        <w:rPr>
          <w:szCs w:val="22"/>
        </w:rPr>
        <w:t xml:space="preserve"> </w:t>
      </w:r>
      <w:r w:rsidR="00572509" w:rsidRPr="00153746">
        <w:rPr>
          <w:szCs w:val="22"/>
        </w:rPr>
        <w:t>antenna structures</w:t>
      </w:r>
      <w:r w:rsidRPr="00153746">
        <w:rPr>
          <w:szCs w:val="22"/>
        </w:rPr>
        <w:t xml:space="preserve"> located near airports or </w:t>
      </w:r>
      <w:r w:rsidR="00EC267E" w:rsidRPr="00153746">
        <w:rPr>
          <w:szCs w:val="22"/>
        </w:rPr>
        <w:t>otherwise</w:t>
      </w:r>
      <w:r w:rsidR="00B36CDF" w:rsidRPr="00153746">
        <w:rPr>
          <w:szCs w:val="22"/>
        </w:rPr>
        <w:t xml:space="preserve"> requiring registration</w:t>
      </w:r>
      <w:r w:rsidR="00EC267E" w:rsidRPr="00153746">
        <w:rPr>
          <w:szCs w:val="22"/>
        </w:rPr>
        <w:t xml:space="preserve"> </w:t>
      </w:r>
      <w:r w:rsidR="003A3C0A" w:rsidRPr="00153746">
        <w:rPr>
          <w:szCs w:val="22"/>
        </w:rPr>
        <w:t xml:space="preserve">had not been registered </w:t>
      </w:r>
      <w:r w:rsidRPr="00153746">
        <w:rPr>
          <w:szCs w:val="22"/>
        </w:rPr>
        <w:t>with the Commission</w:t>
      </w:r>
      <w:r w:rsidR="00614340" w:rsidRPr="00153746">
        <w:rPr>
          <w:szCs w:val="22"/>
        </w:rPr>
        <w:t>’</w:t>
      </w:r>
      <w:r w:rsidRPr="00153746">
        <w:rPr>
          <w:szCs w:val="22"/>
        </w:rPr>
        <w:t xml:space="preserve">s Antenna Structure Registration (ASR) system, in violation of </w:t>
      </w:r>
      <w:r w:rsidR="003A3C0A" w:rsidRPr="00153746">
        <w:rPr>
          <w:szCs w:val="22"/>
        </w:rPr>
        <w:t>the Antenna Structure Registration Rules</w:t>
      </w:r>
      <w:r w:rsidRPr="00153746">
        <w:rPr>
          <w:szCs w:val="22"/>
        </w:rPr>
        <w:t xml:space="preserve">.  In addition, it discovered that some of the </w:t>
      </w:r>
      <w:r w:rsidR="00572509" w:rsidRPr="00153746">
        <w:rPr>
          <w:szCs w:val="22"/>
        </w:rPr>
        <w:t>antenna structures</w:t>
      </w:r>
      <w:r w:rsidRPr="00153746">
        <w:rPr>
          <w:szCs w:val="22"/>
        </w:rPr>
        <w:t xml:space="preserve"> were not properly li</w:t>
      </w:r>
      <w:r w:rsidR="003A3C0A" w:rsidRPr="00153746">
        <w:rPr>
          <w:szCs w:val="22"/>
        </w:rPr>
        <w:t>t</w:t>
      </w:r>
      <w:r w:rsidRPr="00153746">
        <w:rPr>
          <w:szCs w:val="22"/>
        </w:rPr>
        <w:t xml:space="preserve">, in violation of </w:t>
      </w:r>
      <w:r w:rsidR="003A3C0A" w:rsidRPr="00153746">
        <w:rPr>
          <w:szCs w:val="22"/>
        </w:rPr>
        <w:t>the Antenna Structure Lighting Rules</w:t>
      </w:r>
      <w:r w:rsidRPr="00153746">
        <w:rPr>
          <w:szCs w:val="22"/>
        </w:rPr>
        <w:t>.</w:t>
      </w:r>
      <w:r w:rsidR="00441B6B" w:rsidRPr="00AA2529">
        <w:rPr>
          <w:rStyle w:val="FootnoteReference"/>
          <w:sz w:val="22"/>
        </w:rPr>
        <w:footnoteReference w:id="15"/>
      </w:r>
    </w:p>
    <w:p w14:paraId="56900819" w14:textId="77777777" w:rsidR="007B0D37" w:rsidRPr="00153746" w:rsidRDefault="000E4E42">
      <w:pPr>
        <w:pStyle w:val="ParaNum"/>
        <w:rPr>
          <w:szCs w:val="22"/>
        </w:rPr>
      </w:pPr>
      <w:r w:rsidRPr="00153746">
        <w:rPr>
          <w:szCs w:val="22"/>
        </w:rPr>
        <w:t xml:space="preserve">GCI reported these apparent violations of the Antenna Structure Registration </w:t>
      </w:r>
      <w:r w:rsidR="00572509" w:rsidRPr="00153746">
        <w:rPr>
          <w:szCs w:val="22"/>
        </w:rPr>
        <w:t>Rules</w:t>
      </w:r>
      <w:r w:rsidR="00E4743F" w:rsidRPr="00153746">
        <w:rPr>
          <w:szCs w:val="22"/>
        </w:rPr>
        <w:t xml:space="preserve">, </w:t>
      </w:r>
      <w:r w:rsidRPr="00153746">
        <w:rPr>
          <w:szCs w:val="22"/>
        </w:rPr>
        <w:t>Antenna Structure Lighting Rules</w:t>
      </w:r>
      <w:r w:rsidR="00E4743F" w:rsidRPr="00153746">
        <w:rPr>
          <w:szCs w:val="22"/>
        </w:rPr>
        <w:t>, and Environmental Processing Rules</w:t>
      </w:r>
      <w:r w:rsidRPr="00153746">
        <w:rPr>
          <w:szCs w:val="22"/>
        </w:rPr>
        <w:t xml:space="preserve"> to the Commission.  Since then, GCI has undertaken a review of its </w:t>
      </w:r>
      <w:r w:rsidR="00572509" w:rsidRPr="00153746">
        <w:rPr>
          <w:szCs w:val="22"/>
        </w:rPr>
        <w:t xml:space="preserve">antenna structures </w:t>
      </w:r>
      <w:r w:rsidRPr="00153746">
        <w:rPr>
          <w:szCs w:val="22"/>
        </w:rPr>
        <w:t>to ensure that they are compliant with the</w:t>
      </w:r>
      <w:r w:rsidR="00722519" w:rsidRPr="00153746">
        <w:rPr>
          <w:szCs w:val="22"/>
        </w:rPr>
        <w:t>se</w:t>
      </w:r>
      <w:r w:rsidRPr="00153746">
        <w:rPr>
          <w:szCs w:val="22"/>
        </w:rPr>
        <w:t xml:space="preserve"> </w:t>
      </w:r>
      <w:r w:rsidR="00722519" w:rsidRPr="00153746">
        <w:rPr>
          <w:szCs w:val="22"/>
        </w:rPr>
        <w:t>r</w:t>
      </w:r>
      <w:r w:rsidRPr="00153746">
        <w:rPr>
          <w:szCs w:val="22"/>
        </w:rPr>
        <w:t>ules.  As detailed herein, GCI estimates that it will complete</w:t>
      </w:r>
      <w:r w:rsidR="00502FAF" w:rsidRPr="00153746">
        <w:rPr>
          <w:szCs w:val="22"/>
        </w:rPr>
        <w:t xml:space="preserve"> its review and bring its antenna structures into compliance with the</w:t>
      </w:r>
      <w:r w:rsidR="00722519" w:rsidRPr="00153746">
        <w:rPr>
          <w:szCs w:val="22"/>
        </w:rPr>
        <w:t>se</w:t>
      </w:r>
      <w:r w:rsidR="00502FAF" w:rsidRPr="00153746">
        <w:rPr>
          <w:szCs w:val="22"/>
        </w:rPr>
        <w:t xml:space="preserve"> </w:t>
      </w:r>
      <w:r w:rsidR="00722519" w:rsidRPr="00153746">
        <w:rPr>
          <w:szCs w:val="22"/>
        </w:rPr>
        <w:t>r</w:t>
      </w:r>
      <w:r w:rsidR="00502FAF" w:rsidRPr="00153746">
        <w:rPr>
          <w:szCs w:val="22"/>
        </w:rPr>
        <w:t>ules</w:t>
      </w:r>
      <w:r w:rsidRPr="00153746">
        <w:rPr>
          <w:szCs w:val="22"/>
        </w:rPr>
        <w:t xml:space="preserve"> </w:t>
      </w:r>
      <w:r w:rsidR="00722519" w:rsidRPr="00153746">
        <w:rPr>
          <w:szCs w:val="22"/>
        </w:rPr>
        <w:t>by no later than April 30, 2016.</w:t>
      </w:r>
    </w:p>
    <w:p w14:paraId="6E9387A9" w14:textId="77777777" w:rsidR="00E02214" w:rsidRPr="00153746" w:rsidRDefault="00E02214">
      <w:pPr>
        <w:pStyle w:val="Heading1"/>
        <w:rPr>
          <w:rFonts w:ascii="Times New Roman" w:hAnsi="Times New Roman"/>
          <w:szCs w:val="22"/>
        </w:rPr>
      </w:pPr>
      <w:bookmarkStart w:id="1" w:name="FN[FN18]"/>
      <w:bookmarkEnd w:id="1"/>
      <w:r w:rsidRPr="00153746">
        <w:rPr>
          <w:rFonts w:ascii="Times New Roman" w:hAnsi="Times New Roman"/>
          <w:szCs w:val="22"/>
        </w:rPr>
        <w:t>TERMS OF AGREEMENT</w:t>
      </w:r>
    </w:p>
    <w:p w14:paraId="2CC863C5" w14:textId="77777777" w:rsidR="00E02214" w:rsidRPr="00153746" w:rsidRDefault="00E02214">
      <w:pPr>
        <w:pStyle w:val="ParaNum"/>
        <w:rPr>
          <w:szCs w:val="22"/>
        </w:rPr>
      </w:pPr>
      <w:r w:rsidRPr="00153746">
        <w:rPr>
          <w:b/>
          <w:szCs w:val="22"/>
          <w:u w:val="single"/>
        </w:rPr>
        <w:t>Adopting Order</w:t>
      </w:r>
      <w:r w:rsidR="00CE68FE" w:rsidRPr="00153746">
        <w:rPr>
          <w:szCs w:val="22"/>
        </w:rPr>
        <w:t>.  The provisions of this Consent Decree shall be incorporated by the Bureau in an Adopting Order</w:t>
      </w:r>
      <w:r w:rsidRPr="00153746">
        <w:rPr>
          <w:szCs w:val="22"/>
        </w:rPr>
        <w:t>.</w:t>
      </w:r>
    </w:p>
    <w:p w14:paraId="1EA83C55" w14:textId="77777777" w:rsidR="00E02214" w:rsidRPr="00153746" w:rsidRDefault="00E02214">
      <w:pPr>
        <w:pStyle w:val="ParaNum"/>
        <w:rPr>
          <w:szCs w:val="22"/>
        </w:rPr>
      </w:pPr>
      <w:r w:rsidRPr="00153746">
        <w:rPr>
          <w:b/>
          <w:szCs w:val="22"/>
          <w:u w:val="single"/>
        </w:rPr>
        <w:t>Jurisdiction</w:t>
      </w:r>
      <w:r w:rsidRPr="00153746">
        <w:rPr>
          <w:szCs w:val="22"/>
        </w:rPr>
        <w:t xml:space="preserve">.  </w:t>
      </w:r>
      <w:r w:rsidR="00881AE1" w:rsidRPr="00153746">
        <w:rPr>
          <w:szCs w:val="22"/>
        </w:rPr>
        <w:t xml:space="preserve">GCI </w:t>
      </w:r>
      <w:r w:rsidRPr="00153746">
        <w:rPr>
          <w:szCs w:val="22"/>
        </w:rPr>
        <w:t>agrees that the Bureau has jurisdiction over it and the matters contained in this Con</w:t>
      </w:r>
      <w:r w:rsidR="00073450" w:rsidRPr="00153746">
        <w:rPr>
          <w:szCs w:val="22"/>
        </w:rPr>
        <w:t xml:space="preserve">sent Decree and </w:t>
      </w:r>
      <w:r w:rsidRPr="00153746">
        <w:rPr>
          <w:szCs w:val="22"/>
        </w:rPr>
        <w:t>has the authority to enter into and adopt this Consent Decree.</w:t>
      </w:r>
    </w:p>
    <w:p w14:paraId="371F5276" w14:textId="77777777" w:rsidR="0013249B" w:rsidRPr="00153746" w:rsidRDefault="00E02214">
      <w:pPr>
        <w:pStyle w:val="ParaNum"/>
        <w:rPr>
          <w:szCs w:val="22"/>
        </w:rPr>
      </w:pPr>
      <w:r w:rsidRPr="00153746">
        <w:rPr>
          <w:b/>
          <w:szCs w:val="22"/>
          <w:u w:val="single"/>
        </w:rPr>
        <w:t>Effective Date; Violations</w:t>
      </w:r>
      <w:r w:rsidRPr="00153746">
        <w:rPr>
          <w:szCs w:val="22"/>
        </w:rPr>
        <w:t xml:space="preserve">.  The Parties agree that this Consent Decree shall become effective on the Effective Date as defined herein.  As of the Effective Date, the </w:t>
      </w:r>
      <w:r w:rsidR="00CE68FE" w:rsidRPr="00153746">
        <w:rPr>
          <w:szCs w:val="22"/>
        </w:rPr>
        <w:t xml:space="preserve">Parties agree that </w:t>
      </w:r>
      <w:r w:rsidRPr="00153746">
        <w:rPr>
          <w:szCs w:val="22"/>
        </w:rPr>
        <w:t xml:space="preserve">this Consent Decree shall have the same force and effect as any other order of the Commission.  </w:t>
      </w:r>
    </w:p>
    <w:p w14:paraId="47AB3A94" w14:textId="7B10B411" w:rsidR="006B3C40" w:rsidRPr="00153746" w:rsidRDefault="00E02214" w:rsidP="00E54494">
      <w:pPr>
        <w:pStyle w:val="ParaNum"/>
        <w:rPr>
          <w:szCs w:val="22"/>
        </w:rPr>
      </w:pPr>
      <w:r w:rsidRPr="00153746">
        <w:rPr>
          <w:b/>
          <w:szCs w:val="22"/>
          <w:u w:val="single"/>
        </w:rPr>
        <w:t>Termination of Investigation</w:t>
      </w:r>
      <w:r w:rsidRPr="00153746">
        <w:rPr>
          <w:szCs w:val="22"/>
        </w:rPr>
        <w:t>.  In express reliance on the covenants and representations in this Consent Decree and to avoid further expenditure of public resources, the Bureau agrees to terminate the Investigation</w:t>
      </w:r>
      <w:r w:rsidR="006464E5" w:rsidRPr="00153746">
        <w:rPr>
          <w:szCs w:val="22"/>
        </w:rPr>
        <w:t>.</w:t>
      </w:r>
      <w:r w:rsidR="00296428" w:rsidRPr="00153746">
        <w:rPr>
          <w:szCs w:val="22"/>
        </w:rPr>
        <w:t xml:space="preserve">  I</w:t>
      </w:r>
      <w:r w:rsidRPr="00153746">
        <w:rPr>
          <w:szCs w:val="22"/>
        </w:rPr>
        <w:t xml:space="preserve">n consideration for </w:t>
      </w:r>
      <w:r w:rsidR="007A541A" w:rsidRPr="00153746">
        <w:rPr>
          <w:szCs w:val="22"/>
        </w:rPr>
        <w:t xml:space="preserve">the </w:t>
      </w:r>
      <w:r w:rsidRPr="00153746">
        <w:rPr>
          <w:szCs w:val="22"/>
        </w:rPr>
        <w:t xml:space="preserve">termination of the Investigation, </w:t>
      </w:r>
      <w:r w:rsidR="00881AE1" w:rsidRPr="00153746">
        <w:rPr>
          <w:szCs w:val="22"/>
        </w:rPr>
        <w:t xml:space="preserve">GCI </w:t>
      </w:r>
      <w:r w:rsidR="006A0CCD" w:rsidRPr="00153746">
        <w:rPr>
          <w:szCs w:val="22"/>
        </w:rPr>
        <w:t>a</w:t>
      </w:r>
      <w:r w:rsidRPr="00153746">
        <w:rPr>
          <w:szCs w:val="22"/>
        </w:rPr>
        <w:t xml:space="preserve">grees to the terms, conditions, and procedures contained herein. </w:t>
      </w:r>
      <w:r w:rsidR="00073450" w:rsidRPr="00153746">
        <w:rPr>
          <w:szCs w:val="22"/>
        </w:rPr>
        <w:t xml:space="preserve"> The Bureau further agrees that,</w:t>
      </w:r>
      <w:r w:rsidRPr="00153746">
        <w:rPr>
          <w:szCs w:val="22"/>
        </w:rPr>
        <w:t xml:space="preserve"> in the absence of n</w:t>
      </w:r>
      <w:r w:rsidR="00076C13" w:rsidRPr="00153746">
        <w:rPr>
          <w:szCs w:val="22"/>
        </w:rPr>
        <w:t>ew material evidence, it</w:t>
      </w:r>
      <w:r w:rsidRPr="00153746">
        <w:rPr>
          <w:szCs w:val="22"/>
        </w:rPr>
        <w:t xml:space="preserve"> will not</w:t>
      </w:r>
      <w:r w:rsidR="00683B2D" w:rsidRPr="00153746">
        <w:rPr>
          <w:szCs w:val="22"/>
        </w:rPr>
        <w:t xml:space="preserve"> use the facts developed in the</w:t>
      </w:r>
      <w:r w:rsidRPr="00153746">
        <w:rPr>
          <w:szCs w:val="22"/>
        </w:rPr>
        <w:t xml:space="preserve"> Investigation through the Effective Date, or the existence of this Consent Decree, to institute, on its own motion, any new proceeding, formal or informal, or take any action on its own motion against </w:t>
      </w:r>
      <w:r w:rsidR="00881AE1" w:rsidRPr="00153746">
        <w:rPr>
          <w:szCs w:val="22"/>
        </w:rPr>
        <w:t xml:space="preserve">GCI </w:t>
      </w:r>
      <w:r w:rsidRPr="00153746">
        <w:rPr>
          <w:szCs w:val="22"/>
        </w:rPr>
        <w:t xml:space="preserve">concerning the matters that were the subject of the Investigation.  </w:t>
      </w:r>
      <w:r w:rsidR="006B3C40" w:rsidRPr="00153746">
        <w:rPr>
          <w:szCs w:val="22"/>
        </w:rPr>
        <w:t xml:space="preserve">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w:t>
      </w:r>
      <w:r w:rsidR="007F327A" w:rsidRPr="00153746">
        <w:rPr>
          <w:szCs w:val="22"/>
        </w:rPr>
        <w:t>GCI</w:t>
      </w:r>
      <w:r w:rsidR="007E4AF8" w:rsidRPr="00153746">
        <w:rPr>
          <w:szCs w:val="22"/>
        </w:rPr>
        <w:t>’</w:t>
      </w:r>
      <w:r w:rsidR="006B3C40" w:rsidRPr="00153746">
        <w:rPr>
          <w:szCs w:val="22"/>
        </w:rPr>
        <w:t>s basic qualifications to be a Commission licensee or hold Commission licenses or authorizations.</w:t>
      </w:r>
      <w:r w:rsidR="006B3C40" w:rsidRPr="00153746">
        <w:rPr>
          <w:rStyle w:val="FootnoteReference"/>
          <w:sz w:val="22"/>
          <w:szCs w:val="22"/>
        </w:rPr>
        <w:footnoteReference w:id="16"/>
      </w:r>
      <w:r w:rsidR="003A3C0A" w:rsidRPr="00153746">
        <w:rPr>
          <w:szCs w:val="22"/>
        </w:rPr>
        <w:t xml:space="preserve">  </w:t>
      </w:r>
      <w:r w:rsidR="00E54494" w:rsidRPr="00153746">
        <w:rPr>
          <w:szCs w:val="22"/>
        </w:rPr>
        <w:t>The Bureau also agrees that, in the absence of new material evidence</w:t>
      </w:r>
      <w:r w:rsidR="008C3BDF">
        <w:rPr>
          <w:szCs w:val="22"/>
        </w:rPr>
        <w:t>,</w:t>
      </w:r>
      <w:r w:rsidR="00E54494" w:rsidRPr="00153746">
        <w:rPr>
          <w:szCs w:val="22"/>
        </w:rPr>
        <w:t xml:space="preserve"> including any Environmental Assessment </w:t>
      </w:r>
      <w:r w:rsidR="0081645F">
        <w:rPr>
          <w:szCs w:val="22"/>
        </w:rPr>
        <w:t xml:space="preserve">required under Section 1.1307(a)-(b) of the Rules </w:t>
      </w:r>
      <w:r w:rsidR="00E54494" w:rsidRPr="00153746">
        <w:rPr>
          <w:szCs w:val="22"/>
        </w:rPr>
        <w:t>that finds a significant adverse impact that cannot be adequately mitigated, it will not use any information resulting from GCI’s efforts to bring its antenna structures into compliance with the Environmental Processing Rules pursuant to Section 12(b) to institute on its own motion any proceeding, formal or informal, or take any action on its own motion against GCI concerning compliance with the Environmental Processing Rules</w:t>
      </w:r>
      <w:r w:rsidR="00B75B87" w:rsidRPr="00153746">
        <w:rPr>
          <w:szCs w:val="22"/>
        </w:rPr>
        <w:t xml:space="preserve"> with respect to the antenna structures that are the subject of the reported apparent violations referred to in paragraph 5, above</w:t>
      </w:r>
      <w:r w:rsidR="00E54494" w:rsidRPr="00153746">
        <w:rPr>
          <w:szCs w:val="22"/>
        </w:rPr>
        <w:t>.</w:t>
      </w:r>
    </w:p>
    <w:p w14:paraId="0EF32512" w14:textId="77777777" w:rsidR="00F16CFE" w:rsidRPr="00153746" w:rsidRDefault="00F16CFE">
      <w:pPr>
        <w:pStyle w:val="ParaNum"/>
        <w:rPr>
          <w:szCs w:val="22"/>
        </w:rPr>
      </w:pPr>
      <w:r w:rsidRPr="00153746">
        <w:rPr>
          <w:b/>
          <w:szCs w:val="22"/>
          <w:u w:val="single"/>
        </w:rPr>
        <w:t>Admission of Liability</w:t>
      </w:r>
      <w:r w:rsidR="00881AE1" w:rsidRPr="00153746">
        <w:rPr>
          <w:szCs w:val="22"/>
        </w:rPr>
        <w:t xml:space="preserve">.  GCI </w:t>
      </w:r>
      <w:r w:rsidRPr="00153746">
        <w:rPr>
          <w:szCs w:val="22"/>
        </w:rPr>
        <w:t xml:space="preserve">admits for the purpose of this Consent Decree and for Commission civil enforcement purposes, and in express reliance on the provisions of paragraph </w:t>
      </w:r>
      <w:r w:rsidR="008162C7" w:rsidRPr="00153746">
        <w:rPr>
          <w:szCs w:val="22"/>
        </w:rPr>
        <w:t>9</w:t>
      </w:r>
      <w:r w:rsidRPr="00153746">
        <w:rPr>
          <w:szCs w:val="22"/>
        </w:rPr>
        <w:t xml:space="preserve"> herein,</w:t>
      </w:r>
      <w:r w:rsidR="00BC7594" w:rsidRPr="00153746">
        <w:rPr>
          <w:szCs w:val="22"/>
        </w:rPr>
        <w:t xml:space="preserve"> that its actions that were the subject of the </w:t>
      </w:r>
      <w:r w:rsidR="008162C7" w:rsidRPr="00153746">
        <w:rPr>
          <w:szCs w:val="22"/>
        </w:rPr>
        <w:t>I</w:t>
      </w:r>
      <w:r w:rsidR="00BC7594" w:rsidRPr="00153746">
        <w:rPr>
          <w:szCs w:val="22"/>
        </w:rPr>
        <w:t>nvestigation violated the</w:t>
      </w:r>
      <w:r w:rsidR="00F80F88" w:rsidRPr="00153746">
        <w:rPr>
          <w:szCs w:val="22"/>
        </w:rPr>
        <w:t xml:space="preserve"> </w:t>
      </w:r>
      <w:r w:rsidR="008162C7" w:rsidRPr="00153746">
        <w:rPr>
          <w:szCs w:val="22"/>
        </w:rPr>
        <w:t>Antenna Structure Lighting Rules</w:t>
      </w:r>
      <w:r w:rsidR="00B75B87" w:rsidRPr="00153746">
        <w:rPr>
          <w:szCs w:val="22"/>
        </w:rPr>
        <w:t xml:space="preserve"> and</w:t>
      </w:r>
      <w:r w:rsidR="008162C7" w:rsidRPr="00153746">
        <w:rPr>
          <w:szCs w:val="22"/>
        </w:rPr>
        <w:t xml:space="preserve"> Antenna Structure Registration </w:t>
      </w:r>
      <w:r w:rsidR="00BC7594" w:rsidRPr="00153746">
        <w:rPr>
          <w:szCs w:val="22"/>
        </w:rPr>
        <w:t>Rules.</w:t>
      </w:r>
    </w:p>
    <w:p w14:paraId="20E1ED32" w14:textId="30D98882" w:rsidR="00C90038" w:rsidRPr="00153746" w:rsidRDefault="00E02214" w:rsidP="009B050F">
      <w:pPr>
        <w:pStyle w:val="ParaNum"/>
        <w:rPr>
          <w:szCs w:val="22"/>
        </w:rPr>
      </w:pPr>
      <w:bookmarkStart w:id="2" w:name="_Ref379202869"/>
      <w:r w:rsidRPr="00153746">
        <w:rPr>
          <w:b/>
          <w:szCs w:val="22"/>
          <w:u w:val="single"/>
        </w:rPr>
        <w:t>Compliance Officer</w:t>
      </w:r>
      <w:r w:rsidRPr="00153746">
        <w:rPr>
          <w:szCs w:val="22"/>
        </w:rPr>
        <w:t xml:space="preserve">.  </w:t>
      </w:r>
      <w:r w:rsidR="00C90038" w:rsidRPr="00153746">
        <w:rPr>
          <w:szCs w:val="22"/>
        </w:rPr>
        <w:t xml:space="preserve">Within thirty (30) calendar days after the Effective Date, GCI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GCI complies with the terms and conditions of the Compliance Plan and this Consent Decree.  In addition to the general knowledge of the Communications Laws necessary to discharge his or her duties under this Consent Decree, the Compliance Officer shall have specific knowledge of the </w:t>
      </w:r>
      <w:r w:rsidR="00131E10" w:rsidRPr="00153746">
        <w:rPr>
          <w:szCs w:val="22"/>
        </w:rPr>
        <w:t>Antenna Structure Lighting Rules, Antenna Structure Registration Rules, and Environmental Processing Rules</w:t>
      </w:r>
      <w:r w:rsidR="008C3BDF">
        <w:rPr>
          <w:szCs w:val="22"/>
        </w:rPr>
        <w:t xml:space="preserve"> prior to assuming his/her duties</w:t>
      </w:r>
      <w:r w:rsidR="00945DB8" w:rsidRPr="00153746">
        <w:rPr>
          <w:szCs w:val="22"/>
        </w:rPr>
        <w:t>.</w:t>
      </w:r>
    </w:p>
    <w:p w14:paraId="16555FD9" w14:textId="57BE271F" w:rsidR="00C90038" w:rsidRPr="00153746" w:rsidRDefault="00E02214">
      <w:pPr>
        <w:pStyle w:val="ParaNum"/>
        <w:rPr>
          <w:szCs w:val="22"/>
        </w:rPr>
      </w:pPr>
      <w:bookmarkStart w:id="3" w:name="_Ref357521857"/>
      <w:bookmarkEnd w:id="2"/>
      <w:r w:rsidRPr="00153746">
        <w:rPr>
          <w:b/>
          <w:szCs w:val="22"/>
          <w:u w:val="single"/>
        </w:rPr>
        <w:t>Compliance Plan</w:t>
      </w:r>
      <w:r w:rsidRPr="00153746">
        <w:rPr>
          <w:szCs w:val="22"/>
        </w:rPr>
        <w:t xml:space="preserve">.  </w:t>
      </w:r>
      <w:r w:rsidR="00C90038" w:rsidRPr="00153746">
        <w:rPr>
          <w:szCs w:val="22"/>
        </w:rPr>
        <w:t xml:space="preserve">For purposes of settling the matters set forth herein, GCI agrees that it shall, within </w:t>
      </w:r>
      <w:r w:rsidR="00C90038" w:rsidRPr="00153746">
        <w:rPr>
          <w:szCs w:val="22"/>
          <w:shd w:val="clear" w:color="auto" w:fill="FFFFFF" w:themeFill="background1"/>
        </w:rPr>
        <w:t>sixty (60) calendar days</w:t>
      </w:r>
      <w:r w:rsidR="00C90038" w:rsidRPr="00153746">
        <w:rPr>
          <w:szCs w:val="22"/>
        </w:rPr>
        <w:t xml:space="preserve"> after the Effective Date, develop and implement a Compliance Plan designed to ensure future compliance with the Communications Laws and with the terms and conditions of this Consent Decree.  </w:t>
      </w:r>
      <w:r w:rsidR="008C3BDF">
        <w:rPr>
          <w:szCs w:val="22"/>
        </w:rPr>
        <w:t xml:space="preserve">With respect to the </w:t>
      </w:r>
      <w:r w:rsidR="008C3BDF" w:rsidRPr="00153746">
        <w:rPr>
          <w:szCs w:val="22"/>
        </w:rPr>
        <w:t>Antenna Structure Registration Rules</w:t>
      </w:r>
      <w:r w:rsidR="008C3BDF">
        <w:rPr>
          <w:szCs w:val="22"/>
        </w:rPr>
        <w:t>,</w:t>
      </w:r>
      <w:r w:rsidR="008C3BDF" w:rsidRPr="00153746">
        <w:rPr>
          <w:szCs w:val="22"/>
        </w:rPr>
        <w:t xml:space="preserve"> Antenna Structure Lighting Rules</w:t>
      </w:r>
      <w:r w:rsidR="008C3BDF">
        <w:rPr>
          <w:szCs w:val="22"/>
        </w:rPr>
        <w:t xml:space="preserve"> and </w:t>
      </w:r>
      <w:r w:rsidR="008C3BDF" w:rsidRPr="00153746">
        <w:rPr>
          <w:szCs w:val="22"/>
        </w:rPr>
        <w:t>Environmental Processing Rules</w:t>
      </w:r>
      <w:r w:rsidR="008C3BDF">
        <w:rPr>
          <w:szCs w:val="22"/>
        </w:rPr>
        <w:t xml:space="preserve">, </w:t>
      </w:r>
      <w:r w:rsidR="00C90038" w:rsidRPr="00153746">
        <w:rPr>
          <w:szCs w:val="22"/>
        </w:rPr>
        <w:t>GCI will implement, at a minimum, the following procedures:</w:t>
      </w:r>
    </w:p>
    <w:bookmarkEnd w:id="3"/>
    <w:p w14:paraId="644AC2A6" w14:textId="0C848D9E" w:rsidR="0086264E" w:rsidRPr="008D422C" w:rsidRDefault="00356081" w:rsidP="00AA2529">
      <w:pPr>
        <w:numPr>
          <w:ilvl w:val="0"/>
          <w:numId w:val="6"/>
        </w:numPr>
        <w:tabs>
          <w:tab w:val="num" w:pos="1692"/>
          <w:tab w:val="num" w:pos="1872"/>
        </w:tabs>
        <w:snapToGrid w:val="0"/>
        <w:spacing w:after="120"/>
        <w:ind w:left="2700"/>
        <w:rPr>
          <w:szCs w:val="22"/>
        </w:rPr>
      </w:pPr>
      <w:r w:rsidRPr="00AA2529">
        <w:t xml:space="preserve"> </w:t>
      </w:r>
      <w:r w:rsidR="00C90038" w:rsidRPr="008D422C">
        <w:rPr>
          <w:b/>
          <w:szCs w:val="22"/>
          <w:u w:val="single"/>
        </w:rPr>
        <w:t>Registration of All Existing Structures</w:t>
      </w:r>
      <w:r w:rsidR="0085048F" w:rsidRPr="008D422C">
        <w:rPr>
          <w:szCs w:val="22"/>
        </w:rPr>
        <w:t xml:space="preserve">  On or before April 30, 2016, GCI will </w:t>
      </w:r>
      <w:r w:rsidR="00C90038" w:rsidRPr="008D422C">
        <w:rPr>
          <w:szCs w:val="22"/>
        </w:rPr>
        <w:t>(i) complete registration and, where applicable, lighting of all existing structures that it owns or controls that are required to be registered or lit, pursuant to the</w:t>
      </w:r>
      <w:r w:rsidR="00B75863" w:rsidRPr="008D422C">
        <w:rPr>
          <w:szCs w:val="22"/>
        </w:rPr>
        <w:t xml:space="preserve"> Antenna Structure Registration Rules and Antenna Structure Lighting Rules</w:t>
      </w:r>
      <w:r w:rsidR="00C90038" w:rsidRPr="008D422C">
        <w:rPr>
          <w:szCs w:val="22"/>
        </w:rPr>
        <w:t>, and (ii)</w:t>
      </w:r>
      <w:r w:rsidR="00B36CDF" w:rsidRPr="008D422C">
        <w:rPr>
          <w:szCs w:val="22"/>
        </w:rPr>
        <w:t xml:space="preserve"> either</w:t>
      </w:r>
      <w:r w:rsidR="00C90038" w:rsidRPr="008D422C">
        <w:rPr>
          <w:szCs w:val="22"/>
        </w:rPr>
        <w:t xml:space="preserve"> have ascertained that any structures owned or controlled by third parties on which GCI has collocated an antenna subject to the </w:t>
      </w:r>
      <w:r w:rsidR="003A3C0A" w:rsidRPr="008D422C">
        <w:rPr>
          <w:szCs w:val="22"/>
        </w:rPr>
        <w:t>A</w:t>
      </w:r>
      <w:r w:rsidR="00C90038" w:rsidRPr="008D422C">
        <w:rPr>
          <w:szCs w:val="22"/>
        </w:rPr>
        <w:t xml:space="preserve">ntenna </w:t>
      </w:r>
      <w:r w:rsidR="003A3C0A" w:rsidRPr="008D422C">
        <w:rPr>
          <w:szCs w:val="22"/>
        </w:rPr>
        <w:t>S</w:t>
      </w:r>
      <w:r w:rsidR="00C90038" w:rsidRPr="008D422C">
        <w:rPr>
          <w:szCs w:val="22"/>
        </w:rPr>
        <w:t xml:space="preserve">tructure </w:t>
      </w:r>
      <w:r w:rsidR="003A3C0A" w:rsidRPr="008D422C">
        <w:rPr>
          <w:szCs w:val="22"/>
        </w:rPr>
        <w:t>R</w:t>
      </w:r>
      <w:r w:rsidR="00C90038" w:rsidRPr="008D422C">
        <w:rPr>
          <w:szCs w:val="22"/>
        </w:rPr>
        <w:t xml:space="preserve">egistration </w:t>
      </w:r>
      <w:r w:rsidR="003A3C0A" w:rsidRPr="008D422C">
        <w:rPr>
          <w:szCs w:val="22"/>
        </w:rPr>
        <w:t>R</w:t>
      </w:r>
      <w:r w:rsidR="00C90038" w:rsidRPr="008D422C">
        <w:rPr>
          <w:szCs w:val="22"/>
        </w:rPr>
        <w:t xml:space="preserve">ules </w:t>
      </w:r>
      <w:r w:rsidR="00905548" w:rsidRPr="008D422C">
        <w:rPr>
          <w:szCs w:val="22"/>
        </w:rPr>
        <w:t xml:space="preserve">and Antenna Structure Lighting Rules </w:t>
      </w:r>
      <w:r w:rsidR="00C90038" w:rsidRPr="008D422C">
        <w:rPr>
          <w:szCs w:val="22"/>
        </w:rPr>
        <w:t>have been registered by such third party</w:t>
      </w:r>
      <w:r w:rsidR="00B36CDF" w:rsidRPr="008D422C">
        <w:rPr>
          <w:szCs w:val="22"/>
        </w:rPr>
        <w:t xml:space="preserve"> or</w:t>
      </w:r>
      <w:r w:rsidR="00C90038" w:rsidRPr="008D422C">
        <w:rPr>
          <w:szCs w:val="22"/>
        </w:rPr>
        <w:t xml:space="preserve"> do not require registration</w:t>
      </w:r>
      <w:r w:rsidR="00B75863" w:rsidRPr="008D422C">
        <w:rPr>
          <w:szCs w:val="22"/>
        </w:rPr>
        <w:t>,</w:t>
      </w:r>
      <w:r w:rsidR="00C90038" w:rsidRPr="008D422C">
        <w:rPr>
          <w:szCs w:val="22"/>
        </w:rPr>
        <w:t xml:space="preserve"> </w:t>
      </w:r>
      <w:r w:rsidR="00B36CDF" w:rsidRPr="008D422C">
        <w:rPr>
          <w:szCs w:val="22"/>
        </w:rPr>
        <w:t xml:space="preserve">or </w:t>
      </w:r>
      <w:r w:rsidR="00C90038" w:rsidRPr="008D422C">
        <w:rPr>
          <w:szCs w:val="22"/>
        </w:rPr>
        <w:t xml:space="preserve">have registered </w:t>
      </w:r>
      <w:r w:rsidR="00B36CDF" w:rsidRPr="008D422C">
        <w:rPr>
          <w:szCs w:val="22"/>
        </w:rPr>
        <w:t>the structures in place of the structure owner/controlling party</w:t>
      </w:r>
      <w:r w:rsidR="009309E5" w:rsidRPr="008D422C">
        <w:rPr>
          <w:szCs w:val="22"/>
        </w:rPr>
        <w:t>,</w:t>
      </w:r>
      <w:r w:rsidR="00EF43C2" w:rsidRPr="008D422C">
        <w:rPr>
          <w:szCs w:val="22"/>
        </w:rPr>
        <w:t xml:space="preserve"> or </w:t>
      </w:r>
      <w:r w:rsidR="009309E5" w:rsidRPr="008D422C">
        <w:rPr>
          <w:szCs w:val="22"/>
        </w:rPr>
        <w:t xml:space="preserve">have </w:t>
      </w:r>
      <w:r w:rsidR="00EF43C2" w:rsidRPr="008D422C">
        <w:rPr>
          <w:szCs w:val="22"/>
        </w:rPr>
        <w:t>reported the structure owner/controlling party to the Bureau in accordance with subsection (iv)(</w:t>
      </w:r>
      <w:r w:rsidR="00D308CF">
        <w:rPr>
          <w:szCs w:val="22"/>
        </w:rPr>
        <w:t>5</w:t>
      </w:r>
      <w:r w:rsidR="00EF43C2" w:rsidRPr="008D422C">
        <w:rPr>
          <w:szCs w:val="22"/>
        </w:rPr>
        <w:t>) below</w:t>
      </w:r>
      <w:r w:rsidR="00C90038" w:rsidRPr="008D422C">
        <w:rPr>
          <w:szCs w:val="22"/>
        </w:rPr>
        <w:t xml:space="preserve">.  In the event of a force majeure or a delay awaiting action by another federal agency beyond GCI’s control that precludes completion of all such registrations by that date, or meeting any of the benchmarks set forth below, </w:t>
      </w:r>
      <w:r w:rsidR="00FC110A" w:rsidRPr="008D422C">
        <w:rPr>
          <w:szCs w:val="22"/>
        </w:rPr>
        <w:t xml:space="preserve">GCI may request an extension of the deadline; the extension request should provide a showing that </w:t>
      </w:r>
      <w:r w:rsidR="00A944DB" w:rsidRPr="008D422C">
        <w:rPr>
          <w:szCs w:val="22"/>
        </w:rPr>
        <w:t>the delay is caused by</w:t>
      </w:r>
      <w:r w:rsidR="0079280A" w:rsidRPr="008D422C">
        <w:rPr>
          <w:szCs w:val="22"/>
        </w:rPr>
        <w:t xml:space="preserve"> force majeure or by</w:t>
      </w:r>
      <w:r w:rsidR="00A944DB" w:rsidRPr="008D422C">
        <w:rPr>
          <w:szCs w:val="22"/>
        </w:rPr>
        <w:t xml:space="preserve"> the other federal agency involved, and is not the result of inadequate cooperation by GCI</w:t>
      </w:r>
      <w:r w:rsidR="00FC110A" w:rsidRPr="008D422C">
        <w:rPr>
          <w:szCs w:val="22"/>
        </w:rPr>
        <w:t>.</w:t>
      </w:r>
      <w:r w:rsidR="00C90038" w:rsidRPr="008D422C">
        <w:rPr>
          <w:szCs w:val="22"/>
        </w:rPr>
        <w:t xml:space="preserve"> </w:t>
      </w:r>
    </w:p>
    <w:p w14:paraId="231A4AB3" w14:textId="36F97E86" w:rsidR="00D558A4" w:rsidRPr="00153746" w:rsidRDefault="00C90038" w:rsidP="00D308CF">
      <w:pPr>
        <w:pStyle w:val="ListParagraph"/>
        <w:widowControl/>
        <w:numPr>
          <w:ilvl w:val="2"/>
          <w:numId w:val="6"/>
        </w:numPr>
        <w:tabs>
          <w:tab w:val="num" w:pos="2700"/>
        </w:tabs>
        <w:snapToGrid w:val="0"/>
        <w:spacing w:after="120"/>
        <w:ind w:left="2707" w:hanging="288"/>
        <w:rPr>
          <w:sz w:val="22"/>
          <w:szCs w:val="22"/>
        </w:rPr>
      </w:pPr>
      <w:r w:rsidRPr="00153746">
        <w:rPr>
          <w:b/>
          <w:sz w:val="22"/>
          <w:szCs w:val="22"/>
        </w:rPr>
        <w:t>FAA Review and ASR Registration of All Existing GCI Structures</w:t>
      </w:r>
      <w:r w:rsidRPr="00153746">
        <w:rPr>
          <w:sz w:val="22"/>
          <w:szCs w:val="22"/>
        </w:rPr>
        <w:t xml:space="preserve">.  </w:t>
      </w:r>
      <w:r w:rsidR="00AD778B">
        <w:rPr>
          <w:sz w:val="22"/>
          <w:szCs w:val="22"/>
        </w:rPr>
        <w:t xml:space="preserve">As of </w:t>
      </w:r>
      <w:r w:rsidRPr="00153746">
        <w:rPr>
          <w:sz w:val="22"/>
          <w:szCs w:val="22"/>
        </w:rPr>
        <w:t xml:space="preserve">October 1, 2015, GCI </w:t>
      </w:r>
      <w:r w:rsidR="00AD778B">
        <w:rPr>
          <w:sz w:val="22"/>
          <w:szCs w:val="22"/>
        </w:rPr>
        <w:t xml:space="preserve">has </w:t>
      </w:r>
      <w:r w:rsidRPr="00153746">
        <w:rPr>
          <w:sz w:val="22"/>
          <w:szCs w:val="22"/>
        </w:rPr>
        <w:t>submitted for FAA review a</w:t>
      </w:r>
      <w:r w:rsidR="00477704" w:rsidRPr="00153746">
        <w:rPr>
          <w:sz w:val="22"/>
          <w:szCs w:val="22"/>
        </w:rPr>
        <w:t xml:space="preserve">ll </w:t>
      </w:r>
      <w:r w:rsidRPr="00153746">
        <w:rPr>
          <w:sz w:val="22"/>
          <w:szCs w:val="22"/>
        </w:rPr>
        <w:t xml:space="preserve">structures that </w:t>
      </w:r>
      <w:r w:rsidR="00477704" w:rsidRPr="00153746">
        <w:rPr>
          <w:sz w:val="22"/>
          <w:szCs w:val="22"/>
        </w:rPr>
        <w:t xml:space="preserve">it </w:t>
      </w:r>
      <w:r w:rsidRPr="00153746">
        <w:rPr>
          <w:sz w:val="22"/>
          <w:szCs w:val="22"/>
        </w:rPr>
        <w:t xml:space="preserve">owns or controls that require such review.  </w:t>
      </w:r>
      <w:r w:rsidR="00945DB8" w:rsidRPr="00153746">
        <w:rPr>
          <w:sz w:val="22"/>
          <w:szCs w:val="22"/>
        </w:rPr>
        <w:t xml:space="preserve">GCI will complete ASR registration </w:t>
      </w:r>
      <w:r w:rsidRPr="00153746">
        <w:rPr>
          <w:sz w:val="22"/>
          <w:szCs w:val="22"/>
        </w:rPr>
        <w:t xml:space="preserve">within ten </w:t>
      </w:r>
      <w:r w:rsidR="00307102" w:rsidRPr="00153746">
        <w:rPr>
          <w:sz w:val="22"/>
          <w:szCs w:val="22"/>
        </w:rPr>
        <w:t xml:space="preserve">(10) </w:t>
      </w:r>
      <w:r w:rsidRPr="00153746">
        <w:rPr>
          <w:sz w:val="22"/>
          <w:szCs w:val="22"/>
        </w:rPr>
        <w:t xml:space="preserve">business days of receipt of notice of completion of the determination of </w:t>
      </w:r>
      <w:r w:rsidR="00851A45">
        <w:rPr>
          <w:sz w:val="22"/>
          <w:szCs w:val="22"/>
        </w:rPr>
        <w:t>“</w:t>
      </w:r>
      <w:r w:rsidRPr="00153746">
        <w:rPr>
          <w:sz w:val="22"/>
          <w:szCs w:val="22"/>
        </w:rPr>
        <w:t>no hazard</w:t>
      </w:r>
      <w:r w:rsidR="00851A45">
        <w:rPr>
          <w:sz w:val="22"/>
          <w:szCs w:val="22"/>
        </w:rPr>
        <w:t>”</w:t>
      </w:r>
      <w:r w:rsidRPr="00153746">
        <w:rPr>
          <w:sz w:val="22"/>
          <w:szCs w:val="22"/>
        </w:rPr>
        <w:t xml:space="preserve"> issued by the FAA.</w:t>
      </w:r>
      <w:r w:rsidR="0079280A" w:rsidRPr="00153746">
        <w:rPr>
          <w:sz w:val="22"/>
          <w:szCs w:val="22"/>
        </w:rPr>
        <w:t xml:space="preserve">  In the event GCI has not by this date completed environmental review or environmental notification for any structure as required under the</w:t>
      </w:r>
      <w:r w:rsidR="00B8537D" w:rsidRPr="00153746">
        <w:rPr>
          <w:sz w:val="22"/>
          <w:szCs w:val="22"/>
        </w:rPr>
        <w:t xml:space="preserve"> Environmental Processing Rules</w:t>
      </w:r>
      <w:r w:rsidR="0079280A" w:rsidRPr="00153746">
        <w:rPr>
          <w:sz w:val="22"/>
          <w:szCs w:val="22"/>
        </w:rPr>
        <w:t xml:space="preserve">, GCI will contact </w:t>
      </w:r>
      <w:r w:rsidR="00502FAF" w:rsidRPr="00153746">
        <w:rPr>
          <w:sz w:val="22"/>
          <w:szCs w:val="22"/>
        </w:rPr>
        <w:t>WTB</w:t>
      </w:r>
      <w:r w:rsidR="00E33AB8" w:rsidRPr="00153746">
        <w:rPr>
          <w:sz w:val="22"/>
          <w:szCs w:val="22"/>
        </w:rPr>
        <w:t xml:space="preserve"> </w:t>
      </w:r>
      <w:r w:rsidR="0079280A" w:rsidRPr="00153746">
        <w:rPr>
          <w:sz w:val="22"/>
          <w:szCs w:val="22"/>
        </w:rPr>
        <w:t xml:space="preserve">to request conditional registration in accordance with </w:t>
      </w:r>
      <w:r w:rsidR="00502FAF" w:rsidRPr="00153746">
        <w:rPr>
          <w:sz w:val="22"/>
          <w:szCs w:val="22"/>
        </w:rPr>
        <w:t>WTB’s</w:t>
      </w:r>
      <w:r w:rsidR="0079280A" w:rsidRPr="00153746">
        <w:rPr>
          <w:sz w:val="22"/>
          <w:szCs w:val="22"/>
        </w:rPr>
        <w:t xml:space="preserve"> established procedures.</w:t>
      </w:r>
      <w:r w:rsidRPr="00153746">
        <w:rPr>
          <w:sz w:val="22"/>
          <w:szCs w:val="22"/>
        </w:rPr>
        <w:t xml:space="preserve">  If the FAA determines that lighting is required</w:t>
      </w:r>
      <w:r w:rsidR="007A47C4" w:rsidRPr="00153746">
        <w:rPr>
          <w:sz w:val="22"/>
          <w:szCs w:val="22"/>
        </w:rPr>
        <w:t xml:space="preserve"> for any structure and the structure is not already lit in accordance with the FAA’s determination</w:t>
      </w:r>
      <w:r w:rsidRPr="00153746">
        <w:rPr>
          <w:sz w:val="22"/>
          <w:szCs w:val="22"/>
        </w:rPr>
        <w:t xml:space="preserve">, GCI will immediately </w:t>
      </w:r>
      <w:r w:rsidR="007A47C4" w:rsidRPr="00153746">
        <w:rPr>
          <w:sz w:val="22"/>
          <w:szCs w:val="22"/>
        </w:rPr>
        <w:t>obtain</w:t>
      </w:r>
      <w:r w:rsidRPr="00153746">
        <w:rPr>
          <w:sz w:val="22"/>
          <w:szCs w:val="22"/>
        </w:rPr>
        <w:t xml:space="preserve"> a</w:t>
      </w:r>
      <w:r w:rsidR="00B8537D" w:rsidRPr="00153746">
        <w:rPr>
          <w:sz w:val="22"/>
          <w:szCs w:val="22"/>
        </w:rPr>
        <w:t xml:space="preserve"> Notice to Airmen</w:t>
      </w:r>
      <w:r w:rsidRPr="00153746">
        <w:rPr>
          <w:sz w:val="22"/>
          <w:szCs w:val="22"/>
        </w:rPr>
        <w:t xml:space="preserve"> </w:t>
      </w:r>
      <w:r w:rsidR="00B8537D" w:rsidRPr="00153746">
        <w:rPr>
          <w:sz w:val="22"/>
          <w:szCs w:val="22"/>
        </w:rPr>
        <w:t>(</w:t>
      </w:r>
      <w:r w:rsidRPr="00153746">
        <w:rPr>
          <w:sz w:val="22"/>
          <w:szCs w:val="22"/>
        </w:rPr>
        <w:t>NOTAM</w:t>
      </w:r>
      <w:r w:rsidR="00B8537D" w:rsidRPr="00153746">
        <w:rPr>
          <w:sz w:val="22"/>
          <w:szCs w:val="22"/>
        </w:rPr>
        <w:t>)</w:t>
      </w:r>
      <w:r w:rsidRPr="00153746">
        <w:rPr>
          <w:sz w:val="22"/>
          <w:szCs w:val="22"/>
        </w:rPr>
        <w:t xml:space="preserve"> </w:t>
      </w:r>
      <w:r w:rsidR="00502FAF" w:rsidRPr="00153746">
        <w:rPr>
          <w:sz w:val="22"/>
          <w:szCs w:val="22"/>
        </w:rPr>
        <w:t xml:space="preserve">from the FAA </w:t>
      </w:r>
      <w:r w:rsidRPr="00153746">
        <w:rPr>
          <w:sz w:val="22"/>
          <w:szCs w:val="22"/>
        </w:rPr>
        <w:t xml:space="preserve">and install the appropriate lighting and markings within </w:t>
      </w:r>
      <w:r w:rsidR="00307102" w:rsidRPr="00153746">
        <w:rPr>
          <w:sz w:val="22"/>
          <w:szCs w:val="22"/>
        </w:rPr>
        <w:t>ten (</w:t>
      </w:r>
      <w:r w:rsidRPr="00153746">
        <w:rPr>
          <w:sz w:val="22"/>
          <w:szCs w:val="22"/>
        </w:rPr>
        <w:t>10</w:t>
      </w:r>
      <w:r w:rsidR="00307102" w:rsidRPr="00153746">
        <w:rPr>
          <w:sz w:val="22"/>
          <w:szCs w:val="22"/>
        </w:rPr>
        <w:t>)</w:t>
      </w:r>
      <w:r w:rsidRPr="00153746">
        <w:rPr>
          <w:sz w:val="22"/>
          <w:szCs w:val="22"/>
        </w:rPr>
        <w:t xml:space="preserve"> business days.  GCI will maintain an inventory of lighting kits available for deployment.  </w:t>
      </w:r>
      <w:r w:rsidR="00D558A4" w:rsidRPr="00153746">
        <w:rPr>
          <w:sz w:val="22"/>
          <w:szCs w:val="22"/>
        </w:rPr>
        <w:t>With respect to any structure for which GCI receives a notice of presumed hazard, GCI will immediately obtain a NOTAM from the FAA.  If the presumed hazard can be remediated or otherwise addressed without moving the structure, GCI will complete such remediation or other action by April 30, 201</w:t>
      </w:r>
      <w:r w:rsidR="00957B6E" w:rsidRPr="00153746">
        <w:rPr>
          <w:sz w:val="22"/>
          <w:szCs w:val="22"/>
        </w:rPr>
        <w:t>6</w:t>
      </w:r>
      <w:r w:rsidR="00D558A4" w:rsidRPr="00153746">
        <w:rPr>
          <w:sz w:val="22"/>
          <w:szCs w:val="22"/>
        </w:rPr>
        <w:t xml:space="preserve">.  In the event that GCI must relocate the structure, GCI will dismantle the existing structure by </w:t>
      </w:r>
      <w:r w:rsidR="00441B6B" w:rsidRPr="00153746">
        <w:rPr>
          <w:sz w:val="22"/>
          <w:szCs w:val="22"/>
        </w:rPr>
        <w:t>April 30, 2016</w:t>
      </w:r>
      <w:r w:rsidR="00D558A4" w:rsidRPr="00153746">
        <w:rPr>
          <w:sz w:val="22"/>
          <w:szCs w:val="22"/>
        </w:rPr>
        <w:t xml:space="preserve">, unless GCI receives a temporary authorization to keep it in place.  GCI will request </w:t>
      </w:r>
      <w:r w:rsidR="00441B6B" w:rsidRPr="00153746">
        <w:rPr>
          <w:sz w:val="22"/>
          <w:szCs w:val="22"/>
        </w:rPr>
        <w:t xml:space="preserve">such </w:t>
      </w:r>
      <w:r w:rsidR="00D558A4" w:rsidRPr="00153746">
        <w:rPr>
          <w:sz w:val="22"/>
          <w:szCs w:val="22"/>
        </w:rPr>
        <w:t>temporary authorization only when the disruption of service could endanger public health or safety.</w:t>
      </w:r>
    </w:p>
    <w:p w14:paraId="42B07A30" w14:textId="378321EB" w:rsidR="00C90038" w:rsidRPr="00153746" w:rsidRDefault="007840B7" w:rsidP="00AA2529">
      <w:pPr>
        <w:pStyle w:val="ListParagraph"/>
        <w:numPr>
          <w:ilvl w:val="2"/>
          <w:numId w:val="6"/>
        </w:numPr>
        <w:tabs>
          <w:tab w:val="num" w:pos="2700"/>
        </w:tabs>
        <w:snapToGrid w:val="0"/>
        <w:spacing w:after="120"/>
        <w:ind w:left="2707" w:hanging="288"/>
        <w:rPr>
          <w:sz w:val="22"/>
          <w:szCs w:val="22"/>
        </w:rPr>
      </w:pPr>
      <w:r w:rsidRPr="00153746">
        <w:rPr>
          <w:b/>
          <w:sz w:val="22"/>
          <w:szCs w:val="22"/>
        </w:rPr>
        <w:t xml:space="preserve">Declaration Concerning </w:t>
      </w:r>
      <w:r w:rsidR="00C90038" w:rsidRPr="00153746">
        <w:rPr>
          <w:b/>
          <w:sz w:val="22"/>
          <w:szCs w:val="22"/>
        </w:rPr>
        <w:t>Correct Lighting and Marking.</w:t>
      </w:r>
      <w:r w:rsidR="00C90038" w:rsidRPr="00153746">
        <w:rPr>
          <w:sz w:val="22"/>
          <w:szCs w:val="22"/>
        </w:rPr>
        <w:t xml:space="preserve">  </w:t>
      </w:r>
      <w:r w:rsidR="001F2C97" w:rsidRPr="00153746">
        <w:rPr>
          <w:sz w:val="22"/>
          <w:szCs w:val="22"/>
        </w:rPr>
        <w:t>P</w:t>
      </w:r>
      <w:r w:rsidR="00722519" w:rsidRPr="00153746">
        <w:rPr>
          <w:sz w:val="22"/>
          <w:szCs w:val="22"/>
        </w:rPr>
        <w:t>u</w:t>
      </w:r>
      <w:r w:rsidR="001F2C97" w:rsidRPr="00153746">
        <w:rPr>
          <w:sz w:val="22"/>
          <w:szCs w:val="22"/>
        </w:rPr>
        <w:t>r</w:t>
      </w:r>
      <w:r w:rsidR="0001071B" w:rsidRPr="00153746">
        <w:rPr>
          <w:sz w:val="22"/>
          <w:szCs w:val="22"/>
        </w:rPr>
        <w:t>suant to</w:t>
      </w:r>
      <w:r w:rsidR="001F2C97" w:rsidRPr="00153746">
        <w:rPr>
          <w:sz w:val="22"/>
          <w:szCs w:val="22"/>
        </w:rPr>
        <w:t xml:space="preserve"> its declaration dated </w:t>
      </w:r>
      <w:r w:rsidR="00446A6B">
        <w:rPr>
          <w:sz w:val="22"/>
          <w:szCs w:val="22"/>
        </w:rPr>
        <w:t>September 30</w:t>
      </w:r>
      <w:r w:rsidR="001F2C97" w:rsidRPr="00153746">
        <w:rPr>
          <w:sz w:val="22"/>
          <w:szCs w:val="22"/>
        </w:rPr>
        <w:t xml:space="preserve">, </w:t>
      </w:r>
      <w:r w:rsidR="00C90038" w:rsidRPr="00153746">
        <w:rPr>
          <w:sz w:val="22"/>
          <w:szCs w:val="22"/>
        </w:rPr>
        <w:t>2015,</w:t>
      </w:r>
      <w:r w:rsidR="001F2C97" w:rsidRPr="00153746">
        <w:rPr>
          <w:sz w:val="22"/>
          <w:szCs w:val="22"/>
        </w:rPr>
        <w:t xml:space="preserve"> </w:t>
      </w:r>
      <w:r w:rsidR="00C90038" w:rsidRPr="00153746">
        <w:rPr>
          <w:sz w:val="22"/>
          <w:szCs w:val="22"/>
        </w:rPr>
        <w:t xml:space="preserve">GCI </w:t>
      </w:r>
      <w:r w:rsidR="001F2C97" w:rsidRPr="00153746">
        <w:rPr>
          <w:sz w:val="22"/>
          <w:szCs w:val="22"/>
        </w:rPr>
        <w:t xml:space="preserve">has verified </w:t>
      </w:r>
      <w:r w:rsidR="00C90038" w:rsidRPr="00153746">
        <w:rPr>
          <w:sz w:val="22"/>
          <w:szCs w:val="22"/>
        </w:rPr>
        <w:t xml:space="preserve">that lighting and marking are correct for </w:t>
      </w:r>
      <w:r w:rsidR="007A47C4" w:rsidRPr="00153746">
        <w:rPr>
          <w:sz w:val="22"/>
          <w:szCs w:val="22"/>
        </w:rPr>
        <w:t>all</w:t>
      </w:r>
      <w:r w:rsidR="00C90038" w:rsidRPr="00153746">
        <w:rPr>
          <w:sz w:val="22"/>
          <w:szCs w:val="22"/>
        </w:rPr>
        <w:t xml:space="preserve"> GCI</w:t>
      </w:r>
      <w:r w:rsidR="007A47C4" w:rsidRPr="00153746">
        <w:rPr>
          <w:sz w:val="22"/>
          <w:szCs w:val="22"/>
        </w:rPr>
        <w:t>-</w:t>
      </w:r>
      <w:r w:rsidR="00C90038" w:rsidRPr="00153746">
        <w:rPr>
          <w:sz w:val="22"/>
          <w:szCs w:val="22"/>
        </w:rPr>
        <w:t>owned or controlled structure</w:t>
      </w:r>
      <w:r w:rsidR="007A47C4" w:rsidRPr="00153746">
        <w:rPr>
          <w:sz w:val="22"/>
          <w:szCs w:val="22"/>
        </w:rPr>
        <w:t>s</w:t>
      </w:r>
      <w:r w:rsidR="00C90038" w:rsidRPr="00153746">
        <w:rPr>
          <w:sz w:val="22"/>
          <w:szCs w:val="22"/>
        </w:rPr>
        <w:t xml:space="preserve"> for which GCI</w:t>
      </w:r>
      <w:r w:rsidR="001F2C97" w:rsidRPr="00153746">
        <w:rPr>
          <w:sz w:val="22"/>
          <w:szCs w:val="22"/>
        </w:rPr>
        <w:t xml:space="preserve"> h</w:t>
      </w:r>
      <w:r w:rsidR="00C90038" w:rsidRPr="00153746">
        <w:rPr>
          <w:sz w:val="22"/>
          <w:szCs w:val="22"/>
        </w:rPr>
        <w:t>as been notified</w:t>
      </w:r>
      <w:r w:rsidR="007A47C4" w:rsidRPr="00153746">
        <w:rPr>
          <w:sz w:val="22"/>
          <w:szCs w:val="22"/>
        </w:rPr>
        <w:t>,</w:t>
      </w:r>
      <w:r w:rsidR="00C90038" w:rsidRPr="00153746">
        <w:rPr>
          <w:sz w:val="22"/>
          <w:szCs w:val="22"/>
        </w:rPr>
        <w:t xml:space="preserve"> or has otherwise determined</w:t>
      </w:r>
      <w:r w:rsidR="007A47C4" w:rsidRPr="00153746">
        <w:rPr>
          <w:sz w:val="22"/>
          <w:szCs w:val="22"/>
        </w:rPr>
        <w:t>, that</w:t>
      </w:r>
      <w:r w:rsidR="00C90038" w:rsidRPr="00153746">
        <w:rPr>
          <w:sz w:val="22"/>
          <w:szCs w:val="22"/>
        </w:rPr>
        <w:t xml:space="preserve"> lighting or marking</w:t>
      </w:r>
      <w:r w:rsidR="007A47C4" w:rsidRPr="00153746">
        <w:rPr>
          <w:sz w:val="22"/>
          <w:szCs w:val="22"/>
        </w:rPr>
        <w:t xml:space="preserve"> is required</w:t>
      </w:r>
      <w:r w:rsidR="00C90038" w:rsidRPr="00153746">
        <w:rPr>
          <w:sz w:val="22"/>
          <w:szCs w:val="22"/>
        </w:rPr>
        <w:t xml:space="preserve"> under FAA rules.</w:t>
      </w:r>
    </w:p>
    <w:p w14:paraId="074C5005" w14:textId="77777777" w:rsidR="00C90038" w:rsidRPr="00153746" w:rsidRDefault="00D6706E" w:rsidP="00AA2529">
      <w:pPr>
        <w:pStyle w:val="ListParagraph"/>
        <w:numPr>
          <w:ilvl w:val="2"/>
          <w:numId w:val="6"/>
        </w:numPr>
        <w:tabs>
          <w:tab w:val="num" w:pos="2700"/>
        </w:tabs>
        <w:snapToGrid w:val="0"/>
        <w:spacing w:after="120"/>
        <w:ind w:left="2707" w:hanging="288"/>
        <w:rPr>
          <w:sz w:val="22"/>
          <w:szCs w:val="22"/>
        </w:rPr>
      </w:pPr>
      <w:r w:rsidRPr="00153746">
        <w:rPr>
          <w:b/>
          <w:sz w:val="22"/>
          <w:szCs w:val="22"/>
        </w:rPr>
        <w:t xml:space="preserve">System </w:t>
      </w:r>
      <w:r w:rsidR="00C90038" w:rsidRPr="00153746">
        <w:rPr>
          <w:b/>
          <w:sz w:val="22"/>
          <w:szCs w:val="22"/>
        </w:rPr>
        <w:t xml:space="preserve">for </w:t>
      </w:r>
      <w:r w:rsidRPr="00153746">
        <w:rPr>
          <w:b/>
          <w:sz w:val="22"/>
          <w:szCs w:val="22"/>
        </w:rPr>
        <w:t xml:space="preserve">Detecting </w:t>
      </w:r>
      <w:r w:rsidR="00C90038" w:rsidRPr="00153746">
        <w:rPr>
          <w:b/>
          <w:sz w:val="22"/>
          <w:szCs w:val="22"/>
        </w:rPr>
        <w:t>Lighting Failures</w:t>
      </w:r>
      <w:r w:rsidR="00C90038" w:rsidRPr="00153746">
        <w:rPr>
          <w:sz w:val="22"/>
          <w:szCs w:val="22"/>
        </w:rPr>
        <w:t xml:space="preserve">.  As of the Effective Date, GCI shall have in place a system for </w:t>
      </w:r>
      <w:r w:rsidR="00957B6E" w:rsidRPr="00153746">
        <w:rPr>
          <w:sz w:val="22"/>
          <w:szCs w:val="22"/>
        </w:rPr>
        <w:t>detecting</w:t>
      </w:r>
      <w:r w:rsidRPr="00153746">
        <w:rPr>
          <w:sz w:val="22"/>
          <w:szCs w:val="22"/>
        </w:rPr>
        <w:t xml:space="preserve"> </w:t>
      </w:r>
      <w:r w:rsidR="00C90038" w:rsidRPr="00153746">
        <w:rPr>
          <w:sz w:val="22"/>
          <w:szCs w:val="22"/>
        </w:rPr>
        <w:t>lighting failures</w:t>
      </w:r>
      <w:r w:rsidR="007A47C4" w:rsidRPr="00153746">
        <w:rPr>
          <w:sz w:val="22"/>
          <w:szCs w:val="22"/>
        </w:rPr>
        <w:t xml:space="preserve"> </w:t>
      </w:r>
      <w:r w:rsidRPr="00153746">
        <w:rPr>
          <w:sz w:val="22"/>
          <w:szCs w:val="22"/>
        </w:rPr>
        <w:t>and</w:t>
      </w:r>
      <w:r w:rsidR="00957B6E" w:rsidRPr="00153746">
        <w:rPr>
          <w:sz w:val="22"/>
          <w:szCs w:val="22"/>
        </w:rPr>
        <w:t xml:space="preserve"> inspecting</w:t>
      </w:r>
      <w:r w:rsidRPr="00153746">
        <w:rPr>
          <w:sz w:val="22"/>
          <w:szCs w:val="22"/>
        </w:rPr>
        <w:t xml:space="preserve"> associated control equipment that conforms with </w:t>
      </w:r>
      <w:r w:rsidR="007A47C4" w:rsidRPr="00153746">
        <w:rPr>
          <w:sz w:val="22"/>
          <w:szCs w:val="22"/>
        </w:rPr>
        <w:t>Section 17.47 of the</w:t>
      </w:r>
      <w:r w:rsidR="0023470C" w:rsidRPr="00153746">
        <w:rPr>
          <w:sz w:val="22"/>
          <w:szCs w:val="22"/>
        </w:rPr>
        <w:t xml:space="preserve"> R</w:t>
      </w:r>
      <w:r w:rsidR="007A47C4" w:rsidRPr="00153746">
        <w:rPr>
          <w:sz w:val="22"/>
          <w:szCs w:val="22"/>
        </w:rPr>
        <w:t>ules</w:t>
      </w:r>
      <w:r w:rsidR="00C90038" w:rsidRPr="00153746">
        <w:rPr>
          <w:sz w:val="22"/>
          <w:szCs w:val="22"/>
        </w:rPr>
        <w:t xml:space="preserve"> at all GCI</w:t>
      </w:r>
      <w:r w:rsidR="007A47C4" w:rsidRPr="00153746">
        <w:rPr>
          <w:sz w:val="22"/>
          <w:szCs w:val="22"/>
        </w:rPr>
        <w:t>-</w:t>
      </w:r>
      <w:r w:rsidR="00C90038" w:rsidRPr="00153746">
        <w:rPr>
          <w:sz w:val="22"/>
          <w:szCs w:val="22"/>
        </w:rPr>
        <w:t xml:space="preserve">owned or controlled structures required to be lit, and shall monitor the integrity of that system in accordance with </w:t>
      </w:r>
      <w:r w:rsidR="0023470C" w:rsidRPr="00153746">
        <w:rPr>
          <w:sz w:val="22"/>
          <w:szCs w:val="22"/>
        </w:rPr>
        <w:t>the R</w:t>
      </w:r>
      <w:r w:rsidR="00C90038" w:rsidRPr="00153746">
        <w:rPr>
          <w:sz w:val="22"/>
          <w:szCs w:val="22"/>
        </w:rPr>
        <w:t>ules.</w:t>
      </w:r>
    </w:p>
    <w:p w14:paraId="15A6755C" w14:textId="5F44247C" w:rsidR="00C90038" w:rsidRPr="00153746" w:rsidRDefault="00C90038" w:rsidP="007C0685">
      <w:pPr>
        <w:pStyle w:val="ListParagraph"/>
        <w:numPr>
          <w:ilvl w:val="2"/>
          <w:numId w:val="6"/>
        </w:numPr>
        <w:shd w:val="clear" w:color="auto" w:fill="FFFFFF" w:themeFill="background1"/>
        <w:tabs>
          <w:tab w:val="num" w:pos="1692"/>
          <w:tab w:val="num" w:pos="2700"/>
        </w:tabs>
        <w:snapToGrid w:val="0"/>
        <w:spacing w:after="120"/>
        <w:ind w:left="2707" w:hanging="288"/>
        <w:rPr>
          <w:sz w:val="22"/>
          <w:szCs w:val="22"/>
        </w:rPr>
      </w:pPr>
      <w:r w:rsidRPr="00153746">
        <w:rPr>
          <w:b/>
          <w:sz w:val="22"/>
          <w:szCs w:val="22"/>
        </w:rPr>
        <w:t>Col</w:t>
      </w:r>
      <w:r w:rsidR="0044331D" w:rsidRPr="00153746">
        <w:rPr>
          <w:b/>
          <w:sz w:val="22"/>
          <w:szCs w:val="22"/>
        </w:rPr>
        <w:t>l</w:t>
      </w:r>
      <w:r w:rsidRPr="00153746">
        <w:rPr>
          <w:b/>
          <w:sz w:val="22"/>
          <w:szCs w:val="22"/>
        </w:rPr>
        <w:t>ocations</w:t>
      </w:r>
      <w:r w:rsidRPr="00153746">
        <w:rPr>
          <w:sz w:val="22"/>
          <w:szCs w:val="22"/>
        </w:rPr>
        <w:t>.  On or before October 15, 2015, for each</w:t>
      </w:r>
      <w:r w:rsidR="007A47C4" w:rsidRPr="00153746">
        <w:rPr>
          <w:sz w:val="22"/>
          <w:szCs w:val="22"/>
        </w:rPr>
        <w:t xml:space="preserve"> third-party</w:t>
      </w:r>
      <w:r w:rsidRPr="00153746">
        <w:rPr>
          <w:sz w:val="22"/>
          <w:szCs w:val="22"/>
        </w:rPr>
        <w:t xml:space="preserve"> structure on which GCI has collocated a wireless antenna subject to the </w:t>
      </w:r>
      <w:r w:rsidR="003A3C0A" w:rsidRPr="00153746">
        <w:rPr>
          <w:sz w:val="22"/>
          <w:szCs w:val="22"/>
        </w:rPr>
        <w:t>A</w:t>
      </w:r>
      <w:r w:rsidRPr="00153746">
        <w:rPr>
          <w:sz w:val="22"/>
          <w:szCs w:val="22"/>
        </w:rPr>
        <w:t xml:space="preserve">ntenna </w:t>
      </w:r>
      <w:r w:rsidR="003A3C0A" w:rsidRPr="00153746">
        <w:rPr>
          <w:sz w:val="22"/>
          <w:szCs w:val="22"/>
        </w:rPr>
        <w:t>S</w:t>
      </w:r>
      <w:r w:rsidRPr="00153746">
        <w:rPr>
          <w:sz w:val="22"/>
          <w:szCs w:val="22"/>
        </w:rPr>
        <w:t xml:space="preserve">tructure </w:t>
      </w:r>
      <w:r w:rsidR="003A3C0A" w:rsidRPr="00153746">
        <w:rPr>
          <w:sz w:val="22"/>
          <w:szCs w:val="22"/>
        </w:rPr>
        <w:t>R</w:t>
      </w:r>
      <w:r w:rsidRPr="00153746">
        <w:rPr>
          <w:sz w:val="22"/>
          <w:szCs w:val="22"/>
        </w:rPr>
        <w:t xml:space="preserve">egistration </w:t>
      </w:r>
      <w:r w:rsidR="003A3C0A" w:rsidRPr="00153746">
        <w:rPr>
          <w:sz w:val="22"/>
          <w:szCs w:val="22"/>
        </w:rPr>
        <w:t>R</w:t>
      </w:r>
      <w:r w:rsidRPr="00153746">
        <w:rPr>
          <w:sz w:val="22"/>
          <w:szCs w:val="22"/>
        </w:rPr>
        <w:t>ules, GCI will have done one of the following:  (</w:t>
      </w:r>
      <w:r w:rsidR="00B2349B">
        <w:rPr>
          <w:sz w:val="22"/>
          <w:szCs w:val="22"/>
        </w:rPr>
        <w:t>1</w:t>
      </w:r>
      <w:r w:rsidRPr="00153746">
        <w:rPr>
          <w:sz w:val="22"/>
          <w:szCs w:val="22"/>
        </w:rPr>
        <w:t>) verified that the structure has been registered; (</w:t>
      </w:r>
      <w:r w:rsidR="00B2349B">
        <w:rPr>
          <w:sz w:val="22"/>
          <w:szCs w:val="22"/>
        </w:rPr>
        <w:t>2</w:t>
      </w:r>
      <w:r w:rsidRPr="00153746">
        <w:rPr>
          <w:sz w:val="22"/>
          <w:szCs w:val="22"/>
        </w:rPr>
        <w:t xml:space="preserve">) </w:t>
      </w:r>
      <w:r w:rsidR="00FC469D" w:rsidRPr="00153746">
        <w:rPr>
          <w:sz w:val="22"/>
          <w:szCs w:val="22"/>
        </w:rPr>
        <w:t xml:space="preserve">determined, or </w:t>
      </w:r>
      <w:r w:rsidRPr="00153746">
        <w:rPr>
          <w:sz w:val="22"/>
          <w:szCs w:val="22"/>
        </w:rPr>
        <w:t>obtained a certification by the party that owns or controls the structure that the structure owner/controlling party</w:t>
      </w:r>
      <w:r w:rsidR="00957B6E" w:rsidRPr="00153746">
        <w:rPr>
          <w:sz w:val="22"/>
          <w:szCs w:val="22"/>
        </w:rPr>
        <w:t xml:space="preserve"> has</w:t>
      </w:r>
      <w:r w:rsidRPr="00153746">
        <w:rPr>
          <w:sz w:val="22"/>
          <w:szCs w:val="22"/>
        </w:rPr>
        <w:t xml:space="preserve"> determined</w:t>
      </w:r>
      <w:r w:rsidR="00FC469D" w:rsidRPr="00153746">
        <w:rPr>
          <w:sz w:val="22"/>
          <w:szCs w:val="22"/>
        </w:rPr>
        <w:t>,</w:t>
      </w:r>
      <w:r w:rsidR="00441B6B" w:rsidRPr="00153746">
        <w:rPr>
          <w:sz w:val="22"/>
          <w:szCs w:val="22"/>
        </w:rPr>
        <w:t xml:space="preserve"> </w:t>
      </w:r>
      <w:r w:rsidRPr="00153746">
        <w:rPr>
          <w:sz w:val="22"/>
          <w:szCs w:val="22"/>
        </w:rPr>
        <w:t xml:space="preserve">that the structure is not required to be registered pursuant to the </w:t>
      </w:r>
      <w:r w:rsidR="006C3132" w:rsidRPr="00153746">
        <w:rPr>
          <w:sz w:val="22"/>
          <w:szCs w:val="22"/>
        </w:rPr>
        <w:t>Antenna Structure Registration Rules</w:t>
      </w:r>
      <w:r w:rsidRPr="00153746">
        <w:rPr>
          <w:sz w:val="22"/>
          <w:szCs w:val="22"/>
        </w:rPr>
        <w:t>; (</w:t>
      </w:r>
      <w:r w:rsidR="00B2349B">
        <w:rPr>
          <w:sz w:val="22"/>
          <w:szCs w:val="22"/>
        </w:rPr>
        <w:t>3</w:t>
      </w:r>
      <w:r w:rsidRPr="00153746">
        <w:rPr>
          <w:sz w:val="22"/>
          <w:szCs w:val="22"/>
        </w:rPr>
        <w:t>) obtained a certification from the structure owner/controlling party that the structure owner/controlling party has submitted the structure for FAA review; (</w:t>
      </w:r>
      <w:r w:rsidR="00B2349B">
        <w:rPr>
          <w:sz w:val="22"/>
          <w:szCs w:val="22"/>
        </w:rPr>
        <w:t>4</w:t>
      </w:r>
      <w:r w:rsidRPr="00153746">
        <w:rPr>
          <w:sz w:val="22"/>
          <w:szCs w:val="22"/>
        </w:rPr>
        <w:t>) submit</w:t>
      </w:r>
      <w:r w:rsidR="0044331D" w:rsidRPr="00153746">
        <w:rPr>
          <w:sz w:val="22"/>
          <w:szCs w:val="22"/>
        </w:rPr>
        <w:t>ted</w:t>
      </w:r>
      <w:r w:rsidRPr="00153746">
        <w:rPr>
          <w:sz w:val="22"/>
          <w:szCs w:val="22"/>
        </w:rPr>
        <w:t xml:space="preserve"> the structure for FAA review; or (</w:t>
      </w:r>
      <w:r w:rsidR="00B2349B">
        <w:rPr>
          <w:sz w:val="22"/>
          <w:szCs w:val="22"/>
        </w:rPr>
        <w:t>5</w:t>
      </w:r>
      <w:r w:rsidRPr="00153746">
        <w:rPr>
          <w:sz w:val="22"/>
          <w:szCs w:val="22"/>
        </w:rPr>
        <w:t>) if actions or lack of cooperation of the structure owner/controlling party prevent GCI from completing items (</w:t>
      </w:r>
      <w:r w:rsidR="00B2349B">
        <w:rPr>
          <w:sz w:val="22"/>
          <w:szCs w:val="22"/>
        </w:rPr>
        <w:t>1</w:t>
      </w:r>
      <w:r w:rsidRPr="00153746">
        <w:rPr>
          <w:sz w:val="22"/>
          <w:szCs w:val="22"/>
        </w:rPr>
        <w:t>)-(</w:t>
      </w:r>
      <w:r w:rsidR="00B2349B">
        <w:rPr>
          <w:sz w:val="22"/>
          <w:szCs w:val="22"/>
        </w:rPr>
        <w:t>5</w:t>
      </w:r>
      <w:r w:rsidRPr="00153746">
        <w:rPr>
          <w:sz w:val="22"/>
          <w:szCs w:val="22"/>
        </w:rPr>
        <w:t>), report</w:t>
      </w:r>
      <w:r w:rsidR="00957B6E" w:rsidRPr="00153746">
        <w:rPr>
          <w:sz w:val="22"/>
          <w:szCs w:val="22"/>
        </w:rPr>
        <w:t>ed</w:t>
      </w:r>
      <w:r w:rsidRPr="00153746">
        <w:rPr>
          <w:sz w:val="22"/>
          <w:szCs w:val="22"/>
        </w:rPr>
        <w:t xml:space="preserve"> the structure owner/controlling party to the Bureau.  For any structure that GCI submits for FAA review, it will complete ASR registration</w:t>
      </w:r>
      <w:r w:rsidR="007840B7" w:rsidRPr="00153746">
        <w:rPr>
          <w:sz w:val="22"/>
          <w:szCs w:val="22"/>
        </w:rPr>
        <w:t xml:space="preserve"> </w:t>
      </w:r>
      <w:r w:rsidRPr="00153746">
        <w:rPr>
          <w:sz w:val="22"/>
          <w:szCs w:val="22"/>
        </w:rPr>
        <w:t xml:space="preserve">within ten </w:t>
      </w:r>
      <w:r w:rsidR="00307102" w:rsidRPr="00153746">
        <w:rPr>
          <w:sz w:val="22"/>
          <w:szCs w:val="22"/>
        </w:rPr>
        <w:t xml:space="preserve">(10) </w:t>
      </w:r>
      <w:r w:rsidRPr="00153746">
        <w:rPr>
          <w:sz w:val="22"/>
          <w:szCs w:val="22"/>
        </w:rPr>
        <w:t xml:space="preserve">business days of receipt of the FAA notice of the determination of </w:t>
      </w:r>
      <w:r w:rsidR="00C67FC4">
        <w:rPr>
          <w:sz w:val="22"/>
          <w:szCs w:val="22"/>
        </w:rPr>
        <w:t>“</w:t>
      </w:r>
      <w:r w:rsidRPr="00153746">
        <w:rPr>
          <w:sz w:val="22"/>
          <w:szCs w:val="22"/>
        </w:rPr>
        <w:t>no hazard</w:t>
      </w:r>
      <w:r w:rsidR="008A5D15" w:rsidRPr="00153746">
        <w:rPr>
          <w:sz w:val="22"/>
          <w:szCs w:val="22"/>
        </w:rPr>
        <w:t>.</w:t>
      </w:r>
      <w:r w:rsidR="00C67FC4">
        <w:rPr>
          <w:sz w:val="22"/>
          <w:szCs w:val="22"/>
        </w:rPr>
        <w:t>”</w:t>
      </w:r>
      <w:r w:rsidR="008A5D15" w:rsidRPr="00153746">
        <w:rPr>
          <w:sz w:val="22"/>
          <w:szCs w:val="22"/>
        </w:rPr>
        <w:t xml:space="preserve"> </w:t>
      </w:r>
      <w:r w:rsidR="007A47C4" w:rsidRPr="00153746">
        <w:rPr>
          <w:sz w:val="22"/>
          <w:szCs w:val="22"/>
        </w:rPr>
        <w:t xml:space="preserve"> In the event GCI has not by this date completed environmental review or environmental notification for any </w:t>
      </w:r>
      <w:r w:rsidR="00306CC1" w:rsidRPr="00153746">
        <w:rPr>
          <w:sz w:val="22"/>
          <w:szCs w:val="22"/>
        </w:rPr>
        <w:t>post-March 16, 2001</w:t>
      </w:r>
      <w:r w:rsidR="00C67FC4">
        <w:rPr>
          <w:sz w:val="22"/>
          <w:szCs w:val="22"/>
        </w:rPr>
        <w:t>,</w:t>
      </w:r>
      <w:r w:rsidR="00306CC1" w:rsidRPr="00153746">
        <w:rPr>
          <w:sz w:val="22"/>
          <w:szCs w:val="22"/>
        </w:rPr>
        <w:t xml:space="preserve"> antenna </w:t>
      </w:r>
      <w:r w:rsidR="007A47C4" w:rsidRPr="00153746">
        <w:rPr>
          <w:sz w:val="22"/>
          <w:szCs w:val="22"/>
        </w:rPr>
        <w:t xml:space="preserve">structure as required under the </w:t>
      </w:r>
      <w:r w:rsidR="00170940" w:rsidRPr="00153746">
        <w:rPr>
          <w:sz w:val="22"/>
          <w:szCs w:val="22"/>
        </w:rPr>
        <w:t>Environmental Processing Rules</w:t>
      </w:r>
      <w:r w:rsidR="007A47C4" w:rsidRPr="00153746">
        <w:rPr>
          <w:sz w:val="22"/>
          <w:szCs w:val="22"/>
        </w:rPr>
        <w:t xml:space="preserve">, GCI will contact </w:t>
      </w:r>
      <w:r w:rsidR="00572509" w:rsidRPr="00153746">
        <w:rPr>
          <w:sz w:val="22"/>
          <w:szCs w:val="22"/>
        </w:rPr>
        <w:t xml:space="preserve">WTB </w:t>
      </w:r>
      <w:r w:rsidR="007A47C4" w:rsidRPr="00153746">
        <w:rPr>
          <w:sz w:val="22"/>
          <w:szCs w:val="22"/>
        </w:rPr>
        <w:t xml:space="preserve">to request conditional registration in accordance with </w:t>
      </w:r>
      <w:r w:rsidR="00C67FC4">
        <w:rPr>
          <w:sz w:val="22"/>
          <w:szCs w:val="22"/>
        </w:rPr>
        <w:t>WTB’</w:t>
      </w:r>
      <w:r w:rsidR="007A47C4" w:rsidRPr="00153746">
        <w:rPr>
          <w:sz w:val="22"/>
          <w:szCs w:val="22"/>
        </w:rPr>
        <w:t xml:space="preserve">s established procedures. </w:t>
      </w:r>
      <w:r w:rsidRPr="00153746">
        <w:rPr>
          <w:sz w:val="22"/>
          <w:szCs w:val="22"/>
        </w:rPr>
        <w:t xml:space="preserve"> If the FAA determines that lighting or marking is required</w:t>
      </w:r>
      <w:r w:rsidR="007A47C4" w:rsidRPr="00153746">
        <w:rPr>
          <w:sz w:val="22"/>
          <w:szCs w:val="22"/>
        </w:rPr>
        <w:t xml:space="preserve"> for any structure and the structure is not already lit in accordance with the FAA’s determination,</w:t>
      </w:r>
      <w:r w:rsidRPr="00153746">
        <w:rPr>
          <w:sz w:val="22"/>
          <w:szCs w:val="22"/>
        </w:rPr>
        <w:t xml:space="preserve"> and </w:t>
      </w:r>
      <w:r w:rsidR="007A47C4" w:rsidRPr="00153746">
        <w:rPr>
          <w:sz w:val="22"/>
          <w:szCs w:val="22"/>
        </w:rPr>
        <w:t xml:space="preserve">if </w:t>
      </w:r>
      <w:r w:rsidRPr="00153746">
        <w:rPr>
          <w:sz w:val="22"/>
          <w:szCs w:val="22"/>
        </w:rPr>
        <w:t xml:space="preserve">GCI has the support of the </w:t>
      </w:r>
      <w:r w:rsidR="00E75E63" w:rsidRPr="00153746">
        <w:rPr>
          <w:sz w:val="22"/>
          <w:szCs w:val="22"/>
        </w:rPr>
        <w:t>antenna structure</w:t>
      </w:r>
      <w:r w:rsidRPr="00153746">
        <w:rPr>
          <w:sz w:val="22"/>
          <w:szCs w:val="22"/>
        </w:rPr>
        <w:t xml:space="preserve"> owner, GCI will immediately </w:t>
      </w:r>
      <w:r w:rsidR="0086264E" w:rsidRPr="00153746">
        <w:rPr>
          <w:sz w:val="22"/>
          <w:szCs w:val="22"/>
        </w:rPr>
        <w:t>obtain</w:t>
      </w:r>
      <w:r w:rsidRPr="00153746">
        <w:rPr>
          <w:sz w:val="22"/>
          <w:szCs w:val="22"/>
        </w:rPr>
        <w:t xml:space="preserve"> a NOTAM and light and mark the </w:t>
      </w:r>
      <w:r w:rsidR="00E75E63" w:rsidRPr="00153746">
        <w:rPr>
          <w:sz w:val="22"/>
          <w:szCs w:val="22"/>
        </w:rPr>
        <w:t>antenna structure</w:t>
      </w:r>
      <w:r w:rsidRPr="00153746">
        <w:rPr>
          <w:sz w:val="22"/>
          <w:szCs w:val="22"/>
        </w:rPr>
        <w:t xml:space="preserve"> within </w:t>
      </w:r>
      <w:r w:rsidR="00307102" w:rsidRPr="00153746">
        <w:rPr>
          <w:sz w:val="22"/>
          <w:szCs w:val="22"/>
        </w:rPr>
        <w:t>ten (</w:t>
      </w:r>
      <w:r w:rsidRPr="00153746">
        <w:rPr>
          <w:sz w:val="22"/>
          <w:szCs w:val="22"/>
        </w:rPr>
        <w:t>10</w:t>
      </w:r>
      <w:r w:rsidR="00307102" w:rsidRPr="00153746">
        <w:rPr>
          <w:sz w:val="22"/>
          <w:szCs w:val="22"/>
        </w:rPr>
        <w:t>)</w:t>
      </w:r>
      <w:r w:rsidRPr="00153746">
        <w:rPr>
          <w:sz w:val="22"/>
          <w:szCs w:val="22"/>
        </w:rPr>
        <w:t xml:space="preserve"> business days, provided that the structure owner/controlling party provides GCI with timely access.  If the structure owner/controlling party fails to provide GCI with timely access, GCI will report the structure owner/controlling party to the Enforcement Bureau.</w:t>
      </w:r>
    </w:p>
    <w:p w14:paraId="2DF0FDF9" w14:textId="77777777" w:rsidR="00947DEB" w:rsidRPr="00153746" w:rsidRDefault="00947DEB" w:rsidP="00B8391A">
      <w:pPr>
        <w:numPr>
          <w:ilvl w:val="0"/>
          <w:numId w:val="6"/>
        </w:numPr>
        <w:tabs>
          <w:tab w:val="num" w:pos="1692"/>
          <w:tab w:val="num" w:pos="1872"/>
        </w:tabs>
        <w:snapToGrid w:val="0"/>
        <w:spacing w:after="120"/>
        <w:ind w:left="1872"/>
        <w:rPr>
          <w:szCs w:val="22"/>
        </w:rPr>
      </w:pPr>
      <w:r w:rsidRPr="00153746">
        <w:rPr>
          <w:b/>
          <w:szCs w:val="22"/>
          <w:u w:val="single"/>
        </w:rPr>
        <w:t>Environmental Review</w:t>
      </w:r>
    </w:p>
    <w:p w14:paraId="114C121A" w14:textId="2C6F51DF" w:rsidR="00947DEB" w:rsidRPr="00153746" w:rsidRDefault="00947DEB" w:rsidP="00AA2529">
      <w:pPr>
        <w:pStyle w:val="ListParagraph"/>
        <w:numPr>
          <w:ilvl w:val="2"/>
          <w:numId w:val="6"/>
        </w:numPr>
        <w:tabs>
          <w:tab w:val="num" w:pos="2700"/>
        </w:tabs>
        <w:snapToGrid w:val="0"/>
        <w:spacing w:after="120"/>
        <w:ind w:left="2707" w:hanging="288"/>
        <w:rPr>
          <w:sz w:val="22"/>
          <w:szCs w:val="22"/>
        </w:rPr>
      </w:pPr>
      <w:r w:rsidRPr="00153746">
        <w:rPr>
          <w:sz w:val="22"/>
          <w:szCs w:val="22"/>
        </w:rPr>
        <w:t xml:space="preserve">On or before </w:t>
      </w:r>
      <w:r w:rsidR="00F15744" w:rsidRPr="00153746">
        <w:rPr>
          <w:sz w:val="22"/>
          <w:szCs w:val="22"/>
        </w:rPr>
        <w:t>April 30, 2016</w:t>
      </w:r>
      <w:r w:rsidRPr="00153746">
        <w:rPr>
          <w:sz w:val="22"/>
          <w:szCs w:val="22"/>
        </w:rPr>
        <w:t xml:space="preserve">, GCI shall, for each </w:t>
      </w:r>
      <w:r w:rsidR="00E75E63" w:rsidRPr="00153746">
        <w:rPr>
          <w:sz w:val="22"/>
          <w:szCs w:val="22"/>
        </w:rPr>
        <w:t>antenna structure</w:t>
      </w:r>
      <w:r w:rsidRPr="00153746">
        <w:rPr>
          <w:sz w:val="22"/>
          <w:szCs w:val="22"/>
        </w:rPr>
        <w:t xml:space="preserve"> constructed after March 16, 2001, either</w:t>
      </w:r>
      <w:r w:rsidR="00D63CA8" w:rsidRPr="00153746">
        <w:rPr>
          <w:sz w:val="22"/>
          <w:szCs w:val="22"/>
        </w:rPr>
        <w:t>:</w:t>
      </w:r>
      <w:r w:rsidRPr="00153746">
        <w:rPr>
          <w:sz w:val="22"/>
          <w:szCs w:val="22"/>
        </w:rPr>
        <w:t xml:space="preserve"> </w:t>
      </w:r>
      <w:r w:rsidR="00D63CA8" w:rsidRPr="00153746">
        <w:rPr>
          <w:sz w:val="22"/>
          <w:szCs w:val="22"/>
        </w:rPr>
        <w:t xml:space="preserve"> </w:t>
      </w:r>
      <w:r w:rsidRPr="00153746">
        <w:rPr>
          <w:sz w:val="22"/>
          <w:szCs w:val="22"/>
        </w:rPr>
        <w:t>(</w:t>
      </w:r>
      <w:r w:rsidR="00B2349B">
        <w:rPr>
          <w:sz w:val="22"/>
          <w:szCs w:val="22"/>
        </w:rPr>
        <w:t>1</w:t>
      </w:r>
      <w:r w:rsidRPr="00153746">
        <w:rPr>
          <w:sz w:val="22"/>
          <w:szCs w:val="22"/>
        </w:rPr>
        <w:t xml:space="preserve">) confirm that the </w:t>
      </w:r>
      <w:r w:rsidR="00E75E63" w:rsidRPr="00153746">
        <w:rPr>
          <w:sz w:val="22"/>
          <w:szCs w:val="22"/>
        </w:rPr>
        <w:t>antenna structure</w:t>
      </w:r>
      <w:r w:rsidRPr="00153746">
        <w:rPr>
          <w:sz w:val="22"/>
          <w:szCs w:val="22"/>
        </w:rPr>
        <w:t xml:space="preserve"> completed environmental review under </w:t>
      </w:r>
      <w:r w:rsidR="00E413C5" w:rsidRPr="00153746">
        <w:rPr>
          <w:sz w:val="22"/>
          <w:szCs w:val="22"/>
        </w:rPr>
        <w:t>the Environmental Processing Rules</w:t>
      </w:r>
      <w:r w:rsidRPr="00153746">
        <w:rPr>
          <w:sz w:val="22"/>
          <w:szCs w:val="22"/>
        </w:rPr>
        <w:t xml:space="preserve"> prior to construction or (</w:t>
      </w:r>
      <w:r w:rsidR="00B2349B">
        <w:rPr>
          <w:sz w:val="22"/>
          <w:szCs w:val="22"/>
        </w:rPr>
        <w:t>2</w:t>
      </w:r>
      <w:r w:rsidRPr="00153746">
        <w:rPr>
          <w:sz w:val="22"/>
          <w:szCs w:val="22"/>
        </w:rPr>
        <w:t>) complete the review that should have been completed prior to construction in order to ascertain whether an Environmental Assessment was required under Section 1.1307(a)</w:t>
      </w:r>
      <w:r w:rsidR="00E413C5" w:rsidRPr="00153746">
        <w:rPr>
          <w:sz w:val="22"/>
          <w:szCs w:val="22"/>
        </w:rPr>
        <w:t>–</w:t>
      </w:r>
      <w:r w:rsidRPr="00153746">
        <w:rPr>
          <w:sz w:val="22"/>
          <w:szCs w:val="22"/>
        </w:rPr>
        <w:t>(b)</w:t>
      </w:r>
      <w:r w:rsidR="00E413C5" w:rsidRPr="00153746">
        <w:rPr>
          <w:sz w:val="22"/>
          <w:szCs w:val="22"/>
        </w:rPr>
        <w:t xml:space="preserve"> of the Rules</w:t>
      </w:r>
      <w:r w:rsidRPr="00153746">
        <w:rPr>
          <w:sz w:val="22"/>
          <w:szCs w:val="22"/>
        </w:rPr>
        <w:t xml:space="preserve">.  In performing this review, GCI shall evaluate effects on historic properties under Section 1.1307(a)(4) </w:t>
      </w:r>
      <w:r w:rsidR="00E413C5" w:rsidRPr="00153746">
        <w:rPr>
          <w:sz w:val="22"/>
          <w:szCs w:val="22"/>
        </w:rPr>
        <w:t xml:space="preserve">of the Rules </w:t>
      </w:r>
      <w:r w:rsidRPr="00153746">
        <w:rPr>
          <w:sz w:val="22"/>
          <w:szCs w:val="22"/>
        </w:rPr>
        <w:t xml:space="preserve">in accordance with the provisions of the Nationwide Programmatic Agreement, 47 C.F.R. Part 1, App. C, regardless of whether that Agreement was in effect at the time the </w:t>
      </w:r>
      <w:r w:rsidR="00811C67" w:rsidRPr="00153746">
        <w:rPr>
          <w:sz w:val="22"/>
          <w:szCs w:val="22"/>
        </w:rPr>
        <w:t>post-March 16, 2001</w:t>
      </w:r>
      <w:r w:rsidR="002673F5">
        <w:rPr>
          <w:sz w:val="22"/>
          <w:szCs w:val="22"/>
        </w:rPr>
        <w:t>,</w:t>
      </w:r>
      <w:r w:rsidR="00811C67" w:rsidRPr="00153746">
        <w:rPr>
          <w:sz w:val="22"/>
          <w:szCs w:val="22"/>
        </w:rPr>
        <w:t xml:space="preserve"> </w:t>
      </w:r>
      <w:r w:rsidR="00E75E63" w:rsidRPr="00153746">
        <w:rPr>
          <w:sz w:val="22"/>
          <w:szCs w:val="22"/>
        </w:rPr>
        <w:t>antenna structure</w:t>
      </w:r>
      <w:r w:rsidRPr="00153746">
        <w:rPr>
          <w:sz w:val="22"/>
          <w:szCs w:val="22"/>
        </w:rPr>
        <w:t xml:space="preserve"> was constructed.</w:t>
      </w:r>
    </w:p>
    <w:p w14:paraId="2E5F1E5A" w14:textId="55CCDD78" w:rsidR="00947DEB" w:rsidRPr="00153746" w:rsidRDefault="00947DEB" w:rsidP="00AA2529">
      <w:pPr>
        <w:pStyle w:val="ListParagraph"/>
        <w:numPr>
          <w:ilvl w:val="2"/>
          <w:numId w:val="6"/>
        </w:numPr>
        <w:tabs>
          <w:tab w:val="num" w:pos="2700"/>
        </w:tabs>
        <w:snapToGrid w:val="0"/>
        <w:spacing w:after="120"/>
        <w:ind w:left="2707" w:hanging="288"/>
        <w:rPr>
          <w:sz w:val="22"/>
          <w:szCs w:val="22"/>
        </w:rPr>
      </w:pPr>
      <w:r w:rsidRPr="00153746">
        <w:rPr>
          <w:sz w:val="22"/>
          <w:szCs w:val="22"/>
        </w:rPr>
        <w:t>In the event a</w:t>
      </w:r>
      <w:r w:rsidR="00E75E63" w:rsidRPr="00153746">
        <w:rPr>
          <w:sz w:val="22"/>
          <w:szCs w:val="22"/>
        </w:rPr>
        <w:t>n</w:t>
      </w:r>
      <w:r w:rsidRPr="00153746">
        <w:rPr>
          <w:sz w:val="22"/>
          <w:szCs w:val="22"/>
        </w:rPr>
        <w:t xml:space="preserve"> </w:t>
      </w:r>
      <w:r w:rsidR="00E75E63" w:rsidRPr="00153746">
        <w:rPr>
          <w:sz w:val="22"/>
          <w:szCs w:val="22"/>
        </w:rPr>
        <w:t>antenna structure</w:t>
      </w:r>
      <w:r w:rsidRPr="00153746">
        <w:rPr>
          <w:sz w:val="22"/>
          <w:szCs w:val="22"/>
        </w:rPr>
        <w:t xml:space="preserve"> meets any of the criteria that would require an Environmental Assessment, GCI shall cooperate with </w:t>
      </w:r>
      <w:r w:rsidR="00572509" w:rsidRPr="00153746">
        <w:rPr>
          <w:sz w:val="22"/>
          <w:szCs w:val="22"/>
        </w:rPr>
        <w:t>WTB</w:t>
      </w:r>
      <w:r w:rsidRPr="00153746">
        <w:rPr>
          <w:sz w:val="22"/>
          <w:szCs w:val="22"/>
        </w:rPr>
        <w:t xml:space="preserve"> and other interested parties to develop </w:t>
      </w:r>
      <w:r w:rsidR="00D9506D" w:rsidRPr="00153746">
        <w:rPr>
          <w:sz w:val="22"/>
          <w:szCs w:val="22"/>
        </w:rPr>
        <w:t xml:space="preserve">any necessary </w:t>
      </w:r>
      <w:r w:rsidRPr="00153746">
        <w:rPr>
          <w:sz w:val="22"/>
          <w:szCs w:val="22"/>
        </w:rPr>
        <w:t xml:space="preserve">measures to ensure that the </w:t>
      </w:r>
      <w:r w:rsidR="00E75E63" w:rsidRPr="00153746">
        <w:rPr>
          <w:sz w:val="22"/>
          <w:szCs w:val="22"/>
        </w:rPr>
        <w:t>antenna structure</w:t>
      </w:r>
      <w:r w:rsidRPr="00153746">
        <w:rPr>
          <w:sz w:val="22"/>
          <w:szCs w:val="22"/>
        </w:rPr>
        <w:t xml:space="preserve"> will not have a significant environmental impact going forward</w:t>
      </w:r>
      <w:r w:rsidR="007A47C4" w:rsidRPr="00153746">
        <w:rPr>
          <w:sz w:val="22"/>
          <w:szCs w:val="22"/>
        </w:rPr>
        <w:t xml:space="preserve"> and to address any</w:t>
      </w:r>
      <w:r w:rsidR="00C24CA8" w:rsidRPr="00153746">
        <w:rPr>
          <w:sz w:val="22"/>
          <w:szCs w:val="22"/>
        </w:rPr>
        <w:t xml:space="preserve"> significant </w:t>
      </w:r>
      <w:r w:rsidR="007A47C4" w:rsidRPr="00153746">
        <w:rPr>
          <w:sz w:val="22"/>
          <w:szCs w:val="22"/>
        </w:rPr>
        <w:t>environmental impact that may have occurred</w:t>
      </w:r>
      <w:r w:rsidRPr="00153746">
        <w:rPr>
          <w:sz w:val="22"/>
          <w:szCs w:val="22"/>
        </w:rPr>
        <w:t>.  Such measures may include, for example, elevating the structure above the floodplain; measures to avoid, minimize, or mitigate adverse effects on historic properties;</w:t>
      </w:r>
      <w:r w:rsidR="007A47C4" w:rsidRPr="00153746">
        <w:rPr>
          <w:sz w:val="22"/>
          <w:szCs w:val="22"/>
        </w:rPr>
        <w:t xml:space="preserve"> measures to mitigate the loss of wetlands;</w:t>
      </w:r>
      <w:r w:rsidRPr="00153746">
        <w:rPr>
          <w:sz w:val="22"/>
          <w:szCs w:val="22"/>
        </w:rPr>
        <w:t xml:space="preserve"> or reasonable and prudent measures to ensure against adverse effects on endangered species.  Within 30 days after finalizing </w:t>
      </w:r>
      <w:r w:rsidR="00D9506D" w:rsidRPr="00153746">
        <w:rPr>
          <w:sz w:val="22"/>
          <w:szCs w:val="22"/>
        </w:rPr>
        <w:t xml:space="preserve">any </w:t>
      </w:r>
      <w:r w:rsidRPr="00153746">
        <w:rPr>
          <w:sz w:val="22"/>
          <w:szCs w:val="22"/>
        </w:rPr>
        <w:t xml:space="preserve">such measures and any agreements memorializing them, GCI will file an Environmental Assessment </w:t>
      </w:r>
      <w:r w:rsidR="00696150" w:rsidRPr="00153746">
        <w:rPr>
          <w:sz w:val="22"/>
          <w:szCs w:val="22"/>
        </w:rPr>
        <w:t xml:space="preserve">with WTB </w:t>
      </w:r>
      <w:r w:rsidRPr="00153746">
        <w:rPr>
          <w:sz w:val="22"/>
          <w:szCs w:val="22"/>
        </w:rPr>
        <w:t xml:space="preserve">for processing under the </w:t>
      </w:r>
      <w:r w:rsidR="00E413C5" w:rsidRPr="00153746">
        <w:rPr>
          <w:sz w:val="22"/>
          <w:szCs w:val="22"/>
        </w:rPr>
        <w:t>R</w:t>
      </w:r>
      <w:r w:rsidRPr="00153746">
        <w:rPr>
          <w:sz w:val="22"/>
          <w:szCs w:val="22"/>
        </w:rPr>
        <w:t xml:space="preserve">ules.  In the event </w:t>
      </w:r>
      <w:r w:rsidR="00FD2391" w:rsidRPr="00153746">
        <w:rPr>
          <w:sz w:val="22"/>
          <w:szCs w:val="22"/>
        </w:rPr>
        <w:t xml:space="preserve">WTB determines it </w:t>
      </w:r>
      <w:r w:rsidR="00957B6E" w:rsidRPr="00153746">
        <w:rPr>
          <w:sz w:val="22"/>
          <w:szCs w:val="22"/>
        </w:rPr>
        <w:t>cannot</w:t>
      </w:r>
      <w:r w:rsidR="00FD2391" w:rsidRPr="00153746">
        <w:rPr>
          <w:sz w:val="22"/>
          <w:szCs w:val="22"/>
        </w:rPr>
        <w:t xml:space="preserve"> issue </w:t>
      </w:r>
      <w:r w:rsidR="007A47C4" w:rsidRPr="00153746">
        <w:rPr>
          <w:sz w:val="22"/>
          <w:szCs w:val="22"/>
        </w:rPr>
        <w:t xml:space="preserve">a Finding </w:t>
      </w:r>
      <w:r w:rsidR="002673F5">
        <w:rPr>
          <w:sz w:val="22"/>
          <w:szCs w:val="22"/>
        </w:rPr>
        <w:t>o</w:t>
      </w:r>
      <w:r w:rsidR="007A47C4" w:rsidRPr="00153746">
        <w:rPr>
          <w:sz w:val="22"/>
          <w:szCs w:val="22"/>
        </w:rPr>
        <w:t>f No Significant Impact</w:t>
      </w:r>
      <w:r w:rsidRPr="00153746">
        <w:rPr>
          <w:sz w:val="22"/>
          <w:szCs w:val="22"/>
        </w:rPr>
        <w:t xml:space="preserve">, GCI will cooperate with </w:t>
      </w:r>
      <w:r w:rsidR="001711DC" w:rsidRPr="00153746">
        <w:rPr>
          <w:sz w:val="22"/>
          <w:szCs w:val="22"/>
        </w:rPr>
        <w:t xml:space="preserve">the </w:t>
      </w:r>
      <w:r w:rsidR="00572509" w:rsidRPr="00153746">
        <w:rPr>
          <w:sz w:val="22"/>
          <w:szCs w:val="22"/>
        </w:rPr>
        <w:t>WTB</w:t>
      </w:r>
      <w:r w:rsidRPr="00153746">
        <w:rPr>
          <w:sz w:val="22"/>
          <w:szCs w:val="22"/>
        </w:rPr>
        <w:t xml:space="preserve"> on an appropriate course of action consistent with the </w:t>
      </w:r>
      <w:r w:rsidR="001711DC" w:rsidRPr="00153746">
        <w:rPr>
          <w:sz w:val="22"/>
          <w:szCs w:val="22"/>
        </w:rPr>
        <w:t>R</w:t>
      </w:r>
      <w:r w:rsidRPr="00153746">
        <w:rPr>
          <w:sz w:val="22"/>
          <w:szCs w:val="22"/>
        </w:rPr>
        <w:t>ules.</w:t>
      </w:r>
    </w:p>
    <w:p w14:paraId="121C314C" w14:textId="77777777" w:rsidR="00947DEB" w:rsidRPr="00153746" w:rsidRDefault="00947DEB" w:rsidP="00AA2529">
      <w:pPr>
        <w:pStyle w:val="ListParagraph"/>
        <w:numPr>
          <w:ilvl w:val="2"/>
          <w:numId w:val="6"/>
        </w:numPr>
        <w:tabs>
          <w:tab w:val="num" w:pos="2700"/>
        </w:tabs>
        <w:snapToGrid w:val="0"/>
        <w:spacing w:after="120"/>
        <w:ind w:left="2707" w:hanging="288"/>
        <w:rPr>
          <w:sz w:val="22"/>
          <w:szCs w:val="22"/>
        </w:rPr>
      </w:pPr>
      <w:r w:rsidRPr="00153746">
        <w:rPr>
          <w:sz w:val="22"/>
          <w:szCs w:val="22"/>
        </w:rPr>
        <w:t xml:space="preserve">On or before </w:t>
      </w:r>
      <w:r w:rsidR="00F15744" w:rsidRPr="00153746">
        <w:rPr>
          <w:sz w:val="22"/>
          <w:szCs w:val="22"/>
        </w:rPr>
        <w:t>April 30, 2016</w:t>
      </w:r>
      <w:r w:rsidRPr="00153746">
        <w:rPr>
          <w:sz w:val="22"/>
          <w:szCs w:val="22"/>
        </w:rPr>
        <w:t xml:space="preserve">, for each </w:t>
      </w:r>
      <w:r w:rsidR="00E75E63" w:rsidRPr="00153746">
        <w:rPr>
          <w:sz w:val="22"/>
          <w:szCs w:val="22"/>
        </w:rPr>
        <w:t>antenna structure</w:t>
      </w:r>
      <w:r w:rsidRPr="00153746">
        <w:rPr>
          <w:sz w:val="22"/>
          <w:szCs w:val="22"/>
        </w:rPr>
        <w:t xml:space="preserve"> constructed after March 16, 2001, that GCI constructed or acquired through a corporate merger or </w:t>
      </w:r>
      <w:r w:rsidR="00B94930" w:rsidRPr="00153746">
        <w:rPr>
          <w:sz w:val="22"/>
          <w:szCs w:val="22"/>
        </w:rPr>
        <w:t xml:space="preserve">corporate </w:t>
      </w:r>
      <w:r w:rsidRPr="00153746">
        <w:rPr>
          <w:sz w:val="22"/>
          <w:szCs w:val="22"/>
        </w:rPr>
        <w:t xml:space="preserve">acquisition and for which review under Section 106 of the National Historic Preservation Act </w:t>
      </w:r>
      <w:r w:rsidR="001711DC" w:rsidRPr="00153746">
        <w:rPr>
          <w:sz w:val="22"/>
          <w:szCs w:val="22"/>
        </w:rPr>
        <w:t>(NHPA)</w:t>
      </w:r>
      <w:r w:rsidR="00F53020" w:rsidRPr="00AA2529">
        <w:rPr>
          <w:rStyle w:val="FootnoteReference"/>
          <w:sz w:val="22"/>
        </w:rPr>
        <w:footnoteReference w:id="17"/>
      </w:r>
      <w:r w:rsidR="001711DC" w:rsidRPr="00153746">
        <w:rPr>
          <w:sz w:val="22"/>
          <w:szCs w:val="22"/>
        </w:rPr>
        <w:t xml:space="preserve"> </w:t>
      </w:r>
      <w:r w:rsidRPr="00153746">
        <w:rPr>
          <w:sz w:val="22"/>
          <w:szCs w:val="22"/>
        </w:rPr>
        <w:t>was not completed before construction, GCI shall demonstrate to WTB whether, with intent to avoid the requirements of Section 106, it intentionally significantly adversely affected a historic property in violation of Section 110(k) of the NHPA.</w:t>
      </w:r>
      <w:r w:rsidR="00F53020" w:rsidRPr="00AA2529">
        <w:rPr>
          <w:rStyle w:val="FootnoteReference"/>
          <w:sz w:val="22"/>
        </w:rPr>
        <w:footnoteReference w:id="18"/>
      </w:r>
      <w:r w:rsidRPr="00153746">
        <w:rPr>
          <w:sz w:val="22"/>
          <w:szCs w:val="22"/>
        </w:rPr>
        <w:t xml:space="preserve">  If a violation of</w:t>
      </w:r>
      <w:r w:rsidR="00F15744" w:rsidRPr="00153746">
        <w:rPr>
          <w:sz w:val="22"/>
          <w:szCs w:val="22"/>
        </w:rPr>
        <w:t xml:space="preserve"> Section</w:t>
      </w:r>
      <w:r w:rsidRPr="00153746">
        <w:rPr>
          <w:sz w:val="22"/>
          <w:szCs w:val="22"/>
        </w:rPr>
        <w:t xml:space="preserve"> 110(k) is shown, GCI shall cooperate with</w:t>
      </w:r>
      <w:r w:rsidR="001711DC" w:rsidRPr="00153746">
        <w:rPr>
          <w:sz w:val="22"/>
          <w:szCs w:val="22"/>
        </w:rPr>
        <w:t xml:space="preserve"> </w:t>
      </w:r>
      <w:r w:rsidRPr="00153746">
        <w:rPr>
          <w:sz w:val="22"/>
          <w:szCs w:val="22"/>
        </w:rPr>
        <w:t>WTB and the Advisory Council on Historic Preservation to resolve the situation.</w:t>
      </w:r>
    </w:p>
    <w:p w14:paraId="5E9BF8D7" w14:textId="77777777" w:rsidR="0044331D" w:rsidRPr="00153746" w:rsidRDefault="00947DEB" w:rsidP="00AA2529">
      <w:pPr>
        <w:pStyle w:val="ListParagraph"/>
        <w:numPr>
          <w:ilvl w:val="2"/>
          <w:numId w:val="6"/>
        </w:numPr>
        <w:tabs>
          <w:tab w:val="num" w:pos="2700"/>
        </w:tabs>
        <w:snapToGrid w:val="0"/>
        <w:spacing w:after="120"/>
        <w:ind w:left="2707" w:hanging="288"/>
        <w:rPr>
          <w:sz w:val="22"/>
          <w:szCs w:val="22"/>
        </w:rPr>
      </w:pPr>
      <w:r w:rsidRPr="00153746">
        <w:rPr>
          <w:sz w:val="22"/>
          <w:szCs w:val="22"/>
        </w:rPr>
        <w:t xml:space="preserve">In the event of a force majeure or a delay awaiting action by another federal agency beyond GCI’s control that precludes meeting any of the benchmarks set forth above, GCI will cooperate with WTB on an appropriate course of action consistent with the </w:t>
      </w:r>
      <w:r w:rsidR="00DB4C4F" w:rsidRPr="00153746">
        <w:rPr>
          <w:sz w:val="22"/>
          <w:szCs w:val="22"/>
        </w:rPr>
        <w:t>R</w:t>
      </w:r>
      <w:r w:rsidRPr="00153746">
        <w:rPr>
          <w:sz w:val="22"/>
          <w:szCs w:val="22"/>
        </w:rPr>
        <w:t>ules.</w:t>
      </w:r>
    </w:p>
    <w:p w14:paraId="20A62DD8" w14:textId="77777777" w:rsidR="00C90038" w:rsidRPr="00153746" w:rsidRDefault="00D85F19" w:rsidP="00B8391A">
      <w:pPr>
        <w:numPr>
          <w:ilvl w:val="0"/>
          <w:numId w:val="6"/>
        </w:numPr>
        <w:shd w:val="clear" w:color="auto" w:fill="FFFFFF" w:themeFill="background1"/>
        <w:tabs>
          <w:tab w:val="num" w:pos="1692"/>
          <w:tab w:val="num" w:pos="1872"/>
        </w:tabs>
        <w:snapToGrid w:val="0"/>
        <w:spacing w:after="120"/>
        <w:ind w:left="1872"/>
        <w:rPr>
          <w:szCs w:val="22"/>
        </w:rPr>
      </w:pPr>
      <w:r w:rsidRPr="00153746">
        <w:rPr>
          <w:szCs w:val="22"/>
        </w:rPr>
        <w:t xml:space="preserve">   </w:t>
      </w:r>
      <w:r w:rsidR="000302D0" w:rsidRPr="00153746">
        <w:rPr>
          <w:b/>
          <w:szCs w:val="22"/>
          <w:u w:val="single"/>
        </w:rPr>
        <w:t>Operating Procedures</w:t>
      </w:r>
      <w:r w:rsidR="000302D0" w:rsidRPr="00153746">
        <w:rPr>
          <w:szCs w:val="22"/>
        </w:rPr>
        <w:t>.</w:t>
      </w:r>
      <w:r w:rsidR="000302D0" w:rsidRPr="00153746">
        <w:rPr>
          <w:b/>
          <w:szCs w:val="22"/>
        </w:rPr>
        <w:t xml:space="preserve">  </w:t>
      </w:r>
      <w:r w:rsidR="000302D0" w:rsidRPr="00153746">
        <w:rPr>
          <w:szCs w:val="22"/>
        </w:rPr>
        <w:t xml:space="preserve">Within thirty (30) calendar days after the Effective Date, GCI shall establish Operating Procedures that all Covered </w:t>
      </w:r>
      <w:r w:rsidR="00474491" w:rsidRPr="00153746">
        <w:rPr>
          <w:szCs w:val="22"/>
        </w:rPr>
        <w:t>Persons</w:t>
      </w:r>
      <w:r w:rsidR="000302D0" w:rsidRPr="00153746">
        <w:rPr>
          <w:szCs w:val="22"/>
        </w:rPr>
        <w:t xml:space="preserve"> must follow to help ensure GCI’s compliance with the </w:t>
      </w:r>
      <w:r w:rsidR="00DB4C4F" w:rsidRPr="00153746">
        <w:rPr>
          <w:szCs w:val="22"/>
        </w:rPr>
        <w:t>Antenna Structure Lighting Rules</w:t>
      </w:r>
      <w:r w:rsidR="00C9150F" w:rsidRPr="00153746">
        <w:rPr>
          <w:szCs w:val="22"/>
        </w:rPr>
        <w:t>,</w:t>
      </w:r>
      <w:r w:rsidR="00DB4C4F" w:rsidRPr="00153746">
        <w:rPr>
          <w:szCs w:val="22"/>
        </w:rPr>
        <w:t xml:space="preserve"> Antenna Structure Registration Rules</w:t>
      </w:r>
      <w:r w:rsidR="00C9150F" w:rsidRPr="00153746">
        <w:rPr>
          <w:szCs w:val="22"/>
        </w:rPr>
        <w:t>, and Environmental Processing Rules</w:t>
      </w:r>
      <w:r w:rsidR="000302D0" w:rsidRPr="00153746">
        <w:rPr>
          <w:szCs w:val="22"/>
        </w:rPr>
        <w:t xml:space="preserve">.  GCI’s Operating Procedures shall include internal procedures and policies specifically designed to ensure that GCI’s antenna structures remain in compliance with the </w:t>
      </w:r>
      <w:r w:rsidR="00C9150F" w:rsidRPr="00153746">
        <w:rPr>
          <w:szCs w:val="22"/>
        </w:rPr>
        <w:t>Antenna Structure Lighting Rules, Antenna Structure Registration Rules, and Environmental Processing Rules</w:t>
      </w:r>
      <w:r w:rsidR="000302D0" w:rsidRPr="00153746">
        <w:rPr>
          <w:szCs w:val="22"/>
        </w:rPr>
        <w:t xml:space="preserve">.  </w:t>
      </w:r>
      <w:r w:rsidR="003462F5" w:rsidRPr="00153746">
        <w:rPr>
          <w:szCs w:val="22"/>
        </w:rPr>
        <w:t xml:space="preserve">These procedures shall include </w:t>
      </w:r>
      <w:r w:rsidR="005E3B92" w:rsidRPr="00153746">
        <w:rPr>
          <w:szCs w:val="22"/>
        </w:rPr>
        <w:t>maintaining</w:t>
      </w:r>
      <w:r w:rsidR="003462F5" w:rsidRPr="00153746">
        <w:rPr>
          <w:szCs w:val="22"/>
        </w:rPr>
        <w:t xml:space="preserve"> an inventory of all antenna structures owned</w:t>
      </w:r>
      <w:r w:rsidR="00FC110A" w:rsidRPr="00153746">
        <w:rPr>
          <w:szCs w:val="22"/>
        </w:rPr>
        <w:t xml:space="preserve">, </w:t>
      </w:r>
      <w:r w:rsidR="003462F5" w:rsidRPr="00153746">
        <w:rPr>
          <w:szCs w:val="22"/>
        </w:rPr>
        <w:t>controlled</w:t>
      </w:r>
      <w:r w:rsidR="00FC110A" w:rsidRPr="00153746">
        <w:rPr>
          <w:szCs w:val="22"/>
        </w:rPr>
        <w:t>, or otherwise used</w:t>
      </w:r>
      <w:r w:rsidR="003462F5" w:rsidRPr="00153746">
        <w:rPr>
          <w:szCs w:val="22"/>
        </w:rPr>
        <w:t xml:space="preserve"> by GCI</w:t>
      </w:r>
      <w:r w:rsidR="007717E9" w:rsidRPr="00153746">
        <w:rPr>
          <w:szCs w:val="22"/>
        </w:rPr>
        <w:t>,</w:t>
      </w:r>
      <w:r w:rsidR="003462F5" w:rsidRPr="00153746">
        <w:rPr>
          <w:szCs w:val="22"/>
        </w:rPr>
        <w:t xml:space="preserve"> which will enable GCI to determine whether the facilities are compliant.  </w:t>
      </w:r>
      <w:r w:rsidR="00EC5472" w:rsidRPr="00153746">
        <w:rPr>
          <w:szCs w:val="22"/>
        </w:rPr>
        <w:t xml:space="preserve">GCI shall also develop a Compliance Checklist that describes the steps that a Covered </w:t>
      </w:r>
      <w:r w:rsidR="00474491" w:rsidRPr="00153746">
        <w:rPr>
          <w:szCs w:val="22"/>
        </w:rPr>
        <w:t>Person</w:t>
      </w:r>
      <w:r w:rsidR="00EC5472" w:rsidRPr="00153746">
        <w:rPr>
          <w:szCs w:val="22"/>
        </w:rPr>
        <w:t xml:space="preserve"> must follow to ensure compliance with the </w:t>
      </w:r>
      <w:r w:rsidR="00C9150F" w:rsidRPr="00153746">
        <w:rPr>
          <w:szCs w:val="22"/>
        </w:rPr>
        <w:t>Antenna Structure Lighting Rules, Antenna Structure Registration Rules, and Environmental Processing Rules</w:t>
      </w:r>
      <w:r w:rsidR="00EC5472" w:rsidRPr="00153746">
        <w:rPr>
          <w:szCs w:val="22"/>
        </w:rPr>
        <w:t>.</w:t>
      </w:r>
      <w:r w:rsidR="000302D0" w:rsidRPr="00153746">
        <w:rPr>
          <w:szCs w:val="22"/>
        </w:rPr>
        <w:t xml:space="preserve"> </w:t>
      </w:r>
    </w:p>
    <w:p w14:paraId="223973DD" w14:textId="77777777" w:rsidR="00C90038" w:rsidRPr="00153746" w:rsidRDefault="00E02214">
      <w:pPr>
        <w:numPr>
          <w:ilvl w:val="0"/>
          <w:numId w:val="6"/>
        </w:numPr>
        <w:shd w:val="clear" w:color="auto" w:fill="FFFFFF" w:themeFill="background1"/>
        <w:tabs>
          <w:tab w:val="num" w:pos="1692"/>
          <w:tab w:val="num" w:pos="1872"/>
        </w:tabs>
        <w:snapToGrid w:val="0"/>
        <w:spacing w:after="120"/>
        <w:ind w:left="1872"/>
        <w:rPr>
          <w:szCs w:val="22"/>
        </w:rPr>
      </w:pPr>
      <w:r w:rsidRPr="00153746">
        <w:rPr>
          <w:b/>
          <w:szCs w:val="22"/>
          <w:u w:val="single"/>
        </w:rPr>
        <w:t>Compliance Manual</w:t>
      </w:r>
      <w:r w:rsidRPr="00153746">
        <w:rPr>
          <w:szCs w:val="22"/>
        </w:rPr>
        <w:t xml:space="preserve">.  </w:t>
      </w:r>
      <w:r w:rsidR="00C90038" w:rsidRPr="00153746">
        <w:rPr>
          <w:szCs w:val="22"/>
        </w:rPr>
        <w:t xml:space="preserve">Within sixty (60) calendar days after the Effective Date, the Compliance Officer shall develop and distribute a Compliance Manual to all Covered </w:t>
      </w:r>
      <w:r w:rsidR="00474491" w:rsidRPr="00153746">
        <w:rPr>
          <w:szCs w:val="22"/>
        </w:rPr>
        <w:t>Persons</w:t>
      </w:r>
      <w:r w:rsidR="00C90038" w:rsidRPr="00153746">
        <w:rPr>
          <w:szCs w:val="22"/>
        </w:rPr>
        <w:t xml:space="preserve">. </w:t>
      </w:r>
      <w:r w:rsidR="00B82701" w:rsidRPr="00153746">
        <w:rPr>
          <w:szCs w:val="22"/>
        </w:rPr>
        <w:t xml:space="preserve"> </w:t>
      </w:r>
      <w:r w:rsidR="00C90038" w:rsidRPr="00153746">
        <w:rPr>
          <w:szCs w:val="22"/>
        </w:rPr>
        <w:t xml:space="preserve">The Compliance Manual shall </w:t>
      </w:r>
      <w:r w:rsidR="00B82701" w:rsidRPr="00153746">
        <w:rPr>
          <w:szCs w:val="22"/>
        </w:rPr>
        <w:t xml:space="preserve">explain the </w:t>
      </w:r>
      <w:r w:rsidR="005A3900" w:rsidRPr="00153746">
        <w:rPr>
          <w:szCs w:val="22"/>
        </w:rPr>
        <w:t xml:space="preserve">Antenna Structure Lighting Rules, Antenna Structure Registration Rules, and Environmental Processing Rules and set forth the Operating Procedures that </w:t>
      </w:r>
      <w:r w:rsidR="00E33AB8" w:rsidRPr="00153746">
        <w:rPr>
          <w:szCs w:val="22"/>
        </w:rPr>
        <w:t>C</w:t>
      </w:r>
      <w:r w:rsidR="005A3900" w:rsidRPr="00153746">
        <w:rPr>
          <w:szCs w:val="22"/>
        </w:rPr>
        <w:t xml:space="preserve">overed </w:t>
      </w:r>
      <w:r w:rsidR="00474491" w:rsidRPr="00153746">
        <w:rPr>
          <w:szCs w:val="22"/>
        </w:rPr>
        <w:t>Persons</w:t>
      </w:r>
      <w:r w:rsidR="005A3900" w:rsidRPr="00153746">
        <w:rPr>
          <w:szCs w:val="22"/>
        </w:rPr>
        <w:t xml:space="preserve"> shall follow to help ensure GCI’s compliance with the Antenna Structure Lighting Rules, Antenna Structure Registration Rules, and Environmental Processing Rules.  GCI shall periodically review and revise the Compliance Manual as necessary to ensure that the information set forth therein remains correct and accurate</w:t>
      </w:r>
      <w:r w:rsidR="00C90038" w:rsidRPr="00153746">
        <w:rPr>
          <w:szCs w:val="22"/>
        </w:rPr>
        <w:t>.</w:t>
      </w:r>
      <w:r w:rsidR="005A3900" w:rsidRPr="00153746">
        <w:rPr>
          <w:szCs w:val="22"/>
        </w:rPr>
        <w:t xml:space="preserve">  GCI shall distribute any revisions to the Compliance Manual promptly to all Covered </w:t>
      </w:r>
      <w:r w:rsidR="00474491" w:rsidRPr="00153746">
        <w:rPr>
          <w:szCs w:val="22"/>
        </w:rPr>
        <w:t>Persons</w:t>
      </w:r>
      <w:r w:rsidR="005A3900" w:rsidRPr="00153746">
        <w:rPr>
          <w:szCs w:val="22"/>
        </w:rPr>
        <w:t>.</w:t>
      </w:r>
    </w:p>
    <w:p w14:paraId="111EA833" w14:textId="77777777" w:rsidR="00C90038" w:rsidRPr="00153746" w:rsidRDefault="00D85F19">
      <w:pPr>
        <w:numPr>
          <w:ilvl w:val="0"/>
          <w:numId w:val="6"/>
        </w:numPr>
        <w:shd w:val="clear" w:color="auto" w:fill="FFFFFF" w:themeFill="background1"/>
        <w:tabs>
          <w:tab w:val="num" w:pos="1692"/>
          <w:tab w:val="num" w:pos="1872"/>
        </w:tabs>
        <w:snapToGrid w:val="0"/>
        <w:spacing w:after="120"/>
        <w:ind w:left="1872"/>
        <w:rPr>
          <w:szCs w:val="22"/>
        </w:rPr>
      </w:pPr>
      <w:r w:rsidRPr="00153746">
        <w:rPr>
          <w:szCs w:val="22"/>
        </w:rPr>
        <w:t xml:space="preserve">   </w:t>
      </w:r>
      <w:r w:rsidR="001F2C97" w:rsidRPr="00153746">
        <w:rPr>
          <w:b/>
          <w:szCs w:val="22"/>
          <w:u w:val="single"/>
        </w:rPr>
        <w:t>Due Diligence for</w:t>
      </w:r>
      <w:r w:rsidR="001F2C97" w:rsidRPr="00153746">
        <w:rPr>
          <w:szCs w:val="22"/>
          <w:u w:val="single"/>
        </w:rPr>
        <w:t xml:space="preserve"> </w:t>
      </w:r>
      <w:r w:rsidR="001F2C97" w:rsidRPr="00153746">
        <w:rPr>
          <w:b/>
          <w:szCs w:val="22"/>
          <w:u w:val="single"/>
        </w:rPr>
        <w:t>Acquisitions</w:t>
      </w:r>
      <w:r w:rsidR="001F2C97" w:rsidRPr="00153746">
        <w:rPr>
          <w:szCs w:val="22"/>
        </w:rPr>
        <w:t xml:space="preserve">.  </w:t>
      </w:r>
      <w:r w:rsidR="00C90038" w:rsidRPr="00153746">
        <w:rPr>
          <w:szCs w:val="22"/>
        </w:rPr>
        <w:t xml:space="preserve"> </w:t>
      </w:r>
      <w:r w:rsidR="00FC110A" w:rsidRPr="00153746">
        <w:rPr>
          <w:szCs w:val="22"/>
        </w:rPr>
        <w:t xml:space="preserve">GCI agrees </w:t>
      </w:r>
      <w:r w:rsidR="003462F5" w:rsidRPr="00153746">
        <w:rPr>
          <w:szCs w:val="22"/>
        </w:rPr>
        <w:t xml:space="preserve">to perform thorough due diligence prior to any acquisitions </w:t>
      </w:r>
      <w:r w:rsidR="00FC110A" w:rsidRPr="00153746">
        <w:rPr>
          <w:szCs w:val="22"/>
        </w:rPr>
        <w:t xml:space="preserve">to determine whether </w:t>
      </w:r>
      <w:r w:rsidR="003462F5" w:rsidRPr="00153746">
        <w:rPr>
          <w:szCs w:val="22"/>
        </w:rPr>
        <w:t xml:space="preserve">any noncompliant facilities </w:t>
      </w:r>
      <w:r w:rsidR="00FC110A" w:rsidRPr="00153746">
        <w:rPr>
          <w:szCs w:val="22"/>
        </w:rPr>
        <w:t xml:space="preserve">are </w:t>
      </w:r>
      <w:r w:rsidR="003462F5" w:rsidRPr="00153746">
        <w:rPr>
          <w:szCs w:val="22"/>
        </w:rPr>
        <w:t>involved in the transaction.</w:t>
      </w:r>
      <w:r w:rsidR="00B53BF6" w:rsidRPr="00153746">
        <w:rPr>
          <w:szCs w:val="22"/>
        </w:rPr>
        <w:t xml:space="preserve">  </w:t>
      </w:r>
      <w:r w:rsidR="003462F5" w:rsidRPr="00153746">
        <w:rPr>
          <w:szCs w:val="22"/>
        </w:rPr>
        <w:t xml:space="preserve">  </w:t>
      </w:r>
    </w:p>
    <w:p w14:paraId="602767DE" w14:textId="77777777" w:rsidR="0055035F" w:rsidRPr="00153746" w:rsidRDefault="00D85F19">
      <w:pPr>
        <w:numPr>
          <w:ilvl w:val="0"/>
          <w:numId w:val="6"/>
        </w:numPr>
        <w:shd w:val="clear" w:color="auto" w:fill="FFFFFF" w:themeFill="background1"/>
        <w:tabs>
          <w:tab w:val="num" w:pos="1692"/>
          <w:tab w:val="num" w:pos="1872"/>
        </w:tabs>
        <w:snapToGrid w:val="0"/>
        <w:spacing w:after="120"/>
        <w:ind w:left="1872"/>
        <w:rPr>
          <w:szCs w:val="22"/>
        </w:rPr>
      </w:pPr>
      <w:r w:rsidRPr="00153746">
        <w:rPr>
          <w:szCs w:val="22"/>
        </w:rPr>
        <w:t xml:space="preserve">   </w:t>
      </w:r>
      <w:r w:rsidR="00E02214" w:rsidRPr="00153746">
        <w:rPr>
          <w:b/>
          <w:szCs w:val="22"/>
          <w:u w:val="single"/>
        </w:rPr>
        <w:t>Compliance Training Program</w:t>
      </w:r>
      <w:r w:rsidR="00E02214" w:rsidRPr="00153746">
        <w:rPr>
          <w:szCs w:val="22"/>
        </w:rPr>
        <w:t xml:space="preserve">.  </w:t>
      </w:r>
      <w:r w:rsidR="00C90038" w:rsidRPr="00153746">
        <w:rPr>
          <w:szCs w:val="22"/>
        </w:rPr>
        <w:t xml:space="preserve">GCI shall establish and implement a Compliance Training Program on compliance with the </w:t>
      </w:r>
      <w:r w:rsidR="00F22F22" w:rsidRPr="00153746">
        <w:rPr>
          <w:szCs w:val="22"/>
        </w:rPr>
        <w:t>Antenna Structure Lighting Rules, Antenna Structure Registration Rules</w:t>
      </w:r>
      <w:r w:rsidR="00257744" w:rsidRPr="00153746">
        <w:rPr>
          <w:szCs w:val="22"/>
        </w:rPr>
        <w:t xml:space="preserve">, </w:t>
      </w:r>
      <w:r w:rsidR="00F22F22" w:rsidRPr="00153746">
        <w:rPr>
          <w:szCs w:val="22"/>
        </w:rPr>
        <w:t>Environmental Processing Rules</w:t>
      </w:r>
      <w:r w:rsidR="00257744" w:rsidRPr="00153746">
        <w:rPr>
          <w:szCs w:val="22"/>
        </w:rPr>
        <w:t>, a</w:t>
      </w:r>
      <w:r w:rsidR="009041E4" w:rsidRPr="00153746">
        <w:rPr>
          <w:szCs w:val="22"/>
        </w:rPr>
        <w:t>nd</w:t>
      </w:r>
      <w:r w:rsidR="00257744" w:rsidRPr="00153746">
        <w:rPr>
          <w:szCs w:val="22"/>
        </w:rPr>
        <w:t xml:space="preserve"> Operating Procedures</w:t>
      </w:r>
      <w:r w:rsidR="00C90038" w:rsidRPr="00153746">
        <w:rPr>
          <w:szCs w:val="22"/>
        </w:rPr>
        <w:t xml:space="preserve">.  </w:t>
      </w:r>
      <w:r w:rsidR="00434A09" w:rsidRPr="00153746">
        <w:rPr>
          <w:szCs w:val="22"/>
        </w:rPr>
        <w:t xml:space="preserve">As part of the Compliance Training Program, Covered </w:t>
      </w:r>
      <w:r w:rsidR="00474491" w:rsidRPr="00153746">
        <w:rPr>
          <w:szCs w:val="22"/>
        </w:rPr>
        <w:t>Persons</w:t>
      </w:r>
      <w:r w:rsidR="00434A09" w:rsidRPr="00153746">
        <w:rPr>
          <w:szCs w:val="22"/>
        </w:rPr>
        <w:t xml:space="preserve"> shall be advised of GCI’s obligation to report any noncompliance with the </w:t>
      </w:r>
      <w:r w:rsidR="009041E4" w:rsidRPr="00153746">
        <w:rPr>
          <w:szCs w:val="22"/>
        </w:rPr>
        <w:t xml:space="preserve">Antenna Structure Lighting Rules, Antenna Structure Registration Rules, Environmental Processing Rules, and Operating Procedures </w:t>
      </w:r>
      <w:r w:rsidR="00434A09" w:rsidRPr="00153746">
        <w:rPr>
          <w:szCs w:val="22"/>
        </w:rPr>
        <w:t xml:space="preserve">under paragraph </w:t>
      </w:r>
      <w:r w:rsidR="009041E4" w:rsidRPr="00153746">
        <w:rPr>
          <w:szCs w:val="22"/>
        </w:rPr>
        <w:t xml:space="preserve">13 </w:t>
      </w:r>
      <w:r w:rsidR="00434A09" w:rsidRPr="00153746">
        <w:rPr>
          <w:szCs w:val="22"/>
        </w:rPr>
        <w:t xml:space="preserve">of this Consent Decree and shall be instructed on how to disclose noncompliance to the Compliance Officer.  </w:t>
      </w:r>
      <w:r w:rsidR="00C90038" w:rsidRPr="00153746">
        <w:rPr>
          <w:szCs w:val="22"/>
        </w:rPr>
        <w:t xml:space="preserve">All Covered </w:t>
      </w:r>
      <w:r w:rsidR="00474491" w:rsidRPr="00153746">
        <w:rPr>
          <w:szCs w:val="22"/>
        </w:rPr>
        <w:t>Persons</w:t>
      </w:r>
      <w:r w:rsidR="00C90038" w:rsidRPr="00153746">
        <w:rPr>
          <w:szCs w:val="22"/>
        </w:rPr>
        <w:t xml:space="preserve"> shall be trained pursuant to the Compliance Training program within six</w:t>
      </w:r>
      <w:r w:rsidR="00434A09" w:rsidRPr="00153746">
        <w:rPr>
          <w:szCs w:val="22"/>
        </w:rPr>
        <w:t>ty</w:t>
      </w:r>
      <w:r w:rsidR="00C90038" w:rsidRPr="00153746">
        <w:rPr>
          <w:szCs w:val="22"/>
        </w:rPr>
        <w:t xml:space="preserve"> (6</w:t>
      </w:r>
      <w:r w:rsidR="00434A09" w:rsidRPr="00153746">
        <w:rPr>
          <w:szCs w:val="22"/>
        </w:rPr>
        <w:t>0</w:t>
      </w:r>
      <w:r w:rsidR="00C90038" w:rsidRPr="00153746">
        <w:rPr>
          <w:szCs w:val="22"/>
        </w:rPr>
        <w:t xml:space="preserve">) </w:t>
      </w:r>
      <w:r w:rsidR="00434A09" w:rsidRPr="00153746">
        <w:rPr>
          <w:szCs w:val="22"/>
        </w:rPr>
        <w:t>calendar days</w:t>
      </w:r>
      <w:r w:rsidR="00C90038" w:rsidRPr="00153746">
        <w:rPr>
          <w:szCs w:val="22"/>
        </w:rPr>
        <w:t xml:space="preserve"> after the Effective Date, </w:t>
      </w:r>
      <w:r w:rsidR="00434A09" w:rsidRPr="00153746">
        <w:rPr>
          <w:szCs w:val="22"/>
        </w:rPr>
        <w:t xml:space="preserve">except that any </w:t>
      </w:r>
      <w:r w:rsidR="00C90038" w:rsidRPr="00153746">
        <w:rPr>
          <w:szCs w:val="22"/>
        </w:rPr>
        <w:t xml:space="preserve">person who becomes a Covered </w:t>
      </w:r>
      <w:r w:rsidR="00474491" w:rsidRPr="00153746">
        <w:rPr>
          <w:szCs w:val="22"/>
        </w:rPr>
        <w:t xml:space="preserve">Person </w:t>
      </w:r>
      <w:r w:rsidR="00C90038" w:rsidRPr="00153746">
        <w:rPr>
          <w:szCs w:val="22"/>
        </w:rPr>
        <w:t xml:space="preserve">at any time after the initial Compliance Training Program shall be trained within thirty (30) calendar days after the date such person becomes a Covered </w:t>
      </w:r>
      <w:r w:rsidR="00474491" w:rsidRPr="00153746">
        <w:rPr>
          <w:szCs w:val="22"/>
        </w:rPr>
        <w:t>Person</w:t>
      </w:r>
      <w:r w:rsidR="00C90038" w:rsidRPr="00153746">
        <w:rPr>
          <w:szCs w:val="22"/>
        </w:rPr>
        <w:t xml:space="preserve">.  GCI shall </w:t>
      </w:r>
      <w:r w:rsidR="00434A09" w:rsidRPr="00153746">
        <w:rPr>
          <w:szCs w:val="22"/>
        </w:rPr>
        <w:t xml:space="preserve">repeat compliance training on an annual basis, </w:t>
      </w:r>
      <w:r w:rsidR="00C90038" w:rsidRPr="00153746">
        <w:rPr>
          <w:szCs w:val="22"/>
        </w:rPr>
        <w:t xml:space="preserve">and shall periodically review and revise the Compliance Training Program as necessary to ensure that it remains current and complete and to enhance its effectiveness. </w:t>
      </w:r>
    </w:p>
    <w:p w14:paraId="62C8AA74" w14:textId="0D955488" w:rsidR="00E02214" w:rsidRPr="00153746" w:rsidRDefault="00E02214">
      <w:pPr>
        <w:pStyle w:val="ParaNum"/>
        <w:rPr>
          <w:szCs w:val="22"/>
        </w:rPr>
      </w:pPr>
      <w:bookmarkStart w:id="4" w:name="_Ref321323028"/>
      <w:r w:rsidRPr="00153746">
        <w:rPr>
          <w:b/>
          <w:szCs w:val="22"/>
          <w:u w:val="single"/>
        </w:rPr>
        <w:t>Reporting Noncompliance</w:t>
      </w:r>
      <w:r w:rsidRPr="00153746">
        <w:rPr>
          <w:szCs w:val="22"/>
        </w:rPr>
        <w:t xml:space="preserve">.  </w:t>
      </w:r>
      <w:bookmarkEnd w:id="4"/>
      <w:r w:rsidR="00C90038" w:rsidRPr="00153746">
        <w:rPr>
          <w:szCs w:val="22"/>
        </w:rPr>
        <w:t xml:space="preserve">GCI shall report any noncompliance with the </w:t>
      </w:r>
      <w:r w:rsidR="000E7521" w:rsidRPr="00153746">
        <w:rPr>
          <w:szCs w:val="22"/>
        </w:rPr>
        <w:t xml:space="preserve">Antenna Structure Lighting Rules, Antenna Structure Registration Rules, Environmental Processing Rules, and the </w:t>
      </w:r>
      <w:r w:rsidR="00C90038" w:rsidRPr="00153746">
        <w:rPr>
          <w:szCs w:val="22"/>
        </w:rPr>
        <w:t>terms and conditions of this Consent Decree within fifteen (15) calendar days after discovery of such noncompliance.  For the purposes of this section, noncompliance means, for any currently existing structure, failure to be in compliance as of or after the date</w:t>
      </w:r>
      <w:r w:rsidR="008A5D15" w:rsidRPr="00153746">
        <w:rPr>
          <w:szCs w:val="22"/>
        </w:rPr>
        <w:t>s</w:t>
      </w:r>
      <w:r w:rsidR="00C90038" w:rsidRPr="00153746">
        <w:rPr>
          <w:szCs w:val="22"/>
        </w:rPr>
        <w:t xml:space="preserve"> specified pursuant to paragraph </w:t>
      </w:r>
      <w:r w:rsidR="00FB68A0" w:rsidRPr="00153746">
        <w:rPr>
          <w:szCs w:val="22"/>
        </w:rPr>
        <w:t>1</w:t>
      </w:r>
      <w:r w:rsidR="00C90038" w:rsidRPr="00153746">
        <w:rPr>
          <w:szCs w:val="22"/>
        </w:rPr>
        <w:t>2(a)</w:t>
      </w:r>
      <w:r w:rsidR="00FB68A0" w:rsidRPr="00153746">
        <w:rPr>
          <w:szCs w:val="22"/>
        </w:rPr>
        <w:t xml:space="preserve"> or 12(b)</w:t>
      </w:r>
      <w:r w:rsidR="00881D80" w:rsidRPr="00153746">
        <w:rPr>
          <w:szCs w:val="22"/>
        </w:rPr>
        <w:t xml:space="preserve"> of this Consent Decree</w:t>
      </w:r>
      <w:r w:rsidR="00C90038" w:rsidRPr="00153746">
        <w:rPr>
          <w:szCs w:val="22"/>
        </w:rPr>
        <w:t>, or failure to maintain any required lighting after the Effective Date once compliance initially has been achieved</w:t>
      </w:r>
      <w:r w:rsidR="00961A96" w:rsidRPr="00153746">
        <w:rPr>
          <w:szCs w:val="22"/>
        </w:rPr>
        <w:t>;</w:t>
      </w:r>
      <w:r w:rsidR="00C90038" w:rsidRPr="00153746">
        <w:rPr>
          <w:szCs w:val="22"/>
        </w:rPr>
        <w:t xml:space="preserve"> and for all other structures, failure to be in compliance as of or after the Effective Date.  Such reports shall include a detailed explanation of:  (i) each instance of noncompliance; (ii) the steps that GCI has taken or will take to remedy such noncompliance; (iii) the schedule on which such remedial actions will be taken; and (iv) </w:t>
      </w:r>
      <w:r w:rsidR="00961A96" w:rsidRPr="00153746">
        <w:rPr>
          <w:szCs w:val="22"/>
        </w:rPr>
        <w:t xml:space="preserve">the </w:t>
      </w:r>
      <w:r w:rsidR="00C90038" w:rsidRPr="00153746">
        <w:rPr>
          <w:szCs w:val="22"/>
        </w:rPr>
        <w:t xml:space="preserve">steps that GCI has taken or will take to prevent the recurrence of any such noncompliance.  All reports of noncompliance shall be submitted to the Chief, Spectrum Enforcement Division, Enforcement Bureau, Federal Communications Commission, 445 12th Street, SW, Rm. 4C-224, Washington, DC 20554, with copies submitted electronically </w:t>
      </w:r>
      <w:r w:rsidR="00261972" w:rsidRPr="00153746">
        <w:rPr>
          <w:szCs w:val="22"/>
        </w:rPr>
        <w:t xml:space="preserve">to Paul Noone at </w:t>
      </w:r>
      <w:hyperlink r:id="rId14" w:history="1">
        <w:r w:rsidR="00261972" w:rsidRPr="00153746">
          <w:rPr>
            <w:szCs w:val="22"/>
          </w:rPr>
          <w:t>Paul.Noone@fcc.gov</w:t>
        </w:r>
      </w:hyperlink>
      <w:r w:rsidR="00261972" w:rsidRPr="00153746">
        <w:rPr>
          <w:szCs w:val="22"/>
        </w:rPr>
        <w:t xml:space="preserve"> and Neal McNeil at </w:t>
      </w:r>
      <w:hyperlink r:id="rId15" w:history="1">
        <w:r w:rsidR="00261972" w:rsidRPr="00153746">
          <w:rPr>
            <w:szCs w:val="22"/>
          </w:rPr>
          <w:t>Neal.McNeil@fcc.gov</w:t>
        </w:r>
      </w:hyperlink>
      <w:r w:rsidR="00C90038" w:rsidRPr="00153746">
        <w:rPr>
          <w:szCs w:val="22"/>
        </w:rPr>
        <w:t xml:space="preserve">.  </w:t>
      </w:r>
    </w:p>
    <w:p w14:paraId="4740192E" w14:textId="77777777" w:rsidR="00E02214" w:rsidRPr="00153746" w:rsidRDefault="00E02214" w:rsidP="00AA2529">
      <w:pPr>
        <w:pStyle w:val="ParaNum"/>
        <w:widowControl/>
        <w:rPr>
          <w:caps/>
          <w:szCs w:val="22"/>
        </w:rPr>
      </w:pPr>
      <w:bookmarkStart w:id="5" w:name="_Ref379202892"/>
      <w:r w:rsidRPr="00153746">
        <w:rPr>
          <w:b/>
          <w:szCs w:val="22"/>
          <w:u w:val="single"/>
        </w:rPr>
        <w:t>Compliance Reports</w:t>
      </w:r>
      <w:r w:rsidRPr="00153746">
        <w:rPr>
          <w:szCs w:val="22"/>
        </w:rPr>
        <w:t xml:space="preserve">.  </w:t>
      </w:r>
      <w:bookmarkEnd w:id="5"/>
      <w:r w:rsidR="00C90038" w:rsidRPr="00153746">
        <w:rPr>
          <w:szCs w:val="22"/>
        </w:rPr>
        <w:t>GCI shall file compliance reports with the Commission</w:t>
      </w:r>
      <w:r w:rsidR="002775B3" w:rsidRPr="00153746">
        <w:rPr>
          <w:szCs w:val="22"/>
        </w:rPr>
        <w:t xml:space="preserve">: </w:t>
      </w:r>
      <w:r w:rsidR="00C90038" w:rsidRPr="00153746">
        <w:rPr>
          <w:szCs w:val="22"/>
        </w:rPr>
        <w:t xml:space="preserve"> </w:t>
      </w:r>
      <w:r w:rsidR="00AD6A7F" w:rsidRPr="00153746">
        <w:rPr>
          <w:szCs w:val="22"/>
        </w:rPr>
        <w:t>(i)</w:t>
      </w:r>
      <w:r w:rsidR="00744FE3" w:rsidRPr="00153746">
        <w:rPr>
          <w:szCs w:val="22"/>
        </w:rPr>
        <w:t xml:space="preserve"> ninety (90) days after the In-Compliance Date; (ii)</w:t>
      </w:r>
      <w:r w:rsidR="00AD6A7F" w:rsidRPr="00153746">
        <w:rPr>
          <w:szCs w:val="22"/>
        </w:rPr>
        <w:t xml:space="preserve"> </w:t>
      </w:r>
      <w:r w:rsidR="00C90038" w:rsidRPr="00153746">
        <w:rPr>
          <w:szCs w:val="22"/>
        </w:rPr>
        <w:t xml:space="preserve">twelve (12) months after </w:t>
      </w:r>
      <w:r w:rsidR="00056532" w:rsidRPr="00153746">
        <w:rPr>
          <w:szCs w:val="22"/>
        </w:rPr>
        <w:t>the In-Compliance Date</w:t>
      </w:r>
      <w:r w:rsidR="007A2DC0" w:rsidRPr="00153746">
        <w:rPr>
          <w:szCs w:val="22"/>
        </w:rPr>
        <w:t>;</w:t>
      </w:r>
      <w:r w:rsidR="00C90038" w:rsidRPr="00153746">
        <w:rPr>
          <w:szCs w:val="22"/>
        </w:rPr>
        <w:t xml:space="preserve"> </w:t>
      </w:r>
      <w:r w:rsidR="00AD6A7F" w:rsidRPr="00153746">
        <w:rPr>
          <w:szCs w:val="22"/>
        </w:rPr>
        <w:t>(</w:t>
      </w:r>
      <w:r w:rsidR="00744FE3" w:rsidRPr="00153746">
        <w:rPr>
          <w:szCs w:val="22"/>
        </w:rPr>
        <w:t>i</w:t>
      </w:r>
      <w:r w:rsidR="00AD6A7F" w:rsidRPr="00153746">
        <w:rPr>
          <w:szCs w:val="22"/>
        </w:rPr>
        <w:t xml:space="preserve">ii) </w:t>
      </w:r>
      <w:r w:rsidR="00C90038" w:rsidRPr="00153746">
        <w:rPr>
          <w:szCs w:val="22"/>
        </w:rPr>
        <w:t xml:space="preserve">twenty-four (24) months after </w:t>
      </w:r>
      <w:r w:rsidR="007A2DC0" w:rsidRPr="00153746">
        <w:rPr>
          <w:szCs w:val="22"/>
        </w:rPr>
        <w:t>the In-Compliance Date;</w:t>
      </w:r>
      <w:r w:rsidR="00AD6A7F" w:rsidRPr="00153746">
        <w:rPr>
          <w:szCs w:val="22"/>
        </w:rPr>
        <w:t xml:space="preserve"> (i</w:t>
      </w:r>
      <w:r w:rsidR="00744FE3" w:rsidRPr="00153746">
        <w:rPr>
          <w:szCs w:val="22"/>
        </w:rPr>
        <w:t>v</w:t>
      </w:r>
      <w:r w:rsidR="00AD6A7F" w:rsidRPr="00153746">
        <w:rPr>
          <w:szCs w:val="22"/>
        </w:rPr>
        <w:t>)</w:t>
      </w:r>
      <w:r w:rsidR="00C90038" w:rsidRPr="00153746">
        <w:rPr>
          <w:szCs w:val="22"/>
        </w:rPr>
        <w:t xml:space="preserve"> and thirty-six (36) months after </w:t>
      </w:r>
      <w:r w:rsidR="007A2DC0" w:rsidRPr="00153746">
        <w:rPr>
          <w:szCs w:val="22"/>
        </w:rPr>
        <w:t>the In-Compliance Date</w:t>
      </w:r>
      <w:r w:rsidR="00C90038" w:rsidRPr="00153746">
        <w:rPr>
          <w:szCs w:val="22"/>
        </w:rPr>
        <w:t>.</w:t>
      </w:r>
    </w:p>
    <w:p w14:paraId="0112C8EA" w14:textId="77777777" w:rsidR="00C90038" w:rsidRPr="00153746" w:rsidRDefault="00C90038">
      <w:pPr>
        <w:pStyle w:val="ParaNum"/>
        <w:numPr>
          <w:ilvl w:val="0"/>
          <w:numId w:val="7"/>
        </w:numPr>
        <w:rPr>
          <w:szCs w:val="22"/>
        </w:rPr>
      </w:pPr>
      <w:r w:rsidRPr="00153746">
        <w:rPr>
          <w:szCs w:val="22"/>
        </w:rPr>
        <w:t xml:space="preserve">Each Compliance Report shall include a detailed description of GCI’s efforts during the relevant period to comply with the terms and conditions of this Consent </w:t>
      </w:r>
      <w:r w:rsidR="00E33AB8" w:rsidRPr="00153746">
        <w:rPr>
          <w:szCs w:val="22"/>
        </w:rPr>
        <w:t>Decree and</w:t>
      </w:r>
      <w:r w:rsidR="00E543BE" w:rsidRPr="00153746">
        <w:rPr>
          <w:szCs w:val="22"/>
        </w:rPr>
        <w:t xml:space="preserve"> the Antenna Structure Lighting Rules, Antenna Structure Registration Rules, and Environmental Processing Rules</w:t>
      </w:r>
      <w:r w:rsidRPr="00153746">
        <w:rPr>
          <w:szCs w:val="22"/>
        </w:rPr>
        <w:t xml:space="preserve">. </w:t>
      </w:r>
      <w:r w:rsidR="00E543BE" w:rsidRPr="00153746">
        <w:rPr>
          <w:szCs w:val="22"/>
        </w:rPr>
        <w:t xml:space="preserve"> </w:t>
      </w:r>
      <w:r w:rsidRPr="00153746">
        <w:rPr>
          <w:szCs w:val="22"/>
        </w:rPr>
        <w:t xml:space="preserve">In addition, each Compliance Report shall include a certification by the Compliance Officer, as an agent of and on behalf of GCI, stating that the Compliance Officer has personal knowledge that GCI:  (i) has established and implemented the Compliance Plan; (ii) has utilized the </w:t>
      </w:r>
      <w:r w:rsidR="00E543BE" w:rsidRPr="00153746">
        <w:rPr>
          <w:szCs w:val="22"/>
        </w:rPr>
        <w:t>O</w:t>
      </w:r>
      <w:r w:rsidRPr="00153746">
        <w:rPr>
          <w:szCs w:val="22"/>
        </w:rPr>
        <w:t xml:space="preserve">perating </w:t>
      </w:r>
      <w:r w:rsidR="00E543BE" w:rsidRPr="00153746">
        <w:rPr>
          <w:szCs w:val="22"/>
        </w:rPr>
        <w:t>P</w:t>
      </w:r>
      <w:r w:rsidRPr="00153746">
        <w:rPr>
          <w:szCs w:val="22"/>
        </w:rPr>
        <w:t xml:space="preserve">rocedures specified in the Compliance Manual since the implementation of the Compliance Plan; and (iii) is not aware of any instances of noncompliance with the terms and conditions of this Consent Decree, including the reporting obligations set forth in paragraph </w:t>
      </w:r>
      <w:r w:rsidR="00E543BE" w:rsidRPr="00153746">
        <w:rPr>
          <w:szCs w:val="22"/>
        </w:rPr>
        <w:t>13</w:t>
      </w:r>
      <w:r w:rsidRPr="00153746">
        <w:rPr>
          <w:b/>
          <w:szCs w:val="22"/>
        </w:rPr>
        <w:t xml:space="preserve"> </w:t>
      </w:r>
      <w:r w:rsidRPr="00153746">
        <w:rPr>
          <w:szCs w:val="22"/>
        </w:rPr>
        <w:t>of this Consent Decree.</w:t>
      </w:r>
    </w:p>
    <w:p w14:paraId="48B26C42" w14:textId="77777777" w:rsidR="00CF0F21" w:rsidRPr="00153746" w:rsidRDefault="00CF0F21">
      <w:pPr>
        <w:numPr>
          <w:ilvl w:val="0"/>
          <w:numId w:val="7"/>
        </w:numPr>
        <w:snapToGrid w:val="0"/>
        <w:spacing w:after="120"/>
        <w:rPr>
          <w:szCs w:val="22"/>
        </w:rPr>
      </w:pPr>
      <w:r w:rsidRPr="00153746">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153746">
        <w:rPr>
          <w:szCs w:val="22"/>
          <w:vertAlign w:val="superscript"/>
        </w:rPr>
        <w:footnoteReference w:id="19"/>
      </w:r>
    </w:p>
    <w:p w14:paraId="7FF0031B" w14:textId="77777777" w:rsidR="00CF0F21" w:rsidRPr="00153746" w:rsidRDefault="00CF0F21" w:rsidP="00E22383">
      <w:pPr>
        <w:numPr>
          <w:ilvl w:val="0"/>
          <w:numId w:val="7"/>
        </w:numPr>
        <w:snapToGrid w:val="0"/>
        <w:spacing w:after="120"/>
        <w:ind w:left="1786"/>
        <w:rPr>
          <w:szCs w:val="22"/>
        </w:rPr>
      </w:pPr>
      <w:r w:rsidRPr="00153746">
        <w:rPr>
          <w:szCs w:val="22"/>
        </w:rPr>
        <w:t>If the Compliance Officer cannot provide the requisite certification, the Compliance Officer, as an agent of and on behalf of GCI, shall provide the Commission with a detailed explanation of the reason(s) why and describe fully:  (i) each instance of noncompliance; (ii) the steps that GCI has taken or will take to remedy such noncompliance, including the schedule on which proposed remedial actions will be taken; and (iii) the steps that GCI has taken or will take to prevent the recurrence of any such noncompliance, including the schedule on which such preventive action will be taken.</w:t>
      </w:r>
    </w:p>
    <w:p w14:paraId="35B41407" w14:textId="05A59389" w:rsidR="00CF0F21" w:rsidRPr="00153746" w:rsidRDefault="00CF0F21">
      <w:pPr>
        <w:numPr>
          <w:ilvl w:val="0"/>
          <w:numId w:val="7"/>
        </w:numPr>
        <w:snapToGrid w:val="0"/>
        <w:spacing w:after="120"/>
        <w:rPr>
          <w:szCs w:val="22"/>
        </w:rPr>
      </w:pPr>
      <w:r w:rsidRPr="00153746">
        <w:rPr>
          <w:szCs w:val="22"/>
        </w:rPr>
        <w:t xml:space="preserve">All Compliance Reports shall be submitted to the Chief, Spectrum Enforcement Division, Enforcement Bureau, Federal Communications Commission, 445 12th Street, SW, Rm. 4C-224, Washington, DC 20554, with </w:t>
      </w:r>
      <w:r w:rsidR="007A09D5" w:rsidRPr="00153746">
        <w:rPr>
          <w:szCs w:val="22"/>
        </w:rPr>
        <w:t>copies</w:t>
      </w:r>
      <w:r w:rsidRPr="00153746">
        <w:rPr>
          <w:szCs w:val="22"/>
        </w:rPr>
        <w:t xml:space="preserve"> submitted electronically to </w:t>
      </w:r>
      <w:r w:rsidR="00462BA2" w:rsidRPr="00153746">
        <w:rPr>
          <w:szCs w:val="22"/>
        </w:rPr>
        <w:t xml:space="preserve">Paul Noone at </w:t>
      </w:r>
      <w:hyperlink r:id="rId16" w:history="1">
        <w:r w:rsidR="00462BA2" w:rsidRPr="00153746">
          <w:rPr>
            <w:szCs w:val="22"/>
          </w:rPr>
          <w:t>Paul.Noone@fcc.gov</w:t>
        </w:r>
      </w:hyperlink>
      <w:r w:rsidR="007A09D5" w:rsidRPr="00153746">
        <w:rPr>
          <w:szCs w:val="22"/>
        </w:rPr>
        <w:t>,</w:t>
      </w:r>
      <w:r w:rsidR="00462BA2" w:rsidRPr="00153746">
        <w:rPr>
          <w:szCs w:val="22"/>
        </w:rPr>
        <w:t xml:space="preserve"> Neal McNeil at </w:t>
      </w:r>
      <w:hyperlink r:id="rId17" w:history="1">
        <w:r w:rsidR="007A09D5" w:rsidRPr="00153746">
          <w:rPr>
            <w:szCs w:val="22"/>
          </w:rPr>
          <w:t>Neal.McNeil@fcc.gov</w:t>
        </w:r>
      </w:hyperlink>
      <w:r w:rsidR="007A09D5" w:rsidRPr="00153746">
        <w:rPr>
          <w:szCs w:val="22"/>
        </w:rPr>
        <w:t>, and Won Kim at Won.Kim@fcc.gov</w:t>
      </w:r>
      <w:r w:rsidR="00462BA2" w:rsidRPr="00153746">
        <w:rPr>
          <w:szCs w:val="22"/>
        </w:rPr>
        <w:t>.</w:t>
      </w:r>
      <w:r w:rsidRPr="00153746">
        <w:rPr>
          <w:szCs w:val="22"/>
        </w:rPr>
        <w:t xml:space="preserve"> </w:t>
      </w:r>
    </w:p>
    <w:p w14:paraId="587115B3" w14:textId="77777777" w:rsidR="008A2AD9" w:rsidRPr="00153746" w:rsidRDefault="00E02214">
      <w:pPr>
        <w:pStyle w:val="ParaNum"/>
        <w:rPr>
          <w:szCs w:val="22"/>
        </w:rPr>
      </w:pPr>
      <w:r w:rsidRPr="00153746">
        <w:rPr>
          <w:b/>
          <w:szCs w:val="22"/>
          <w:u w:val="single"/>
        </w:rPr>
        <w:t>Termination Date</w:t>
      </w:r>
      <w:r w:rsidRPr="00153746">
        <w:rPr>
          <w:szCs w:val="22"/>
        </w:rPr>
        <w:t xml:space="preserve">. </w:t>
      </w:r>
      <w:r w:rsidRPr="00153746">
        <w:rPr>
          <w:b/>
          <w:szCs w:val="22"/>
        </w:rPr>
        <w:t xml:space="preserve"> </w:t>
      </w:r>
      <w:r w:rsidRPr="00153746">
        <w:rPr>
          <w:szCs w:val="22"/>
        </w:rPr>
        <w:t xml:space="preserve">Unless stated otherwise, the </w:t>
      </w:r>
      <w:r w:rsidR="00C3652C" w:rsidRPr="00153746">
        <w:rPr>
          <w:szCs w:val="22"/>
        </w:rPr>
        <w:t>requirement</w:t>
      </w:r>
      <w:r w:rsidRPr="00153746">
        <w:rPr>
          <w:szCs w:val="22"/>
        </w:rPr>
        <w:t xml:space="preserve">s set forth in paragraphs </w:t>
      </w:r>
      <w:r w:rsidR="00261972" w:rsidRPr="00153746">
        <w:rPr>
          <w:szCs w:val="22"/>
        </w:rPr>
        <w:t>11</w:t>
      </w:r>
      <w:r w:rsidRPr="00153746">
        <w:rPr>
          <w:szCs w:val="22"/>
        </w:rPr>
        <w:t xml:space="preserve"> through </w:t>
      </w:r>
      <w:r w:rsidR="00261972" w:rsidRPr="00153746">
        <w:rPr>
          <w:szCs w:val="22"/>
        </w:rPr>
        <w:t>14</w:t>
      </w:r>
      <w:r w:rsidRPr="00153746">
        <w:rPr>
          <w:szCs w:val="22"/>
        </w:rPr>
        <w:t xml:space="preserve"> of this Consent Decree shall expire thirty-six (36) months after </w:t>
      </w:r>
      <w:r w:rsidR="007A2DC0" w:rsidRPr="00153746">
        <w:rPr>
          <w:szCs w:val="22"/>
        </w:rPr>
        <w:t>the In-Compliance Date</w:t>
      </w:r>
      <w:r w:rsidRPr="00153746">
        <w:rPr>
          <w:szCs w:val="22"/>
        </w:rPr>
        <w:t>.</w:t>
      </w:r>
      <w:r w:rsidR="0070112A" w:rsidRPr="00153746">
        <w:rPr>
          <w:szCs w:val="22"/>
        </w:rPr>
        <w:t xml:space="preserve"> </w:t>
      </w:r>
    </w:p>
    <w:p w14:paraId="055A66F9" w14:textId="77777777" w:rsidR="00E02214" w:rsidRPr="00153746" w:rsidRDefault="00FB68A0">
      <w:pPr>
        <w:pStyle w:val="ParaNum"/>
        <w:rPr>
          <w:szCs w:val="22"/>
        </w:rPr>
      </w:pPr>
      <w:r w:rsidRPr="00153746">
        <w:rPr>
          <w:b/>
          <w:szCs w:val="22"/>
          <w:u w:val="single"/>
        </w:rPr>
        <w:t>S</w:t>
      </w:r>
      <w:r w:rsidR="00E02214" w:rsidRPr="00153746">
        <w:rPr>
          <w:b/>
          <w:szCs w:val="22"/>
          <w:u w:val="single"/>
        </w:rPr>
        <w:t>ection 208 Complaints; Subsequent Investigations</w:t>
      </w:r>
      <w:r w:rsidR="00E02214" w:rsidRPr="00153746">
        <w:rPr>
          <w:szCs w:val="22"/>
        </w:rPr>
        <w:t>.  Nothing in this Consent Decree shall prevent the Commission or its delegated authority from adjudicating complaints filed pursuant to Section 208 of the Act</w:t>
      </w:r>
      <w:r w:rsidR="00E02214" w:rsidRPr="00153746">
        <w:rPr>
          <w:rStyle w:val="FootnoteReference"/>
          <w:sz w:val="22"/>
          <w:szCs w:val="22"/>
        </w:rPr>
        <w:footnoteReference w:id="20"/>
      </w:r>
      <w:r w:rsidR="00E02214" w:rsidRPr="00153746">
        <w:rPr>
          <w:szCs w:val="22"/>
        </w:rPr>
        <w:t xml:space="preserve"> against </w:t>
      </w:r>
      <w:r w:rsidR="0049668B" w:rsidRPr="00153746">
        <w:rPr>
          <w:szCs w:val="22"/>
        </w:rPr>
        <w:t xml:space="preserve">GCI </w:t>
      </w:r>
      <w:r w:rsidR="00E02214" w:rsidRPr="00153746">
        <w:rPr>
          <w:szCs w:val="22"/>
        </w:rPr>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49668B" w:rsidRPr="00153746">
        <w:rPr>
          <w:szCs w:val="22"/>
        </w:rPr>
        <w:t xml:space="preserve">GCI </w:t>
      </w:r>
      <w:r w:rsidR="00E02214" w:rsidRPr="00153746">
        <w:rPr>
          <w:szCs w:val="22"/>
        </w:rPr>
        <w:t>with the Communications Laws.</w:t>
      </w:r>
      <w:r w:rsidR="00F8748A" w:rsidRPr="00153746">
        <w:rPr>
          <w:szCs w:val="22"/>
        </w:rPr>
        <w:t xml:space="preserve"> </w:t>
      </w:r>
    </w:p>
    <w:p w14:paraId="782D03FE" w14:textId="77777777" w:rsidR="00E02214" w:rsidRPr="00153746" w:rsidRDefault="003C4A20">
      <w:pPr>
        <w:pStyle w:val="ParaNum"/>
        <w:rPr>
          <w:szCs w:val="22"/>
        </w:rPr>
      </w:pPr>
      <w:bookmarkStart w:id="6" w:name="_Ref357521957"/>
      <w:r w:rsidRPr="00153746">
        <w:rPr>
          <w:b/>
          <w:szCs w:val="22"/>
          <w:u w:val="single"/>
        </w:rPr>
        <w:t xml:space="preserve">Civil </w:t>
      </w:r>
      <w:r w:rsidR="006C3459" w:rsidRPr="00153746">
        <w:rPr>
          <w:b/>
          <w:szCs w:val="22"/>
          <w:u w:val="single"/>
        </w:rPr>
        <w:t>Penalt</w:t>
      </w:r>
      <w:r w:rsidR="008B628C" w:rsidRPr="00153746">
        <w:rPr>
          <w:b/>
          <w:szCs w:val="22"/>
          <w:u w:val="single"/>
        </w:rPr>
        <w:t>y</w:t>
      </w:r>
      <w:r w:rsidR="00E02214" w:rsidRPr="00153746">
        <w:rPr>
          <w:szCs w:val="22"/>
        </w:rPr>
        <w:t xml:space="preserve">.  </w:t>
      </w:r>
      <w:r w:rsidR="00867F7A" w:rsidRPr="00153746">
        <w:rPr>
          <w:szCs w:val="22"/>
        </w:rPr>
        <w:t xml:space="preserve">GCI will pay a civil penalty to the </w:t>
      </w:r>
      <w:r w:rsidR="00896520" w:rsidRPr="00153746">
        <w:rPr>
          <w:szCs w:val="22"/>
        </w:rPr>
        <w:t>United States</w:t>
      </w:r>
      <w:r w:rsidR="00867F7A" w:rsidRPr="00153746">
        <w:rPr>
          <w:szCs w:val="22"/>
        </w:rPr>
        <w:t xml:space="preserve"> Treasury </w:t>
      </w:r>
      <w:r w:rsidR="00896520" w:rsidRPr="00153746">
        <w:rPr>
          <w:szCs w:val="22"/>
        </w:rPr>
        <w:t xml:space="preserve">in the amount </w:t>
      </w:r>
      <w:r w:rsidR="00867F7A" w:rsidRPr="00153746">
        <w:rPr>
          <w:szCs w:val="22"/>
        </w:rPr>
        <w:t>of $</w:t>
      </w:r>
      <w:r w:rsidR="008A40AE" w:rsidRPr="00153746">
        <w:rPr>
          <w:szCs w:val="22"/>
        </w:rPr>
        <w:t>620,500</w:t>
      </w:r>
      <w:r w:rsidR="00867F7A" w:rsidRPr="00153746">
        <w:rPr>
          <w:szCs w:val="22"/>
        </w:rPr>
        <w:t xml:space="preserve"> within 30 </w:t>
      </w:r>
      <w:r w:rsidR="003D41F8" w:rsidRPr="00153746">
        <w:rPr>
          <w:szCs w:val="22"/>
        </w:rPr>
        <w:t xml:space="preserve">calendar </w:t>
      </w:r>
      <w:r w:rsidR="00867F7A" w:rsidRPr="00153746">
        <w:rPr>
          <w:szCs w:val="22"/>
        </w:rPr>
        <w:t xml:space="preserve">days of the Effective Date.  </w:t>
      </w:r>
      <w:r w:rsidR="0049668B" w:rsidRPr="00153746">
        <w:rPr>
          <w:szCs w:val="22"/>
        </w:rPr>
        <w:t xml:space="preserve">GCI </w:t>
      </w:r>
      <w:r w:rsidR="00867F7A" w:rsidRPr="00153746">
        <w:rPr>
          <w:szCs w:val="22"/>
        </w:rPr>
        <w:t>shall send electronic notification of payment to Paul Noone at Paul.Noone</w:t>
      </w:r>
      <w:r w:rsidR="00D076CD" w:rsidRPr="00153746">
        <w:rPr>
          <w:szCs w:val="22"/>
        </w:rPr>
        <w:t>@</w:t>
      </w:r>
      <w:r w:rsidR="00867F7A" w:rsidRPr="00153746">
        <w:rPr>
          <w:szCs w:val="22"/>
        </w:rPr>
        <w:t xml:space="preserve">fcc.gov, </w:t>
      </w:r>
      <w:r w:rsidR="00D076CD" w:rsidRPr="00153746">
        <w:rPr>
          <w:szCs w:val="22"/>
        </w:rPr>
        <w:t xml:space="preserve">Neal McNeil </w:t>
      </w:r>
      <w:r w:rsidR="00867F7A" w:rsidRPr="00153746">
        <w:rPr>
          <w:szCs w:val="22"/>
        </w:rPr>
        <w:t xml:space="preserve">at </w:t>
      </w:r>
      <w:r w:rsidR="00D076CD" w:rsidRPr="00153746">
        <w:rPr>
          <w:szCs w:val="22"/>
        </w:rPr>
        <w:t>Neal</w:t>
      </w:r>
      <w:r w:rsidR="00867F7A" w:rsidRPr="00153746">
        <w:rPr>
          <w:szCs w:val="22"/>
        </w:rPr>
        <w:t>.</w:t>
      </w:r>
      <w:r w:rsidR="00D076CD" w:rsidRPr="00153746">
        <w:rPr>
          <w:szCs w:val="22"/>
        </w:rPr>
        <w:t>McNeil</w:t>
      </w:r>
      <w:r w:rsidR="00867F7A" w:rsidRPr="00153746">
        <w:rPr>
          <w:szCs w:val="22"/>
        </w:rPr>
        <w:t xml:space="preserve">@fcc.gov, and Samantha Peoples at Sam.Peoples@fcc.gov on the date said payment is made.  </w:t>
      </w:r>
      <w:bookmarkEnd w:id="6"/>
      <w:r w:rsidR="00D076CD" w:rsidRPr="00153746">
        <w:rPr>
          <w:szCs w:val="22"/>
        </w:rPr>
        <w:t xml:space="preserve">The payment must be made by check or similar instrument, wire transfer, or credit card, and must include the Account Number and FRN referenced in the caption of the Adopting Order.  Regardless </w:t>
      </w:r>
      <w:r w:rsidR="00E02214" w:rsidRPr="00153746">
        <w:rPr>
          <w:szCs w:val="22"/>
        </w:rPr>
        <w:t>of the form of payment, a completed FCC Form 159 (Remittance Advice) must be submitted.</w:t>
      </w:r>
      <w:r w:rsidR="00E02214" w:rsidRPr="00153746">
        <w:rPr>
          <w:rStyle w:val="FootnoteReference"/>
          <w:sz w:val="22"/>
          <w:szCs w:val="22"/>
        </w:rPr>
        <w:footnoteReference w:id="21"/>
      </w:r>
      <w:r w:rsidR="00E02214" w:rsidRPr="00153746">
        <w:rPr>
          <w:szCs w:val="22"/>
        </w:rPr>
        <w:t xml:space="preserve">  </w:t>
      </w:r>
      <w:r w:rsidR="00D076CD" w:rsidRPr="00153746">
        <w:rPr>
          <w:szCs w:val="22"/>
        </w:rPr>
        <w:t>When completing the FCC Form 159, enter the Account Number in block number 23A (call sign/other ID) and enter the letters “FORF” in block number 24A (payment type code).  Below are additional instructions that should be followed based on the form of payment selected</w:t>
      </w:r>
      <w:r w:rsidR="003D41F8" w:rsidRPr="00153746">
        <w:rPr>
          <w:szCs w:val="22"/>
        </w:rPr>
        <w:t>:</w:t>
      </w:r>
      <w:r w:rsidR="00D076CD" w:rsidRPr="00153746">
        <w:rPr>
          <w:szCs w:val="22"/>
        </w:rPr>
        <w:t xml:space="preserve">  </w:t>
      </w:r>
    </w:p>
    <w:p w14:paraId="71FF278C" w14:textId="77777777" w:rsidR="00E02214" w:rsidRPr="00153746" w:rsidRDefault="00E02214">
      <w:pPr>
        <w:pStyle w:val="ParaNum"/>
        <w:numPr>
          <w:ilvl w:val="0"/>
          <w:numId w:val="9"/>
        </w:numPr>
        <w:rPr>
          <w:rFonts w:eastAsia="MS Mincho"/>
          <w:szCs w:val="22"/>
        </w:rPr>
      </w:pPr>
      <w:r w:rsidRPr="00153746">
        <w:rPr>
          <w:rFonts w:eastAsia="MS Mincho"/>
          <w:szCs w:val="22"/>
        </w:rPr>
        <w:t xml:space="preserve">Payment by check or money order must be made payable to the order of the Federal Communications Commission.  Such payments (along with the completed Form 159) must be mailed to Federal Communications </w:t>
      </w:r>
      <w:r w:rsidR="001278CC" w:rsidRPr="00153746">
        <w:rPr>
          <w:rFonts w:eastAsia="MS Mincho"/>
          <w:szCs w:val="22"/>
        </w:rPr>
        <w:t>Commission, P.O. Box 979088, St.</w:t>
      </w:r>
      <w:r w:rsidRPr="00153746">
        <w:rPr>
          <w:rFonts w:eastAsia="MS Mincho"/>
          <w:szCs w:val="22"/>
        </w:rPr>
        <w:t> Louis, MO 63197-9000, or sent via overnight mail to U.S. Bank – Government Lockbox #979088, SL</w:t>
      </w:r>
      <w:r w:rsidRPr="00153746">
        <w:rPr>
          <w:rFonts w:eastAsia="MS Mincho"/>
          <w:szCs w:val="22"/>
        </w:rPr>
        <w:noBreakHyphen/>
        <w:t>MO</w:t>
      </w:r>
      <w:r w:rsidRPr="00153746">
        <w:rPr>
          <w:rFonts w:eastAsia="MS Mincho"/>
          <w:szCs w:val="22"/>
        </w:rPr>
        <w:noBreakHyphen/>
        <w:t>C2</w:t>
      </w:r>
      <w:r w:rsidRPr="00153746">
        <w:rPr>
          <w:rFonts w:eastAsia="MS Mincho"/>
          <w:szCs w:val="22"/>
        </w:rPr>
        <w:noBreakHyphen/>
        <w:t>GL, 1005 Convention Plaza, St. Louis, MO 63101.</w:t>
      </w:r>
    </w:p>
    <w:p w14:paraId="649D24DC" w14:textId="77777777" w:rsidR="00E02214" w:rsidRPr="00153746" w:rsidRDefault="00E02214">
      <w:pPr>
        <w:pStyle w:val="ParaNum"/>
        <w:numPr>
          <w:ilvl w:val="0"/>
          <w:numId w:val="9"/>
        </w:numPr>
        <w:rPr>
          <w:rFonts w:eastAsia="MS Mincho"/>
          <w:szCs w:val="22"/>
        </w:rPr>
      </w:pPr>
      <w:r w:rsidRPr="00153746">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B9C07A0" w14:textId="77777777" w:rsidR="00E02214" w:rsidRPr="00153746" w:rsidRDefault="00E02214">
      <w:pPr>
        <w:pStyle w:val="ParaNum"/>
        <w:numPr>
          <w:ilvl w:val="0"/>
          <w:numId w:val="9"/>
        </w:numPr>
        <w:rPr>
          <w:rFonts w:eastAsia="MS Mincho"/>
          <w:szCs w:val="22"/>
        </w:rPr>
      </w:pPr>
      <w:r w:rsidRPr="00153746">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2BDD810F" w14:textId="77777777" w:rsidR="00D076CD" w:rsidRPr="00153746" w:rsidRDefault="00E02214">
      <w:pPr>
        <w:spacing w:after="120"/>
        <w:rPr>
          <w:rFonts w:eastAsia="MS Mincho"/>
          <w:szCs w:val="22"/>
        </w:rPr>
      </w:pPr>
      <w:r w:rsidRPr="00153746">
        <w:rPr>
          <w:rFonts w:eastAsia="MS Mincho"/>
          <w:szCs w:val="22"/>
        </w:rPr>
        <w:t>Questions regarding payment procedure</w:t>
      </w:r>
      <w:r w:rsidR="001278CC" w:rsidRPr="00153746">
        <w:rPr>
          <w:rFonts w:eastAsia="MS Mincho"/>
          <w:szCs w:val="22"/>
        </w:rPr>
        <w:t>s</w:t>
      </w:r>
      <w:r w:rsidRPr="00153746">
        <w:rPr>
          <w:rFonts w:eastAsia="MS Mincho"/>
          <w:szCs w:val="22"/>
        </w:rPr>
        <w:t xml:space="preserve"> should be addressed to the Financial Operations Group Help Desk by phone, 1-877-480-3201, or by e-mail, </w:t>
      </w:r>
      <w:r w:rsidR="009109DD" w:rsidRPr="00153746">
        <w:rPr>
          <w:rFonts w:eastAsia="MS Mincho"/>
          <w:szCs w:val="22"/>
        </w:rPr>
        <w:t>ARINQUIRIES@fcc.gov</w:t>
      </w:r>
      <w:r w:rsidRPr="00153746">
        <w:rPr>
          <w:rFonts w:eastAsia="MS Mincho"/>
          <w:szCs w:val="22"/>
        </w:rPr>
        <w:t>.</w:t>
      </w:r>
    </w:p>
    <w:p w14:paraId="6BACE0B5" w14:textId="77777777" w:rsidR="00E02214" w:rsidRPr="00153746" w:rsidRDefault="00E02214" w:rsidP="009E201B">
      <w:pPr>
        <w:pStyle w:val="ParaNum"/>
        <w:rPr>
          <w:szCs w:val="22"/>
        </w:rPr>
      </w:pPr>
      <w:r w:rsidRPr="00153746">
        <w:rPr>
          <w:b/>
          <w:szCs w:val="22"/>
          <w:u w:val="single"/>
        </w:rPr>
        <w:t>Waivers</w:t>
      </w:r>
      <w:r w:rsidRPr="00153746">
        <w:rPr>
          <w:szCs w:val="22"/>
        </w:rPr>
        <w:t xml:space="preserve">.  </w:t>
      </w:r>
      <w:r w:rsidR="00CE68FE" w:rsidRPr="00153746">
        <w:rPr>
          <w:szCs w:val="22"/>
        </w:rPr>
        <w:t xml:space="preserve">As of the Effective Date, </w:t>
      </w:r>
      <w:r w:rsidR="007356A4" w:rsidRPr="00153746">
        <w:rPr>
          <w:szCs w:val="22"/>
        </w:rPr>
        <w:t xml:space="preserve">GCI </w:t>
      </w:r>
      <w:r w:rsidRPr="00153746">
        <w:rPr>
          <w:szCs w:val="22"/>
        </w:rPr>
        <w:t>waives any and all rights it may have to seek administrative or judicial reconsideration, review, appeal or stay, or to otherwise challenge or contest the validity of this Consent Decree and the Adoptin</w:t>
      </w:r>
      <w:r w:rsidR="00CE68FE" w:rsidRPr="00153746">
        <w:rPr>
          <w:szCs w:val="22"/>
        </w:rPr>
        <w:t>g Order</w:t>
      </w:r>
      <w:r w:rsidRPr="00153746">
        <w:rPr>
          <w:szCs w:val="22"/>
        </w:rPr>
        <w:t xml:space="preserve">.  </w:t>
      </w:r>
      <w:r w:rsidR="007356A4" w:rsidRPr="00153746">
        <w:rPr>
          <w:szCs w:val="22"/>
        </w:rPr>
        <w:t xml:space="preserve">GCI </w:t>
      </w:r>
      <w:r w:rsidRPr="00153746">
        <w:rPr>
          <w:szCs w:val="22"/>
        </w:rPr>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153746">
        <w:rPr>
          <w:szCs w:val="22"/>
        </w:rPr>
        <w:t xml:space="preserve">Consent Decree or </w:t>
      </w:r>
      <w:r w:rsidR="00582BA0" w:rsidRPr="00153746">
        <w:rPr>
          <w:szCs w:val="22"/>
        </w:rPr>
        <w:t xml:space="preserve">the </w:t>
      </w:r>
      <w:r w:rsidRPr="00153746">
        <w:rPr>
          <w:szCs w:val="22"/>
        </w:rPr>
        <w:t xml:space="preserve">Adopting Order, neither </w:t>
      </w:r>
      <w:r w:rsidR="007356A4" w:rsidRPr="00153746">
        <w:rPr>
          <w:szCs w:val="22"/>
        </w:rPr>
        <w:t xml:space="preserve">GCI </w:t>
      </w:r>
      <w:r w:rsidRPr="00153746">
        <w:rPr>
          <w:szCs w:val="22"/>
        </w:rPr>
        <w:t xml:space="preserve">nor the Commission shall contest the validity of the Consent Decree or the Adopting Order, and </w:t>
      </w:r>
      <w:r w:rsidR="007356A4" w:rsidRPr="00153746">
        <w:rPr>
          <w:szCs w:val="22"/>
        </w:rPr>
        <w:t xml:space="preserve">GCI </w:t>
      </w:r>
      <w:r w:rsidRPr="00153746">
        <w:rPr>
          <w:szCs w:val="22"/>
        </w:rPr>
        <w:t xml:space="preserve">shall waive any statutory right to a trial </w:t>
      </w:r>
      <w:r w:rsidRPr="00153746">
        <w:rPr>
          <w:i/>
          <w:szCs w:val="22"/>
        </w:rPr>
        <w:t>de novo</w:t>
      </w:r>
      <w:r w:rsidRPr="00153746">
        <w:rPr>
          <w:szCs w:val="22"/>
        </w:rPr>
        <w:t xml:space="preserve">.  </w:t>
      </w:r>
      <w:r w:rsidR="007356A4" w:rsidRPr="00153746">
        <w:rPr>
          <w:szCs w:val="22"/>
        </w:rPr>
        <w:t xml:space="preserve">GCI </w:t>
      </w:r>
      <w:r w:rsidRPr="00153746">
        <w:rPr>
          <w:szCs w:val="22"/>
        </w:rPr>
        <w:t>hereby agrees to waive any claims it may otherwise have under the Equal Access to Justice Act</w:t>
      </w:r>
      <w:r w:rsidRPr="00153746">
        <w:rPr>
          <w:rStyle w:val="FootnoteReference"/>
          <w:sz w:val="22"/>
          <w:szCs w:val="22"/>
        </w:rPr>
        <w:footnoteReference w:id="22"/>
      </w:r>
      <w:r w:rsidRPr="00153746">
        <w:rPr>
          <w:szCs w:val="22"/>
        </w:rPr>
        <w:t xml:space="preserve"> relating to the matters addressed in this Consent Decree.</w:t>
      </w:r>
    </w:p>
    <w:p w14:paraId="62356BCC" w14:textId="77777777" w:rsidR="003F5CF7" w:rsidRPr="00153746" w:rsidRDefault="003F5CF7">
      <w:pPr>
        <w:pStyle w:val="ParaNum"/>
        <w:rPr>
          <w:szCs w:val="22"/>
        </w:rPr>
      </w:pPr>
      <w:r w:rsidRPr="00153746">
        <w:rPr>
          <w:b/>
          <w:szCs w:val="22"/>
          <w:u w:val="single"/>
        </w:rPr>
        <w:t>Severability</w:t>
      </w:r>
      <w:r w:rsidRPr="00153746">
        <w:rPr>
          <w:szCs w:val="22"/>
        </w:rPr>
        <w:t>.  The Parties agree that if any of the provisio</w:t>
      </w:r>
      <w:r w:rsidR="00E3009C" w:rsidRPr="00153746">
        <w:rPr>
          <w:szCs w:val="22"/>
        </w:rPr>
        <w:t xml:space="preserve">ns of the </w:t>
      </w:r>
      <w:r w:rsidRPr="00153746">
        <w:rPr>
          <w:szCs w:val="22"/>
        </w:rPr>
        <w:t xml:space="preserve">Consent Decree shall be </w:t>
      </w:r>
      <w:r w:rsidR="00926FC4" w:rsidRPr="00153746">
        <w:rPr>
          <w:szCs w:val="22"/>
        </w:rPr>
        <w:t xml:space="preserve">held </w:t>
      </w:r>
      <w:r w:rsidRPr="00153746">
        <w:rPr>
          <w:szCs w:val="22"/>
        </w:rPr>
        <w:t>unenforceable</w:t>
      </w:r>
      <w:r w:rsidR="00926FC4" w:rsidRPr="00153746">
        <w:rPr>
          <w:szCs w:val="22"/>
        </w:rPr>
        <w:t xml:space="preserve"> by any court of competent jurisdiction</w:t>
      </w:r>
      <w:r w:rsidRPr="00153746">
        <w:rPr>
          <w:szCs w:val="22"/>
        </w:rPr>
        <w:t>, such unenforceability shall not render unenforceab</w:t>
      </w:r>
      <w:r w:rsidR="00E3009C" w:rsidRPr="00153746">
        <w:rPr>
          <w:szCs w:val="22"/>
        </w:rPr>
        <w:t xml:space="preserve">le the entire </w:t>
      </w:r>
      <w:r w:rsidRPr="00153746">
        <w:rPr>
          <w:szCs w:val="22"/>
        </w:rPr>
        <w:t>Consent Decree, but rath</w:t>
      </w:r>
      <w:r w:rsidR="00E3009C" w:rsidRPr="00153746">
        <w:rPr>
          <w:szCs w:val="22"/>
        </w:rPr>
        <w:t xml:space="preserve">er the entire </w:t>
      </w:r>
      <w:r w:rsidRPr="00153746">
        <w:rPr>
          <w:szCs w:val="22"/>
        </w:rPr>
        <w:t>Consent Decree shall be construed as if not containing the particular unenforceable provision or provisions, and the rights and obligations of the Parties shall be construed and enforced accordingly.</w:t>
      </w:r>
    </w:p>
    <w:p w14:paraId="36756E9D" w14:textId="77777777" w:rsidR="00E02214" w:rsidRPr="00153746" w:rsidRDefault="00E02214">
      <w:pPr>
        <w:pStyle w:val="ParaNum"/>
        <w:rPr>
          <w:szCs w:val="22"/>
        </w:rPr>
      </w:pPr>
      <w:r w:rsidRPr="00153746">
        <w:rPr>
          <w:b/>
          <w:szCs w:val="22"/>
          <w:u w:val="single"/>
        </w:rPr>
        <w:t>Invalidity</w:t>
      </w:r>
      <w:r w:rsidRPr="00153746">
        <w:rPr>
          <w:szCs w:val="22"/>
        </w:rPr>
        <w:t>.  In the event that this Consent Decree in its entirety is rendered invalid by any court of competent jurisdiction, it shall become null and void and may not be used in any manner in any legal proceeding.</w:t>
      </w:r>
    </w:p>
    <w:p w14:paraId="52216064" w14:textId="77777777" w:rsidR="00E02214" w:rsidRPr="00153746" w:rsidRDefault="00E02214" w:rsidP="00AA2529">
      <w:pPr>
        <w:pStyle w:val="ParaNum"/>
        <w:widowControl/>
        <w:rPr>
          <w:szCs w:val="22"/>
        </w:rPr>
      </w:pPr>
      <w:r w:rsidRPr="00153746">
        <w:rPr>
          <w:b/>
          <w:szCs w:val="22"/>
          <w:u w:val="single"/>
        </w:rPr>
        <w:t>Subsequent Rule or Order</w:t>
      </w:r>
      <w:r w:rsidRPr="00153746">
        <w:rPr>
          <w:szCs w:val="22"/>
        </w:rPr>
        <w:t>.  The Parties agree that if any provision of the Consent Decree</w:t>
      </w:r>
      <w:r w:rsidR="00F26C20" w:rsidRPr="00153746">
        <w:rPr>
          <w:szCs w:val="22"/>
        </w:rPr>
        <w:t xml:space="preserve"> conflicts with any subsequent Rule or O</w:t>
      </w:r>
      <w:r w:rsidRPr="00153746">
        <w:rPr>
          <w:szCs w:val="22"/>
        </w:rPr>
        <w:t>rder adopted by the Commission (e</w:t>
      </w:r>
      <w:r w:rsidR="00F26C20" w:rsidRPr="00153746">
        <w:rPr>
          <w:szCs w:val="22"/>
        </w:rPr>
        <w:t>xcept an O</w:t>
      </w:r>
      <w:r w:rsidRPr="00153746">
        <w:rPr>
          <w:szCs w:val="22"/>
        </w:rPr>
        <w:t xml:space="preserve">rder specifically intended to revise the terms of this Consent Decree to which </w:t>
      </w:r>
      <w:r w:rsidR="007356A4" w:rsidRPr="00153746">
        <w:rPr>
          <w:szCs w:val="22"/>
        </w:rPr>
        <w:t xml:space="preserve">GCI </w:t>
      </w:r>
      <w:r w:rsidRPr="00153746">
        <w:rPr>
          <w:szCs w:val="22"/>
        </w:rPr>
        <w:t xml:space="preserve">does not expressly consent) that provision will be superseded by such </w:t>
      </w:r>
      <w:r w:rsidR="00F26C20" w:rsidRPr="00153746">
        <w:rPr>
          <w:szCs w:val="22"/>
        </w:rPr>
        <w:t>R</w:t>
      </w:r>
      <w:r w:rsidR="0096758E" w:rsidRPr="00153746">
        <w:rPr>
          <w:szCs w:val="22"/>
        </w:rPr>
        <w:t xml:space="preserve">ule or </w:t>
      </w:r>
      <w:r w:rsidR="00F26C20" w:rsidRPr="00153746">
        <w:rPr>
          <w:szCs w:val="22"/>
        </w:rPr>
        <w:t>O</w:t>
      </w:r>
      <w:r w:rsidRPr="00153746">
        <w:rPr>
          <w:szCs w:val="22"/>
        </w:rPr>
        <w:t>rder.</w:t>
      </w:r>
    </w:p>
    <w:p w14:paraId="657BB09F" w14:textId="77777777" w:rsidR="00E02214" w:rsidRPr="00153746" w:rsidRDefault="00E02214">
      <w:pPr>
        <w:pStyle w:val="ParaNum"/>
        <w:rPr>
          <w:szCs w:val="22"/>
        </w:rPr>
      </w:pPr>
      <w:r w:rsidRPr="00153746">
        <w:rPr>
          <w:b/>
          <w:szCs w:val="22"/>
          <w:u w:val="single"/>
        </w:rPr>
        <w:t>Successors and Assigns</w:t>
      </w:r>
      <w:r w:rsidRPr="00153746">
        <w:rPr>
          <w:szCs w:val="22"/>
        </w:rPr>
        <w:t xml:space="preserve">.  </w:t>
      </w:r>
      <w:r w:rsidR="007356A4" w:rsidRPr="00153746">
        <w:rPr>
          <w:szCs w:val="22"/>
        </w:rPr>
        <w:t xml:space="preserve">GCI </w:t>
      </w:r>
      <w:r w:rsidRPr="00153746">
        <w:rPr>
          <w:szCs w:val="22"/>
        </w:rPr>
        <w:t>agrees that the provisions of this Consent Decree shall be binding on its successors, assigns, and transferees.</w:t>
      </w:r>
    </w:p>
    <w:p w14:paraId="5533AADD" w14:textId="77777777" w:rsidR="00E02214" w:rsidRPr="00153746" w:rsidRDefault="00E02214">
      <w:pPr>
        <w:pStyle w:val="ParaNum"/>
        <w:rPr>
          <w:szCs w:val="22"/>
        </w:rPr>
      </w:pPr>
      <w:r w:rsidRPr="00153746">
        <w:rPr>
          <w:b/>
          <w:szCs w:val="22"/>
          <w:u w:val="single"/>
        </w:rPr>
        <w:t>Final Settlement</w:t>
      </w:r>
      <w:r w:rsidRPr="00153746">
        <w:rPr>
          <w:szCs w:val="22"/>
        </w:rPr>
        <w:t xml:space="preserve">.  The Parties agree and acknowledge that this Consent Decree shall constitute a final settlement between the Parties with respect to the Investigation.  </w:t>
      </w:r>
      <w:r w:rsidR="004620CB" w:rsidRPr="00153746">
        <w:rPr>
          <w:szCs w:val="22"/>
        </w:rPr>
        <w:t> </w:t>
      </w:r>
    </w:p>
    <w:p w14:paraId="3A2EB7BA" w14:textId="77777777" w:rsidR="00E02214" w:rsidRPr="00153746" w:rsidRDefault="00E02214">
      <w:pPr>
        <w:pStyle w:val="ParaNum"/>
        <w:rPr>
          <w:szCs w:val="22"/>
        </w:rPr>
      </w:pPr>
      <w:r w:rsidRPr="00153746">
        <w:rPr>
          <w:b/>
          <w:szCs w:val="22"/>
          <w:u w:val="single"/>
        </w:rPr>
        <w:t>Modifications</w:t>
      </w:r>
      <w:r w:rsidRPr="00153746">
        <w:rPr>
          <w:szCs w:val="22"/>
        </w:rPr>
        <w:t>.  This Consent Decree cannot be modified without the advance written consent of both Parties.</w:t>
      </w:r>
    </w:p>
    <w:p w14:paraId="2D4B3370" w14:textId="77777777" w:rsidR="00E02214" w:rsidRPr="00153746" w:rsidRDefault="00E02214">
      <w:pPr>
        <w:pStyle w:val="ParaNum"/>
        <w:rPr>
          <w:szCs w:val="22"/>
        </w:rPr>
      </w:pPr>
      <w:r w:rsidRPr="00153746">
        <w:rPr>
          <w:b/>
          <w:szCs w:val="22"/>
          <w:u w:val="single"/>
        </w:rPr>
        <w:t>Paragraph Headings</w:t>
      </w:r>
      <w:r w:rsidRPr="00153746">
        <w:rPr>
          <w:szCs w:val="22"/>
        </w:rPr>
        <w:t>.  The headings of the paragraphs in this Consent Decree are inserted for convenience only and are not intended to affect the meaning or interpretation of this Consent Decree.</w:t>
      </w:r>
    </w:p>
    <w:p w14:paraId="64D193BE" w14:textId="664F4D63" w:rsidR="00307AE4" w:rsidRPr="00CF210F" w:rsidRDefault="00E02214" w:rsidP="00CF210F">
      <w:pPr>
        <w:pStyle w:val="ParaNum"/>
        <w:rPr>
          <w:szCs w:val="22"/>
        </w:rPr>
      </w:pPr>
      <w:r w:rsidRPr="00B42728">
        <w:rPr>
          <w:b/>
          <w:szCs w:val="22"/>
          <w:u w:val="single"/>
        </w:rPr>
        <w:t>Authorized Representative</w:t>
      </w:r>
      <w:r w:rsidRPr="00B42728">
        <w:rPr>
          <w:szCs w:val="22"/>
        </w:rPr>
        <w:t xml:space="preserve">. </w:t>
      </w:r>
      <w:r w:rsidR="00B73A30" w:rsidRPr="00B42728">
        <w:rPr>
          <w:szCs w:val="22"/>
        </w:rPr>
        <w:t xml:space="preserve"> </w:t>
      </w:r>
      <w:r w:rsidR="005D5341" w:rsidRPr="00B42728">
        <w:rPr>
          <w:szCs w:val="22"/>
        </w:rPr>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r w:rsidR="00CF210F">
        <w:rPr>
          <w:szCs w:val="22"/>
        </w:rPr>
        <w:br w:type="page"/>
      </w:r>
    </w:p>
    <w:p w14:paraId="7955D7BC" w14:textId="77777777" w:rsidR="00E02214" w:rsidRPr="00153746" w:rsidRDefault="00E02214">
      <w:pPr>
        <w:pStyle w:val="ParaNum"/>
        <w:rPr>
          <w:szCs w:val="22"/>
        </w:rPr>
      </w:pPr>
      <w:r w:rsidRPr="00153746">
        <w:rPr>
          <w:b/>
          <w:szCs w:val="22"/>
          <w:u w:val="single"/>
        </w:rPr>
        <w:t>Counterparts</w:t>
      </w:r>
      <w:r w:rsidRPr="00153746">
        <w:rPr>
          <w:szCs w:val="22"/>
        </w:rPr>
        <w:t xml:space="preserve">.  </w:t>
      </w:r>
      <w:r w:rsidR="00BB440F" w:rsidRPr="00153746">
        <w:rPr>
          <w:szCs w:val="22"/>
        </w:rPr>
        <w:t xml:space="preserve">This Consent Decree may be signed in counterpart (including </w:t>
      </w:r>
      <w:r w:rsidR="008A2AD9" w:rsidRPr="00153746">
        <w:rPr>
          <w:szCs w:val="22"/>
        </w:rPr>
        <w:t xml:space="preserve">electronically or </w:t>
      </w:r>
      <w:r w:rsidR="00BB440F" w:rsidRPr="00153746">
        <w:rPr>
          <w:szCs w:val="22"/>
        </w:rPr>
        <w:t>by facsimile).  Each counterpart, when executed and delivered, shall be an original, and all of the counterparts together shall constitute one and the same fully executed instrument.</w:t>
      </w:r>
    </w:p>
    <w:p w14:paraId="6D423703" w14:textId="77777777" w:rsidR="00E24E9F" w:rsidRPr="00153746" w:rsidRDefault="00E24E9F" w:rsidP="009A17A5">
      <w:pPr>
        <w:keepNext/>
        <w:keepLines/>
        <w:rPr>
          <w:szCs w:val="22"/>
        </w:rPr>
      </w:pPr>
    </w:p>
    <w:p w14:paraId="204567B3" w14:textId="77777777" w:rsidR="00E24E9F" w:rsidRPr="00153746" w:rsidRDefault="00E24E9F" w:rsidP="009A17A5">
      <w:pPr>
        <w:keepNext/>
        <w:keepLines/>
        <w:rPr>
          <w:szCs w:val="22"/>
        </w:rPr>
      </w:pPr>
    </w:p>
    <w:p w14:paraId="21A81060" w14:textId="77777777" w:rsidR="00E24E9F" w:rsidRPr="00153746" w:rsidRDefault="00E24E9F" w:rsidP="002E5F35">
      <w:pPr>
        <w:keepNext/>
        <w:keepLines/>
        <w:rPr>
          <w:szCs w:val="22"/>
        </w:rPr>
      </w:pPr>
      <w:r w:rsidRPr="00153746">
        <w:rPr>
          <w:szCs w:val="22"/>
        </w:rPr>
        <w:t>________________________________</w:t>
      </w:r>
    </w:p>
    <w:p w14:paraId="4788FE41" w14:textId="77777777" w:rsidR="00462BA2" w:rsidRPr="00153746" w:rsidRDefault="00462BA2" w:rsidP="00153746">
      <w:pPr>
        <w:keepNext/>
        <w:keepLines/>
        <w:rPr>
          <w:szCs w:val="22"/>
        </w:rPr>
      </w:pPr>
      <w:r w:rsidRPr="00153746">
        <w:rPr>
          <w:szCs w:val="22"/>
        </w:rPr>
        <w:t xml:space="preserve">Travis LeBlanc </w:t>
      </w:r>
    </w:p>
    <w:p w14:paraId="6D8ED31C" w14:textId="77777777" w:rsidR="00E24E9F" w:rsidRPr="00153746" w:rsidRDefault="00462BA2" w:rsidP="00153746">
      <w:pPr>
        <w:keepNext/>
        <w:keepLines/>
        <w:rPr>
          <w:szCs w:val="22"/>
        </w:rPr>
      </w:pPr>
      <w:r w:rsidRPr="00153746">
        <w:rPr>
          <w:szCs w:val="22"/>
        </w:rPr>
        <w:t xml:space="preserve">Chief </w:t>
      </w:r>
    </w:p>
    <w:p w14:paraId="1B45CEA9" w14:textId="77777777" w:rsidR="00E24E9F" w:rsidRPr="00153746" w:rsidRDefault="00E24E9F" w:rsidP="009A17A5">
      <w:pPr>
        <w:keepNext/>
        <w:keepLines/>
        <w:rPr>
          <w:szCs w:val="22"/>
        </w:rPr>
      </w:pPr>
      <w:r w:rsidRPr="00153746">
        <w:rPr>
          <w:szCs w:val="22"/>
        </w:rPr>
        <w:t>Enforcement Bureau</w:t>
      </w:r>
    </w:p>
    <w:p w14:paraId="6015FC0A" w14:textId="77777777" w:rsidR="00E24E9F" w:rsidRPr="00153746" w:rsidRDefault="00E24E9F" w:rsidP="009A17A5">
      <w:pPr>
        <w:keepNext/>
        <w:keepLines/>
        <w:rPr>
          <w:szCs w:val="22"/>
        </w:rPr>
      </w:pPr>
    </w:p>
    <w:p w14:paraId="4672F2E2" w14:textId="77777777" w:rsidR="00E24E9F" w:rsidRPr="00153746" w:rsidRDefault="00E24E9F" w:rsidP="009A17A5">
      <w:pPr>
        <w:keepNext/>
        <w:keepLines/>
        <w:rPr>
          <w:szCs w:val="22"/>
        </w:rPr>
      </w:pPr>
    </w:p>
    <w:p w14:paraId="42DCAD7B" w14:textId="77777777" w:rsidR="00E24E9F" w:rsidRPr="00153746" w:rsidRDefault="00E24E9F" w:rsidP="00153746">
      <w:pPr>
        <w:keepNext/>
        <w:keepLines/>
        <w:rPr>
          <w:szCs w:val="22"/>
        </w:rPr>
      </w:pPr>
      <w:r w:rsidRPr="00153746">
        <w:rPr>
          <w:szCs w:val="22"/>
        </w:rPr>
        <w:t>________________________________</w:t>
      </w:r>
    </w:p>
    <w:p w14:paraId="26F8184F" w14:textId="77777777" w:rsidR="00E24E9F" w:rsidRPr="00153746" w:rsidRDefault="00E24E9F" w:rsidP="009A17A5">
      <w:pPr>
        <w:keepNext/>
        <w:keepLines/>
        <w:rPr>
          <w:szCs w:val="22"/>
        </w:rPr>
      </w:pPr>
      <w:r w:rsidRPr="00153746">
        <w:rPr>
          <w:szCs w:val="22"/>
        </w:rPr>
        <w:t>Date</w:t>
      </w:r>
    </w:p>
    <w:p w14:paraId="16C95343" w14:textId="77777777" w:rsidR="00E24E9F" w:rsidRPr="00153746" w:rsidRDefault="00E24E9F" w:rsidP="009A17A5">
      <w:pPr>
        <w:keepNext/>
        <w:keepLines/>
        <w:rPr>
          <w:szCs w:val="22"/>
        </w:rPr>
      </w:pPr>
    </w:p>
    <w:p w14:paraId="448BEC89" w14:textId="77777777" w:rsidR="00E24E9F" w:rsidRPr="00153746" w:rsidRDefault="00E24E9F" w:rsidP="00710CC1">
      <w:pPr>
        <w:keepLines/>
        <w:rPr>
          <w:szCs w:val="22"/>
        </w:rPr>
      </w:pPr>
    </w:p>
    <w:p w14:paraId="46FE0A47" w14:textId="77777777" w:rsidR="00E24E9F" w:rsidRPr="00153746" w:rsidRDefault="00E24E9F" w:rsidP="00710CC1">
      <w:pPr>
        <w:keepLines/>
        <w:rPr>
          <w:szCs w:val="22"/>
        </w:rPr>
      </w:pPr>
    </w:p>
    <w:p w14:paraId="1ADD1CB6" w14:textId="77777777" w:rsidR="00E24E9F" w:rsidRPr="00153746" w:rsidRDefault="00E24E9F" w:rsidP="002E5F35">
      <w:pPr>
        <w:keepLines/>
        <w:rPr>
          <w:szCs w:val="22"/>
        </w:rPr>
      </w:pPr>
      <w:r w:rsidRPr="00153746">
        <w:rPr>
          <w:szCs w:val="22"/>
        </w:rPr>
        <w:t>________________________________</w:t>
      </w:r>
    </w:p>
    <w:p w14:paraId="2FA34092" w14:textId="77777777" w:rsidR="00EE1291" w:rsidRPr="00153746" w:rsidRDefault="00E54494" w:rsidP="00153746">
      <w:pPr>
        <w:keepLines/>
        <w:rPr>
          <w:szCs w:val="22"/>
        </w:rPr>
      </w:pPr>
      <w:r w:rsidRPr="00153746">
        <w:rPr>
          <w:szCs w:val="22"/>
        </w:rPr>
        <w:t>Tina M. Pidgeon</w:t>
      </w:r>
    </w:p>
    <w:p w14:paraId="24F0DB56" w14:textId="77777777" w:rsidR="00EE1291" w:rsidRPr="00153746" w:rsidRDefault="00E54494" w:rsidP="00153746">
      <w:pPr>
        <w:keepLines/>
        <w:rPr>
          <w:szCs w:val="22"/>
        </w:rPr>
      </w:pPr>
      <w:r w:rsidRPr="00153746">
        <w:rPr>
          <w:szCs w:val="22"/>
        </w:rPr>
        <w:t>Senior Vice President and General Counsel</w:t>
      </w:r>
    </w:p>
    <w:p w14:paraId="471B31DB" w14:textId="77777777" w:rsidR="00E24E9F" w:rsidRPr="00153746" w:rsidRDefault="00E54494" w:rsidP="00710CC1">
      <w:pPr>
        <w:keepLines/>
        <w:rPr>
          <w:szCs w:val="22"/>
        </w:rPr>
      </w:pPr>
      <w:r w:rsidRPr="00153746">
        <w:rPr>
          <w:szCs w:val="22"/>
        </w:rPr>
        <w:t>General Communication, Inc.</w:t>
      </w:r>
    </w:p>
    <w:p w14:paraId="79548090" w14:textId="77777777" w:rsidR="00E24E9F" w:rsidRPr="00153746" w:rsidRDefault="00E24E9F" w:rsidP="00710CC1">
      <w:pPr>
        <w:keepLines/>
        <w:rPr>
          <w:szCs w:val="22"/>
        </w:rPr>
      </w:pPr>
    </w:p>
    <w:p w14:paraId="39D504A1" w14:textId="77777777" w:rsidR="00E24E9F" w:rsidRPr="00153746" w:rsidRDefault="00E24E9F" w:rsidP="00153746">
      <w:pPr>
        <w:keepLines/>
        <w:rPr>
          <w:szCs w:val="22"/>
        </w:rPr>
      </w:pPr>
      <w:r w:rsidRPr="00153746">
        <w:rPr>
          <w:szCs w:val="22"/>
        </w:rPr>
        <w:t>________________________________</w:t>
      </w:r>
    </w:p>
    <w:p w14:paraId="3C1F791E" w14:textId="77777777" w:rsidR="00E24E9F" w:rsidRPr="00153746" w:rsidRDefault="00E24E9F" w:rsidP="002755D1">
      <w:pPr>
        <w:keepLines/>
        <w:rPr>
          <w:szCs w:val="22"/>
        </w:rPr>
      </w:pPr>
      <w:r w:rsidRPr="00153746">
        <w:rPr>
          <w:szCs w:val="22"/>
        </w:rPr>
        <w:t>Date</w:t>
      </w:r>
    </w:p>
    <w:sectPr w:rsidR="00E24E9F" w:rsidRPr="00153746" w:rsidSect="00170940">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C4827" w14:textId="77777777" w:rsidR="00AA2529" w:rsidRDefault="00AA2529">
      <w:pPr>
        <w:spacing w:line="20" w:lineRule="exact"/>
      </w:pPr>
    </w:p>
  </w:endnote>
  <w:endnote w:type="continuationSeparator" w:id="0">
    <w:p w14:paraId="37C65CC2" w14:textId="77777777" w:rsidR="00AA2529" w:rsidRDefault="00AA2529">
      <w:r>
        <w:t xml:space="preserve"> </w:t>
      </w:r>
    </w:p>
  </w:endnote>
  <w:endnote w:type="continuationNotice" w:id="1">
    <w:p w14:paraId="12119818" w14:textId="77777777" w:rsidR="00AA2529" w:rsidRDefault="00AA25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E1111" w14:textId="77777777" w:rsidR="00280BF1" w:rsidRDefault="00280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2B0746D2" w14:textId="77777777" w:rsidR="00EC65AF" w:rsidRDefault="00EC65AF" w:rsidP="00453A9E">
        <w:pPr>
          <w:pStyle w:val="Footer"/>
          <w:jc w:val="center"/>
        </w:pPr>
        <w:r>
          <w:fldChar w:fldCharType="begin"/>
        </w:r>
        <w:r>
          <w:instrText xml:space="preserve"> PAGE   \* MERGEFORMAT </w:instrText>
        </w:r>
        <w:r>
          <w:fldChar w:fldCharType="separate"/>
        </w:r>
        <w:r w:rsidR="006712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6491F" w14:textId="77777777" w:rsidR="00EC65AF" w:rsidRDefault="00EC65A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290D0" w14:textId="77777777" w:rsidR="00AA2529" w:rsidRDefault="00AA2529">
      <w:r>
        <w:separator/>
      </w:r>
    </w:p>
  </w:footnote>
  <w:footnote w:type="continuationSeparator" w:id="0">
    <w:p w14:paraId="7E167C36" w14:textId="77777777" w:rsidR="00AA2529" w:rsidRDefault="00AA2529" w:rsidP="00C721AC">
      <w:pPr>
        <w:spacing w:before="120"/>
        <w:rPr>
          <w:sz w:val="20"/>
        </w:rPr>
      </w:pPr>
      <w:r>
        <w:rPr>
          <w:sz w:val="20"/>
        </w:rPr>
        <w:t xml:space="preserve">(Continued from previous page)  </w:t>
      </w:r>
      <w:r>
        <w:rPr>
          <w:sz w:val="20"/>
        </w:rPr>
        <w:separator/>
      </w:r>
    </w:p>
  </w:footnote>
  <w:footnote w:type="continuationNotice" w:id="1">
    <w:p w14:paraId="2EA715BB" w14:textId="77777777" w:rsidR="00AA2529" w:rsidRDefault="00AA2529" w:rsidP="00C721AC">
      <w:pPr>
        <w:jc w:val="right"/>
        <w:rPr>
          <w:sz w:val="20"/>
        </w:rPr>
      </w:pPr>
      <w:r>
        <w:rPr>
          <w:sz w:val="20"/>
        </w:rPr>
        <w:t>(continued….)</w:t>
      </w:r>
    </w:p>
  </w:footnote>
  <w:footnote w:id="2">
    <w:p w14:paraId="0E515670" w14:textId="77777777" w:rsidR="00C8491A" w:rsidRDefault="00C8491A" w:rsidP="00C8491A">
      <w:pPr>
        <w:pStyle w:val="FootnoteText"/>
      </w:pPr>
      <w:r>
        <w:rPr>
          <w:rStyle w:val="FootnoteReference"/>
        </w:rPr>
        <w:footnoteRef/>
      </w:r>
      <w:r>
        <w:t xml:space="preserve"> 47 U.S.C. </w:t>
      </w:r>
      <w:r w:rsidRPr="007E734D">
        <w:t>§</w:t>
      </w:r>
      <w:r>
        <w:t xml:space="preserve"> 303(q).</w:t>
      </w:r>
    </w:p>
  </w:footnote>
  <w:footnote w:id="3">
    <w:p w14:paraId="616DCD31" w14:textId="77777777" w:rsidR="00C8491A" w:rsidRDefault="00C8491A" w:rsidP="00C8491A">
      <w:pPr>
        <w:pStyle w:val="FootnoteText"/>
      </w:pPr>
      <w:r w:rsidRPr="007E734D">
        <w:rPr>
          <w:rStyle w:val="FootnoteReference"/>
        </w:rPr>
        <w:footnoteRef/>
      </w:r>
      <w:r w:rsidRPr="007E734D">
        <w:t xml:space="preserve"> 47 C.F.R. §</w:t>
      </w:r>
      <w:r>
        <w:t>§</w:t>
      </w:r>
      <w:r w:rsidRPr="007E734D">
        <w:t xml:space="preserve"> </w:t>
      </w:r>
      <w:r>
        <w:t>17.4, 17.21</w:t>
      </w:r>
      <w:r w:rsidRPr="007E734D">
        <w:t>.</w:t>
      </w:r>
    </w:p>
  </w:footnote>
  <w:footnote w:id="4">
    <w:p w14:paraId="4C65CE15" w14:textId="77777777" w:rsidR="00C8491A" w:rsidRPr="00A36B3E" w:rsidRDefault="00C8491A" w:rsidP="00C8491A">
      <w:pPr>
        <w:pStyle w:val="FootnoteText"/>
      </w:pPr>
      <w:r>
        <w:rPr>
          <w:rStyle w:val="FootnoteReference"/>
        </w:rPr>
        <w:footnoteRef/>
      </w:r>
      <w:r>
        <w:t xml:space="preserve"> </w:t>
      </w:r>
      <w:r>
        <w:rPr>
          <w:i/>
        </w:rPr>
        <w:t xml:space="preserve">See </w:t>
      </w:r>
      <w:r>
        <w:t xml:space="preserve">47 C.F.R. </w:t>
      </w:r>
      <w:r w:rsidRPr="007E734D">
        <w:t>§</w:t>
      </w:r>
      <w:r>
        <w:t xml:space="preserve"> 1.93(b).</w:t>
      </w:r>
    </w:p>
  </w:footnote>
  <w:footnote w:id="5">
    <w:p w14:paraId="789FCA13" w14:textId="77777777" w:rsidR="00C8491A" w:rsidRDefault="00C8491A" w:rsidP="00C8491A">
      <w:pPr>
        <w:pStyle w:val="FootnoteText"/>
      </w:pPr>
      <w:r>
        <w:rPr>
          <w:rStyle w:val="FootnoteReference"/>
        </w:rPr>
        <w:footnoteRef/>
      </w:r>
      <w:r>
        <w:t xml:space="preserve"> 47 U.S.C. §§ 154(i), 154(j).</w:t>
      </w:r>
    </w:p>
  </w:footnote>
  <w:footnote w:id="6">
    <w:p w14:paraId="251841ED" w14:textId="77777777" w:rsidR="00C8491A" w:rsidRDefault="00C8491A" w:rsidP="00C8491A">
      <w:pPr>
        <w:pStyle w:val="FootnoteText"/>
      </w:pPr>
      <w:r>
        <w:rPr>
          <w:rStyle w:val="FootnoteReference"/>
          <w:bCs/>
        </w:rPr>
        <w:footnoteRef/>
      </w:r>
      <w:r>
        <w:t xml:space="preserve"> 47 C.F.R. §§ 0.111, 0.311.</w:t>
      </w:r>
    </w:p>
  </w:footnote>
  <w:footnote w:id="7">
    <w:p w14:paraId="0708C04C" w14:textId="77777777" w:rsidR="00EC65AF" w:rsidRDefault="00EC65AF">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8">
    <w:p w14:paraId="75C5DFDA" w14:textId="77777777" w:rsidR="00EC65AF" w:rsidRDefault="00EC65AF">
      <w:pPr>
        <w:pStyle w:val="FootnoteText"/>
      </w:pPr>
      <w:r>
        <w:rPr>
          <w:rStyle w:val="FootnoteReference"/>
        </w:rPr>
        <w:footnoteRef/>
      </w:r>
      <w:r>
        <w:t xml:space="preserve"> 47 U.S.C. § 303(q); 47 C.F.R. § 17.21.</w:t>
      </w:r>
    </w:p>
  </w:footnote>
  <w:footnote w:id="9">
    <w:p w14:paraId="43299509" w14:textId="77777777" w:rsidR="00EC65AF" w:rsidRDefault="00EC65AF">
      <w:pPr>
        <w:pStyle w:val="FootnoteText"/>
      </w:pPr>
      <w:r>
        <w:rPr>
          <w:rStyle w:val="FootnoteReference"/>
        </w:rPr>
        <w:footnoteRef/>
      </w:r>
      <w:r>
        <w:t xml:space="preserve"> 47 C.F.R. § 17.4(a).</w:t>
      </w:r>
    </w:p>
  </w:footnote>
  <w:footnote w:id="10">
    <w:p w14:paraId="2D474C9E" w14:textId="77777777" w:rsidR="00EC65AF" w:rsidRDefault="00EC65AF">
      <w:pPr>
        <w:pStyle w:val="FootnoteText"/>
      </w:pPr>
      <w:r>
        <w:rPr>
          <w:rStyle w:val="FootnoteReference"/>
        </w:rPr>
        <w:footnoteRef/>
      </w:r>
      <w:r>
        <w:t xml:space="preserve"> 47 C.F.R. §§1.1301–1.1319.  </w:t>
      </w:r>
      <w:r>
        <w:rPr>
          <w:i/>
        </w:rPr>
        <w:t xml:space="preserve">See </w:t>
      </w:r>
      <w:r>
        <w:t>42 U.S.C. §§ 4321–4335.</w:t>
      </w:r>
    </w:p>
  </w:footnote>
  <w:footnote w:id="11">
    <w:p w14:paraId="235314C7" w14:textId="77777777" w:rsidR="00EC65AF" w:rsidRPr="00ED4E5F" w:rsidRDefault="00EC65AF" w:rsidP="00481264">
      <w:pPr>
        <w:pStyle w:val="FootnoteText"/>
      </w:pPr>
      <w:r w:rsidRPr="00ED4E5F">
        <w:rPr>
          <w:rStyle w:val="FootnoteReference"/>
        </w:rPr>
        <w:footnoteRef/>
      </w:r>
      <w:r w:rsidRPr="00ED4E5F">
        <w:t xml:space="preserve"> 47 U.S.C. § 303(q).</w:t>
      </w:r>
    </w:p>
  </w:footnote>
  <w:footnote w:id="12">
    <w:p w14:paraId="4550E5CB" w14:textId="77777777" w:rsidR="00EC65AF" w:rsidRPr="00ED4E5F" w:rsidRDefault="00EC65AF" w:rsidP="00481264">
      <w:pPr>
        <w:pStyle w:val="FootnoteText"/>
      </w:pPr>
      <w:r w:rsidRPr="00ED4E5F">
        <w:rPr>
          <w:rStyle w:val="FootnoteReference"/>
        </w:rPr>
        <w:footnoteRef/>
      </w:r>
      <w:r w:rsidRPr="00ED4E5F">
        <w:t xml:space="preserve"> 47 C.F.R. § 17.21(a).</w:t>
      </w:r>
    </w:p>
  </w:footnote>
  <w:footnote w:id="13">
    <w:p w14:paraId="4B8C6BDF" w14:textId="77777777" w:rsidR="00EC65AF" w:rsidRDefault="00EC65AF">
      <w:pPr>
        <w:pStyle w:val="FootnoteText"/>
      </w:pPr>
      <w:r>
        <w:rPr>
          <w:rStyle w:val="FootnoteReference"/>
        </w:rPr>
        <w:footnoteRef/>
      </w:r>
      <w:r>
        <w:t xml:space="preserve"> 47 C.F.R. § 17.4(a).</w:t>
      </w:r>
    </w:p>
  </w:footnote>
  <w:footnote w:id="14">
    <w:p w14:paraId="65131CA8" w14:textId="77777777" w:rsidR="00EC65AF" w:rsidRDefault="00EC65AF">
      <w:pPr>
        <w:pStyle w:val="FootnoteText"/>
      </w:pPr>
      <w:r>
        <w:rPr>
          <w:rStyle w:val="FootnoteReference"/>
        </w:rPr>
        <w:footnoteRef/>
      </w:r>
      <w:r>
        <w:t xml:space="preserve"> 47 C.F.R. §17.7.</w:t>
      </w:r>
    </w:p>
  </w:footnote>
  <w:footnote w:id="15">
    <w:p w14:paraId="293F4049" w14:textId="77777777" w:rsidR="00EC65AF" w:rsidRDefault="00EC65AF">
      <w:pPr>
        <w:pStyle w:val="FootnoteText"/>
      </w:pPr>
      <w:r>
        <w:rPr>
          <w:rStyle w:val="FootnoteReference"/>
        </w:rPr>
        <w:footnoteRef/>
      </w:r>
      <w:r>
        <w:t xml:space="preserve"> In addition, GCI discovered that it had not conducted all necessary environmental processing of these and other structures prior to construction.</w:t>
      </w:r>
    </w:p>
  </w:footnote>
  <w:footnote w:id="16">
    <w:p w14:paraId="7A91EF88" w14:textId="77777777" w:rsidR="00EC65AF" w:rsidRDefault="00EC65AF">
      <w:pPr>
        <w:pStyle w:val="FootnoteText"/>
      </w:pPr>
      <w:r>
        <w:rPr>
          <w:rStyle w:val="FootnoteReference"/>
        </w:rPr>
        <w:footnoteRef/>
      </w:r>
      <w:r>
        <w:t xml:space="preserve"> </w:t>
      </w:r>
      <w:r w:rsidRPr="0049668B">
        <w:rPr>
          <w:i/>
        </w:rPr>
        <w:t>See</w:t>
      </w:r>
      <w:r>
        <w:t xml:space="preserve"> 47 C.F.R. 1.93(b).</w:t>
      </w:r>
    </w:p>
  </w:footnote>
  <w:footnote w:id="17">
    <w:p w14:paraId="4B9F2B64" w14:textId="77777777" w:rsidR="00EC65AF" w:rsidRDefault="00EC65AF">
      <w:pPr>
        <w:pStyle w:val="FootnoteText"/>
      </w:pPr>
      <w:r>
        <w:rPr>
          <w:rStyle w:val="FootnoteReference"/>
        </w:rPr>
        <w:footnoteRef/>
      </w:r>
      <w:r>
        <w:t xml:space="preserve"> 54 U.S.C. § 306108.</w:t>
      </w:r>
    </w:p>
  </w:footnote>
  <w:footnote w:id="18">
    <w:p w14:paraId="34508640" w14:textId="77777777" w:rsidR="00EC65AF" w:rsidRDefault="00EC65AF">
      <w:pPr>
        <w:pStyle w:val="FootnoteText"/>
      </w:pPr>
      <w:r>
        <w:rPr>
          <w:rStyle w:val="FootnoteReference"/>
        </w:rPr>
        <w:footnoteRef/>
      </w:r>
      <w:r>
        <w:t xml:space="preserve"> 54 U.S.C. § 306113.</w:t>
      </w:r>
    </w:p>
  </w:footnote>
  <w:footnote w:id="19">
    <w:p w14:paraId="103B26CF" w14:textId="77777777" w:rsidR="00EC65AF" w:rsidRDefault="00EC65AF" w:rsidP="00CF0F21">
      <w:pPr>
        <w:pStyle w:val="FootnoteText"/>
      </w:pPr>
      <w:r>
        <w:rPr>
          <w:rStyle w:val="FootnoteReference"/>
          <w:rFonts w:eastAsiaTheme="majorEastAsia"/>
        </w:rPr>
        <w:footnoteRef/>
      </w:r>
      <w:r>
        <w:t xml:space="preserve"> </w:t>
      </w:r>
      <w:r>
        <w:rPr>
          <w:i/>
        </w:rPr>
        <w:t xml:space="preserve">See </w:t>
      </w:r>
      <w:r>
        <w:t>47 C.F.R. § 1.16.</w:t>
      </w:r>
    </w:p>
  </w:footnote>
  <w:footnote w:id="20">
    <w:p w14:paraId="484C99B5" w14:textId="77777777" w:rsidR="00EC65AF" w:rsidRDefault="00EC65AF" w:rsidP="00E02214">
      <w:pPr>
        <w:pStyle w:val="FootnoteText"/>
        <w:tabs>
          <w:tab w:val="left" w:pos="810"/>
        </w:tabs>
      </w:pPr>
      <w:r w:rsidRPr="00A07FCB">
        <w:rPr>
          <w:rStyle w:val="FootnoteReference"/>
        </w:rPr>
        <w:footnoteRef/>
      </w:r>
      <w:r w:rsidRPr="003F6349">
        <w:t xml:space="preserve"> </w:t>
      </w:r>
      <w:r w:rsidRPr="00A07FCB">
        <w:t>47 U.S.C. § 208.</w:t>
      </w:r>
    </w:p>
  </w:footnote>
  <w:footnote w:id="21">
    <w:p w14:paraId="3DB18BAC" w14:textId="77777777" w:rsidR="00EC65AF" w:rsidRPr="00042447" w:rsidRDefault="00EC65AF" w:rsidP="00E02214">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2">
    <w:p w14:paraId="5F4813EF" w14:textId="77777777" w:rsidR="00EC65AF" w:rsidRDefault="00EC65AF" w:rsidP="00E02214">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C134E" w14:textId="77777777" w:rsidR="00280BF1" w:rsidRDefault="00280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F7F90" w14:textId="7A18EFBD" w:rsidR="00EC65AF" w:rsidRDefault="00EC65AF" w:rsidP="00FB7B04">
    <w:pPr>
      <w:pStyle w:val="Header"/>
    </w:pPr>
  </w:p>
  <w:p w14:paraId="0A4DD0FA" w14:textId="495CBFDC" w:rsidR="00EC65AF" w:rsidRDefault="00EC65AF" w:rsidP="00153AAA">
    <w:pPr>
      <w:pStyle w:val="Header"/>
      <w:rPr>
        <w:spacing w:val="-2"/>
      </w:rPr>
    </w:pPr>
    <w:r w:rsidRPr="00843A5F">
      <w:rPr>
        <w:noProof/>
      </w:rPr>
      <mc:AlternateContent>
        <mc:Choice Requires="wps">
          <w:drawing>
            <wp:anchor distT="0" distB="0" distL="114300" distR="114300" simplePos="0" relativeHeight="251658241" behindDoc="1" locked="0" layoutInCell="0" allowOverlap="1" wp14:anchorId="1A50A25E" wp14:editId="22719F48">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A78AE6"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15</w:t>
    </w:r>
    <w:r w:rsidRPr="002755D1">
      <w:rPr>
        <w:spacing w:val="-2"/>
      </w:rPr>
      <w:t>-</w:t>
    </w:r>
    <w:r w:rsidR="00D308CF">
      <w:rPr>
        <w:spacing w:val="-2"/>
      </w:rPr>
      <w:t>1179</w:t>
    </w:r>
  </w:p>
  <w:p w14:paraId="3B3D6963" w14:textId="77777777" w:rsidR="00EC65AF" w:rsidRDefault="00EC65AF" w:rsidP="00153AAA">
    <w:pPr>
      <w:pStyle w:val="Header"/>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245D" w14:textId="1C9F7D00" w:rsidR="00EC65AF" w:rsidRDefault="00EC65AF" w:rsidP="007C4242">
    <w:pPr>
      <w:pStyle w:val="Header"/>
    </w:pPr>
  </w:p>
  <w:p w14:paraId="3461D708" w14:textId="35709426" w:rsidR="00EC65AF" w:rsidRDefault="00EC65AF" w:rsidP="00153AAA">
    <w:pPr>
      <w:pStyle w:val="Header"/>
      <w:rPr>
        <w:b w:val="0"/>
      </w:rPr>
    </w:pPr>
    <w:r w:rsidRPr="00843A5F">
      <w:rPr>
        <w:noProof/>
      </w:rPr>
      <mc:AlternateContent>
        <mc:Choice Requires="wps">
          <w:drawing>
            <wp:anchor distT="0" distB="0" distL="114300" distR="114300" simplePos="0" relativeHeight="251658240" behindDoc="1" locked="0" layoutInCell="0" allowOverlap="1" wp14:anchorId="7BF855CC" wp14:editId="010063F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6BAEF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15</w:t>
    </w:r>
    <w:r w:rsidRPr="002755D1">
      <w:rPr>
        <w:spacing w:val="-2"/>
      </w:rPr>
      <w:t>-</w:t>
    </w:r>
    <w:r w:rsidR="00D308CF">
      <w:rPr>
        <w:spacing w:val="-2"/>
      </w:rPr>
      <w:t>1179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5A46892E"/>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8058D3"/>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A024E51"/>
    <w:multiLevelType w:val="hybridMultilevel"/>
    <w:tmpl w:val="95E28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3">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4">
    <w:nsid w:val="76253019"/>
    <w:multiLevelType w:val="hybridMultilevel"/>
    <w:tmpl w:val="70620094"/>
    <w:lvl w:ilvl="0" w:tplc="78B41958">
      <w:start w:val="1"/>
      <w:numFmt w:val="lowerLetter"/>
      <w:lvlText w:val="(%1)"/>
      <w:lvlJc w:val="left"/>
      <w:pPr>
        <w:tabs>
          <w:tab w:val="num" w:pos="5976"/>
        </w:tabs>
        <w:ind w:left="5976" w:hanging="432"/>
      </w:pPr>
      <w:rPr>
        <w:rFonts w:cs="Times New Roman" w:hint="default"/>
        <w:b w:val="0"/>
        <w:i w:val="0"/>
        <w:sz w:val="22"/>
        <w:szCs w:val="22"/>
      </w:rPr>
    </w:lvl>
    <w:lvl w:ilvl="1" w:tplc="04090019">
      <w:start w:val="1"/>
      <w:numFmt w:val="lowerLetter"/>
      <w:lvlText w:val="%2."/>
      <w:lvlJc w:val="left"/>
      <w:pPr>
        <w:tabs>
          <w:tab w:val="num" w:pos="6192"/>
        </w:tabs>
        <w:ind w:left="6192" w:hanging="360"/>
      </w:pPr>
    </w:lvl>
    <w:lvl w:ilvl="2" w:tplc="0409001B">
      <w:start w:val="1"/>
      <w:numFmt w:val="lowerRoman"/>
      <w:lvlText w:val="%3."/>
      <w:lvlJc w:val="right"/>
      <w:pPr>
        <w:tabs>
          <w:tab w:val="num" w:pos="6912"/>
        </w:tabs>
        <w:ind w:left="6912" w:hanging="180"/>
      </w:pPr>
      <w:rPr>
        <w:rFonts w:cs="Times New Roman"/>
      </w:rPr>
    </w:lvl>
    <w:lvl w:ilvl="3" w:tplc="0409000F">
      <w:start w:val="1"/>
      <w:numFmt w:val="decimal"/>
      <w:lvlText w:val="%4."/>
      <w:lvlJc w:val="left"/>
      <w:pPr>
        <w:tabs>
          <w:tab w:val="num" w:pos="7632"/>
        </w:tabs>
        <w:ind w:left="7632" w:hanging="360"/>
      </w:pPr>
      <w:rPr>
        <w:rFonts w:cs="Times New Roman"/>
      </w:rPr>
    </w:lvl>
    <w:lvl w:ilvl="4" w:tplc="04090019" w:tentative="1">
      <w:start w:val="1"/>
      <w:numFmt w:val="lowerLetter"/>
      <w:lvlText w:val="%5."/>
      <w:lvlJc w:val="left"/>
      <w:pPr>
        <w:tabs>
          <w:tab w:val="num" w:pos="8352"/>
        </w:tabs>
        <w:ind w:left="8352" w:hanging="360"/>
      </w:pPr>
      <w:rPr>
        <w:rFonts w:cs="Times New Roman"/>
      </w:rPr>
    </w:lvl>
    <w:lvl w:ilvl="5" w:tplc="0409001B" w:tentative="1">
      <w:start w:val="1"/>
      <w:numFmt w:val="lowerRoman"/>
      <w:lvlText w:val="%6."/>
      <w:lvlJc w:val="right"/>
      <w:pPr>
        <w:tabs>
          <w:tab w:val="num" w:pos="9072"/>
        </w:tabs>
        <w:ind w:left="9072" w:hanging="180"/>
      </w:pPr>
      <w:rPr>
        <w:rFonts w:cs="Times New Roman"/>
      </w:rPr>
    </w:lvl>
    <w:lvl w:ilvl="6" w:tplc="0409000F" w:tentative="1">
      <w:start w:val="1"/>
      <w:numFmt w:val="decimal"/>
      <w:lvlText w:val="%7."/>
      <w:lvlJc w:val="left"/>
      <w:pPr>
        <w:tabs>
          <w:tab w:val="num" w:pos="9792"/>
        </w:tabs>
        <w:ind w:left="9792" w:hanging="360"/>
      </w:pPr>
      <w:rPr>
        <w:rFonts w:cs="Times New Roman"/>
      </w:rPr>
    </w:lvl>
    <w:lvl w:ilvl="7" w:tplc="04090019" w:tentative="1">
      <w:start w:val="1"/>
      <w:numFmt w:val="lowerLetter"/>
      <w:lvlText w:val="%8."/>
      <w:lvlJc w:val="left"/>
      <w:pPr>
        <w:tabs>
          <w:tab w:val="num" w:pos="10512"/>
        </w:tabs>
        <w:ind w:left="10512" w:hanging="360"/>
      </w:pPr>
      <w:rPr>
        <w:rFonts w:cs="Times New Roman"/>
      </w:rPr>
    </w:lvl>
    <w:lvl w:ilvl="8" w:tplc="0409001B" w:tentative="1">
      <w:start w:val="1"/>
      <w:numFmt w:val="lowerRoman"/>
      <w:lvlText w:val="%9."/>
      <w:lvlJc w:val="right"/>
      <w:pPr>
        <w:tabs>
          <w:tab w:val="num" w:pos="11232"/>
        </w:tabs>
        <w:ind w:left="11232" w:hanging="180"/>
      </w:pPr>
      <w:rPr>
        <w:rFonts w:cs="Times New Roman"/>
      </w:rPr>
    </w:lvl>
  </w:abstractNum>
  <w:num w:numId="1">
    <w:abstractNumId w:val="11"/>
  </w:num>
  <w:num w:numId="2">
    <w:abstractNumId w:val="6"/>
  </w:num>
  <w:num w:numId="3">
    <w:abstractNumId w:val="13"/>
  </w:num>
  <w:num w:numId="4">
    <w:abstractNumId w:val="12"/>
  </w:num>
  <w:num w:numId="5">
    <w:abstractNumId w:val="2"/>
  </w:num>
  <w:num w:numId="6">
    <w:abstractNumId w:val="14"/>
  </w:num>
  <w:num w:numId="7">
    <w:abstractNumId w:val="1"/>
  </w:num>
  <w:num w:numId="8">
    <w:abstractNumId w:val="11"/>
    <w:lvlOverride w:ilvl="0">
      <w:startOverride w:val="1"/>
    </w:lvlOverride>
  </w:num>
  <w:num w:numId="9">
    <w:abstractNumId w:val="7"/>
  </w:num>
  <w:num w:numId="10">
    <w:abstractNumId w:val="4"/>
  </w:num>
  <w:num w:numId="11">
    <w:abstractNumId w:val="9"/>
  </w:num>
  <w:num w:numId="12">
    <w:abstractNumId w:val="5"/>
  </w:num>
  <w:num w:numId="13">
    <w:abstractNumId w:val="0"/>
  </w:num>
  <w:num w:numId="14">
    <w:abstractNumId w:val="3"/>
  </w:num>
  <w:num w:numId="15">
    <w:abstractNumId w:val="11"/>
    <w:lvlOverride w:ilvl="0">
      <w:startOverride w:val="4"/>
    </w:lvlOverride>
  </w:num>
  <w:num w:numId="16">
    <w:abstractNumId w:val="11"/>
    <w:lvlOverride w:ilvl="0">
      <w:startOverride w:val="22"/>
    </w:lvlOverride>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0"/>
  </w:num>
  <w:num w:numId="40">
    <w:abstractNumId w:val="1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1071B"/>
    <w:rsid w:val="00014484"/>
    <w:rsid w:val="000216AD"/>
    <w:rsid w:val="00023FF6"/>
    <w:rsid w:val="00024902"/>
    <w:rsid w:val="000251D3"/>
    <w:rsid w:val="000262C0"/>
    <w:rsid w:val="00026D75"/>
    <w:rsid w:val="00026D97"/>
    <w:rsid w:val="00027E97"/>
    <w:rsid w:val="000302D0"/>
    <w:rsid w:val="00033708"/>
    <w:rsid w:val="00036039"/>
    <w:rsid w:val="00036B37"/>
    <w:rsid w:val="00037F90"/>
    <w:rsid w:val="00040BB5"/>
    <w:rsid w:val="0004154A"/>
    <w:rsid w:val="0004267E"/>
    <w:rsid w:val="00042D71"/>
    <w:rsid w:val="00046153"/>
    <w:rsid w:val="00047F1C"/>
    <w:rsid w:val="000514F1"/>
    <w:rsid w:val="00051558"/>
    <w:rsid w:val="00056532"/>
    <w:rsid w:val="00061A57"/>
    <w:rsid w:val="00064ADC"/>
    <w:rsid w:val="000668DA"/>
    <w:rsid w:val="0007059D"/>
    <w:rsid w:val="000728FF"/>
    <w:rsid w:val="00073450"/>
    <w:rsid w:val="00073561"/>
    <w:rsid w:val="00075906"/>
    <w:rsid w:val="00076C13"/>
    <w:rsid w:val="00076DF5"/>
    <w:rsid w:val="0008718F"/>
    <w:rsid w:val="000875BF"/>
    <w:rsid w:val="00090E63"/>
    <w:rsid w:val="00096D8C"/>
    <w:rsid w:val="000971AC"/>
    <w:rsid w:val="000A5F07"/>
    <w:rsid w:val="000B00E8"/>
    <w:rsid w:val="000B17A6"/>
    <w:rsid w:val="000B1A38"/>
    <w:rsid w:val="000B3970"/>
    <w:rsid w:val="000B622D"/>
    <w:rsid w:val="000B6DAE"/>
    <w:rsid w:val="000C0B65"/>
    <w:rsid w:val="000D5798"/>
    <w:rsid w:val="000D6A4A"/>
    <w:rsid w:val="000E05FE"/>
    <w:rsid w:val="000E3D42"/>
    <w:rsid w:val="000E4E42"/>
    <w:rsid w:val="000E655A"/>
    <w:rsid w:val="000E6874"/>
    <w:rsid w:val="000E7521"/>
    <w:rsid w:val="00104BEE"/>
    <w:rsid w:val="0011427B"/>
    <w:rsid w:val="00117BD4"/>
    <w:rsid w:val="001208E8"/>
    <w:rsid w:val="00122296"/>
    <w:rsid w:val="0012234C"/>
    <w:rsid w:val="00122BD5"/>
    <w:rsid w:val="00124341"/>
    <w:rsid w:val="00126CA2"/>
    <w:rsid w:val="001278CC"/>
    <w:rsid w:val="001314FC"/>
    <w:rsid w:val="00131E10"/>
    <w:rsid w:val="0013249B"/>
    <w:rsid w:val="00133F79"/>
    <w:rsid w:val="001438DA"/>
    <w:rsid w:val="0014677E"/>
    <w:rsid w:val="0015122B"/>
    <w:rsid w:val="0015224A"/>
    <w:rsid w:val="00153746"/>
    <w:rsid w:val="00153AAA"/>
    <w:rsid w:val="00154477"/>
    <w:rsid w:val="00155C0B"/>
    <w:rsid w:val="00161D89"/>
    <w:rsid w:val="00170940"/>
    <w:rsid w:val="00171046"/>
    <w:rsid w:val="001711DC"/>
    <w:rsid w:val="00176594"/>
    <w:rsid w:val="00182304"/>
    <w:rsid w:val="00186182"/>
    <w:rsid w:val="00190C82"/>
    <w:rsid w:val="0019214A"/>
    <w:rsid w:val="001933D7"/>
    <w:rsid w:val="00194A66"/>
    <w:rsid w:val="001A049B"/>
    <w:rsid w:val="001A5288"/>
    <w:rsid w:val="001A7299"/>
    <w:rsid w:val="001B2424"/>
    <w:rsid w:val="001B74D4"/>
    <w:rsid w:val="001C1346"/>
    <w:rsid w:val="001C4926"/>
    <w:rsid w:val="001C71E0"/>
    <w:rsid w:val="001D37A4"/>
    <w:rsid w:val="001D41E6"/>
    <w:rsid w:val="001D4CD4"/>
    <w:rsid w:val="001D60BE"/>
    <w:rsid w:val="001D6BCF"/>
    <w:rsid w:val="001E01CA"/>
    <w:rsid w:val="001F1D5B"/>
    <w:rsid w:val="001F2665"/>
    <w:rsid w:val="001F2C97"/>
    <w:rsid w:val="001F2CA4"/>
    <w:rsid w:val="001F7862"/>
    <w:rsid w:val="00200072"/>
    <w:rsid w:val="00206025"/>
    <w:rsid w:val="00207E47"/>
    <w:rsid w:val="002172CD"/>
    <w:rsid w:val="00220A10"/>
    <w:rsid w:val="00222F02"/>
    <w:rsid w:val="00227BF4"/>
    <w:rsid w:val="00233756"/>
    <w:rsid w:val="0023470C"/>
    <w:rsid w:val="002436B5"/>
    <w:rsid w:val="00246786"/>
    <w:rsid w:val="00257744"/>
    <w:rsid w:val="00257763"/>
    <w:rsid w:val="00260189"/>
    <w:rsid w:val="00261972"/>
    <w:rsid w:val="00262413"/>
    <w:rsid w:val="00262C95"/>
    <w:rsid w:val="00263706"/>
    <w:rsid w:val="002673F5"/>
    <w:rsid w:val="002755D1"/>
    <w:rsid w:val="00275CF5"/>
    <w:rsid w:val="00276774"/>
    <w:rsid w:val="00276A71"/>
    <w:rsid w:val="002775B3"/>
    <w:rsid w:val="00280BF1"/>
    <w:rsid w:val="0028301F"/>
    <w:rsid w:val="00285017"/>
    <w:rsid w:val="00286347"/>
    <w:rsid w:val="00291D68"/>
    <w:rsid w:val="00296428"/>
    <w:rsid w:val="002A2D2E"/>
    <w:rsid w:val="002B1765"/>
    <w:rsid w:val="002B41D6"/>
    <w:rsid w:val="002B5AA5"/>
    <w:rsid w:val="002B6A2E"/>
    <w:rsid w:val="002C00E8"/>
    <w:rsid w:val="002C14B4"/>
    <w:rsid w:val="002C1AC5"/>
    <w:rsid w:val="002C1DDB"/>
    <w:rsid w:val="002C1FAD"/>
    <w:rsid w:val="002E46B8"/>
    <w:rsid w:val="002E4E09"/>
    <w:rsid w:val="002E5F35"/>
    <w:rsid w:val="002F0A22"/>
    <w:rsid w:val="002F585C"/>
    <w:rsid w:val="002F7012"/>
    <w:rsid w:val="002F7ABB"/>
    <w:rsid w:val="003010FA"/>
    <w:rsid w:val="003027C5"/>
    <w:rsid w:val="00302835"/>
    <w:rsid w:val="00302AC4"/>
    <w:rsid w:val="00302C38"/>
    <w:rsid w:val="00302DFF"/>
    <w:rsid w:val="00306CC1"/>
    <w:rsid w:val="00307102"/>
    <w:rsid w:val="00307AE4"/>
    <w:rsid w:val="00322FE8"/>
    <w:rsid w:val="00327FAD"/>
    <w:rsid w:val="00331EC0"/>
    <w:rsid w:val="003329C5"/>
    <w:rsid w:val="00340066"/>
    <w:rsid w:val="00343749"/>
    <w:rsid w:val="00344C16"/>
    <w:rsid w:val="003462F5"/>
    <w:rsid w:val="003533DC"/>
    <w:rsid w:val="00353791"/>
    <w:rsid w:val="00356081"/>
    <w:rsid w:val="00357C0A"/>
    <w:rsid w:val="00360884"/>
    <w:rsid w:val="00365194"/>
    <w:rsid w:val="003660ED"/>
    <w:rsid w:val="00366782"/>
    <w:rsid w:val="00375E8E"/>
    <w:rsid w:val="00381D93"/>
    <w:rsid w:val="003909A2"/>
    <w:rsid w:val="00394828"/>
    <w:rsid w:val="003A3C0A"/>
    <w:rsid w:val="003B0550"/>
    <w:rsid w:val="003B4047"/>
    <w:rsid w:val="003B59AC"/>
    <w:rsid w:val="003B694F"/>
    <w:rsid w:val="003C4A20"/>
    <w:rsid w:val="003C4BCC"/>
    <w:rsid w:val="003D2584"/>
    <w:rsid w:val="003D2655"/>
    <w:rsid w:val="003D41F8"/>
    <w:rsid w:val="003D5FB2"/>
    <w:rsid w:val="003D7A7D"/>
    <w:rsid w:val="003F171C"/>
    <w:rsid w:val="003F5159"/>
    <w:rsid w:val="003F5CF7"/>
    <w:rsid w:val="003F664A"/>
    <w:rsid w:val="004036DC"/>
    <w:rsid w:val="00403DE2"/>
    <w:rsid w:val="00412FC5"/>
    <w:rsid w:val="00422276"/>
    <w:rsid w:val="004242F1"/>
    <w:rsid w:val="004261F8"/>
    <w:rsid w:val="00426D94"/>
    <w:rsid w:val="004305E9"/>
    <w:rsid w:val="00434A09"/>
    <w:rsid w:val="004365B3"/>
    <w:rsid w:val="00440A39"/>
    <w:rsid w:val="004419DD"/>
    <w:rsid w:val="00441B6B"/>
    <w:rsid w:val="0044203A"/>
    <w:rsid w:val="0044331D"/>
    <w:rsid w:val="004446A4"/>
    <w:rsid w:val="00445A00"/>
    <w:rsid w:val="00446A6B"/>
    <w:rsid w:val="00451B0F"/>
    <w:rsid w:val="00453A9E"/>
    <w:rsid w:val="004620CB"/>
    <w:rsid w:val="00462BA2"/>
    <w:rsid w:val="004676BE"/>
    <w:rsid w:val="00474491"/>
    <w:rsid w:val="00474905"/>
    <w:rsid w:val="00477704"/>
    <w:rsid w:val="00481264"/>
    <w:rsid w:val="00483717"/>
    <w:rsid w:val="00485C9F"/>
    <w:rsid w:val="00486AAF"/>
    <w:rsid w:val="00487DA4"/>
    <w:rsid w:val="0049668B"/>
    <w:rsid w:val="004A5FBA"/>
    <w:rsid w:val="004A7483"/>
    <w:rsid w:val="004A7F18"/>
    <w:rsid w:val="004C10C0"/>
    <w:rsid w:val="004C2EE3"/>
    <w:rsid w:val="004C303F"/>
    <w:rsid w:val="004C75DB"/>
    <w:rsid w:val="004E4273"/>
    <w:rsid w:val="004E4A22"/>
    <w:rsid w:val="004E4F32"/>
    <w:rsid w:val="004E5ED4"/>
    <w:rsid w:val="004F088C"/>
    <w:rsid w:val="00502FAF"/>
    <w:rsid w:val="00504214"/>
    <w:rsid w:val="00511968"/>
    <w:rsid w:val="00516CE9"/>
    <w:rsid w:val="0051761D"/>
    <w:rsid w:val="0052112B"/>
    <w:rsid w:val="0053409B"/>
    <w:rsid w:val="00535D4B"/>
    <w:rsid w:val="0055035F"/>
    <w:rsid w:val="00552E46"/>
    <w:rsid w:val="00554498"/>
    <w:rsid w:val="00555C8A"/>
    <w:rsid w:val="0055614C"/>
    <w:rsid w:val="00560DA5"/>
    <w:rsid w:val="00562DFF"/>
    <w:rsid w:val="00565042"/>
    <w:rsid w:val="00566E9B"/>
    <w:rsid w:val="005675C2"/>
    <w:rsid w:val="00572509"/>
    <w:rsid w:val="00572F28"/>
    <w:rsid w:val="00576C55"/>
    <w:rsid w:val="00582BA0"/>
    <w:rsid w:val="005902EF"/>
    <w:rsid w:val="0059356E"/>
    <w:rsid w:val="00593EAD"/>
    <w:rsid w:val="005A3900"/>
    <w:rsid w:val="005A5FC7"/>
    <w:rsid w:val="005B4F0E"/>
    <w:rsid w:val="005B50B0"/>
    <w:rsid w:val="005D22D4"/>
    <w:rsid w:val="005D2C62"/>
    <w:rsid w:val="005D5341"/>
    <w:rsid w:val="005D58F4"/>
    <w:rsid w:val="005D6043"/>
    <w:rsid w:val="005E10F1"/>
    <w:rsid w:val="005E14C2"/>
    <w:rsid w:val="005E3B92"/>
    <w:rsid w:val="005E6193"/>
    <w:rsid w:val="005E6E1E"/>
    <w:rsid w:val="005F13A3"/>
    <w:rsid w:val="005F64AA"/>
    <w:rsid w:val="00604272"/>
    <w:rsid w:val="00605F22"/>
    <w:rsid w:val="0060622A"/>
    <w:rsid w:val="00607BA5"/>
    <w:rsid w:val="00610208"/>
    <w:rsid w:val="0061180A"/>
    <w:rsid w:val="00614340"/>
    <w:rsid w:val="00623967"/>
    <w:rsid w:val="00626EB6"/>
    <w:rsid w:val="00635401"/>
    <w:rsid w:val="00641498"/>
    <w:rsid w:val="00642CD9"/>
    <w:rsid w:val="006459B1"/>
    <w:rsid w:val="006464E5"/>
    <w:rsid w:val="00646C36"/>
    <w:rsid w:val="00652649"/>
    <w:rsid w:val="0065270B"/>
    <w:rsid w:val="006534CA"/>
    <w:rsid w:val="00655D03"/>
    <w:rsid w:val="00657732"/>
    <w:rsid w:val="006649AF"/>
    <w:rsid w:val="00665547"/>
    <w:rsid w:val="006658A4"/>
    <w:rsid w:val="0067126B"/>
    <w:rsid w:val="006748B8"/>
    <w:rsid w:val="00683388"/>
    <w:rsid w:val="00683B2D"/>
    <w:rsid w:val="00683F1F"/>
    <w:rsid w:val="00683F84"/>
    <w:rsid w:val="006918C5"/>
    <w:rsid w:val="0069341E"/>
    <w:rsid w:val="00696150"/>
    <w:rsid w:val="006A0CCD"/>
    <w:rsid w:val="006A16B3"/>
    <w:rsid w:val="006A1800"/>
    <w:rsid w:val="006A26C5"/>
    <w:rsid w:val="006A4025"/>
    <w:rsid w:val="006A5073"/>
    <w:rsid w:val="006A551D"/>
    <w:rsid w:val="006A6A81"/>
    <w:rsid w:val="006B3C40"/>
    <w:rsid w:val="006C3132"/>
    <w:rsid w:val="006C3459"/>
    <w:rsid w:val="006D0F5A"/>
    <w:rsid w:val="006D133D"/>
    <w:rsid w:val="006D418F"/>
    <w:rsid w:val="006E207C"/>
    <w:rsid w:val="006E271D"/>
    <w:rsid w:val="006E2C64"/>
    <w:rsid w:val="006E4152"/>
    <w:rsid w:val="006E4E12"/>
    <w:rsid w:val="006F0782"/>
    <w:rsid w:val="006F7147"/>
    <w:rsid w:val="006F7393"/>
    <w:rsid w:val="006F7639"/>
    <w:rsid w:val="0070112A"/>
    <w:rsid w:val="0070224F"/>
    <w:rsid w:val="00703BD1"/>
    <w:rsid w:val="007068B5"/>
    <w:rsid w:val="00710CC1"/>
    <w:rsid w:val="007115F7"/>
    <w:rsid w:val="00712B39"/>
    <w:rsid w:val="00712FE9"/>
    <w:rsid w:val="00717A9B"/>
    <w:rsid w:val="00722519"/>
    <w:rsid w:val="00726171"/>
    <w:rsid w:val="007307CE"/>
    <w:rsid w:val="00731BBE"/>
    <w:rsid w:val="007356A4"/>
    <w:rsid w:val="00740567"/>
    <w:rsid w:val="00743294"/>
    <w:rsid w:val="00744FE3"/>
    <w:rsid w:val="0075403B"/>
    <w:rsid w:val="007563C6"/>
    <w:rsid w:val="00770B53"/>
    <w:rsid w:val="007717E9"/>
    <w:rsid w:val="007752D7"/>
    <w:rsid w:val="0077779F"/>
    <w:rsid w:val="0078084A"/>
    <w:rsid w:val="00782F47"/>
    <w:rsid w:val="007840B7"/>
    <w:rsid w:val="00785689"/>
    <w:rsid w:val="0078789C"/>
    <w:rsid w:val="00787AB6"/>
    <w:rsid w:val="0079280A"/>
    <w:rsid w:val="0079754B"/>
    <w:rsid w:val="007A09D5"/>
    <w:rsid w:val="007A1E6D"/>
    <w:rsid w:val="007A2DC0"/>
    <w:rsid w:val="007A47C4"/>
    <w:rsid w:val="007A541A"/>
    <w:rsid w:val="007A7349"/>
    <w:rsid w:val="007B0D37"/>
    <w:rsid w:val="007B0D77"/>
    <w:rsid w:val="007B0E95"/>
    <w:rsid w:val="007B0EB2"/>
    <w:rsid w:val="007B5620"/>
    <w:rsid w:val="007B78FD"/>
    <w:rsid w:val="007C0685"/>
    <w:rsid w:val="007C09F1"/>
    <w:rsid w:val="007C0B2B"/>
    <w:rsid w:val="007C0B39"/>
    <w:rsid w:val="007C4242"/>
    <w:rsid w:val="007C473D"/>
    <w:rsid w:val="007D19A5"/>
    <w:rsid w:val="007D2615"/>
    <w:rsid w:val="007D7BED"/>
    <w:rsid w:val="007E21DB"/>
    <w:rsid w:val="007E2EBD"/>
    <w:rsid w:val="007E467D"/>
    <w:rsid w:val="007E4AF8"/>
    <w:rsid w:val="007F2132"/>
    <w:rsid w:val="007F327A"/>
    <w:rsid w:val="007F766D"/>
    <w:rsid w:val="00805BF5"/>
    <w:rsid w:val="00806024"/>
    <w:rsid w:val="008061DE"/>
    <w:rsid w:val="008062B4"/>
    <w:rsid w:val="0080718C"/>
    <w:rsid w:val="00810B6F"/>
    <w:rsid w:val="00811C67"/>
    <w:rsid w:val="008155A1"/>
    <w:rsid w:val="008162C7"/>
    <w:rsid w:val="0081645F"/>
    <w:rsid w:val="00816B12"/>
    <w:rsid w:val="00822CE0"/>
    <w:rsid w:val="008257A7"/>
    <w:rsid w:val="00830A41"/>
    <w:rsid w:val="00832DE8"/>
    <w:rsid w:val="00832FC2"/>
    <w:rsid w:val="008335CC"/>
    <w:rsid w:val="0083587E"/>
    <w:rsid w:val="00841AB1"/>
    <w:rsid w:val="00842EF2"/>
    <w:rsid w:val="00843A5F"/>
    <w:rsid w:val="0085048F"/>
    <w:rsid w:val="00851A45"/>
    <w:rsid w:val="00852593"/>
    <w:rsid w:val="00854030"/>
    <w:rsid w:val="00855D02"/>
    <w:rsid w:val="0086264E"/>
    <w:rsid w:val="00864879"/>
    <w:rsid w:val="00867F7A"/>
    <w:rsid w:val="00877779"/>
    <w:rsid w:val="00877977"/>
    <w:rsid w:val="00881AE1"/>
    <w:rsid w:val="00881D80"/>
    <w:rsid w:val="00883524"/>
    <w:rsid w:val="00885919"/>
    <w:rsid w:val="00896520"/>
    <w:rsid w:val="00896CFD"/>
    <w:rsid w:val="00897A81"/>
    <w:rsid w:val="008A1C76"/>
    <w:rsid w:val="008A2AD9"/>
    <w:rsid w:val="008A3BFE"/>
    <w:rsid w:val="008A40AE"/>
    <w:rsid w:val="008A5D15"/>
    <w:rsid w:val="008A7975"/>
    <w:rsid w:val="008A7AD7"/>
    <w:rsid w:val="008A7F23"/>
    <w:rsid w:val="008B628C"/>
    <w:rsid w:val="008C06ED"/>
    <w:rsid w:val="008C2889"/>
    <w:rsid w:val="008C3BDF"/>
    <w:rsid w:val="008C68F1"/>
    <w:rsid w:val="008D3C3F"/>
    <w:rsid w:val="008D422C"/>
    <w:rsid w:val="008D64F8"/>
    <w:rsid w:val="008D6611"/>
    <w:rsid w:val="008D79FA"/>
    <w:rsid w:val="008E1C6A"/>
    <w:rsid w:val="008E3790"/>
    <w:rsid w:val="008E5A04"/>
    <w:rsid w:val="008F12DE"/>
    <w:rsid w:val="008F1562"/>
    <w:rsid w:val="008F2DBF"/>
    <w:rsid w:val="008F77C4"/>
    <w:rsid w:val="00901E14"/>
    <w:rsid w:val="00901E3F"/>
    <w:rsid w:val="009041E4"/>
    <w:rsid w:val="009051FC"/>
    <w:rsid w:val="00905548"/>
    <w:rsid w:val="009068C2"/>
    <w:rsid w:val="009109DD"/>
    <w:rsid w:val="00912E71"/>
    <w:rsid w:val="00913231"/>
    <w:rsid w:val="00914AC0"/>
    <w:rsid w:val="009150AB"/>
    <w:rsid w:val="00921803"/>
    <w:rsid w:val="00926503"/>
    <w:rsid w:val="00926FC4"/>
    <w:rsid w:val="009279FD"/>
    <w:rsid w:val="00927B1B"/>
    <w:rsid w:val="0093006C"/>
    <w:rsid w:val="009309E5"/>
    <w:rsid w:val="009341CC"/>
    <w:rsid w:val="00936B23"/>
    <w:rsid w:val="00940028"/>
    <w:rsid w:val="00945DB8"/>
    <w:rsid w:val="009476B1"/>
    <w:rsid w:val="00947DEB"/>
    <w:rsid w:val="00956E2C"/>
    <w:rsid w:val="00957B6E"/>
    <w:rsid w:val="009609E4"/>
    <w:rsid w:val="00961A96"/>
    <w:rsid w:val="0096758E"/>
    <w:rsid w:val="00971733"/>
    <w:rsid w:val="009726D8"/>
    <w:rsid w:val="009734D3"/>
    <w:rsid w:val="00975937"/>
    <w:rsid w:val="00980648"/>
    <w:rsid w:val="00982541"/>
    <w:rsid w:val="009850EA"/>
    <w:rsid w:val="009901DE"/>
    <w:rsid w:val="00993743"/>
    <w:rsid w:val="009A17A5"/>
    <w:rsid w:val="009B050F"/>
    <w:rsid w:val="009B31C8"/>
    <w:rsid w:val="009C46DE"/>
    <w:rsid w:val="009C6343"/>
    <w:rsid w:val="009D1D98"/>
    <w:rsid w:val="009D438C"/>
    <w:rsid w:val="009D7FB5"/>
    <w:rsid w:val="009E1DE8"/>
    <w:rsid w:val="009E201B"/>
    <w:rsid w:val="009E2673"/>
    <w:rsid w:val="009E51C5"/>
    <w:rsid w:val="009E78EC"/>
    <w:rsid w:val="009F76DB"/>
    <w:rsid w:val="00A05BD4"/>
    <w:rsid w:val="00A13790"/>
    <w:rsid w:val="00A13EEC"/>
    <w:rsid w:val="00A165A1"/>
    <w:rsid w:val="00A17DF1"/>
    <w:rsid w:val="00A24346"/>
    <w:rsid w:val="00A30081"/>
    <w:rsid w:val="00A32C3B"/>
    <w:rsid w:val="00A34BAD"/>
    <w:rsid w:val="00A35800"/>
    <w:rsid w:val="00A45B71"/>
    <w:rsid w:val="00A45F4F"/>
    <w:rsid w:val="00A475EF"/>
    <w:rsid w:val="00A51F7B"/>
    <w:rsid w:val="00A547F8"/>
    <w:rsid w:val="00A5613E"/>
    <w:rsid w:val="00A600A9"/>
    <w:rsid w:val="00A66B78"/>
    <w:rsid w:val="00A7214F"/>
    <w:rsid w:val="00A7366F"/>
    <w:rsid w:val="00A75FE5"/>
    <w:rsid w:val="00A8149F"/>
    <w:rsid w:val="00A81F1D"/>
    <w:rsid w:val="00A905CB"/>
    <w:rsid w:val="00A944DB"/>
    <w:rsid w:val="00AA1A67"/>
    <w:rsid w:val="00AA1D8C"/>
    <w:rsid w:val="00AA2529"/>
    <w:rsid w:val="00AA55B7"/>
    <w:rsid w:val="00AA5B9E"/>
    <w:rsid w:val="00AB2407"/>
    <w:rsid w:val="00AB43B3"/>
    <w:rsid w:val="00AB53DF"/>
    <w:rsid w:val="00AB6A82"/>
    <w:rsid w:val="00AB6ADC"/>
    <w:rsid w:val="00AC2FE7"/>
    <w:rsid w:val="00AC4101"/>
    <w:rsid w:val="00AC45E4"/>
    <w:rsid w:val="00AC67DE"/>
    <w:rsid w:val="00AC7DEE"/>
    <w:rsid w:val="00AD0401"/>
    <w:rsid w:val="00AD552D"/>
    <w:rsid w:val="00AD6A7F"/>
    <w:rsid w:val="00AD6D76"/>
    <w:rsid w:val="00AD778B"/>
    <w:rsid w:val="00AE01C2"/>
    <w:rsid w:val="00AE24D5"/>
    <w:rsid w:val="00AE2D0A"/>
    <w:rsid w:val="00B0044E"/>
    <w:rsid w:val="00B023FF"/>
    <w:rsid w:val="00B03AB1"/>
    <w:rsid w:val="00B067FE"/>
    <w:rsid w:val="00B07974"/>
    <w:rsid w:val="00B07E5C"/>
    <w:rsid w:val="00B11046"/>
    <w:rsid w:val="00B13A11"/>
    <w:rsid w:val="00B1444F"/>
    <w:rsid w:val="00B1744C"/>
    <w:rsid w:val="00B213CA"/>
    <w:rsid w:val="00B2349B"/>
    <w:rsid w:val="00B2646D"/>
    <w:rsid w:val="00B26748"/>
    <w:rsid w:val="00B36CDF"/>
    <w:rsid w:val="00B4239E"/>
    <w:rsid w:val="00B42728"/>
    <w:rsid w:val="00B42788"/>
    <w:rsid w:val="00B43958"/>
    <w:rsid w:val="00B43FC1"/>
    <w:rsid w:val="00B4634E"/>
    <w:rsid w:val="00B504D8"/>
    <w:rsid w:val="00B51B28"/>
    <w:rsid w:val="00B53BF6"/>
    <w:rsid w:val="00B54052"/>
    <w:rsid w:val="00B709FD"/>
    <w:rsid w:val="00B7146B"/>
    <w:rsid w:val="00B73A30"/>
    <w:rsid w:val="00B75863"/>
    <w:rsid w:val="00B75B87"/>
    <w:rsid w:val="00B76F47"/>
    <w:rsid w:val="00B810D1"/>
    <w:rsid w:val="00B811F7"/>
    <w:rsid w:val="00B82701"/>
    <w:rsid w:val="00B8387C"/>
    <w:rsid w:val="00B8391A"/>
    <w:rsid w:val="00B8537D"/>
    <w:rsid w:val="00B905A7"/>
    <w:rsid w:val="00B92FA2"/>
    <w:rsid w:val="00B94251"/>
    <w:rsid w:val="00B94930"/>
    <w:rsid w:val="00BA02ED"/>
    <w:rsid w:val="00BA5DC6"/>
    <w:rsid w:val="00BA612B"/>
    <w:rsid w:val="00BA6196"/>
    <w:rsid w:val="00BB440F"/>
    <w:rsid w:val="00BC67CB"/>
    <w:rsid w:val="00BC6D8C"/>
    <w:rsid w:val="00BC7594"/>
    <w:rsid w:val="00BC7821"/>
    <w:rsid w:val="00BC7F0E"/>
    <w:rsid w:val="00BD08D2"/>
    <w:rsid w:val="00BD4EBC"/>
    <w:rsid w:val="00BD5BEC"/>
    <w:rsid w:val="00BD779B"/>
    <w:rsid w:val="00BE103C"/>
    <w:rsid w:val="00BE6CC9"/>
    <w:rsid w:val="00BE7E75"/>
    <w:rsid w:val="00BF2C49"/>
    <w:rsid w:val="00BF5002"/>
    <w:rsid w:val="00BF684A"/>
    <w:rsid w:val="00C014DA"/>
    <w:rsid w:val="00C01E1F"/>
    <w:rsid w:val="00C04651"/>
    <w:rsid w:val="00C135FD"/>
    <w:rsid w:val="00C236AC"/>
    <w:rsid w:val="00C24CA8"/>
    <w:rsid w:val="00C277CC"/>
    <w:rsid w:val="00C27BF9"/>
    <w:rsid w:val="00C32B1E"/>
    <w:rsid w:val="00C3309D"/>
    <w:rsid w:val="00C34006"/>
    <w:rsid w:val="00C353B8"/>
    <w:rsid w:val="00C3652C"/>
    <w:rsid w:val="00C426B1"/>
    <w:rsid w:val="00C43E4A"/>
    <w:rsid w:val="00C47B66"/>
    <w:rsid w:val="00C55ABA"/>
    <w:rsid w:val="00C55F20"/>
    <w:rsid w:val="00C575BD"/>
    <w:rsid w:val="00C579A0"/>
    <w:rsid w:val="00C6383F"/>
    <w:rsid w:val="00C66160"/>
    <w:rsid w:val="00C67FC4"/>
    <w:rsid w:val="00C7140C"/>
    <w:rsid w:val="00C721AC"/>
    <w:rsid w:val="00C83F7E"/>
    <w:rsid w:val="00C841D5"/>
    <w:rsid w:val="00C8491A"/>
    <w:rsid w:val="00C90038"/>
    <w:rsid w:val="00C907ED"/>
    <w:rsid w:val="00C90D6A"/>
    <w:rsid w:val="00C9150F"/>
    <w:rsid w:val="00CA08CD"/>
    <w:rsid w:val="00CA247E"/>
    <w:rsid w:val="00CA519B"/>
    <w:rsid w:val="00CB43A5"/>
    <w:rsid w:val="00CB4AB1"/>
    <w:rsid w:val="00CC72B6"/>
    <w:rsid w:val="00CD3870"/>
    <w:rsid w:val="00CE68FE"/>
    <w:rsid w:val="00CE79A0"/>
    <w:rsid w:val="00CE7D37"/>
    <w:rsid w:val="00CF055D"/>
    <w:rsid w:val="00CF0F21"/>
    <w:rsid w:val="00CF1B2D"/>
    <w:rsid w:val="00CF1C7F"/>
    <w:rsid w:val="00CF210F"/>
    <w:rsid w:val="00CF64AE"/>
    <w:rsid w:val="00D012C8"/>
    <w:rsid w:val="00D0218D"/>
    <w:rsid w:val="00D076CD"/>
    <w:rsid w:val="00D1156A"/>
    <w:rsid w:val="00D14F53"/>
    <w:rsid w:val="00D15E94"/>
    <w:rsid w:val="00D24CB0"/>
    <w:rsid w:val="00D25FB5"/>
    <w:rsid w:val="00D27F49"/>
    <w:rsid w:val="00D308CF"/>
    <w:rsid w:val="00D341FE"/>
    <w:rsid w:val="00D379F0"/>
    <w:rsid w:val="00D433E6"/>
    <w:rsid w:val="00D44223"/>
    <w:rsid w:val="00D4452F"/>
    <w:rsid w:val="00D45A54"/>
    <w:rsid w:val="00D47D91"/>
    <w:rsid w:val="00D503BA"/>
    <w:rsid w:val="00D558A4"/>
    <w:rsid w:val="00D560CD"/>
    <w:rsid w:val="00D56A4B"/>
    <w:rsid w:val="00D612FE"/>
    <w:rsid w:val="00D6260F"/>
    <w:rsid w:val="00D627A6"/>
    <w:rsid w:val="00D63CA8"/>
    <w:rsid w:val="00D65117"/>
    <w:rsid w:val="00D66953"/>
    <w:rsid w:val="00D6706E"/>
    <w:rsid w:val="00D71441"/>
    <w:rsid w:val="00D7242F"/>
    <w:rsid w:val="00D72872"/>
    <w:rsid w:val="00D80103"/>
    <w:rsid w:val="00D80B30"/>
    <w:rsid w:val="00D817B3"/>
    <w:rsid w:val="00D81F89"/>
    <w:rsid w:val="00D83696"/>
    <w:rsid w:val="00D84F78"/>
    <w:rsid w:val="00D85F19"/>
    <w:rsid w:val="00D9021A"/>
    <w:rsid w:val="00D90F07"/>
    <w:rsid w:val="00D9506D"/>
    <w:rsid w:val="00DA0110"/>
    <w:rsid w:val="00DA1426"/>
    <w:rsid w:val="00DA176A"/>
    <w:rsid w:val="00DA2529"/>
    <w:rsid w:val="00DA3C08"/>
    <w:rsid w:val="00DB0955"/>
    <w:rsid w:val="00DB0C03"/>
    <w:rsid w:val="00DB130A"/>
    <w:rsid w:val="00DB178E"/>
    <w:rsid w:val="00DB2EBB"/>
    <w:rsid w:val="00DB4C4F"/>
    <w:rsid w:val="00DB6620"/>
    <w:rsid w:val="00DC10A1"/>
    <w:rsid w:val="00DC2111"/>
    <w:rsid w:val="00DC655F"/>
    <w:rsid w:val="00DD0B59"/>
    <w:rsid w:val="00DD1F61"/>
    <w:rsid w:val="00DD42FB"/>
    <w:rsid w:val="00DD4456"/>
    <w:rsid w:val="00DD4F34"/>
    <w:rsid w:val="00DD7EBD"/>
    <w:rsid w:val="00DE1379"/>
    <w:rsid w:val="00DE3862"/>
    <w:rsid w:val="00DE55B1"/>
    <w:rsid w:val="00DF2595"/>
    <w:rsid w:val="00DF62B6"/>
    <w:rsid w:val="00DF747E"/>
    <w:rsid w:val="00E0195B"/>
    <w:rsid w:val="00E01E06"/>
    <w:rsid w:val="00E02214"/>
    <w:rsid w:val="00E02D1D"/>
    <w:rsid w:val="00E03587"/>
    <w:rsid w:val="00E067E9"/>
    <w:rsid w:val="00E07225"/>
    <w:rsid w:val="00E1090A"/>
    <w:rsid w:val="00E1401A"/>
    <w:rsid w:val="00E22383"/>
    <w:rsid w:val="00E22653"/>
    <w:rsid w:val="00E24E9F"/>
    <w:rsid w:val="00E3009C"/>
    <w:rsid w:val="00E32B72"/>
    <w:rsid w:val="00E33AB8"/>
    <w:rsid w:val="00E40F40"/>
    <w:rsid w:val="00E413C5"/>
    <w:rsid w:val="00E43C74"/>
    <w:rsid w:val="00E44024"/>
    <w:rsid w:val="00E4501C"/>
    <w:rsid w:val="00E4743F"/>
    <w:rsid w:val="00E5409F"/>
    <w:rsid w:val="00E543BE"/>
    <w:rsid w:val="00E54494"/>
    <w:rsid w:val="00E55D00"/>
    <w:rsid w:val="00E5745E"/>
    <w:rsid w:val="00E66F37"/>
    <w:rsid w:val="00E71CD2"/>
    <w:rsid w:val="00E75E63"/>
    <w:rsid w:val="00E8027E"/>
    <w:rsid w:val="00E84313"/>
    <w:rsid w:val="00E861B3"/>
    <w:rsid w:val="00E8630A"/>
    <w:rsid w:val="00EA12C6"/>
    <w:rsid w:val="00EB20A8"/>
    <w:rsid w:val="00EC267E"/>
    <w:rsid w:val="00EC4DD5"/>
    <w:rsid w:val="00EC5472"/>
    <w:rsid w:val="00EC65AF"/>
    <w:rsid w:val="00ED419F"/>
    <w:rsid w:val="00EE1107"/>
    <w:rsid w:val="00EE1291"/>
    <w:rsid w:val="00EE6488"/>
    <w:rsid w:val="00EF1B1B"/>
    <w:rsid w:val="00EF30D3"/>
    <w:rsid w:val="00EF43C2"/>
    <w:rsid w:val="00EF5FE2"/>
    <w:rsid w:val="00F021FA"/>
    <w:rsid w:val="00F02B8E"/>
    <w:rsid w:val="00F070F5"/>
    <w:rsid w:val="00F071DB"/>
    <w:rsid w:val="00F14CA6"/>
    <w:rsid w:val="00F15744"/>
    <w:rsid w:val="00F16CFE"/>
    <w:rsid w:val="00F21F87"/>
    <w:rsid w:val="00F22F22"/>
    <w:rsid w:val="00F22FBF"/>
    <w:rsid w:val="00F23B6A"/>
    <w:rsid w:val="00F23B80"/>
    <w:rsid w:val="00F26C20"/>
    <w:rsid w:val="00F32845"/>
    <w:rsid w:val="00F53020"/>
    <w:rsid w:val="00F56A65"/>
    <w:rsid w:val="00F60217"/>
    <w:rsid w:val="00F60D87"/>
    <w:rsid w:val="00F629DB"/>
    <w:rsid w:val="00F62E97"/>
    <w:rsid w:val="00F64209"/>
    <w:rsid w:val="00F660CB"/>
    <w:rsid w:val="00F7063C"/>
    <w:rsid w:val="00F764C3"/>
    <w:rsid w:val="00F80F88"/>
    <w:rsid w:val="00F8143D"/>
    <w:rsid w:val="00F8503B"/>
    <w:rsid w:val="00F8625E"/>
    <w:rsid w:val="00F8748A"/>
    <w:rsid w:val="00F93BF5"/>
    <w:rsid w:val="00FA54B6"/>
    <w:rsid w:val="00FA5B59"/>
    <w:rsid w:val="00FB3458"/>
    <w:rsid w:val="00FB39CB"/>
    <w:rsid w:val="00FB4615"/>
    <w:rsid w:val="00FB68A0"/>
    <w:rsid w:val="00FB7B04"/>
    <w:rsid w:val="00FC110A"/>
    <w:rsid w:val="00FC469D"/>
    <w:rsid w:val="00FC4FA1"/>
    <w:rsid w:val="00FC758F"/>
    <w:rsid w:val="00FD0E89"/>
    <w:rsid w:val="00FD0F9C"/>
    <w:rsid w:val="00FD0FDD"/>
    <w:rsid w:val="00FD2391"/>
    <w:rsid w:val="00FD7A92"/>
    <w:rsid w:val="00FE482A"/>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4B28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6B"/>
    <w:pPr>
      <w:widowControl w:val="0"/>
    </w:pPr>
    <w:rPr>
      <w:snapToGrid w:val="0"/>
      <w:kern w:val="28"/>
      <w:sz w:val="22"/>
    </w:rPr>
  </w:style>
  <w:style w:type="paragraph" w:styleId="Heading1">
    <w:name w:val="heading 1"/>
    <w:basedOn w:val="Normal"/>
    <w:next w:val="ParaNum"/>
    <w:link w:val="Heading1Char"/>
    <w:qFormat/>
    <w:rsid w:val="0067126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7126B"/>
    <w:pPr>
      <w:keepNext/>
      <w:numPr>
        <w:ilvl w:val="1"/>
        <w:numId w:val="2"/>
      </w:numPr>
      <w:spacing w:after="120"/>
      <w:outlineLvl w:val="1"/>
    </w:pPr>
    <w:rPr>
      <w:b/>
    </w:rPr>
  </w:style>
  <w:style w:type="paragraph" w:styleId="Heading3">
    <w:name w:val="heading 3"/>
    <w:basedOn w:val="Normal"/>
    <w:next w:val="ParaNum"/>
    <w:qFormat/>
    <w:rsid w:val="0067126B"/>
    <w:pPr>
      <w:keepNext/>
      <w:numPr>
        <w:ilvl w:val="2"/>
        <w:numId w:val="2"/>
      </w:numPr>
      <w:tabs>
        <w:tab w:val="left" w:pos="2160"/>
      </w:tabs>
      <w:spacing w:after="120"/>
      <w:outlineLvl w:val="2"/>
    </w:pPr>
    <w:rPr>
      <w:b/>
    </w:rPr>
  </w:style>
  <w:style w:type="paragraph" w:styleId="Heading4">
    <w:name w:val="heading 4"/>
    <w:basedOn w:val="Normal"/>
    <w:next w:val="ParaNum"/>
    <w:qFormat/>
    <w:rsid w:val="0067126B"/>
    <w:pPr>
      <w:keepNext/>
      <w:numPr>
        <w:ilvl w:val="3"/>
        <w:numId w:val="2"/>
      </w:numPr>
      <w:tabs>
        <w:tab w:val="left" w:pos="2880"/>
      </w:tabs>
      <w:spacing w:after="120"/>
      <w:outlineLvl w:val="3"/>
    </w:pPr>
    <w:rPr>
      <w:b/>
    </w:rPr>
  </w:style>
  <w:style w:type="paragraph" w:styleId="Heading5">
    <w:name w:val="heading 5"/>
    <w:basedOn w:val="Normal"/>
    <w:next w:val="ParaNum"/>
    <w:qFormat/>
    <w:rsid w:val="0067126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67126B"/>
    <w:pPr>
      <w:numPr>
        <w:ilvl w:val="5"/>
        <w:numId w:val="2"/>
      </w:numPr>
      <w:tabs>
        <w:tab w:val="left" w:pos="4320"/>
      </w:tabs>
      <w:spacing w:after="120"/>
      <w:outlineLvl w:val="5"/>
    </w:pPr>
    <w:rPr>
      <w:b/>
    </w:rPr>
  </w:style>
  <w:style w:type="paragraph" w:styleId="Heading7">
    <w:name w:val="heading 7"/>
    <w:basedOn w:val="Normal"/>
    <w:next w:val="ParaNum"/>
    <w:qFormat/>
    <w:rsid w:val="0067126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67126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67126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712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126B"/>
  </w:style>
  <w:style w:type="paragraph" w:customStyle="1" w:styleId="ParaNum">
    <w:name w:val="ParaNum"/>
    <w:basedOn w:val="Normal"/>
    <w:link w:val="ParaNumChar"/>
    <w:rsid w:val="0067126B"/>
    <w:pPr>
      <w:numPr>
        <w:numId w:val="1"/>
      </w:numPr>
      <w:tabs>
        <w:tab w:val="clear" w:pos="1080"/>
        <w:tab w:val="num" w:pos="1440"/>
      </w:tabs>
      <w:spacing w:after="120"/>
    </w:pPr>
  </w:style>
  <w:style w:type="paragraph" w:styleId="EndnoteText">
    <w:name w:val="endnote text"/>
    <w:basedOn w:val="Normal"/>
    <w:semiHidden/>
    <w:rsid w:val="0067126B"/>
    <w:rPr>
      <w:sz w:val="20"/>
    </w:rPr>
  </w:style>
  <w:style w:type="character" w:styleId="EndnoteReference">
    <w:name w:val="endnote reference"/>
    <w:semiHidden/>
    <w:rsid w:val="0067126B"/>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67126B"/>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67126B"/>
    <w:rPr>
      <w:rFonts w:ascii="Times New Roman" w:hAnsi="Times New Roman"/>
      <w:dstrike w:val="0"/>
      <w:color w:val="auto"/>
      <w:sz w:val="20"/>
      <w:vertAlign w:val="superscript"/>
    </w:rPr>
  </w:style>
  <w:style w:type="paragraph" w:styleId="TOC1">
    <w:name w:val="toc 1"/>
    <w:basedOn w:val="Normal"/>
    <w:next w:val="Normal"/>
    <w:semiHidden/>
    <w:rsid w:val="0067126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7126B"/>
    <w:pPr>
      <w:tabs>
        <w:tab w:val="left" w:pos="720"/>
        <w:tab w:val="right" w:leader="dot" w:pos="9360"/>
      </w:tabs>
      <w:suppressAutoHyphens/>
      <w:ind w:left="720" w:right="720" w:hanging="360"/>
    </w:pPr>
    <w:rPr>
      <w:noProof/>
    </w:rPr>
  </w:style>
  <w:style w:type="paragraph" w:styleId="TOC3">
    <w:name w:val="toc 3"/>
    <w:basedOn w:val="Normal"/>
    <w:next w:val="Normal"/>
    <w:semiHidden/>
    <w:rsid w:val="006712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712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712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712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712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712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7126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7126B"/>
    <w:pPr>
      <w:tabs>
        <w:tab w:val="right" w:pos="9360"/>
      </w:tabs>
      <w:suppressAutoHyphens/>
    </w:pPr>
  </w:style>
  <w:style w:type="character" w:customStyle="1" w:styleId="EquationCaption">
    <w:name w:val="_Equation Caption"/>
    <w:rsid w:val="0067126B"/>
  </w:style>
  <w:style w:type="paragraph" w:styleId="Header">
    <w:name w:val="header"/>
    <w:basedOn w:val="Normal"/>
    <w:link w:val="HeaderChar"/>
    <w:autoRedefine/>
    <w:rsid w:val="0067126B"/>
    <w:pPr>
      <w:tabs>
        <w:tab w:val="center" w:pos="4680"/>
        <w:tab w:val="right" w:pos="9360"/>
      </w:tabs>
    </w:pPr>
    <w:rPr>
      <w:b/>
    </w:rPr>
  </w:style>
  <w:style w:type="paragraph" w:styleId="Footer">
    <w:name w:val="footer"/>
    <w:basedOn w:val="Normal"/>
    <w:link w:val="FooterChar"/>
    <w:rsid w:val="0067126B"/>
    <w:pPr>
      <w:tabs>
        <w:tab w:val="center" w:pos="4320"/>
        <w:tab w:val="right" w:pos="8640"/>
      </w:tabs>
    </w:pPr>
  </w:style>
  <w:style w:type="character" w:styleId="PageNumber">
    <w:name w:val="page number"/>
    <w:basedOn w:val="DefaultParagraphFont"/>
    <w:rsid w:val="0067126B"/>
  </w:style>
  <w:style w:type="paragraph" w:styleId="BlockText">
    <w:name w:val="Block Text"/>
    <w:basedOn w:val="Normal"/>
    <w:rsid w:val="0067126B"/>
    <w:pPr>
      <w:spacing w:after="240"/>
      <w:ind w:left="1440" w:right="1440"/>
    </w:pPr>
  </w:style>
  <w:style w:type="paragraph" w:customStyle="1" w:styleId="Paratitle">
    <w:name w:val="Para title"/>
    <w:basedOn w:val="Normal"/>
    <w:rsid w:val="0067126B"/>
    <w:pPr>
      <w:tabs>
        <w:tab w:val="center" w:pos="9270"/>
      </w:tabs>
      <w:spacing w:after="240"/>
    </w:pPr>
    <w:rPr>
      <w:spacing w:val="-2"/>
    </w:rPr>
  </w:style>
  <w:style w:type="paragraph" w:customStyle="1" w:styleId="Bullet">
    <w:name w:val="Bullet"/>
    <w:basedOn w:val="Normal"/>
    <w:rsid w:val="0067126B"/>
    <w:pPr>
      <w:tabs>
        <w:tab w:val="left" w:pos="2160"/>
      </w:tabs>
      <w:spacing w:after="220"/>
      <w:ind w:left="2160" w:hanging="720"/>
    </w:pPr>
  </w:style>
  <w:style w:type="paragraph" w:customStyle="1" w:styleId="TableFormat">
    <w:name w:val="TableFormat"/>
    <w:basedOn w:val="Bullet"/>
    <w:rsid w:val="0067126B"/>
    <w:pPr>
      <w:tabs>
        <w:tab w:val="clear" w:pos="2160"/>
        <w:tab w:val="left" w:pos="5040"/>
      </w:tabs>
      <w:ind w:left="5040" w:hanging="3600"/>
    </w:pPr>
  </w:style>
  <w:style w:type="paragraph" w:customStyle="1" w:styleId="TOCTitle">
    <w:name w:val="TOC Title"/>
    <w:basedOn w:val="Normal"/>
    <w:rsid w:val="006712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7126B"/>
    <w:pPr>
      <w:jc w:val="center"/>
    </w:pPr>
    <w:rPr>
      <w:rFonts w:ascii="Times New Roman Bold" w:hAnsi="Times New Roman Bold"/>
      <w:b/>
      <w:bCs/>
      <w:caps/>
      <w:szCs w:val="22"/>
    </w:rPr>
  </w:style>
  <w:style w:type="character" w:styleId="Hyperlink">
    <w:name w:val="Hyperlink"/>
    <w:rsid w:val="0067126B"/>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8F156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8F1562"/>
    <w:pPr>
      <w:ind w:left="720"/>
    </w:pPr>
    <w:rPr>
      <w:snapToGrid/>
      <w:sz w:val="24"/>
      <w:szCs w:val="24"/>
    </w:rPr>
  </w:style>
  <w:style w:type="character" w:customStyle="1" w:styleId="par1Char">
    <w:name w:val="par1 Char"/>
    <w:link w:val="par1"/>
    <w:locked/>
    <w:rsid w:val="00BD08D2"/>
    <w:rPr>
      <w:rFonts w:asciiTheme="minorHAnsi" w:eastAsiaTheme="minorHAnsi" w:hAnsiTheme="minorHAnsi" w:cstheme="minorBidi"/>
      <w:snapToGrid w:val="0"/>
      <w:sz w:val="22"/>
      <w:szCs w:val="22"/>
    </w:rPr>
  </w:style>
  <w:style w:type="paragraph" w:styleId="BodyText">
    <w:name w:val="Body Text"/>
    <w:basedOn w:val="Normal"/>
    <w:link w:val="BodyTextChar"/>
    <w:uiPriority w:val="99"/>
    <w:rsid w:val="008F1562"/>
    <w:rPr>
      <w:b/>
      <w:snapToGrid/>
      <w:sz w:val="24"/>
      <w:u w:val="single"/>
    </w:rPr>
  </w:style>
  <w:style w:type="character" w:customStyle="1" w:styleId="BodyTextChar">
    <w:name w:val="Body Text Char"/>
    <w:basedOn w:val="DefaultParagraphFont"/>
    <w:link w:val="BodyText"/>
    <w:uiPriority w:val="99"/>
    <w:rsid w:val="00E02214"/>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uiPriority w:val="99"/>
    <w:rsid w:val="007D2615"/>
    <w:rPr>
      <w:sz w:val="16"/>
      <w:szCs w:val="16"/>
    </w:rPr>
  </w:style>
  <w:style w:type="paragraph" w:styleId="CommentText">
    <w:name w:val="annotation text"/>
    <w:basedOn w:val="Normal"/>
    <w:link w:val="CommentTextChar"/>
    <w:uiPriority w:val="99"/>
    <w:rsid w:val="007D2615"/>
    <w:rPr>
      <w:sz w:val="20"/>
    </w:rPr>
  </w:style>
  <w:style w:type="character" w:customStyle="1" w:styleId="CommentTextChar">
    <w:name w:val="Comment Text Char"/>
    <w:basedOn w:val="DefaultParagraphFont"/>
    <w:link w:val="CommentText"/>
    <w:uiPriority w:val="99"/>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styleId="PlainText">
    <w:name w:val="Plain Text"/>
    <w:basedOn w:val="Normal"/>
    <w:link w:val="PlainTextChar"/>
    <w:uiPriority w:val="99"/>
    <w:semiHidden/>
    <w:unhideWhenUsed/>
    <w:rsid w:val="00AA2529"/>
    <w:rPr>
      <w:rFonts w:ascii="Calibri" w:hAnsi="Calibri"/>
      <w:szCs w:val="21"/>
    </w:rPr>
  </w:style>
  <w:style w:type="character" w:customStyle="1" w:styleId="PlainTextChar">
    <w:name w:val="Plain Text Char"/>
    <w:basedOn w:val="DefaultParagraphFont"/>
    <w:link w:val="PlainText"/>
    <w:uiPriority w:val="99"/>
    <w:semiHidden/>
    <w:rsid w:val="009D438C"/>
    <w:rPr>
      <w:rFonts w:ascii="Calibri" w:hAnsi="Calibri"/>
      <w:snapToGrid w:val="0"/>
      <w:kern w:val="28"/>
      <w:sz w:val="22"/>
      <w:szCs w:val="21"/>
    </w:rPr>
  </w:style>
  <w:style w:type="paragraph" w:customStyle="1" w:styleId="MediumGrid21">
    <w:name w:val="Medium Grid 21"/>
    <w:uiPriority w:val="99"/>
    <w:qFormat/>
    <w:rsid w:val="00C849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6B"/>
    <w:pPr>
      <w:widowControl w:val="0"/>
    </w:pPr>
    <w:rPr>
      <w:snapToGrid w:val="0"/>
      <w:kern w:val="28"/>
      <w:sz w:val="22"/>
    </w:rPr>
  </w:style>
  <w:style w:type="paragraph" w:styleId="Heading1">
    <w:name w:val="heading 1"/>
    <w:basedOn w:val="Normal"/>
    <w:next w:val="ParaNum"/>
    <w:link w:val="Heading1Char"/>
    <w:qFormat/>
    <w:rsid w:val="0067126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7126B"/>
    <w:pPr>
      <w:keepNext/>
      <w:numPr>
        <w:ilvl w:val="1"/>
        <w:numId w:val="2"/>
      </w:numPr>
      <w:spacing w:after="120"/>
      <w:outlineLvl w:val="1"/>
    </w:pPr>
    <w:rPr>
      <w:b/>
    </w:rPr>
  </w:style>
  <w:style w:type="paragraph" w:styleId="Heading3">
    <w:name w:val="heading 3"/>
    <w:basedOn w:val="Normal"/>
    <w:next w:val="ParaNum"/>
    <w:qFormat/>
    <w:rsid w:val="0067126B"/>
    <w:pPr>
      <w:keepNext/>
      <w:numPr>
        <w:ilvl w:val="2"/>
        <w:numId w:val="2"/>
      </w:numPr>
      <w:tabs>
        <w:tab w:val="left" w:pos="2160"/>
      </w:tabs>
      <w:spacing w:after="120"/>
      <w:outlineLvl w:val="2"/>
    </w:pPr>
    <w:rPr>
      <w:b/>
    </w:rPr>
  </w:style>
  <w:style w:type="paragraph" w:styleId="Heading4">
    <w:name w:val="heading 4"/>
    <w:basedOn w:val="Normal"/>
    <w:next w:val="ParaNum"/>
    <w:qFormat/>
    <w:rsid w:val="0067126B"/>
    <w:pPr>
      <w:keepNext/>
      <w:numPr>
        <w:ilvl w:val="3"/>
        <w:numId w:val="2"/>
      </w:numPr>
      <w:tabs>
        <w:tab w:val="left" w:pos="2880"/>
      </w:tabs>
      <w:spacing w:after="120"/>
      <w:outlineLvl w:val="3"/>
    </w:pPr>
    <w:rPr>
      <w:b/>
    </w:rPr>
  </w:style>
  <w:style w:type="paragraph" w:styleId="Heading5">
    <w:name w:val="heading 5"/>
    <w:basedOn w:val="Normal"/>
    <w:next w:val="ParaNum"/>
    <w:qFormat/>
    <w:rsid w:val="0067126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67126B"/>
    <w:pPr>
      <w:numPr>
        <w:ilvl w:val="5"/>
        <w:numId w:val="2"/>
      </w:numPr>
      <w:tabs>
        <w:tab w:val="left" w:pos="4320"/>
      </w:tabs>
      <w:spacing w:after="120"/>
      <w:outlineLvl w:val="5"/>
    </w:pPr>
    <w:rPr>
      <w:b/>
    </w:rPr>
  </w:style>
  <w:style w:type="paragraph" w:styleId="Heading7">
    <w:name w:val="heading 7"/>
    <w:basedOn w:val="Normal"/>
    <w:next w:val="ParaNum"/>
    <w:qFormat/>
    <w:rsid w:val="0067126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67126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67126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712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126B"/>
  </w:style>
  <w:style w:type="paragraph" w:customStyle="1" w:styleId="ParaNum">
    <w:name w:val="ParaNum"/>
    <w:basedOn w:val="Normal"/>
    <w:link w:val="ParaNumChar"/>
    <w:rsid w:val="0067126B"/>
    <w:pPr>
      <w:numPr>
        <w:numId w:val="1"/>
      </w:numPr>
      <w:tabs>
        <w:tab w:val="clear" w:pos="1080"/>
        <w:tab w:val="num" w:pos="1440"/>
      </w:tabs>
      <w:spacing w:after="120"/>
    </w:pPr>
  </w:style>
  <w:style w:type="paragraph" w:styleId="EndnoteText">
    <w:name w:val="endnote text"/>
    <w:basedOn w:val="Normal"/>
    <w:semiHidden/>
    <w:rsid w:val="0067126B"/>
    <w:rPr>
      <w:sz w:val="20"/>
    </w:rPr>
  </w:style>
  <w:style w:type="character" w:styleId="EndnoteReference">
    <w:name w:val="endnote reference"/>
    <w:semiHidden/>
    <w:rsid w:val="0067126B"/>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67126B"/>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67126B"/>
    <w:rPr>
      <w:rFonts w:ascii="Times New Roman" w:hAnsi="Times New Roman"/>
      <w:dstrike w:val="0"/>
      <w:color w:val="auto"/>
      <w:sz w:val="20"/>
      <w:vertAlign w:val="superscript"/>
    </w:rPr>
  </w:style>
  <w:style w:type="paragraph" w:styleId="TOC1">
    <w:name w:val="toc 1"/>
    <w:basedOn w:val="Normal"/>
    <w:next w:val="Normal"/>
    <w:semiHidden/>
    <w:rsid w:val="0067126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7126B"/>
    <w:pPr>
      <w:tabs>
        <w:tab w:val="left" w:pos="720"/>
        <w:tab w:val="right" w:leader="dot" w:pos="9360"/>
      </w:tabs>
      <w:suppressAutoHyphens/>
      <w:ind w:left="720" w:right="720" w:hanging="360"/>
    </w:pPr>
    <w:rPr>
      <w:noProof/>
    </w:rPr>
  </w:style>
  <w:style w:type="paragraph" w:styleId="TOC3">
    <w:name w:val="toc 3"/>
    <w:basedOn w:val="Normal"/>
    <w:next w:val="Normal"/>
    <w:semiHidden/>
    <w:rsid w:val="006712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712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712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712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712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712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7126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7126B"/>
    <w:pPr>
      <w:tabs>
        <w:tab w:val="right" w:pos="9360"/>
      </w:tabs>
      <w:suppressAutoHyphens/>
    </w:pPr>
  </w:style>
  <w:style w:type="character" w:customStyle="1" w:styleId="EquationCaption">
    <w:name w:val="_Equation Caption"/>
    <w:rsid w:val="0067126B"/>
  </w:style>
  <w:style w:type="paragraph" w:styleId="Header">
    <w:name w:val="header"/>
    <w:basedOn w:val="Normal"/>
    <w:link w:val="HeaderChar"/>
    <w:autoRedefine/>
    <w:rsid w:val="0067126B"/>
    <w:pPr>
      <w:tabs>
        <w:tab w:val="center" w:pos="4680"/>
        <w:tab w:val="right" w:pos="9360"/>
      </w:tabs>
    </w:pPr>
    <w:rPr>
      <w:b/>
    </w:rPr>
  </w:style>
  <w:style w:type="paragraph" w:styleId="Footer">
    <w:name w:val="footer"/>
    <w:basedOn w:val="Normal"/>
    <w:link w:val="FooterChar"/>
    <w:rsid w:val="0067126B"/>
    <w:pPr>
      <w:tabs>
        <w:tab w:val="center" w:pos="4320"/>
        <w:tab w:val="right" w:pos="8640"/>
      </w:tabs>
    </w:pPr>
  </w:style>
  <w:style w:type="character" w:styleId="PageNumber">
    <w:name w:val="page number"/>
    <w:basedOn w:val="DefaultParagraphFont"/>
    <w:rsid w:val="0067126B"/>
  </w:style>
  <w:style w:type="paragraph" w:styleId="BlockText">
    <w:name w:val="Block Text"/>
    <w:basedOn w:val="Normal"/>
    <w:rsid w:val="0067126B"/>
    <w:pPr>
      <w:spacing w:after="240"/>
      <w:ind w:left="1440" w:right="1440"/>
    </w:pPr>
  </w:style>
  <w:style w:type="paragraph" w:customStyle="1" w:styleId="Paratitle">
    <w:name w:val="Para title"/>
    <w:basedOn w:val="Normal"/>
    <w:rsid w:val="0067126B"/>
    <w:pPr>
      <w:tabs>
        <w:tab w:val="center" w:pos="9270"/>
      </w:tabs>
      <w:spacing w:after="240"/>
    </w:pPr>
    <w:rPr>
      <w:spacing w:val="-2"/>
    </w:rPr>
  </w:style>
  <w:style w:type="paragraph" w:customStyle="1" w:styleId="Bullet">
    <w:name w:val="Bullet"/>
    <w:basedOn w:val="Normal"/>
    <w:rsid w:val="0067126B"/>
    <w:pPr>
      <w:tabs>
        <w:tab w:val="left" w:pos="2160"/>
      </w:tabs>
      <w:spacing w:after="220"/>
      <w:ind w:left="2160" w:hanging="720"/>
    </w:pPr>
  </w:style>
  <w:style w:type="paragraph" w:customStyle="1" w:styleId="TableFormat">
    <w:name w:val="TableFormat"/>
    <w:basedOn w:val="Bullet"/>
    <w:rsid w:val="0067126B"/>
    <w:pPr>
      <w:tabs>
        <w:tab w:val="clear" w:pos="2160"/>
        <w:tab w:val="left" w:pos="5040"/>
      </w:tabs>
      <w:ind w:left="5040" w:hanging="3600"/>
    </w:pPr>
  </w:style>
  <w:style w:type="paragraph" w:customStyle="1" w:styleId="TOCTitle">
    <w:name w:val="TOC Title"/>
    <w:basedOn w:val="Normal"/>
    <w:rsid w:val="006712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7126B"/>
    <w:pPr>
      <w:jc w:val="center"/>
    </w:pPr>
    <w:rPr>
      <w:rFonts w:ascii="Times New Roman Bold" w:hAnsi="Times New Roman Bold"/>
      <w:b/>
      <w:bCs/>
      <w:caps/>
      <w:szCs w:val="22"/>
    </w:rPr>
  </w:style>
  <w:style w:type="character" w:styleId="Hyperlink">
    <w:name w:val="Hyperlink"/>
    <w:rsid w:val="0067126B"/>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8F156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8F1562"/>
    <w:pPr>
      <w:ind w:left="720"/>
    </w:pPr>
    <w:rPr>
      <w:snapToGrid/>
      <w:sz w:val="24"/>
      <w:szCs w:val="24"/>
    </w:rPr>
  </w:style>
  <w:style w:type="character" w:customStyle="1" w:styleId="par1Char">
    <w:name w:val="par1 Char"/>
    <w:link w:val="par1"/>
    <w:locked/>
    <w:rsid w:val="00BD08D2"/>
    <w:rPr>
      <w:rFonts w:asciiTheme="minorHAnsi" w:eastAsiaTheme="minorHAnsi" w:hAnsiTheme="minorHAnsi" w:cstheme="minorBidi"/>
      <w:snapToGrid w:val="0"/>
      <w:sz w:val="22"/>
      <w:szCs w:val="22"/>
    </w:rPr>
  </w:style>
  <w:style w:type="paragraph" w:styleId="BodyText">
    <w:name w:val="Body Text"/>
    <w:basedOn w:val="Normal"/>
    <w:link w:val="BodyTextChar"/>
    <w:uiPriority w:val="99"/>
    <w:rsid w:val="008F1562"/>
    <w:rPr>
      <w:b/>
      <w:snapToGrid/>
      <w:sz w:val="24"/>
      <w:u w:val="single"/>
    </w:rPr>
  </w:style>
  <w:style w:type="character" w:customStyle="1" w:styleId="BodyTextChar">
    <w:name w:val="Body Text Char"/>
    <w:basedOn w:val="DefaultParagraphFont"/>
    <w:link w:val="BodyText"/>
    <w:uiPriority w:val="99"/>
    <w:rsid w:val="00E02214"/>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uiPriority w:val="99"/>
    <w:rsid w:val="007D2615"/>
    <w:rPr>
      <w:sz w:val="16"/>
      <w:szCs w:val="16"/>
    </w:rPr>
  </w:style>
  <w:style w:type="paragraph" w:styleId="CommentText">
    <w:name w:val="annotation text"/>
    <w:basedOn w:val="Normal"/>
    <w:link w:val="CommentTextChar"/>
    <w:uiPriority w:val="99"/>
    <w:rsid w:val="007D2615"/>
    <w:rPr>
      <w:sz w:val="20"/>
    </w:rPr>
  </w:style>
  <w:style w:type="character" w:customStyle="1" w:styleId="CommentTextChar">
    <w:name w:val="Comment Text Char"/>
    <w:basedOn w:val="DefaultParagraphFont"/>
    <w:link w:val="CommentText"/>
    <w:uiPriority w:val="99"/>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styleId="PlainText">
    <w:name w:val="Plain Text"/>
    <w:basedOn w:val="Normal"/>
    <w:link w:val="PlainTextChar"/>
    <w:uiPriority w:val="99"/>
    <w:semiHidden/>
    <w:unhideWhenUsed/>
    <w:rsid w:val="00AA2529"/>
    <w:rPr>
      <w:rFonts w:ascii="Calibri" w:hAnsi="Calibri"/>
      <w:szCs w:val="21"/>
    </w:rPr>
  </w:style>
  <w:style w:type="character" w:customStyle="1" w:styleId="PlainTextChar">
    <w:name w:val="Plain Text Char"/>
    <w:basedOn w:val="DefaultParagraphFont"/>
    <w:link w:val="PlainText"/>
    <w:uiPriority w:val="99"/>
    <w:semiHidden/>
    <w:rsid w:val="009D438C"/>
    <w:rPr>
      <w:rFonts w:ascii="Calibri" w:hAnsi="Calibri"/>
      <w:snapToGrid w:val="0"/>
      <w:kern w:val="28"/>
      <w:sz w:val="22"/>
      <w:szCs w:val="21"/>
    </w:rPr>
  </w:style>
  <w:style w:type="paragraph" w:customStyle="1" w:styleId="MediumGrid21">
    <w:name w:val="Medium Grid 21"/>
    <w:uiPriority w:val="99"/>
    <w:qFormat/>
    <w:rsid w:val="00C84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95912">
      <w:bodyDiv w:val="1"/>
      <w:marLeft w:val="0"/>
      <w:marRight w:val="0"/>
      <w:marTop w:val="0"/>
      <w:marBottom w:val="0"/>
      <w:divBdr>
        <w:top w:val="none" w:sz="0" w:space="0" w:color="auto"/>
        <w:left w:val="none" w:sz="0" w:space="0" w:color="auto"/>
        <w:bottom w:val="none" w:sz="0" w:space="0" w:color="auto"/>
        <w:right w:val="none" w:sz="0" w:space="0" w:color="auto"/>
      </w:divBdr>
    </w:div>
    <w:div w:id="1470434720">
      <w:bodyDiv w:val="1"/>
      <w:marLeft w:val="0"/>
      <w:marRight w:val="0"/>
      <w:marTop w:val="0"/>
      <w:marBottom w:val="0"/>
      <w:divBdr>
        <w:top w:val="none" w:sz="0" w:space="0" w:color="auto"/>
        <w:left w:val="none" w:sz="0" w:space="0" w:color="auto"/>
        <w:bottom w:val="none" w:sz="0" w:space="0" w:color="auto"/>
        <w:right w:val="none" w:sz="0" w:space="0" w:color="auto"/>
      </w:divBdr>
    </w:div>
    <w:div w:id="2079279208">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eal.McNeil@fcc.gov" TargetMode="External"/><Relationship Id="rId2" Type="http://schemas.openxmlformats.org/officeDocument/2006/relationships/styles" Target="styles.xml"/><Relationship Id="rId16" Type="http://schemas.openxmlformats.org/officeDocument/2006/relationships/hyperlink" Target="mailto:Paul.Noon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eal.McNeil@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ul.Noone@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5455</Words>
  <Characters>30667</Characters>
  <Application>Microsoft Office Word</Application>
  <DocSecurity>0</DocSecurity>
  <Lines>535</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2015-10-20T16:10:00Z</dcterms:created>
  <dcterms:modified xsi:type="dcterms:W3CDTF">2015-10-20T16:10:00Z</dcterms:modified>
  <cp:category> </cp:category>
  <cp:contentStatus> </cp:contentStatus>
</cp:coreProperties>
</file>