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B19C7" w14:textId="77777777" w:rsidR="00686217" w:rsidRPr="0099119A" w:rsidRDefault="00686217" w:rsidP="00686217">
      <w:pPr>
        <w:jc w:val="center"/>
        <w:rPr>
          <w:b/>
        </w:rPr>
      </w:pPr>
      <w:bookmarkStart w:id="0" w:name="_GoBack"/>
      <w:bookmarkEnd w:id="0"/>
      <w:r w:rsidRPr="0099119A">
        <w:rPr>
          <w:rFonts w:ascii="Times New Roman Bold" w:hAnsi="Times New Roman Bold"/>
          <w:b/>
          <w:kern w:val="0"/>
          <w:szCs w:val="22"/>
        </w:rPr>
        <w:t>Before</w:t>
      </w:r>
      <w:r w:rsidRPr="0099119A">
        <w:rPr>
          <w:b/>
        </w:rPr>
        <w:t xml:space="preserve"> the</w:t>
      </w:r>
    </w:p>
    <w:p w14:paraId="3AF8CF38" w14:textId="77777777" w:rsidR="00686217" w:rsidRPr="0099119A" w:rsidRDefault="00686217" w:rsidP="00686217">
      <w:pPr>
        <w:pStyle w:val="StyleBoldCentered"/>
      </w:pPr>
      <w:r w:rsidRPr="0099119A">
        <w:t>F</w:t>
      </w:r>
      <w:r w:rsidRPr="0099119A">
        <w:rPr>
          <w:caps w:val="0"/>
        </w:rPr>
        <w:t>ederal Communications Commission</w:t>
      </w:r>
    </w:p>
    <w:p w14:paraId="76326EB5" w14:textId="77777777" w:rsidR="00686217" w:rsidRPr="0099119A" w:rsidRDefault="00686217" w:rsidP="00686217">
      <w:pPr>
        <w:pStyle w:val="StyleBoldCentered"/>
      </w:pPr>
      <w:r w:rsidRPr="0099119A">
        <w:rPr>
          <w:caps w:val="0"/>
        </w:rPr>
        <w:t>Washington, D.C. 20554</w:t>
      </w:r>
    </w:p>
    <w:p w14:paraId="07CE0E04" w14:textId="77777777" w:rsidR="00686217" w:rsidRPr="0099119A" w:rsidRDefault="00686217" w:rsidP="00686217"/>
    <w:p w14:paraId="06FC7777" w14:textId="77777777" w:rsidR="00686217" w:rsidRPr="0099119A" w:rsidRDefault="00686217" w:rsidP="00686217"/>
    <w:tbl>
      <w:tblPr>
        <w:tblW w:w="0" w:type="auto"/>
        <w:tblLayout w:type="fixed"/>
        <w:tblLook w:val="0000" w:firstRow="0" w:lastRow="0" w:firstColumn="0" w:lastColumn="0" w:noHBand="0" w:noVBand="0"/>
      </w:tblPr>
      <w:tblGrid>
        <w:gridCol w:w="4698"/>
        <w:gridCol w:w="630"/>
        <w:gridCol w:w="4248"/>
      </w:tblGrid>
      <w:tr w:rsidR="00686217" w:rsidRPr="0099119A" w14:paraId="6480AE9F" w14:textId="77777777" w:rsidTr="00D1048D">
        <w:tc>
          <w:tcPr>
            <w:tcW w:w="4698" w:type="dxa"/>
          </w:tcPr>
          <w:p w14:paraId="1E7FB2B3" w14:textId="77777777" w:rsidR="00686217" w:rsidRPr="0099119A" w:rsidRDefault="00686217" w:rsidP="00D1048D">
            <w:pPr>
              <w:tabs>
                <w:tab w:val="center" w:pos="4680"/>
              </w:tabs>
              <w:suppressAutoHyphens/>
              <w:rPr>
                <w:spacing w:val="-2"/>
              </w:rPr>
            </w:pPr>
            <w:r w:rsidRPr="0099119A">
              <w:rPr>
                <w:spacing w:val="-2"/>
              </w:rPr>
              <w:t>In the Matter of</w:t>
            </w:r>
          </w:p>
          <w:p w14:paraId="23F745C9" w14:textId="77777777" w:rsidR="00686217" w:rsidRPr="0099119A" w:rsidRDefault="00686217" w:rsidP="00D1048D">
            <w:pPr>
              <w:tabs>
                <w:tab w:val="center" w:pos="4680"/>
              </w:tabs>
              <w:suppressAutoHyphens/>
              <w:rPr>
                <w:spacing w:val="-2"/>
              </w:rPr>
            </w:pPr>
          </w:p>
          <w:p w14:paraId="603CF1CE" w14:textId="77777777" w:rsidR="00686217" w:rsidRPr="0099119A" w:rsidRDefault="00686217" w:rsidP="00686217">
            <w:pPr>
              <w:tabs>
                <w:tab w:val="center" w:pos="4680"/>
              </w:tabs>
              <w:suppressAutoHyphens/>
              <w:rPr>
                <w:spacing w:val="-2"/>
              </w:rPr>
            </w:pPr>
            <w:r w:rsidRPr="0099119A">
              <w:rPr>
                <w:spacing w:val="-2"/>
              </w:rPr>
              <w:t>AT&amp;T Mobile Services, Inc.</w:t>
            </w:r>
          </w:p>
          <w:p w14:paraId="1D15581C" w14:textId="77777777" w:rsidR="00686217" w:rsidRPr="0099119A" w:rsidRDefault="00686217" w:rsidP="00686217">
            <w:pPr>
              <w:tabs>
                <w:tab w:val="center" w:pos="4680"/>
              </w:tabs>
              <w:suppressAutoHyphens/>
              <w:rPr>
                <w:spacing w:val="-2"/>
              </w:rPr>
            </w:pPr>
            <w:r w:rsidRPr="0099119A">
              <w:rPr>
                <w:spacing w:val="-2"/>
              </w:rPr>
              <w:t>Construction of Tower</w:t>
            </w:r>
          </w:p>
          <w:p w14:paraId="56E1EFB4" w14:textId="77777777" w:rsidR="00686217" w:rsidRPr="0099119A" w:rsidRDefault="00686217" w:rsidP="00686217">
            <w:pPr>
              <w:tabs>
                <w:tab w:val="center" w:pos="4680"/>
              </w:tabs>
              <w:suppressAutoHyphens/>
              <w:rPr>
                <w:spacing w:val="-2"/>
              </w:rPr>
            </w:pPr>
            <w:r w:rsidRPr="0099119A">
              <w:rPr>
                <w:spacing w:val="-2"/>
              </w:rPr>
              <w:t>Fort Ransom, North Dakota</w:t>
            </w:r>
          </w:p>
          <w:p w14:paraId="34B5BBCF" w14:textId="77777777" w:rsidR="00686217" w:rsidRPr="0099119A" w:rsidRDefault="00686217" w:rsidP="00686217">
            <w:pPr>
              <w:tabs>
                <w:tab w:val="center" w:pos="4680"/>
              </w:tabs>
              <w:suppressAutoHyphens/>
              <w:rPr>
                <w:spacing w:val="-2"/>
              </w:rPr>
            </w:pPr>
          </w:p>
          <w:p w14:paraId="3AF2D1DC" w14:textId="77777777" w:rsidR="00686217" w:rsidRPr="0099119A" w:rsidRDefault="00686217" w:rsidP="00686217">
            <w:pPr>
              <w:tabs>
                <w:tab w:val="center" w:pos="4680"/>
              </w:tabs>
              <w:suppressAutoHyphens/>
              <w:rPr>
                <w:spacing w:val="-2"/>
              </w:rPr>
            </w:pPr>
            <w:r w:rsidRPr="0099119A">
              <w:rPr>
                <w:spacing w:val="-2"/>
              </w:rPr>
              <w:t>Complaints of the Sheyenne River Valley National Scenic Byway, Don Busta, Judith L. Morris, and the North Country Trail Association</w:t>
            </w:r>
          </w:p>
        </w:tc>
        <w:tc>
          <w:tcPr>
            <w:tcW w:w="630" w:type="dxa"/>
          </w:tcPr>
          <w:p w14:paraId="1069C0B6" w14:textId="77777777" w:rsidR="00686217" w:rsidRPr="0099119A" w:rsidRDefault="00686217" w:rsidP="00D1048D">
            <w:pPr>
              <w:tabs>
                <w:tab w:val="center" w:pos="4680"/>
              </w:tabs>
              <w:suppressAutoHyphens/>
              <w:rPr>
                <w:b/>
                <w:spacing w:val="-2"/>
              </w:rPr>
            </w:pPr>
            <w:r w:rsidRPr="0099119A">
              <w:rPr>
                <w:b/>
                <w:spacing w:val="-2"/>
              </w:rPr>
              <w:t>)</w:t>
            </w:r>
          </w:p>
          <w:p w14:paraId="4412CD26" w14:textId="77777777" w:rsidR="00686217" w:rsidRPr="0099119A" w:rsidRDefault="00686217" w:rsidP="00D1048D">
            <w:pPr>
              <w:tabs>
                <w:tab w:val="center" w:pos="4680"/>
              </w:tabs>
              <w:suppressAutoHyphens/>
              <w:rPr>
                <w:b/>
                <w:spacing w:val="-2"/>
              </w:rPr>
            </w:pPr>
            <w:r w:rsidRPr="0099119A">
              <w:rPr>
                <w:b/>
                <w:spacing w:val="-2"/>
              </w:rPr>
              <w:t>)</w:t>
            </w:r>
          </w:p>
          <w:p w14:paraId="20550C24" w14:textId="77777777" w:rsidR="00686217" w:rsidRPr="0099119A" w:rsidRDefault="00686217" w:rsidP="00D1048D">
            <w:pPr>
              <w:tabs>
                <w:tab w:val="center" w:pos="4680"/>
              </w:tabs>
              <w:suppressAutoHyphens/>
              <w:rPr>
                <w:b/>
                <w:spacing w:val="-2"/>
              </w:rPr>
            </w:pPr>
            <w:r w:rsidRPr="0099119A">
              <w:rPr>
                <w:b/>
                <w:spacing w:val="-2"/>
              </w:rPr>
              <w:t>)</w:t>
            </w:r>
          </w:p>
          <w:p w14:paraId="79BF72AD" w14:textId="77777777" w:rsidR="00686217" w:rsidRPr="0099119A" w:rsidRDefault="00686217" w:rsidP="00D1048D">
            <w:pPr>
              <w:tabs>
                <w:tab w:val="center" w:pos="4680"/>
              </w:tabs>
              <w:suppressAutoHyphens/>
              <w:rPr>
                <w:b/>
                <w:spacing w:val="-2"/>
              </w:rPr>
            </w:pPr>
            <w:r w:rsidRPr="0099119A">
              <w:rPr>
                <w:b/>
                <w:spacing w:val="-2"/>
              </w:rPr>
              <w:t>)</w:t>
            </w:r>
          </w:p>
          <w:p w14:paraId="409F607E" w14:textId="77777777" w:rsidR="00686217" w:rsidRPr="0099119A" w:rsidRDefault="00686217" w:rsidP="00D1048D">
            <w:pPr>
              <w:tabs>
                <w:tab w:val="center" w:pos="4680"/>
              </w:tabs>
              <w:suppressAutoHyphens/>
              <w:rPr>
                <w:b/>
                <w:spacing w:val="-2"/>
              </w:rPr>
            </w:pPr>
            <w:r w:rsidRPr="0099119A">
              <w:rPr>
                <w:b/>
                <w:spacing w:val="-2"/>
              </w:rPr>
              <w:t>)</w:t>
            </w:r>
          </w:p>
          <w:p w14:paraId="3D458F2D" w14:textId="77777777" w:rsidR="00686217" w:rsidRPr="0099119A" w:rsidRDefault="00686217" w:rsidP="00D1048D">
            <w:pPr>
              <w:tabs>
                <w:tab w:val="center" w:pos="4680"/>
              </w:tabs>
              <w:suppressAutoHyphens/>
              <w:rPr>
                <w:b/>
                <w:spacing w:val="-2"/>
              </w:rPr>
            </w:pPr>
            <w:r w:rsidRPr="0099119A">
              <w:rPr>
                <w:b/>
                <w:spacing w:val="-2"/>
              </w:rPr>
              <w:t>)</w:t>
            </w:r>
          </w:p>
          <w:p w14:paraId="30927D2D" w14:textId="77777777" w:rsidR="00686217" w:rsidRPr="0099119A" w:rsidRDefault="00686217" w:rsidP="00D1048D">
            <w:pPr>
              <w:tabs>
                <w:tab w:val="center" w:pos="4680"/>
              </w:tabs>
              <w:suppressAutoHyphens/>
              <w:rPr>
                <w:b/>
                <w:spacing w:val="-2"/>
              </w:rPr>
            </w:pPr>
            <w:r w:rsidRPr="0099119A">
              <w:rPr>
                <w:b/>
                <w:spacing w:val="-2"/>
              </w:rPr>
              <w:t>)</w:t>
            </w:r>
          </w:p>
          <w:p w14:paraId="7ED8FA4A" w14:textId="77777777" w:rsidR="00686217" w:rsidRPr="0099119A" w:rsidRDefault="00686217" w:rsidP="00D1048D">
            <w:pPr>
              <w:tabs>
                <w:tab w:val="center" w:pos="4680"/>
              </w:tabs>
              <w:suppressAutoHyphens/>
              <w:rPr>
                <w:b/>
                <w:spacing w:val="-2"/>
              </w:rPr>
            </w:pPr>
            <w:r w:rsidRPr="0099119A">
              <w:rPr>
                <w:b/>
                <w:spacing w:val="-2"/>
              </w:rPr>
              <w:t>)</w:t>
            </w:r>
          </w:p>
          <w:p w14:paraId="6506EC01" w14:textId="77777777" w:rsidR="00686217" w:rsidRPr="0099119A" w:rsidRDefault="00686217" w:rsidP="00D1048D">
            <w:pPr>
              <w:tabs>
                <w:tab w:val="center" w:pos="4680"/>
              </w:tabs>
              <w:suppressAutoHyphens/>
              <w:rPr>
                <w:spacing w:val="-2"/>
              </w:rPr>
            </w:pPr>
            <w:r w:rsidRPr="0099119A">
              <w:rPr>
                <w:b/>
                <w:spacing w:val="-2"/>
              </w:rPr>
              <w:t>)</w:t>
            </w:r>
          </w:p>
        </w:tc>
        <w:tc>
          <w:tcPr>
            <w:tcW w:w="4248" w:type="dxa"/>
          </w:tcPr>
          <w:p w14:paraId="5598DDC5" w14:textId="77777777" w:rsidR="00686217" w:rsidRPr="0099119A" w:rsidRDefault="00686217" w:rsidP="00D1048D">
            <w:pPr>
              <w:tabs>
                <w:tab w:val="center" w:pos="4680"/>
              </w:tabs>
              <w:suppressAutoHyphens/>
              <w:rPr>
                <w:spacing w:val="-2"/>
              </w:rPr>
            </w:pPr>
          </w:p>
        </w:tc>
      </w:tr>
    </w:tbl>
    <w:p w14:paraId="37B804B8" w14:textId="77777777" w:rsidR="00686217" w:rsidRPr="0099119A" w:rsidRDefault="00686217" w:rsidP="00686217"/>
    <w:p w14:paraId="2999E375" w14:textId="77777777" w:rsidR="00686217" w:rsidRPr="0099119A" w:rsidRDefault="001F145E" w:rsidP="00686217">
      <w:pPr>
        <w:pStyle w:val="StyleBoldCentered"/>
      </w:pPr>
      <w:r w:rsidRPr="0099119A">
        <w:t>MEMORandum opinion and order</w:t>
      </w:r>
    </w:p>
    <w:p w14:paraId="0FB7C677" w14:textId="77777777" w:rsidR="00686217" w:rsidRPr="0099119A" w:rsidRDefault="00686217" w:rsidP="00686217">
      <w:pPr>
        <w:tabs>
          <w:tab w:val="left" w:pos="-720"/>
        </w:tabs>
        <w:suppressAutoHyphens/>
        <w:spacing w:line="227" w:lineRule="auto"/>
        <w:rPr>
          <w:spacing w:val="-2"/>
        </w:rPr>
      </w:pPr>
    </w:p>
    <w:p w14:paraId="1845773C" w14:textId="79DD5BBC" w:rsidR="00686217" w:rsidRPr="0099119A" w:rsidRDefault="00686217" w:rsidP="00686217">
      <w:pPr>
        <w:tabs>
          <w:tab w:val="left" w:pos="720"/>
          <w:tab w:val="right" w:pos="9360"/>
        </w:tabs>
        <w:suppressAutoHyphens/>
        <w:spacing w:line="227" w:lineRule="auto"/>
        <w:rPr>
          <w:spacing w:val="-2"/>
        </w:rPr>
      </w:pPr>
      <w:r w:rsidRPr="0099119A">
        <w:rPr>
          <w:b/>
          <w:spacing w:val="-2"/>
        </w:rPr>
        <w:t xml:space="preserve">Adopted:  </w:t>
      </w:r>
      <w:r w:rsidR="000F7680">
        <w:rPr>
          <w:b/>
          <w:spacing w:val="-2"/>
        </w:rPr>
        <w:t>October, 15, 2015</w:t>
      </w:r>
      <w:r w:rsidRPr="0099119A">
        <w:rPr>
          <w:b/>
          <w:spacing w:val="-2"/>
        </w:rPr>
        <w:tab/>
        <w:t xml:space="preserve">Released:  </w:t>
      </w:r>
      <w:r w:rsidR="000F7680">
        <w:rPr>
          <w:b/>
          <w:spacing w:val="-2"/>
        </w:rPr>
        <w:t>October 15, 2015</w:t>
      </w:r>
    </w:p>
    <w:p w14:paraId="3BFBEE85" w14:textId="77777777" w:rsidR="00686217" w:rsidRPr="0099119A" w:rsidRDefault="00686217" w:rsidP="00686217"/>
    <w:p w14:paraId="4AFA4739" w14:textId="77777777" w:rsidR="00686217" w:rsidRPr="0099119A" w:rsidRDefault="00686217" w:rsidP="00686217">
      <w:pPr>
        <w:rPr>
          <w:spacing w:val="-2"/>
        </w:rPr>
      </w:pPr>
      <w:r w:rsidRPr="0099119A">
        <w:t>By the Deputy Chief, Competition and Infrastructure Policy Division, Wireless Telecommunications Bureau</w:t>
      </w:r>
    </w:p>
    <w:p w14:paraId="187A2B50" w14:textId="644E8E49" w:rsidR="00686217" w:rsidRDefault="000F7680" w:rsidP="000F7680">
      <w:pPr>
        <w:pStyle w:val="TOCTitle"/>
      </w:pPr>
      <w:bookmarkStart w:id="1" w:name="TOChere"/>
      <w:r>
        <w:t>Table of Contents</w:t>
      </w:r>
    </w:p>
    <w:p w14:paraId="34B575DD" w14:textId="69FE70C8" w:rsidR="000F7680" w:rsidRDefault="000F7680" w:rsidP="000F7680">
      <w:pPr>
        <w:pStyle w:val="Paratitle"/>
      </w:pPr>
      <w:r>
        <w:t>Heading</w:t>
      </w:r>
      <w:r>
        <w:tab/>
        <w:t>Paragraph #</w:t>
      </w:r>
      <w:bookmarkStart w:id="2" w:name="start_here"/>
      <w:bookmarkEnd w:id="2"/>
    </w:p>
    <w:p w14:paraId="4E80FEFF" w14:textId="1716C769" w:rsidR="000F7680" w:rsidRDefault="000F7680" w:rsidP="000F7680">
      <w:pPr>
        <w:pStyle w:val="TOC1"/>
        <w:rPr>
          <w:rFonts w:asciiTheme="minorHAnsi" w:eastAsiaTheme="minorEastAsia" w:hAnsiTheme="minorHAnsi" w:cstheme="minorBidi"/>
          <w:caps w:val="0"/>
          <w:snapToGrid/>
          <w:kern w:val="0"/>
          <w:szCs w:val="22"/>
        </w:rPr>
      </w:pPr>
      <w:r w:rsidRPr="00CB217F">
        <w:t>I.</w:t>
      </w:r>
      <w:r>
        <w:rPr>
          <w:rFonts w:asciiTheme="minorHAnsi" w:eastAsiaTheme="minorEastAsia" w:hAnsiTheme="minorHAnsi" w:cstheme="minorBidi"/>
          <w:caps w:val="0"/>
          <w:snapToGrid/>
          <w:kern w:val="0"/>
          <w:szCs w:val="22"/>
        </w:rPr>
        <w:tab/>
      </w:r>
      <w:r w:rsidRPr="00CB217F">
        <w:t>introduction</w:t>
      </w:r>
      <w:r>
        <w:tab/>
        <w:t>1</w:t>
      </w:r>
    </w:p>
    <w:p w14:paraId="45C35700" w14:textId="5B4B7ECD" w:rsidR="000F7680" w:rsidRDefault="000F7680" w:rsidP="000F7680">
      <w:pPr>
        <w:pStyle w:val="TOC1"/>
        <w:rPr>
          <w:rFonts w:asciiTheme="minorHAnsi" w:eastAsiaTheme="minorEastAsia" w:hAnsiTheme="minorHAnsi" w:cstheme="minorBidi"/>
          <w:caps w:val="0"/>
          <w:snapToGrid/>
          <w:kern w:val="0"/>
          <w:szCs w:val="22"/>
        </w:rPr>
      </w:pPr>
      <w:r w:rsidRPr="00CB217F">
        <w:t>II.</w:t>
      </w:r>
      <w:r>
        <w:rPr>
          <w:rFonts w:asciiTheme="minorHAnsi" w:eastAsiaTheme="minorEastAsia" w:hAnsiTheme="minorHAnsi" w:cstheme="minorBidi"/>
          <w:caps w:val="0"/>
          <w:snapToGrid/>
          <w:kern w:val="0"/>
          <w:szCs w:val="22"/>
        </w:rPr>
        <w:tab/>
      </w:r>
      <w:r w:rsidRPr="00CB217F">
        <w:t>background</w:t>
      </w:r>
      <w:r>
        <w:tab/>
        <w:t>2</w:t>
      </w:r>
    </w:p>
    <w:p w14:paraId="71ED7716" w14:textId="424F6F08" w:rsidR="000F7680" w:rsidRDefault="000F7680" w:rsidP="000F7680">
      <w:pPr>
        <w:pStyle w:val="TOC1"/>
        <w:rPr>
          <w:rFonts w:asciiTheme="minorHAnsi" w:eastAsiaTheme="minorEastAsia" w:hAnsiTheme="minorHAnsi" w:cstheme="minorBidi"/>
          <w:caps w:val="0"/>
          <w:snapToGrid/>
          <w:kern w:val="0"/>
          <w:szCs w:val="22"/>
        </w:rPr>
      </w:pPr>
      <w:r w:rsidRPr="00CB217F">
        <w:t>III.</w:t>
      </w:r>
      <w:r>
        <w:rPr>
          <w:rFonts w:asciiTheme="minorHAnsi" w:eastAsiaTheme="minorEastAsia" w:hAnsiTheme="minorHAnsi" w:cstheme="minorBidi"/>
          <w:caps w:val="0"/>
          <w:snapToGrid/>
          <w:kern w:val="0"/>
          <w:szCs w:val="22"/>
        </w:rPr>
        <w:tab/>
      </w:r>
      <w:r w:rsidRPr="00CB217F">
        <w:t>discussion</w:t>
      </w:r>
      <w:r>
        <w:tab/>
        <w:t>8</w:t>
      </w:r>
    </w:p>
    <w:p w14:paraId="3DFE69E6" w14:textId="2FAA0895" w:rsidR="000F7680" w:rsidRDefault="000F7680" w:rsidP="000F7680">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Notice of the Proposed Tower</w:t>
      </w:r>
      <w:r>
        <w:tab/>
        <w:t>10</w:t>
      </w:r>
    </w:p>
    <w:p w14:paraId="64316D67" w14:textId="3BDB81BA" w:rsidR="000F7680" w:rsidRDefault="000F7680" w:rsidP="000F7680">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Section 106 Review</w:t>
      </w:r>
      <w:r>
        <w:tab/>
        <w:t>18</w:t>
      </w:r>
    </w:p>
    <w:p w14:paraId="573EE1E2" w14:textId="0172AEFA" w:rsidR="000F7680" w:rsidRDefault="000F7680" w:rsidP="000F7680">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Environmental Review</w:t>
      </w:r>
      <w:r>
        <w:tab/>
        <w:t>23</w:t>
      </w:r>
    </w:p>
    <w:p w14:paraId="226C704C" w14:textId="1C70CA47" w:rsidR="000F7680" w:rsidRDefault="000F7680" w:rsidP="000F7680">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Local Building Permit Process</w:t>
      </w:r>
      <w:r>
        <w:tab/>
        <w:t>29</w:t>
      </w:r>
    </w:p>
    <w:p w14:paraId="351CDB3E" w14:textId="0D73A8CD" w:rsidR="000F7680" w:rsidRDefault="000F7680" w:rsidP="000F7680">
      <w:pPr>
        <w:pStyle w:val="TOC1"/>
        <w:rPr>
          <w:rFonts w:asciiTheme="minorHAnsi" w:eastAsiaTheme="minorEastAsia" w:hAnsiTheme="minorHAnsi" w:cstheme="minorBidi"/>
          <w:caps w:val="0"/>
          <w:snapToGrid/>
          <w:kern w:val="0"/>
          <w:szCs w:val="22"/>
        </w:rPr>
      </w:pPr>
      <w:r w:rsidRPr="00CB217F">
        <w:t>IV.</w:t>
      </w:r>
      <w:r>
        <w:rPr>
          <w:rFonts w:asciiTheme="minorHAnsi" w:eastAsiaTheme="minorEastAsia" w:hAnsiTheme="minorHAnsi" w:cstheme="minorBidi"/>
          <w:caps w:val="0"/>
          <w:snapToGrid/>
          <w:kern w:val="0"/>
          <w:szCs w:val="22"/>
        </w:rPr>
        <w:tab/>
      </w:r>
      <w:r w:rsidRPr="00CB217F">
        <w:t>Conclusion</w:t>
      </w:r>
      <w:r>
        <w:tab/>
        <w:t>30</w:t>
      </w:r>
    </w:p>
    <w:p w14:paraId="2F13A5E0" w14:textId="73F4D046" w:rsidR="000F7680" w:rsidRDefault="000F7680" w:rsidP="000F7680">
      <w:pPr>
        <w:pStyle w:val="TOC1"/>
        <w:rPr>
          <w:rFonts w:asciiTheme="minorHAnsi" w:eastAsiaTheme="minorEastAsia" w:hAnsiTheme="minorHAnsi" w:cstheme="minorBidi"/>
          <w:caps w:val="0"/>
          <w:snapToGrid/>
          <w:kern w:val="0"/>
          <w:szCs w:val="22"/>
        </w:rPr>
      </w:pPr>
      <w:r w:rsidRPr="00CB217F">
        <w:t>V.</w:t>
      </w:r>
      <w:r>
        <w:rPr>
          <w:rFonts w:asciiTheme="minorHAnsi" w:eastAsiaTheme="minorEastAsia" w:hAnsiTheme="minorHAnsi" w:cstheme="minorBidi"/>
          <w:caps w:val="0"/>
          <w:snapToGrid/>
          <w:kern w:val="0"/>
          <w:szCs w:val="22"/>
        </w:rPr>
        <w:tab/>
      </w:r>
      <w:r w:rsidRPr="00CB217F">
        <w:t>ordering clauseS</w:t>
      </w:r>
      <w:r>
        <w:tab/>
        <w:t>31</w:t>
      </w:r>
    </w:p>
    <w:bookmarkEnd w:id="1"/>
    <w:p w14:paraId="12B5B090" w14:textId="77777777" w:rsidR="000F7680" w:rsidRPr="0099119A" w:rsidRDefault="000F7680" w:rsidP="009B1818">
      <w:pPr>
        <w:pStyle w:val="ParaNum"/>
        <w:numPr>
          <w:ilvl w:val="0"/>
          <w:numId w:val="0"/>
        </w:numPr>
        <w:ind w:left="720"/>
        <w:rPr>
          <w:szCs w:val="22"/>
        </w:rPr>
      </w:pPr>
    </w:p>
    <w:p w14:paraId="21DC5C21" w14:textId="77777777" w:rsidR="009B1818" w:rsidRPr="0099119A" w:rsidRDefault="009B1818" w:rsidP="009B1818">
      <w:pPr>
        <w:pStyle w:val="Heading1"/>
        <w:rPr>
          <w:rFonts w:ascii="Times New Roman" w:hAnsi="Times New Roman"/>
          <w:szCs w:val="22"/>
        </w:rPr>
      </w:pPr>
      <w:bookmarkStart w:id="3" w:name="_Toc397522244"/>
      <w:bookmarkStart w:id="4" w:name="_Toc398286612"/>
      <w:bookmarkStart w:id="5" w:name="_Toc399314884"/>
      <w:bookmarkStart w:id="6" w:name="_Toc399481017"/>
      <w:bookmarkStart w:id="7" w:name="_Toc399497948"/>
      <w:bookmarkStart w:id="8" w:name="_Toc399498041"/>
      <w:bookmarkStart w:id="9" w:name="_Toc399506543"/>
      <w:bookmarkStart w:id="10" w:name="_Toc399759268"/>
      <w:bookmarkStart w:id="11" w:name="_Toc399762848"/>
      <w:bookmarkStart w:id="12" w:name="_Toc399763305"/>
      <w:bookmarkStart w:id="13" w:name="_Toc399763361"/>
      <w:bookmarkStart w:id="14" w:name="_Toc399764454"/>
      <w:bookmarkStart w:id="15" w:name="_Toc400115802"/>
      <w:bookmarkStart w:id="16" w:name="_Toc431475791"/>
      <w:bookmarkStart w:id="17" w:name="_Toc432664617"/>
      <w:r w:rsidRPr="0099119A">
        <w:rPr>
          <w:rFonts w:ascii="Times New Roman" w:hAnsi="Times New Roman"/>
          <w:szCs w:val="22"/>
        </w:rPr>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1DC71D15" w14:textId="77777777" w:rsidR="005C54C8" w:rsidRPr="0099119A" w:rsidRDefault="00F47CFC" w:rsidP="00E855E5">
      <w:pPr>
        <w:pStyle w:val="ParaNum"/>
        <w:rPr>
          <w:b/>
        </w:rPr>
      </w:pPr>
      <w:r w:rsidRPr="0099119A">
        <w:t>Several</w:t>
      </w:r>
      <w:r w:rsidR="00CE2C46" w:rsidRPr="0099119A">
        <w:t xml:space="preserve"> </w:t>
      </w:r>
      <w:r w:rsidR="00073CA2" w:rsidRPr="0099119A">
        <w:t>parties</w:t>
      </w:r>
      <w:r w:rsidRPr="0099119A">
        <w:t xml:space="preserve"> have</w:t>
      </w:r>
      <w:r w:rsidR="00073CA2" w:rsidRPr="0099119A">
        <w:t xml:space="preserve"> filed complaints alleging that AT&amp;T </w:t>
      </w:r>
      <w:r w:rsidR="00203464" w:rsidRPr="0099119A">
        <w:t>Mobility Services, Inc. (AT&amp;T)</w:t>
      </w:r>
      <w:r w:rsidR="00073CA2" w:rsidRPr="0099119A">
        <w:t xml:space="preserve"> failed to comply with the Commission’s </w:t>
      </w:r>
      <w:r w:rsidR="00AE72DE" w:rsidRPr="0099119A">
        <w:t>environmental</w:t>
      </w:r>
      <w:r w:rsidRPr="0099119A">
        <w:t xml:space="preserve"> and</w:t>
      </w:r>
      <w:r w:rsidR="00181F5B" w:rsidRPr="0099119A">
        <w:t xml:space="preserve"> </w:t>
      </w:r>
      <w:r w:rsidR="00D26681" w:rsidRPr="0099119A">
        <w:t>historic preservation</w:t>
      </w:r>
      <w:r w:rsidR="000215E3" w:rsidRPr="0099119A">
        <w:t xml:space="preserve"> </w:t>
      </w:r>
      <w:r w:rsidRPr="0099119A">
        <w:t>review</w:t>
      </w:r>
      <w:r w:rsidR="00AE72DE" w:rsidRPr="0099119A">
        <w:t xml:space="preserve"> </w:t>
      </w:r>
      <w:r w:rsidR="006A76F5" w:rsidRPr="0099119A">
        <w:t>requirements</w:t>
      </w:r>
      <w:r w:rsidR="00073CA2" w:rsidRPr="0099119A">
        <w:t xml:space="preserve"> in connection with a tower constructed in late 2012</w:t>
      </w:r>
      <w:r w:rsidR="00CD3E87" w:rsidRPr="0099119A">
        <w:t xml:space="preserve"> in</w:t>
      </w:r>
      <w:r w:rsidR="00073CA2" w:rsidRPr="0099119A">
        <w:t xml:space="preserve"> Fo</w:t>
      </w:r>
      <w:r w:rsidR="006C733A" w:rsidRPr="0099119A">
        <w:t>rt Ransom, North Dakota (</w:t>
      </w:r>
      <w:r w:rsidR="006A76F5" w:rsidRPr="0099119A">
        <w:t xml:space="preserve">Fort </w:t>
      </w:r>
      <w:r w:rsidR="006C733A" w:rsidRPr="0099119A">
        <w:t xml:space="preserve">Ransom </w:t>
      </w:r>
      <w:r w:rsidR="00073CA2" w:rsidRPr="0099119A">
        <w:t>Tower).  The Competition</w:t>
      </w:r>
      <w:r w:rsidRPr="0099119A">
        <w:t xml:space="preserve"> and Infrastructure</w:t>
      </w:r>
      <w:r w:rsidR="00073CA2" w:rsidRPr="0099119A">
        <w:t xml:space="preserve"> Policy Division of the Wireless Telecommunications Bureau</w:t>
      </w:r>
      <w:r w:rsidR="00CE2C46" w:rsidRPr="0099119A">
        <w:t xml:space="preserve"> (Division)</w:t>
      </w:r>
      <w:r w:rsidRPr="0099119A">
        <w:rPr>
          <w:rStyle w:val="FootnoteReference"/>
        </w:rPr>
        <w:footnoteReference w:id="2"/>
      </w:r>
      <w:r w:rsidR="00073CA2" w:rsidRPr="0099119A">
        <w:t xml:space="preserve"> has reviewed the complaints and the responsive pleadings</w:t>
      </w:r>
      <w:r w:rsidR="00CE2C46" w:rsidRPr="0099119A">
        <w:t xml:space="preserve"> and, as explained below</w:t>
      </w:r>
      <w:r w:rsidR="00AE72DE" w:rsidRPr="0099119A">
        <w:t>,</w:t>
      </w:r>
      <w:r w:rsidR="00CE2C46" w:rsidRPr="0099119A">
        <w:t xml:space="preserve"> </w:t>
      </w:r>
      <w:r w:rsidR="004E63D9" w:rsidRPr="0099119A">
        <w:t xml:space="preserve">finds that the </w:t>
      </w:r>
      <w:r w:rsidR="00715BD5" w:rsidRPr="0099119A">
        <w:t xml:space="preserve">Fort </w:t>
      </w:r>
      <w:r w:rsidR="004E63D9" w:rsidRPr="0099119A">
        <w:t xml:space="preserve">Ransom Tower </w:t>
      </w:r>
      <w:r w:rsidR="00F346BE" w:rsidRPr="0099119A">
        <w:t>was correctly determined under the Commission’s procedures to</w:t>
      </w:r>
      <w:r w:rsidR="004E63D9" w:rsidRPr="0099119A">
        <w:t xml:space="preserve"> have no </w:t>
      </w:r>
      <w:r w:rsidR="00E1732E" w:rsidRPr="0099119A">
        <w:t xml:space="preserve">significant environmental impact and no </w:t>
      </w:r>
      <w:r w:rsidR="00FC32BC" w:rsidRPr="0099119A">
        <w:t xml:space="preserve">adverse </w:t>
      </w:r>
      <w:r w:rsidR="00715BD5" w:rsidRPr="0099119A">
        <w:t>effects on</w:t>
      </w:r>
      <w:r w:rsidR="004E63D9" w:rsidRPr="0099119A">
        <w:t xml:space="preserve"> historic properties</w:t>
      </w:r>
      <w:r w:rsidR="00AB5210" w:rsidRPr="0099119A">
        <w:t xml:space="preserve">.  </w:t>
      </w:r>
      <w:r w:rsidR="00ED7D05" w:rsidRPr="0099119A">
        <w:t>Therefore, the Division</w:t>
      </w:r>
      <w:r w:rsidR="00F346BE" w:rsidRPr="0099119A">
        <w:t xml:space="preserve"> dismisses in part and</w:t>
      </w:r>
      <w:r w:rsidR="00ED7D05" w:rsidRPr="0099119A">
        <w:t xml:space="preserve"> denies</w:t>
      </w:r>
      <w:r w:rsidR="00F346BE" w:rsidRPr="0099119A">
        <w:t xml:space="preserve"> in part</w:t>
      </w:r>
      <w:r w:rsidR="00ED7D05" w:rsidRPr="0099119A">
        <w:t xml:space="preserve"> the complaints</w:t>
      </w:r>
      <w:r w:rsidR="00F346BE" w:rsidRPr="0099119A">
        <w:t>.  The Di</w:t>
      </w:r>
      <w:r w:rsidR="003A1A69" w:rsidRPr="0099119A">
        <w:t xml:space="preserve">vision notes, however, that AT&amp;T failed to adhere fully to all procedural requirements in conducting its review.  While these </w:t>
      </w:r>
      <w:r w:rsidR="003A1A69" w:rsidRPr="0099119A">
        <w:lastRenderedPageBreak/>
        <w:t xml:space="preserve">procedural defects </w:t>
      </w:r>
      <w:r w:rsidR="00041576" w:rsidRPr="0099119A">
        <w:t>a</w:t>
      </w:r>
      <w:r w:rsidR="003A1A69" w:rsidRPr="0099119A">
        <w:t>re immaterial to the outcome under the facts of this case, the Division</w:t>
      </w:r>
      <w:r w:rsidR="00ED7D05" w:rsidRPr="0099119A">
        <w:t xml:space="preserve"> advises AT&amp;T and all other </w:t>
      </w:r>
      <w:r w:rsidR="00FD4FCD" w:rsidRPr="0099119A">
        <w:t>applicants</w:t>
      </w:r>
      <w:r w:rsidR="00715BD5" w:rsidRPr="0099119A">
        <w:t xml:space="preserve"> that they are responsible for ensuring</w:t>
      </w:r>
      <w:r w:rsidR="00FD4FCD" w:rsidRPr="0099119A">
        <w:t xml:space="preserve"> full complian</w:t>
      </w:r>
      <w:r w:rsidR="00715BD5" w:rsidRPr="0099119A">
        <w:t>ce with all</w:t>
      </w:r>
      <w:r w:rsidR="00D26681" w:rsidRPr="0099119A">
        <w:t xml:space="preserve"> </w:t>
      </w:r>
      <w:r w:rsidR="003F0B20" w:rsidRPr="0099119A">
        <w:t xml:space="preserve">of </w:t>
      </w:r>
      <w:r w:rsidR="00D26681" w:rsidRPr="0099119A">
        <w:t>the Commission’s environmental</w:t>
      </w:r>
      <w:r w:rsidR="00715BD5" w:rsidRPr="0099119A">
        <w:t xml:space="preserve"> review requirements</w:t>
      </w:r>
      <w:r w:rsidR="00ED7D05" w:rsidRPr="0099119A">
        <w:t xml:space="preserve">, </w:t>
      </w:r>
      <w:r w:rsidR="00A645EC" w:rsidRPr="0099119A">
        <w:t xml:space="preserve">including those </w:t>
      </w:r>
      <w:r w:rsidR="00AE72DE" w:rsidRPr="0099119A">
        <w:t xml:space="preserve">both </w:t>
      </w:r>
      <w:r w:rsidR="00ED7D05" w:rsidRPr="0099119A">
        <w:t>substantive and procedural,</w:t>
      </w:r>
      <w:r w:rsidR="00715BD5" w:rsidRPr="0099119A">
        <w:t xml:space="preserve"> set forth in </w:t>
      </w:r>
      <w:r w:rsidR="00D26681" w:rsidRPr="0099119A">
        <w:t>its</w:t>
      </w:r>
      <w:r w:rsidR="00715BD5" w:rsidRPr="0099119A">
        <w:t xml:space="preserve"> rules.</w:t>
      </w:r>
    </w:p>
    <w:p w14:paraId="7AB35FDB" w14:textId="77777777" w:rsidR="009B1818" w:rsidRPr="0099119A" w:rsidRDefault="009B1818" w:rsidP="003862C8">
      <w:pPr>
        <w:pStyle w:val="Heading1"/>
        <w:rPr>
          <w:rFonts w:ascii="Times New Roman" w:hAnsi="Times New Roman"/>
          <w:szCs w:val="22"/>
        </w:rPr>
      </w:pPr>
      <w:bookmarkStart w:id="18" w:name="_Toc431475792"/>
      <w:bookmarkStart w:id="19" w:name="_Toc432664618"/>
      <w:r w:rsidRPr="0099119A">
        <w:rPr>
          <w:rFonts w:ascii="Times New Roman" w:hAnsi="Times New Roman"/>
          <w:szCs w:val="22"/>
        </w:rPr>
        <w:t>background</w:t>
      </w:r>
      <w:bookmarkEnd w:id="18"/>
      <w:bookmarkEnd w:id="19"/>
    </w:p>
    <w:p w14:paraId="4E713B5C" w14:textId="77777777" w:rsidR="006E5A78" w:rsidRPr="0099119A" w:rsidRDefault="006B26D3" w:rsidP="00686217">
      <w:pPr>
        <w:pStyle w:val="ParaNum"/>
      </w:pPr>
      <w:r w:rsidRPr="0099119A">
        <w:t xml:space="preserve">In early 2012, AT&amp;T commenced </w:t>
      </w:r>
      <w:r w:rsidR="005726DB" w:rsidRPr="0099119A">
        <w:t>the environmental</w:t>
      </w:r>
      <w:r w:rsidRPr="0099119A">
        <w:t xml:space="preserve"> </w:t>
      </w:r>
      <w:r w:rsidR="00E53579" w:rsidRPr="0099119A">
        <w:t>review required by the Commission’s rules</w:t>
      </w:r>
      <w:r w:rsidR="00041576" w:rsidRPr="0099119A">
        <w:rPr>
          <w:rStyle w:val="FootnoteReference"/>
        </w:rPr>
        <w:footnoteReference w:id="3"/>
      </w:r>
      <w:r w:rsidR="00E53579" w:rsidRPr="0099119A">
        <w:t xml:space="preserve"> implementing the National Environmental Policy Act</w:t>
      </w:r>
      <w:r w:rsidR="005726DB" w:rsidRPr="0099119A">
        <w:t xml:space="preserve"> (NEPA)</w:t>
      </w:r>
      <w:r w:rsidR="00E53579" w:rsidRPr="0099119A">
        <w:rPr>
          <w:rStyle w:val="FootnoteReference"/>
        </w:rPr>
        <w:footnoteReference w:id="4"/>
      </w:r>
      <w:r w:rsidR="007B0B9B" w:rsidRPr="0099119A">
        <w:t xml:space="preserve"> and other</w:t>
      </w:r>
      <w:r w:rsidR="00253FDC" w:rsidRPr="0099119A">
        <w:t xml:space="preserve"> federal environmental statutes,</w:t>
      </w:r>
      <w:r w:rsidR="005726DB" w:rsidRPr="0099119A">
        <w:t xml:space="preserve"> including historic preservation review under the National Historic Preservation Act (NHPA),</w:t>
      </w:r>
      <w:r w:rsidR="005726DB" w:rsidRPr="0099119A">
        <w:rPr>
          <w:rStyle w:val="FootnoteReference"/>
        </w:rPr>
        <w:footnoteReference w:id="5"/>
      </w:r>
      <w:r w:rsidR="00E53579" w:rsidRPr="0099119A">
        <w:t xml:space="preserve"> </w:t>
      </w:r>
      <w:r w:rsidRPr="0099119A">
        <w:t xml:space="preserve">for the then-proposed Fort Ransom Tower. </w:t>
      </w:r>
      <w:r w:rsidR="00376A73" w:rsidRPr="0099119A">
        <w:t xml:space="preserve"> </w:t>
      </w:r>
      <w:r w:rsidR="00C458EE" w:rsidRPr="0099119A">
        <w:t>On March 6, 2012, AT&amp;T contact</w:t>
      </w:r>
      <w:r w:rsidR="00EC2CB0" w:rsidRPr="0099119A">
        <w:t>ed</w:t>
      </w:r>
      <w:r w:rsidR="00C458EE" w:rsidRPr="0099119A">
        <w:t xml:space="preserve"> </w:t>
      </w:r>
      <w:r w:rsidR="004F16A5" w:rsidRPr="0099119A">
        <w:t xml:space="preserve">the Tribal Nations that </w:t>
      </w:r>
      <w:r w:rsidR="005726DB" w:rsidRPr="0099119A">
        <w:t xml:space="preserve">had </w:t>
      </w:r>
      <w:r w:rsidR="004F16A5" w:rsidRPr="0099119A">
        <w:t xml:space="preserve">expressed an </w:t>
      </w:r>
      <w:r w:rsidR="00C458EE" w:rsidRPr="0099119A">
        <w:t>interest in the</w:t>
      </w:r>
      <w:r w:rsidR="005726DB" w:rsidRPr="0099119A">
        <w:t xml:space="preserve"> geographic area containing the</w:t>
      </w:r>
      <w:r w:rsidR="00C458EE" w:rsidRPr="0099119A">
        <w:t xml:space="preserve"> proposed tower site through the Commission’s Tower Construction Notification System (TCNS).  </w:t>
      </w:r>
      <w:r w:rsidR="00DA3B6F" w:rsidRPr="0099119A">
        <w:t>No</w:t>
      </w:r>
      <w:r w:rsidR="00EC2CB0" w:rsidRPr="0099119A">
        <w:t>ne of these</w:t>
      </w:r>
      <w:r w:rsidR="00DA3B6F" w:rsidRPr="0099119A">
        <w:t xml:space="preserve"> Trib</w:t>
      </w:r>
      <w:r w:rsidR="004F16A5" w:rsidRPr="0099119A">
        <w:t>al Nation</w:t>
      </w:r>
      <w:r w:rsidR="00EC2CB0" w:rsidRPr="0099119A">
        <w:t>s</w:t>
      </w:r>
      <w:r w:rsidR="00DA3B6F" w:rsidRPr="0099119A">
        <w:t xml:space="preserve"> identified</w:t>
      </w:r>
      <w:r w:rsidR="00EC2CB0" w:rsidRPr="0099119A">
        <w:t xml:space="preserve"> an interest in</w:t>
      </w:r>
      <w:r w:rsidR="00DA3B6F" w:rsidRPr="0099119A">
        <w:t xml:space="preserve"> any historic or cultural property that </w:t>
      </w:r>
      <w:r w:rsidR="005726DB" w:rsidRPr="0099119A">
        <w:t>might</w:t>
      </w:r>
      <w:r w:rsidR="00DA3B6F" w:rsidRPr="0099119A">
        <w:t xml:space="preserve"> be </w:t>
      </w:r>
      <w:r w:rsidR="004F16A5" w:rsidRPr="0099119A">
        <w:t>affected</w:t>
      </w:r>
      <w:r w:rsidR="00DA3B6F" w:rsidRPr="0099119A">
        <w:t xml:space="preserve"> by the then-proposed tower.  On </w:t>
      </w:r>
      <w:r w:rsidR="00C458EE" w:rsidRPr="0099119A">
        <w:t>April</w:t>
      </w:r>
      <w:r w:rsidR="00DA3B6F" w:rsidRPr="0099119A">
        <w:t xml:space="preserve"> 22,</w:t>
      </w:r>
      <w:r w:rsidR="00C458EE" w:rsidRPr="0099119A">
        <w:t xml:space="preserve"> 2012, AT&amp;T s</w:t>
      </w:r>
      <w:r w:rsidR="00CF32A1" w:rsidRPr="0099119A">
        <w:t>ubmitted its FCC Form 620 (historic preservation review packet) to the</w:t>
      </w:r>
      <w:r w:rsidR="005726DB" w:rsidRPr="0099119A">
        <w:t xml:space="preserve"> State Historical Society of</w:t>
      </w:r>
      <w:r w:rsidR="006B7A28" w:rsidRPr="0099119A">
        <w:t xml:space="preserve"> North Dakota</w:t>
      </w:r>
      <w:r w:rsidR="00CF32A1" w:rsidRPr="0099119A">
        <w:t xml:space="preserve"> </w:t>
      </w:r>
      <w:r w:rsidR="00C458EE" w:rsidRPr="0099119A">
        <w:t>(ND</w:t>
      </w:r>
      <w:r w:rsidR="00DB17F5" w:rsidRPr="0099119A">
        <w:t>SHPO</w:t>
      </w:r>
      <w:r w:rsidR="00CF32A1" w:rsidRPr="0099119A">
        <w:t>)</w:t>
      </w:r>
      <w:r w:rsidR="005726DB" w:rsidRPr="0099119A">
        <w:rPr>
          <w:rStyle w:val="FootnoteReference"/>
        </w:rPr>
        <w:footnoteReference w:id="6"/>
      </w:r>
      <w:r w:rsidR="00F807A7" w:rsidRPr="0099119A">
        <w:t xml:space="preserve"> as part of the Section 106 </w:t>
      </w:r>
      <w:r w:rsidR="004F16A5" w:rsidRPr="0099119A">
        <w:t xml:space="preserve">NHPA review process </w:t>
      </w:r>
      <w:r w:rsidR="00F807A7" w:rsidRPr="0099119A">
        <w:t>required under the</w:t>
      </w:r>
      <w:r w:rsidR="007B0B9B" w:rsidRPr="0099119A">
        <w:t xml:space="preserve"> Nationwide Programmatic Agreement </w:t>
      </w:r>
      <w:r w:rsidR="00F26F67" w:rsidRPr="0099119A">
        <w:t>that governs Section 106 review under the</w:t>
      </w:r>
      <w:r w:rsidR="00F807A7" w:rsidRPr="0099119A">
        <w:t xml:space="preserve"> Commission’s rules</w:t>
      </w:r>
      <w:r w:rsidR="00A97A30" w:rsidRPr="0099119A">
        <w:t>.</w:t>
      </w:r>
      <w:r w:rsidR="00A97A30" w:rsidRPr="0099119A">
        <w:rPr>
          <w:rStyle w:val="FootnoteReference"/>
        </w:rPr>
        <w:footnoteReference w:id="7"/>
      </w:r>
      <w:r w:rsidR="00F807A7" w:rsidRPr="0099119A">
        <w:t xml:space="preserve"> </w:t>
      </w:r>
      <w:r w:rsidR="00A97A30" w:rsidRPr="0099119A">
        <w:t xml:space="preserve"> </w:t>
      </w:r>
      <w:r w:rsidR="005726DB" w:rsidRPr="0099119A">
        <w:t>On</w:t>
      </w:r>
      <w:r w:rsidR="00CF32A1" w:rsidRPr="0099119A">
        <w:t xml:space="preserve"> May 8, 2012, </w:t>
      </w:r>
      <w:r w:rsidR="005726DB" w:rsidRPr="0099119A">
        <w:t xml:space="preserve">the </w:t>
      </w:r>
      <w:r w:rsidR="00CD369C" w:rsidRPr="0099119A">
        <w:t>NDSHPO</w:t>
      </w:r>
      <w:r w:rsidR="005726DB" w:rsidRPr="0099119A">
        <w:t xml:space="preserve"> concurred with AT&amp;T’s recommendation</w:t>
      </w:r>
      <w:r w:rsidR="00A33D88" w:rsidRPr="0099119A">
        <w:t xml:space="preserve"> that the proposed Fort Ransom Tower would have no effect on historic properties within the</w:t>
      </w:r>
      <w:r w:rsidR="005726DB" w:rsidRPr="0099119A">
        <w:t xml:space="preserve"> tower’s</w:t>
      </w:r>
      <w:r w:rsidR="00A33D88" w:rsidRPr="0099119A">
        <w:t xml:space="preserve"> area of potential effect</w:t>
      </w:r>
      <w:r w:rsidR="00DA3B6F" w:rsidRPr="0099119A">
        <w:t>s</w:t>
      </w:r>
      <w:r w:rsidR="00A33D88" w:rsidRPr="0099119A">
        <w:t xml:space="preserve"> (APE).</w:t>
      </w:r>
      <w:r w:rsidR="00A33D88" w:rsidRPr="0099119A">
        <w:rPr>
          <w:rStyle w:val="FootnoteReference"/>
        </w:rPr>
        <w:footnoteReference w:id="8"/>
      </w:r>
      <w:r w:rsidR="00A33D88" w:rsidRPr="0099119A">
        <w:t xml:space="preserve">  </w:t>
      </w:r>
      <w:r w:rsidR="00F26F67" w:rsidRPr="0099119A">
        <w:t xml:space="preserve">AT&amp;T published </w:t>
      </w:r>
      <w:r w:rsidR="006E5A78" w:rsidRPr="0099119A">
        <w:t xml:space="preserve">notice </w:t>
      </w:r>
      <w:r w:rsidR="00F26F67" w:rsidRPr="0099119A">
        <w:t>of its</w:t>
      </w:r>
      <w:r w:rsidR="000E571A" w:rsidRPr="0099119A">
        <w:t xml:space="preserve"> historic preservation</w:t>
      </w:r>
      <w:r w:rsidR="00F26F67" w:rsidRPr="0099119A">
        <w:t xml:space="preserve"> review</w:t>
      </w:r>
      <w:r w:rsidR="00CA52E5" w:rsidRPr="0099119A">
        <w:t>, which is required under the NPA,</w:t>
      </w:r>
      <w:r w:rsidR="00BC1590" w:rsidRPr="0099119A">
        <w:rPr>
          <w:rStyle w:val="FootnoteReference"/>
        </w:rPr>
        <w:footnoteReference w:id="9"/>
      </w:r>
      <w:r w:rsidR="00F26F67" w:rsidRPr="0099119A">
        <w:t xml:space="preserve"> in a local newspaper</w:t>
      </w:r>
      <w:r w:rsidR="002E2F44" w:rsidRPr="0099119A">
        <w:t xml:space="preserve"> </w:t>
      </w:r>
      <w:r w:rsidR="006E5A78" w:rsidRPr="0099119A">
        <w:t>on April 30</w:t>
      </w:r>
      <w:r w:rsidR="003277CA" w:rsidRPr="0099119A">
        <w:t>,</w:t>
      </w:r>
      <w:r w:rsidR="006E5A78" w:rsidRPr="0099119A">
        <w:t xml:space="preserve"> May 7</w:t>
      </w:r>
      <w:r w:rsidR="003277CA" w:rsidRPr="0099119A">
        <w:t>,</w:t>
      </w:r>
      <w:r w:rsidR="006E5A78" w:rsidRPr="0099119A">
        <w:t xml:space="preserve"> and</w:t>
      </w:r>
      <w:r w:rsidR="003277CA" w:rsidRPr="0099119A">
        <w:t xml:space="preserve"> May</w:t>
      </w:r>
      <w:r w:rsidR="006E5A78" w:rsidRPr="0099119A">
        <w:t xml:space="preserve"> 14, 2012.</w:t>
      </w:r>
      <w:r w:rsidR="00927241" w:rsidRPr="0099119A">
        <w:rPr>
          <w:rStyle w:val="FootnoteReference"/>
        </w:rPr>
        <w:footnoteReference w:id="10"/>
      </w:r>
      <w:r w:rsidR="006E5A78" w:rsidRPr="0099119A">
        <w:t xml:space="preserve">  </w:t>
      </w:r>
    </w:p>
    <w:p w14:paraId="68FF1A5A" w14:textId="77777777" w:rsidR="005D1655" w:rsidRPr="0099119A" w:rsidRDefault="005D1655" w:rsidP="00686217">
      <w:pPr>
        <w:pStyle w:val="ParaNum"/>
      </w:pPr>
      <w:r w:rsidRPr="0099119A">
        <w:t>In April 2012, AT&amp;T contacted the U.S. Fish and Wildlife</w:t>
      </w:r>
      <w:r w:rsidR="00FB458D" w:rsidRPr="0099119A">
        <w:t xml:space="preserve"> Service</w:t>
      </w:r>
      <w:r w:rsidRPr="0099119A">
        <w:t xml:space="preserve"> North Dakota Field Office</w:t>
      </w:r>
      <w:r w:rsidR="00FB458D" w:rsidRPr="0099119A">
        <w:t xml:space="preserve"> (USFWS)</w:t>
      </w:r>
      <w:r w:rsidRPr="0099119A">
        <w:t xml:space="preserve"> </w:t>
      </w:r>
      <w:r w:rsidR="00530D78" w:rsidRPr="0099119A">
        <w:t xml:space="preserve">and the North Dakota Game and Fish Department </w:t>
      </w:r>
      <w:r w:rsidRPr="0099119A">
        <w:t>by letter, asking</w:t>
      </w:r>
      <w:r w:rsidR="00FB458D" w:rsidRPr="0099119A">
        <w:t xml:space="preserve"> each of them</w:t>
      </w:r>
      <w:r w:rsidRPr="0099119A">
        <w:t xml:space="preserve"> whether the pr</w:t>
      </w:r>
      <w:r w:rsidR="00DA3B6F" w:rsidRPr="0099119A">
        <w:t>oposed Fort Ransom Tower site is</w:t>
      </w:r>
      <w:r w:rsidRPr="0099119A">
        <w:t xml:space="preserve"> in or near a designated wilderness area, wildlife preserve, or critical habitat and whether the site sustains plant or animal species that have been designated or proposed as threatened or endangered.</w:t>
      </w:r>
      <w:r w:rsidRPr="0099119A">
        <w:rPr>
          <w:rStyle w:val="FootnoteReference"/>
        </w:rPr>
        <w:footnoteReference w:id="11"/>
      </w:r>
      <w:r w:rsidRPr="0099119A">
        <w:t xml:space="preserve">  </w:t>
      </w:r>
      <w:r w:rsidR="00DA3B6F" w:rsidRPr="0099119A">
        <w:t>In May 2012, the U</w:t>
      </w:r>
      <w:r w:rsidR="00FB458D" w:rsidRPr="0099119A">
        <w:t>SFWS</w:t>
      </w:r>
      <w:r w:rsidR="00DA3B6F" w:rsidRPr="0099119A">
        <w:t xml:space="preserve"> responded that the proposed tower site was not in or near a designated wilderness area, wildlife preserve, or critical habitat</w:t>
      </w:r>
      <w:r w:rsidR="00C46AF6" w:rsidRPr="0099119A">
        <w:t>.</w:t>
      </w:r>
      <w:r w:rsidR="002E4BCC" w:rsidRPr="0099119A">
        <w:rPr>
          <w:rStyle w:val="FootnoteReference"/>
        </w:rPr>
        <w:footnoteReference w:id="12"/>
      </w:r>
      <w:r w:rsidR="00DA3B6F" w:rsidRPr="0099119A">
        <w:t xml:space="preserve"> Also in May 2012, the North Dakota Game and Fish Department responded that the tower </w:t>
      </w:r>
      <w:r w:rsidRPr="0099119A">
        <w:t>should not have significant environmental effects on wildlife or wildlife habit</w:t>
      </w:r>
      <w:r w:rsidR="00FB458D" w:rsidRPr="0099119A">
        <w:t>at</w:t>
      </w:r>
      <w:r w:rsidRPr="0099119A">
        <w:t>.</w:t>
      </w:r>
      <w:r w:rsidRPr="0099119A">
        <w:rPr>
          <w:rStyle w:val="FootnoteReference"/>
        </w:rPr>
        <w:footnoteReference w:id="13"/>
      </w:r>
    </w:p>
    <w:p w14:paraId="1DA2D80C" w14:textId="77777777" w:rsidR="003C2078" w:rsidRPr="0099119A" w:rsidRDefault="008046A1" w:rsidP="00686217">
      <w:pPr>
        <w:pStyle w:val="ParaNum"/>
      </w:pPr>
      <w:r w:rsidRPr="0099119A">
        <w:lastRenderedPageBreak/>
        <w:t xml:space="preserve">Because </w:t>
      </w:r>
      <w:r w:rsidR="00EC2CB0" w:rsidRPr="0099119A">
        <w:t xml:space="preserve">AT&amp;T was </w:t>
      </w:r>
      <w:r w:rsidRPr="0099119A">
        <w:t>require</w:t>
      </w:r>
      <w:r w:rsidR="00EC2CB0" w:rsidRPr="0099119A">
        <w:t>d to</w:t>
      </w:r>
      <w:r w:rsidRPr="0099119A">
        <w:t xml:space="preserve"> notif</w:t>
      </w:r>
      <w:r w:rsidR="00EC2CB0" w:rsidRPr="0099119A">
        <w:t>y</w:t>
      </w:r>
      <w:r w:rsidRPr="0099119A">
        <w:t xml:space="preserve"> the Federal Aviation Administration</w:t>
      </w:r>
      <w:r w:rsidR="00EC2CB0" w:rsidRPr="0099119A">
        <w:t xml:space="preserve"> of the</w:t>
      </w:r>
      <w:r w:rsidR="00FB458D" w:rsidRPr="0099119A">
        <w:t xml:space="preserve"> tower’s</w:t>
      </w:r>
      <w:r w:rsidR="00EC2CB0" w:rsidRPr="0099119A">
        <w:t xml:space="preserve"> proposed </w:t>
      </w:r>
      <w:r w:rsidR="00FB458D" w:rsidRPr="0099119A">
        <w:t>construction</w:t>
      </w:r>
      <w:r w:rsidRPr="0099119A">
        <w:t>,</w:t>
      </w:r>
      <w:r w:rsidR="00967AE1" w:rsidRPr="0099119A">
        <w:rPr>
          <w:rStyle w:val="FootnoteReference"/>
        </w:rPr>
        <w:footnoteReference w:id="14"/>
      </w:r>
      <w:r w:rsidRPr="0099119A">
        <w:t xml:space="preserve"> </w:t>
      </w:r>
      <w:r w:rsidR="004B7DAD" w:rsidRPr="0099119A">
        <w:t xml:space="preserve">the Commission’s rules require </w:t>
      </w:r>
      <w:r w:rsidR="00EC2CB0" w:rsidRPr="0099119A">
        <w:t>the tower</w:t>
      </w:r>
      <w:r w:rsidR="004B7DAD" w:rsidRPr="0099119A">
        <w:t xml:space="preserve"> to be registered in the Commission’s </w:t>
      </w:r>
      <w:r w:rsidRPr="0099119A">
        <w:t>Antenna Structure Registration (ASR)</w:t>
      </w:r>
      <w:r w:rsidR="004B7DAD" w:rsidRPr="0099119A">
        <w:t xml:space="preserve"> system.</w:t>
      </w:r>
      <w:r w:rsidR="004B7DAD" w:rsidRPr="0099119A">
        <w:rPr>
          <w:rStyle w:val="FootnoteReference"/>
        </w:rPr>
        <w:footnoteReference w:id="15"/>
      </w:r>
      <w:r w:rsidR="004B7DAD" w:rsidRPr="0099119A">
        <w:t xml:space="preserve">  </w:t>
      </w:r>
      <w:r w:rsidR="00F720B2" w:rsidRPr="0099119A">
        <w:t>The registration process involves both a national public notice that the Commission publishes on its website and a local notice that the applicant is required to publish in a newspaper of general circulation or by other appropriate means.</w:t>
      </w:r>
      <w:r w:rsidR="00F720B2" w:rsidRPr="0099119A">
        <w:rPr>
          <w:rStyle w:val="FootnoteReference"/>
        </w:rPr>
        <w:footnoteReference w:id="16"/>
      </w:r>
      <w:r w:rsidR="00F720B2" w:rsidRPr="0099119A">
        <w:t xml:space="preserve"> </w:t>
      </w:r>
      <w:r w:rsidRPr="0099119A">
        <w:t xml:space="preserve"> </w:t>
      </w:r>
      <w:r w:rsidR="003C2078" w:rsidRPr="0099119A">
        <w:t>AT&amp;T’s ASR application</w:t>
      </w:r>
      <w:r w:rsidR="00F720B2" w:rsidRPr="0099119A">
        <w:t xml:space="preserve"> file</w:t>
      </w:r>
      <w:r w:rsidR="003C2078" w:rsidRPr="0099119A">
        <w:t xml:space="preserve"> confirms that national notice was published on July 17, 2012, and </w:t>
      </w:r>
      <w:r w:rsidR="00F720B2" w:rsidRPr="0099119A">
        <w:t>AT&amp;T certified in its application that local</w:t>
      </w:r>
      <w:r w:rsidR="003C2078" w:rsidRPr="0099119A">
        <w:t xml:space="preserve"> environmental </w:t>
      </w:r>
      <w:r w:rsidR="00F720B2" w:rsidRPr="0099119A">
        <w:t>notice</w:t>
      </w:r>
      <w:r w:rsidR="003C2078" w:rsidRPr="0099119A">
        <w:t xml:space="preserve"> was also published on July 17, 2012.</w:t>
      </w:r>
      <w:r w:rsidR="007A0D48" w:rsidRPr="0099119A">
        <w:rPr>
          <w:rStyle w:val="FootnoteReference"/>
        </w:rPr>
        <w:footnoteReference w:id="17"/>
      </w:r>
      <w:r w:rsidR="00CC7428" w:rsidRPr="0099119A">
        <w:t xml:space="preserve">  However,</w:t>
      </w:r>
      <w:r w:rsidR="00B65FF4" w:rsidRPr="0099119A">
        <w:t xml:space="preserve"> a</w:t>
      </w:r>
      <w:r w:rsidR="00CC7428" w:rsidRPr="0099119A">
        <w:t xml:space="preserve"> cop</w:t>
      </w:r>
      <w:r w:rsidR="00B65FF4" w:rsidRPr="0099119A">
        <w:t>y</w:t>
      </w:r>
      <w:r w:rsidR="00CC7428" w:rsidRPr="0099119A">
        <w:t xml:space="preserve"> of th</w:t>
      </w:r>
      <w:r w:rsidR="00B65FF4" w:rsidRPr="0099119A">
        <w:t>is</w:t>
      </w:r>
      <w:r w:rsidR="00CC7428" w:rsidRPr="0099119A">
        <w:t xml:space="preserve"> local notice </w:t>
      </w:r>
      <w:r w:rsidR="00B65FF4" w:rsidRPr="0099119A">
        <w:t>included in AT&amp;T’s pleadings</w:t>
      </w:r>
      <w:r w:rsidR="00CC7428" w:rsidRPr="0099119A">
        <w:t xml:space="preserve"> indicate</w:t>
      </w:r>
      <w:r w:rsidR="00B65FF4" w:rsidRPr="0099119A">
        <w:t>s</w:t>
      </w:r>
      <w:r w:rsidR="00CC7428" w:rsidRPr="0099119A">
        <w:t xml:space="preserve"> that </w:t>
      </w:r>
      <w:r w:rsidR="00B65FF4" w:rsidRPr="0099119A">
        <w:t>it was</w:t>
      </w:r>
      <w:r w:rsidR="00CC7428" w:rsidRPr="0099119A">
        <w:t xml:space="preserve"> published </w:t>
      </w:r>
      <w:r w:rsidR="00FB458D" w:rsidRPr="0099119A">
        <w:t>on</w:t>
      </w:r>
      <w:r w:rsidR="003C2078" w:rsidRPr="0099119A">
        <w:t xml:space="preserve"> July 23, 2012.</w:t>
      </w:r>
      <w:r w:rsidR="003C2078" w:rsidRPr="0099119A">
        <w:rPr>
          <w:rStyle w:val="FootnoteReference"/>
        </w:rPr>
        <w:footnoteReference w:id="18"/>
      </w:r>
    </w:p>
    <w:p w14:paraId="0B4706AD" w14:textId="77777777" w:rsidR="00341E12" w:rsidRPr="0099119A" w:rsidRDefault="00341E12" w:rsidP="00686217">
      <w:pPr>
        <w:pStyle w:val="ParaNum"/>
      </w:pPr>
      <w:r w:rsidRPr="0099119A">
        <w:t xml:space="preserve">The </w:t>
      </w:r>
      <w:r w:rsidR="00B035BD" w:rsidRPr="0099119A">
        <w:t xml:space="preserve">ASR </w:t>
      </w:r>
      <w:r w:rsidR="00F86D12" w:rsidRPr="0099119A">
        <w:t>A</w:t>
      </w:r>
      <w:r w:rsidRPr="0099119A">
        <w:t>ppl</w:t>
      </w:r>
      <w:r w:rsidR="00D074A1" w:rsidRPr="0099119A">
        <w:t>ication was granted on August 2</w:t>
      </w:r>
      <w:r w:rsidR="00495573" w:rsidRPr="0099119A">
        <w:t>8</w:t>
      </w:r>
      <w:r w:rsidRPr="0099119A">
        <w:t>, 2012</w:t>
      </w:r>
      <w:r w:rsidR="00F720B2" w:rsidRPr="0099119A">
        <w:t>.</w:t>
      </w:r>
      <w:r w:rsidRPr="0099119A">
        <w:rPr>
          <w:rStyle w:val="FootnoteReference"/>
        </w:rPr>
        <w:footnoteReference w:id="19"/>
      </w:r>
      <w:r w:rsidR="000E571A" w:rsidRPr="0099119A">
        <w:t xml:space="preserve"> </w:t>
      </w:r>
      <w:r w:rsidR="00F720B2" w:rsidRPr="0099119A">
        <w:t xml:space="preserve"> Subsequently, AT&amp;T transferred ownership of the tower to Skyway Towers, LLC (Skyway), </w:t>
      </w:r>
      <w:r w:rsidR="000E571A" w:rsidRPr="0099119A">
        <w:t xml:space="preserve">and on </w:t>
      </w:r>
      <w:r w:rsidR="008C376D" w:rsidRPr="0099119A">
        <w:t xml:space="preserve">October 2, </w:t>
      </w:r>
      <w:r w:rsidRPr="0099119A">
        <w:t xml:space="preserve">2012, Skyway </w:t>
      </w:r>
      <w:r w:rsidR="000225B7" w:rsidRPr="0099119A">
        <w:t xml:space="preserve">filed a Notice of Construction </w:t>
      </w:r>
      <w:r w:rsidRPr="0099119A">
        <w:t xml:space="preserve">in the ASR </w:t>
      </w:r>
      <w:r w:rsidR="001E20C8" w:rsidRPr="0099119A">
        <w:t>s</w:t>
      </w:r>
      <w:r w:rsidRPr="0099119A">
        <w:t>ystem.</w:t>
      </w:r>
      <w:r w:rsidRPr="0099119A">
        <w:rPr>
          <w:rStyle w:val="FootnoteReference"/>
        </w:rPr>
        <w:footnoteReference w:id="20"/>
      </w:r>
      <w:r w:rsidRPr="0099119A">
        <w:t xml:space="preserve">  As constructed, the Fort Ransom Tower is a latticework structure with lighting and an overall height above ground level (AGL) of 320 feet.</w:t>
      </w:r>
    </w:p>
    <w:p w14:paraId="3ED7C4CF" w14:textId="78653F80" w:rsidR="00DB5DF5" w:rsidRPr="0099119A" w:rsidRDefault="00F720B2" w:rsidP="00686217">
      <w:pPr>
        <w:pStyle w:val="ParaNum"/>
      </w:pPr>
      <w:r w:rsidRPr="0099119A">
        <w:t>F</w:t>
      </w:r>
      <w:r w:rsidR="00E620FA" w:rsidRPr="0099119A">
        <w:t>our</w:t>
      </w:r>
      <w:r w:rsidR="00DB5DF5" w:rsidRPr="0099119A">
        <w:t xml:space="preserve"> parties (the Complainants) filed</w:t>
      </w:r>
      <w:r w:rsidRPr="0099119A">
        <w:t xml:space="preserve"> </w:t>
      </w:r>
      <w:r w:rsidR="00B65FF4" w:rsidRPr="0099119A">
        <w:t>c</w:t>
      </w:r>
      <w:r w:rsidR="00DB5DF5" w:rsidRPr="0099119A">
        <w:t>omplaints</w:t>
      </w:r>
      <w:r w:rsidR="00181F5B" w:rsidRPr="0099119A">
        <w:t xml:space="preserve"> against</w:t>
      </w:r>
      <w:r w:rsidR="00DB5DF5" w:rsidRPr="0099119A">
        <w:t xml:space="preserve"> the</w:t>
      </w:r>
      <w:r w:rsidR="00B65FF4" w:rsidRPr="0099119A">
        <w:t xml:space="preserve"> constructed</w:t>
      </w:r>
      <w:r w:rsidR="00DB5DF5" w:rsidRPr="0099119A">
        <w:t xml:space="preserve"> Fort Ransom Tower between November 2012 and March 2013:</w:t>
      </w:r>
      <w:r w:rsidR="00240610" w:rsidRPr="0099119A">
        <w:rPr>
          <w:rStyle w:val="FootnoteReference"/>
        </w:rPr>
        <w:footnoteReference w:id="21"/>
      </w:r>
      <w:r w:rsidR="00D30B5A" w:rsidRPr="0099119A">
        <w:t xml:space="preserve"> </w:t>
      </w:r>
      <w:r w:rsidR="00DB5DF5" w:rsidRPr="0099119A">
        <w:t xml:space="preserve">the Sheyenne River Valley National Scenic Byway </w:t>
      </w:r>
      <w:r w:rsidR="00B47E91" w:rsidRPr="0099119A">
        <w:t>(</w:t>
      </w:r>
      <w:r w:rsidR="00DB5DF5" w:rsidRPr="0099119A">
        <w:t>Sheyenne)</w:t>
      </w:r>
      <w:r w:rsidR="00D30B5A" w:rsidRPr="0099119A">
        <w:t>,</w:t>
      </w:r>
      <w:r w:rsidR="00DB5DF5" w:rsidRPr="0099119A">
        <w:rPr>
          <w:rStyle w:val="FootnoteReference"/>
        </w:rPr>
        <w:footnoteReference w:id="22"/>
      </w:r>
      <w:r w:rsidR="00DB5DF5" w:rsidRPr="0099119A">
        <w:t xml:space="preserve"> Don Busta</w:t>
      </w:r>
      <w:r w:rsidR="00D30B5A" w:rsidRPr="0099119A">
        <w:t>,</w:t>
      </w:r>
      <w:r w:rsidR="00DB5DF5" w:rsidRPr="0099119A">
        <w:rPr>
          <w:rStyle w:val="FootnoteReference"/>
        </w:rPr>
        <w:footnoteReference w:id="23"/>
      </w:r>
      <w:r w:rsidR="00DB5DF5" w:rsidRPr="0099119A">
        <w:t xml:space="preserve"> Judith </w:t>
      </w:r>
      <w:r w:rsidR="003A6B95" w:rsidRPr="0099119A">
        <w:t xml:space="preserve">L. </w:t>
      </w:r>
      <w:r w:rsidR="00DB5DF5" w:rsidRPr="0099119A">
        <w:t>Morris</w:t>
      </w:r>
      <w:r w:rsidR="00D30B5A" w:rsidRPr="0099119A">
        <w:t>,</w:t>
      </w:r>
      <w:r w:rsidR="00DB5DF5" w:rsidRPr="0099119A">
        <w:rPr>
          <w:rStyle w:val="FootnoteReference"/>
        </w:rPr>
        <w:footnoteReference w:id="24"/>
      </w:r>
      <w:r w:rsidR="00DB5DF5" w:rsidRPr="0099119A">
        <w:t xml:space="preserve"> and the North Count</w:t>
      </w:r>
      <w:r w:rsidRPr="0099119A">
        <w:t>r</w:t>
      </w:r>
      <w:r w:rsidR="00DB5DF5" w:rsidRPr="0099119A">
        <w:t>y Trail Association (NCTA).</w:t>
      </w:r>
      <w:r w:rsidR="00DB5DF5" w:rsidRPr="0099119A">
        <w:rPr>
          <w:rStyle w:val="FootnoteReference"/>
        </w:rPr>
        <w:footnoteReference w:id="25"/>
      </w:r>
      <w:r w:rsidR="00DB5DF5" w:rsidRPr="0099119A">
        <w:t xml:space="preserve">    </w:t>
      </w:r>
      <w:r w:rsidR="00A33D88" w:rsidRPr="0099119A">
        <w:t>Altogether, t</w:t>
      </w:r>
      <w:r w:rsidR="00DB5DF5" w:rsidRPr="0099119A">
        <w:t xml:space="preserve">he </w:t>
      </w:r>
      <w:r w:rsidR="00EE2F08">
        <w:t>C</w:t>
      </w:r>
      <w:r w:rsidR="00DE496B" w:rsidRPr="0099119A">
        <w:t>omplain</w:t>
      </w:r>
      <w:r w:rsidR="00EE2F08">
        <w:t>an</w:t>
      </w:r>
      <w:r w:rsidR="00DE496B" w:rsidRPr="0099119A">
        <w:t>ts raise allegations in three general categories</w:t>
      </w:r>
      <w:r w:rsidR="00DB5DF5" w:rsidRPr="0099119A">
        <w:t xml:space="preserve">.  First, </w:t>
      </w:r>
      <w:r w:rsidR="00D060BF" w:rsidRPr="0099119A">
        <w:t xml:space="preserve">all four </w:t>
      </w:r>
      <w:r w:rsidR="00DB5DF5" w:rsidRPr="0099119A">
        <w:t>argue</w:t>
      </w:r>
      <w:r w:rsidR="00C862BA" w:rsidRPr="0099119A">
        <w:t xml:space="preserve"> that AT&amp;T f</w:t>
      </w:r>
      <w:r w:rsidR="001E20C8" w:rsidRPr="0099119A">
        <w:t>ailed to provide adequate</w:t>
      </w:r>
      <w:r w:rsidR="00C862BA" w:rsidRPr="0099119A">
        <w:t xml:space="preserve"> </w:t>
      </w:r>
      <w:r w:rsidR="00DB5DF5" w:rsidRPr="0099119A">
        <w:t>notice</w:t>
      </w:r>
      <w:r w:rsidR="00562147" w:rsidRPr="0099119A">
        <w:t xml:space="preserve"> of the proposed Fort Ransom Tower</w:t>
      </w:r>
      <w:r w:rsidR="00F3503F" w:rsidRPr="0099119A">
        <w:t xml:space="preserve"> to interested parties</w:t>
      </w:r>
      <w:r w:rsidR="00A932DC" w:rsidRPr="0099119A">
        <w:t>.</w:t>
      </w:r>
      <w:r w:rsidR="00D30B5A" w:rsidRPr="0099119A">
        <w:rPr>
          <w:rStyle w:val="FootnoteReference"/>
        </w:rPr>
        <w:footnoteReference w:id="26"/>
      </w:r>
      <w:r w:rsidR="00A932DC" w:rsidRPr="0099119A">
        <w:t xml:space="preserve">  </w:t>
      </w:r>
      <w:r w:rsidR="00DB5DF5" w:rsidRPr="0099119A">
        <w:t xml:space="preserve">Second, </w:t>
      </w:r>
      <w:r w:rsidR="00BC1590" w:rsidRPr="0099119A">
        <w:t>all four C</w:t>
      </w:r>
      <w:r w:rsidR="00DB5DF5" w:rsidRPr="0099119A">
        <w:t>omplainants assert that AT&amp;T failed adequately</w:t>
      </w:r>
      <w:r w:rsidR="003B56AE" w:rsidRPr="0099119A">
        <w:t xml:space="preserve"> to</w:t>
      </w:r>
      <w:r w:rsidR="00DB5DF5" w:rsidRPr="0099119A">
        <w:t xml:space="preserve"> assess </w:t>
      </w:r>
      <w:r w:rsidR="00B035BD" w:rsidRPr="0099119A">
        <w:t>whether</w:t>
      </w:r>
      <w:r w:rsidR="00DB5DF5" w:rsidRPr="0099119A">
        <w:t xml:space="preserve"> the proposed tower would have a significant</w:t>
      </w:r>
      <w:r w:rsidR="00341E12" w:rsidRPr="0099119A">
        <w:t xml:space="preserve"> </w:t>
      </w:r>
      <w:r w:rsidR="00DE496B" w:rsidRPr="0099119A">
        <w:t xml:space="preserve">environmental effect or impact </w:t>
      </w:r>
      <w:r w:rsidR="001658FA" w:rsidRPr="0099119A">
        <w:t xml:space="preserve">on </w:t>
      </w:r>
      <w:r w:rsidR="00DE496B" w:rsidRPr="0099119A">
        <w:t>historic properties</w:t>
      </w:r>
      <w:r w:rsidR="00BE4095" w:rsidRPr="0099119A">
        <w:t>.</w:t>
      </w:r>
      <w:r w:rsidR="00D30B5A" w:rsidRPr="0099119A">
        <w:rPr>
          <w:rStyle w:val="FootnoteReference"/>
        </w:rPr>
        <w:footnoteReference w:id="27"/>
      </w:r>
      <w:r w:rsidR="003A31A3" w:rsidRPr="0099119A">
        <w:t xml:space="preserve">  </w:t>
      </w:r>
      <w:r w:rsidR="00DB5DF5" w:rsidRPr="0099119A">
        <w:t>Third,</w:t>
      </w:r>
      <w:r w:rsidR="003A31A3" w:rsidRPr="0099119A">
        <w:t xml:space="preserve"> </w:t>
      </w:r>
      <w:r w:rsidR="00DB5DF5" w:rsidRPr="0099119A">
        <w:t>Judith</w:t>
      </w:r>
      <w:r w:rsidR="003A31A3" w:rsidRPr="0099119A">
        <w:t xml:space="preserve"> L.</w:t>
      </w:r>
      <w:r w:rsidR="001E20C8" w:rsidRPr="0099119A">
        <w:t xml:space="preserve"> Morris assert</w:t>
      </w:r>
      <w:r w:rsidR="007D711F" w:rsidRPr="0099119A">
        <w:t>s</w:t>
      </w:r>
      <w:r w:rsidR="00DB5DF5" w:rsidRPr="0099119A">
        <w:t xml:space="preserve"> that AT&amp;T violated city zoning laws and failed to obtain a local building permit before construction began.</w:t>
      </w:r>
      <w:r w:rsidR="00DB5DF5" w:rsidRPr="0099119A">
        <w:rPr>
          <w:rStyle w:val="FootnoteReference"/>
        </w:rPr>
        <w:footnoteReference w:id="28"/>
      </w:r>
      <w:r w:rsidR="00DB5DF5" w:rsidRPr="0099119A">
        <w:t xml:space="preserve"> </w:t>
      </w:r>
      <w:r w:rsidR="00974124" w:rsidRPr="0099119A">
        <w:t>AT&amp;T and Skyway</w:t>
      </w:r>
      <w:r w:rsidR="007065D0" w:rsidRPr="0099119A">
        <w:t xml:space="preserve"> </w:t>
      </w:r>
      <w:r w:rsidR="00974124" w:rsidRPr="0099119A">
        <w:t xml:space="preserve">submitted multiple responses to the </w:t>
      </w:r>
      <w:r w:rsidR="003B56AE" w:rsidRPr="0099119A">
        <w:t>complaints</w:t>
      </w:r>
      <w:r w:rsidR="006A7098" w:rsidRPr="0099119A">
        <w:t xml:space="preserve">, </w:t>
      </w:r>
      <w:r w:rsidR="00974124" w:rsidRPr="0099119A">
        <w:t>arguing that AT&amp;T complied with the Commission’s rules when it completed its environmental and historic preservation review for the proposed Fort Ransom Tower.</w:t>
      </w:r>
      <w:r w:rsidR="008A6F87" w:rsidRPr="0099119A">
        <w:rPr>
          <w:rStyle w:val="FootnoteReference"/>
        </w:rPr>
        <w:footnoteReference w:id="29"/>
      </w:r>
      <w:r w:rsidR="003B56AE" w:rsidRPr="0099119A">
        <w:t xml:space="preserve">  AT&amp;T also submitted as an exhibit the NEPA Report that it had prepared in connection with its environmental review.</w:t>
      </w:r>
      <w:r w:rsidR="008A6F87" w:rsidRPr="0099119A">
        <w:rPr>
          <w:rStyle w:val="FootnoteReference"/>
        </w:rPr>
        <w:footnoteReference w:id="30"/>
      </w:r>
      <w:r w:rsidR="003B56AE" w:rsidRPr="0099119A">
        <w:t xml:space="preserve">  NCTA and Sheyenne submitted replies.</w:t>
      </w:r>
      <w:r w:rsidR="008A6F87" w:rsidRPr="0099119A">
        <w:rPr>
          <w:rStyle w:val="FootnoteReference"/>
        </w:rPr>
        <w:footnoteReference w:id="31"/>
      </w:r>
    </w:p>
    <w:p w14:paraId="76A6083F" w14:textId="77777777" w:rsidR="001D7E3F" w:rsidRPr="0099119A" w:rsidRDefault="001D7E3F" w:rsidP="00686217">
      <w:pPr>
        <w:pStyle w:val="ParaNum"/>
      </w:pPr>
      <w:r w:rsidRPr="0099119A">
        <w:t>On November 13, 2014, the Division requested that AT&amp;T file Declarations from its consultants clarifying the procedures they used to conduct the Section 106 review, and that it serve those Declarations on the Complainants.</w:t>
      </w:r>
      <w:r w:rsidRPr="0099119A">
        <w:rPr>
          <w:rStyle w:val="FootnoteReference"/>
        </w:rPr>
        <w:footnoteReference w:id="32"/>
      </w:r>
      <w:r w:rsidRPr="0099119A">
        <w:t xml:space="preserve">  AT&amp;T filed the requested Declarations on </w:t>
      </w:r>
      <w:r w:rsidR="0041687E" w:rsidRPr="0099119A">
        <w:t>November 20 and 28, 2014.</w:t>
      </w:r>
      <w:r w:rsidR="0041687E" w:rsidRPr="0099119A">
        <w:rPr>
          <w:rStyle w:val="FootnoteReference"/>
        </w:rPr>
        <w:footnoteReference w:id="33"/>
      </w:r>
      <w:r w:rsidR="0041687E" w:rsidRPr="0099119A">
        <w:t xml:space="preserve">  None of the Complainants filed a reply.</w:t>
      </w:r>
    </w:p>
    <w:p w14:paraId="7922519E" w14:textId="77777777" w:rsidR="006D3698" w:rsidRPr="0099119A" w:rsidRDefault="006D3698" w:rsidP="006D3698">
      <w:pPr>
        <w:pStyle w:val="Heading1"/>
        <w:rPr>
          <w:rFonts w:ascii="Times New Roman" w:hAnsi="Times New Roman"/>
          <w:szCs w:val="22"/>
        </w:rPr>
      </w:pPr>
      <w:bookmarkStart w:id="20" w:name="_Toc431475793"/>
      <w:bookmarkStart w:id="21" w:name="_Toc432664619"/>
      <w:r w:rsidRPr="0099119A">
        <w:rPr>
          <w:rFonts w:ascii="Times New Roman" w:hAnsi="Times New Roman"/>
          <w:szCs w:val="22"/>
        </w:rPr>
        <w:t>discussion</w:t>
      </w:r>
      <w:bookmarkEnd w:id="20"/>
      <w:bookmarkEnd w:id="21"/>
    </w:p>
    <w:p w14:paraId="34A20D57" w14:textId="09FD4F8B" w:rsidR="008C47BB" w:rsidRPr="0099119A" w:rsidRDefault="0031206B" w:rsidP="00686217">
      <w:pPr>
        <w:pStyle w:val="ParaNum"/>
      </w:pPr>
      <w:r w:rsidRPr="0099119A">
        <w:t>The Division has</w:t>
      </w:r>
      <w:r w:rsidR="00BA2752" w:rsidRPr="0099119A">
        <w:t xml:space="preserve"> reviewed </w:t>
      </w:r>
      <w:r w:rsidR="006D3698" w:rsidRPr="0099119A">
        <w:t xml:space="preserve">each of </w:t>
      </w:r>
      <w:r w:rsidR="00BA2752" w:rsidRPr="0099119A">
        <w:t>the complaints</w:t>
      </w:r>
      <w:r w:rsidR="006D3698" w:rsidRPr="0099119A">
        <w:t xml:space="preserve"> and responsive pleadings</w:t>
      </w:r>
      <w:r w:rsidR="007065D0" w:rsidRPr="0099119A">
        <w:t>.  A</w:t>
      </w:r>
      <w:r w:rsidR="006D3698" w:rsidRPr="0099119A">
        <w:t xml:space="preserve">s explained in more detail below, </w:t>
      </w:r>
      <w:r w:rsidR="00C53F79" w:rsidRPr="0099119A">
        <w:t>we</w:t>
      </w:r>
      <w:r w:rsidRPr="0099119A">
        <w:t xml:space="preserve"> </w:t>
      </w:r>
      <w:r w:rsidR="006D3698" w:rsidRPr="0099119A">
        <w:t>conclude that AT&amp;</w:t>
      </w:r>
      <w:r w:rsidR="00DE496B" w:rsidRPr="0099119A">
        <w:t>T</w:t>
      </w:r>
      <w:r w:rsidR="00B938F0" w:rsidRPr="0099119A">
        <w:t xml:space="preserve"> substanti</w:t>
      </w:r>
      <w:r w:rsidR="00221DA0" w:rsidRPr="0099119A">
        <w:t>vely</w:t>
      </w:r>
      <w:r w:rsidR="00F20E76" w:rsidRPr="0099119A">
        <w:t xml:space="preserve"> </w:t>
      </w:r>
      <w:r w:rsidR="007065D0" w:rsidRPr="0099119A">
        <w:t xml:space="preserve">completed </w:t>
      </w:r>
      <w:r w:rsidR="00C53F79" w:rsidRPr="0099119A">
        <w:t>t</w:t>
      </w:r>
      <w:r w:rsidR="00B938F0" w:rsidRPr="0099119A">
        <w:t>he</w:t>
      </w:r>
      <w:r w:rsidR="007065D0" w:rsidRPr="0099119A">
        <w:t xml:space="preserve"> steps required by </w:t>
      </w:r>
      <w:r w:rsidR="006D3698" w:rsidRPr="0099119A">
        <w:t xml:space="preserve">the Commission’s rules </w:t>
      </w:r>
      <w:r w:rsidR="00C53F79" w:rsidRPr="0099119A">
        <w:t>govern</w:t>
      </w:r>
      <w:r w:rsidR="006D3698" w:rsidRPr="0099119A">
        <w:t xml:space="preserve">ing </w:t>
      </w:r>
      <w:r w:rsidR="00DE496B" w:rsidRPr="0099119A">
        <w:t xml:space="preserve">historic preservation and </w:t>
      </w:r>
      <w:r w:rsidR="006D3698" w:rsidRPr="0099119A">
        <w:t xml:space="preserve">environmental </w:t>
      </w:r>
      <w:r w:rsidR="00DE496B" w:rsidRPr="0099119A">
        <w:t>r</w:t>
      </w:r>
      <w:r w:rsidR="006D3698" w:rsidRPr="0099119A">
        <w:t>eview</w:t>
      </w:r>
      <w:r w:rsidR="00DE496B" w:rsidRPr="0099119A">
        <w:t>,</w:t>
      </w:r>
      <w:r w:rsidR="00B938F0" w:rsidRPr="0099119A">
        <w:t xml:space="preserve"> </w:t>
      </w:r>
      <w:r w:rsidR="008C47BB" w:rsidRPr="0099119A">
        <w:t xml:space="preserve">and that </w:t>
      </w:r>
      <w:r w:rsidR="00221DA0" w:rsidRPr="0099119A">
        <w:t>nothing in the record compels us to question AT&amp;T’s</w:t>
      </w:r>
      <w:r w:rsidR="008C47BB" w:rsidRPr="0099119A">
        <w:t xml:space="preserve"> conclusion that the tower would not cause significant environmental impacts or affect historic properties.  However, AT&amp;T</w:t>
      </w:r>
      <w:r w:rsidR="00DE496B" w:rsidRPr="0099119A">
        <w:t xml:space="preserve"> failed</w:t>
      </w:r>
      <w:r w:rsidR="00C53F79" w:rsidRPr="0099119A">
        <w:t xml:space="preserve"> </w:t>
      </w:r>
      <w:r w:rsidR="00DE496B" w:rsidRPr="0099119A">
        <w:t xml:space="preserve">to comply </w:t>
      </w:r>
      <w:r w:rsidR="00221DA0" w:rsidRPr="0099119A">
        <w:t xml:space="preserve">fully </w:t>
      </w:r>
      <w:r w:rsidR="00DE496B" w:rsidRPr="0099119A">
        <w:t xml:space="preserve">with the Commission’s procedural requirements </w:t>
      </w:r>
      <w:r w:rsidR="008C47BB" w:rsidRPr="0099119A">
        <w:t xml:space="preserve">governing its review.  While those defects do not affect the outcome </w:t>
      </w:r>
      <w:r w:rsidR="00C53F79" w:rsidRPr="0099119A">
        <w:t>of the review under the facts of</w:t>
      </w:r>
      <w:r w:rsidR="008C47BB" w:rsidRPr="0099119A">
        <w:t xml:space="preserve"> this case, AT&amp;T and all applicants are cautioned to take care that they adhere to the required process in future reviews</w:t>
      </w:r>
      <w:r w:rsidR="007065D0" w:rsidRPr="0099119A">
        <w:t>.</w:t>
      </w:r>
    </w:p>
    <w:p w14:paraId="47E68EA8" w14:textId="77777777" w:rsidR="00D6740C" w:rsidRPr="0099119A" w:rsidRDefault="00C53F79" w:rsidP="00686217">
      <w:pPr>
        <w:pStyle w:val="ParaNum"/>
      </w:pPr>
      <w:r w:rsidRPr="0099119A">
        <w:t xml:space="preserve">As an initial matter, both </w:t>
      </w:r>
      <w:r w:rsidR="00D6740C" w:rsidRPr="0099119A">
        <w:t xml:space="preserve">AT&amp;T and Skyway </w:t>
      </w:r>
      <w:r w:rsidRPr="0099119A">
        <w:t>argue</w:t>
      </w:r>
      <w:r w:rsidR="00F721C1" w:rsidRPr="0099119A">
        <w:t xml:space="preserve"> that </w:t>
      </w:r>
      <w:r w:rsidR="007D711F" w:rsidRPr="0099119A">
        <w:t>the</w:t>
      </w:r>
      <w:r w:rsidR="00F721C1" w:rsidRPr="0099119A">
        <w:t xml:space="preserve"> complaints were filed months after completion of the public comment periods</w:t>
      </w:r>
      <w:r w:rsidRPr="0099119A">
        <w:t xml:space="preserve"> initiated by AT&amp;T’s notices, and therefore that they should be dismissed as untimely</w:t>
      </w:r>
      <w:r w:rsidR="00F721C1" w:rsidRPr="0099119A">
        <w:t>.</w:t>
      </w:r>
      <w:r w:rsidR="00F721C1" w:rsidRPr="0099119A">
        <w:rPr>
          <w:rStyle w:val="FootnoteReference"/>
        </w:rPr>
        <w:footnoteReference w:id="34"/>
      </w:r>
      <w:r w:rsidR="00F721C1" w:rsidRPr="0099119A">
        <w:t xml:space="preserve">  </w:t>
      </w:r>
      <w:r w:rsidRPr="0099119A">
        <w:t>In general, we</w:t>
      </w:r>
      <w:r w:rsidR="00F721C1" w:rsidRPr="0099119A">
        <w:t xml:space="preserve"> do not </w:t>
      </w:r>
      <w:r w:rsidRPr="0099119A">
        <w:t>consider</w:t>
      </w:r>
      <w:r w:rsidR="00F721C1" w:rsidRPr="0099119A">
        <w:t xml:space="preserve"> after the fact</w:t>
      </w:r>
      <w:r w:rsidRPr="0099119A">
        <w:t xml:space="preserve"> environmental and historic preservation claims</w:t>
      </w:r>
      <w:r w:rsidR="00F721C1" w:rsidRPr="0099119A">
        <w:t xml:space="preserve"> that could have been raised</w:t>
      </w:r>
      <w:r w:rsidRPr="0099119A">
        <w:t xml:space="preserve"> in a</w:t>
      </w:r>
      <w:r w:rsidR="00F721C1" w:rsidRPr="0099119A">
        <w:t xml:space="preserve"> timely</w:t>
      </w:r>
      <w:r w:rsidRPr="0099119A">
        <w:t xml:space="preserve"> manner.  In appropriate circumstances, however, the Commission will reopen an environmental or historic preservation review where a material error</w:t>
      </w:r>
      <w:r w:rsidR="00BC1590" w:rsidRPr="0099119A">
        <w:t xml:space="preserve"> or</w:t>
      </w:r>
      <w:r w:rsidRPr="0099119A">
        <w:t xml:space="preserve"> omission by the applicant previously precluded effective review</w:t>
      </w:r>
      <w:r w:rsidR="00F721C1" w:rsidRPr="0099119A">
        <w:t>.</w:t>
      </w:r>
      <w:r w:rsidR="00F721C1" w:rsidRPr="0099119A">
        <w:rPr>
          <w:rStyle w:val="FootnoteReference"/>
        </w:rPr>
        <w:footnoteReference w:id="35"/>
      </w:r>
      <w:r w:rsidRPr="0099119A">
        <w:t xml:space="preserve">  The question before us, then, is whether the Complainants have identified any defects in AT&amp;T’s compliance that meet that standard.</w:t>
      </w:r>
    </w:p>
    <w:p w14:paraId="72FBAAE1" w14:textId="77777777" w:rsidR="000B6750" w:rsidRPr="0099119A" w:rsidRDefault="000B6750" w:rsidP="000B6750">
      <w:pPr>
        <w:pStyle w:val="Heading2"/>
      </w:pPr>
      <w:bookmarkStart w:id="22" w:name="_Toc431475794"/>
      <w:bookmarkStart w:id="23" w:name="_Toc432664620"/>
      <w:r w:rsidRPr="0099119A">
        <w:t>Notice of the Proposed Tower</w:t>
      </w:r>
      <w:bookmarkEnd w:id="22"/>
      <w:bookmarkEnd w:id="23"/>
    </w:p>
    <w:p w14:paraId="3BD77080" w14:textId="77777777" w:rsidR="00E35DDA" w:rsidRPr="0099119A" w:rsidRDefault="00E35DDA" w:rsidP="00686217">
      <w:pPr>
        <w:pStyle w:val="ParaNum"/>
      </w:pPr>
      <w:r w:rsidRPr="0099119A">
        <w:t xml:space="preserve">Sheyenne, Judith L. Morris, and NCTA all complain that Sheyenne and NCTA </w:t>
      </w:r>
      <w:r w:rsidR="000B6750" w:rsidRPr="0099119A">
        <w:t>should have been</w:t>
      </w:r>
      <w:r w:rsidRPr="0099119A">
        <w:t xml:space="preserve"> individually </w:t>
      </w:r>
      <w:r w:rsidR="000B6750" w:rsidRPr="0099119A">
        <w:t>n</w:t>
      </w:r>
      <w:r w:rsidRPr="0099119A">
        <w:t xml:space="preserve">otified of the tower as proposed, prior to construction, because the Fort Ransom Tower is less than one mile from </w:t>
      </w:r>
      <w:r w:rsidR="000B6750" w:rsidRPr="0099119A">
        <w:t>both</w:t>
      </w:r>
      <w:r w:rsidRPr="0099119A">
        <w:t xml:space="preserve"> the Sheyenne River Valley National Scenic Byway and the North Country Trail.</w:t>
      </w:r>
      <w:r w:rsidRPr="0099119A">
        <w:rPr>
          <w:rStyle w:val="FootnoteReference"/>
        </w:rPr>
        <w:footnoteReference w:id="36"/>
      </w:r>
      <w:r w:rsidRPr="0099119A">
        <w:t xml:space="preserve">  Judith L. Morris further alleges that “neither the City nor the surrounding community received proper notification”</w:t>
      </w:r>
      <w:r w:rsidRPr="0099119A">
        <w:rPr>
          <w:rStyle w:val="FootnoteReference"/>
        </w:rPr>
        <w:footnoteReference w:id="37"/>
      </w:r>
      <w:r w:rsidRPr="0099119A">
        <w:t xml:space="preserve"> of the then-proposed tower.</w:t>
      </w:r>
      <w:r w:rsidRPr="0099119A">
        <w:rPr>
          <w:rStyle w:val="FootnoteReference"/>
        </w:rPr>
        <w:footnoteReference w:id="38"/>
      </w:r>
      <w:r w:rsidRPr="0099119A">
        <w:t xml:space="preserve"> </w:t>
      </w:r>
      <w:r w:rsidR="00DD4593" w:rsidRPr="0099119A">
        <w:t xml:space="preserve"> </w:t>
      </w:r>
      <w:r w:rsidRPr="0099119A">
        <w:t>Don Busta claims he was never notified about the then-proposed Fort Ransom Tower, which is located “directly across the valley from”</w:t>
      </w:r>
      <w:r w:rsidRPr="0099119A">
        <w:rPr>
          <w:rStyle w:val="FootnoteReference"/>
        </w:rPr>
        <w:footnoteReference w:id="39"/>
      </w:r>
      <w:r w:rsidRPr="0099119A">
        <w:t xml:space="preserve"> his property and which he can see from “top to bottom.”</w:t>
      </w:r>
      <w:r w:rsidRPr="0099119A">
        <w:rPr>
          <w:rStyle w:val="FootnoteReference"/>
        </w:rPr>
        <w:footnoteReference w:id="40"/>
      </w:r>
      <w:r w:rsidRPr="0099119A">
        <w:t xml:space="preserve">  AT&amp;T and Skyway respond that AT&amp;T </w:t>
      </w:r>
      <w:r w:rsidR="00E72D4E" w:rsidRPr="0099119A">
        <w:t>p</w:t>
      </w:r>
      <w:r w:rsidR="00D767F4" w:rsidRPr="0099119A">
        <w:t xml:space="preserve">rovided adequate notice under the Commission’s rules </w:t>
      </w:r>
      <w:r w:rsidR="00E72D4E" w:rsidRPr="0099119A">
        <w:t>and received no complaints until months after construction was completed.</w:t>
      </w:r>
      <w:r w:rsidRPr="0099119A">
        <w:rPr>
          <w:rStyle w:val="FootnoteReference"/>
        </w:rPr>
        <w:footnoteReference w:id="41"/>
      </w:r>
      <w:r w:rsidRPr="0099119A">
        <w:t xml:space="preserve"> </w:t>
      </w:r>
      <w:r w:rsidR="00D310B9" w:rsidRPr="0099119A">
        <w:t xml:space="preserve">In particular, </w:t>
      </w:r>
      <w:r w:rsidRPr="0099119A">
        <w:t>AT&amp;T claims it satisfied the Commission’s notice rules when it provided local and national public notice.</w:t>
      </w:r>
      <w:r w:rsidRPr="0099119A">
        <w:rPr>
          <w:rStyle w:val="FootnoteReference"/>
        </w:rPr>
        <w:footnoteReference w:id="42"/>
      </w:r>
    </w:p>
    <w:p w14:paraId="5303B497" w14:textId="55E142B0" w:rsidR="007E394D" w:rsidRPr="0099119A" w:rsidRDefault="00130453" w:rsidP="00686217">
      <w:pPr>
        <w:pStyle w:val="ParaNum"/>
      </w:pPr>
      <w:r w:rsidRPr="0099119A">
        <w:t>We reject</w:t>
      </w:r>
      <w:r w:rsidR="00DD4593" w:rsidRPr="0099119A">
        <w:t xml:space="preserve"> the Complainants’</w:t>
      </w:r>
      <w:r w:rsidRPr="0099119A">
        <w:t xml:space="preserve"> assertions that AT&amp;T was required to provide any notice</w:t>
      </w:r>
      <w:r w:rsidR="00DD4593" w:rsidRPr="0099119A">
        <w:t xml:space="preserve"> to the local public or to specific individuals or organizations</w:t>
      </w:r>
      <w:r w:rsidRPr="0099119A">
        <w:t xml:space="preserve"> beyond publication in</w:t>
      </w:r>
      <w:r w:rsidR="00DD4593" w:rsidRPr="0099119A">
        <w:t xml:space="preserve"> the</w:t>
      </w:r>
      <w:r w:rsidRPr="0099119A">
        <w:t xml:space="preserve"> newspaper.  Both the NPA and Section 17.4(c) require publication</w:t>
      </w:r>
      <w:r w:rsidR="00DD4593" w:rsidRPr="0099119A">
        <w:t xml:space="preserve"> of historic preservation and environmental notice, respectively,</w:t>
      </w:r>
      <w:r w:rsidRPr="0099119A">
        <w:t xml:space="preserve"> in a newspaper of general circulation or</w:t>
      </w:r>
      <w:r w:rsidR="00DD4593" w:rsidRPr="0099119A">
        <w:t xml:space="preserve"> by</w:t>
      </w:r>
      <w:r w:rsidRPr="0099119A">
        <w:t xml:space="preserve"> other appropriate means.  The record shows that AT&amp;T satisfied these requirements</w:t>
      </w:r>
      <w:r w:rsidR="00D5083E" w:rsidRPr="0099119A">
        <w:t xml:space="preserve"> through publication in the local newspaper</w:t>
      </w:r>
      <w:r w:rsidRPr="0099119A">
        <w:t>.</w:t>
      </w:r>
      <w:r w:rsidR="00D5083E" w:rsidRPr="0099119A">
        <w:rPr>
          <w:rStyle w:val="FootnoteReference"/>
        </w:rPr>
        <w:footnoteReference w:id="43"/>
      </w:r>
      <w:r w:rsidRPr="0099119A">
        <w:t xml:space="preserve">  Neither the NPA nor Section 17.4(c) requires any additional notice to individuals in the community or to local organizations.</w:t>
      </w:r>
      <w:r w:rsidRPr="0099119A">
        <w:rPr>
          <w:rStyle w:val="FootnoteReference"/>
        </w:rPr>
        <w:footnoteReference w:id="44"/>
      </w:r>
      <w:r w:rsidRPr="0099119A">
        <w:t xml:space="preserve">  </w:t>
      </w:r>
      <w:r w:rsidR="00DD4593" w:rsidRPr="0099119A">
        <w:t>While</w:t>
      </w:r>
      <w:r w:rsidR="007E394D" w:rsidRPr="0099119A">
        <w:t xml:space="preserve"> Judith L. Morris and NCTA make reference to </w:t>
      </w:r>
      <w:r w:rsidR="007E394D" w:rsidRPr="0099119A">
        <w:rPr>
          <w:i/>
        </w:rPr>
        <w:t xml:space="preserve">The Siting of Wireless Telecommunications Facilities </w:t>
      </w:r>
      <w:r w:rsidR="00536FB0" w:rsidRPr="0099119A">
        <w:rPr>
          <w:i/>
        </w:rPr>
        <w:t>n</w:t>
      </w:r>
      <w:r w:rsidR="007E394D" w:rsidRPr="0099119A">
        <w:rPr>
          <w:i/>
        </w:rPr>
        <w:t>ear National Scenic Trails</w:t>
      </w:r>
      <w:r w:rsidR="007E394D" w:rsidRPr="0099119A">
        <w:t xml:space="preserve"> (Scenic Trails Resolution),</w:t>
      </w:r>
      <w:r w:rsidR="00DD4593" w:rsidRPr="0099119A">
        <w:rPr>
          <w:rStyle w:val="FootnoteReference"/>
        </w:rPr>
        <w:footnoteReference w:id="45"/>
      </w:r>
      <w:r w:rsidR="007E394D" w:rsidRPr="0099119A">
        <w:t xml:space="preserve"> an</w:t>
      </w:r>
      <w:r w:rsidR="00DD4593" w:rsidRPr="0099119A">
        <w:t xml:space="preserve"> October 1999</w:t>
      </w:r>
      <w:r w:rsidR="007E394D" w:rsidRPr="0099119A">
        <w:t xml:space="preserve"> agreement between two industry trade associations and several organizations devoted to trail preservation, </w:t>
      </w:r>
      <w:r w:rsidR="00DD4593" w:rsidRPr="0099119A">
        <w:t>the Scenic Trails Resolution imposes no legal obligation on AT&amp;T.  The Scenic Trails Resolution</w:t>
      </w:r>
      <w:r w:rsidR="007E394D" w:rsidRPr="0099119A">
        <w:t xml:space="preserve"> contains a</w:t>
      </w:r>
      <w:r w:rsidR="00DD4593" w:rsidRPr="0099119A">
        <w:t>n</w:t>
      </w:r>
      <w:r w:rsidR="007E394D" w:rsidRPr="0099119A">
        <w:t xml:space="preserve"> early notification provision pursuant to which “wireless telecommunications carriers and site management companies…are strongly encouraged to contact the appropriate Managing and Supporting Trail Organization…as early as possible in the siting process</w:t>
      </w:r>
      <w:r w:rsidR="00DD4593" w:rsidRPr="0099119A">
        <w:t>,</w:t>
      </w:r>
      <w:r w:rsidR="007E394D" w:rsidRPr="0099119A">
        <w:t>”</w:t>
      </w:r>
      <w:r w:rsidR="007E394D" w:rsidRPr="0099119A">
        <w:rPr>
          <w:rStyle w:val="FootnoteReference"/>
        </w:rPr>
        <w:footnoteReference w:id="46"/>
      </w:r>
      <w:r w:rsidR="007E394D" w:rsidRPr="0099119A">
        <w:t xml:space="preserve"> </w:t>
      </w:r>
      <w:r w:rsidR="00DD4593" w:rsidRPr="0099119A">
        <w:t>but this</w:t>
      </w:r>
      <w:r w:rsidR="007E394D" w:rsidRPr="0099119A">
        <w:t xml:space="preserve"> guideline</w:t>
      </w:r>
      <w:r w:rsidR="00DD4593" w:rsidRPr="0099119A">
        <w:t xml:space="preserve"> is</w:t>
      </w:r>
      <w:r w:rsidR="007E394D" w:rsidRPr="0099119A">
        <w:t xml:space="preserve"> expressly voluntary.</w:t>
      </w:r>
      <w:r w:rsidR="004D4585" w:rsidRPr="0099119A">
        <w:rPr>
          <w:rStyle w:val="FootnoteReference"/>
        </w:rPr>
        <w:footnoteReference w:id="47"/>
      </w:r>
      <w:r w:rsidR="007E394D" w:rsidRPr="0099119A">
        <w:t xml:space="preserve">  Additionally,</w:t>
      </w:r>
      <w:r w:rsidR="00DD4593" w:rsidRPr="0099119A">
        <w:t xml:space="preserve"> the Scenic Trails Resolution is not incorporated in the Commission’s rules, and</w:t>
      </w:r>
      <w:r w:rsidR="007E394D" w:rsidRPr="0099119A">
        <w:t xml:space="preserve"> AT&amp;T is not a signatory to the Scenic Trails Resolution.</w:t>
      </w:r>
      <w:r w:rsidR="00093C7B" w:rsidRPr="0099119A">
        <w:rPr>
          <w:rStyle w:val="FootnoteReference"/>
        </w:rPr>
        <w:footnoteReference w:id="48"/>
      </w:r>
    </w:p>
    <w:p w14:paraId="5033F9BE" w14:textId="77777777" w:rsidR="009F206C" w:rsidRPr="0099119A" w:rsidRDefault="009F206C" w:rsidP="00686217">
      <w:pPr>
        <w:pStyle w:val="ParaNum"/>
      </w:pPr>
      <w:r w:rsidRPr="0099119A">
        <w:t>Sheyenne and Judith L. Morris</w:t>
      </w:r>
      <w:r w:rsidR="00093C7B" w:rsidRPr="0099119A">
        <w:t xml:space="preserve"> also</w:t>
      </w:r>
      <w:r w:rsidRPr="0099119A">
        <w:t xml:space="preserve"> question whether AT&amp;T complied with the Commi</w:t>
      </w:r>
      <w:r w:rsidR="00093C7B" w:rsidRPr="0099119A">
        <w:t>ssion’s requirement</w:t>
      </w:r>
      <w:r w:rsidRPr="0099119A">
        <w:t xml:space="preserve"> to contact</w:t>
      </w:r>
      <w:r w:rsidR="00093C7B" w:rsidRPr="0099119A">
        <w:t xml:space="preserve"> the</w:t>
      </w:r>
      <w:r w:rsidRPr="0099119A">
        <w:t xml:space="preserve"> local government</w:t>
      </w:r>
      <w:r w:rsidR="00093C7B" w:rsidRPr="0099119A">
        <w:t xml:space="preserve"> as part of</w:t>
      </w:r>
      <w:r w:rsidRPr="0099119A">
        <w:t xml:space="preserve"> the Section 106 process.</w:t>
      </w:r>
      <w:r w:rsidRPr="0099119A">
        <w:rPr>
          <w:rStyle w:val="FootnoteReference"/>
        </w:rPr>
        <w:footnoteReference w:id="49"/>
      </w:r>
      <w:r w:rsidRPr="0099119A">
        <w:t xml:space="preserve">  </w:t>
      </w:r>
      <w:r w:rsidR="00093C7B" w:rsidRPr="0099119A">
        <w:t>The NPA requires applicants to provide written notice to “the local government that has primary land use jurisdiction over the site,”</w:t>
      </w:r>
      <w:r w:rsidR="00093C7B" w:rsidRPr="0099119A">
        <w:rPr>
          <w:rStyle w:val="FootnoteReference"/>
        </w:rPr>
        <w:footnoteReference w:id="50"/>
      </w:r>
      <w:r w:rsidR="00093C7B" w:rsidRPr="0099119A">
        <w:t xml:space="preserve"> which in this case is the City of Fort Ransom (City).  </w:t>
      </w:r>
      <w:r w:rsidRPr="0099119A">
        <w:t>AT&amp;T</w:t>
      </w:r>
      <w:r w:rsidR="00093C7B" w:rsidRPr="0099119A">
        <w:t>’s NEPA Report</w:t>
      </w:r>
      <w:r w:rsidRPr="0099119A">
        <w:t xml:space="preserve"> doc</w:t>
      </w:r>
      <w:r w:rsidR="00040A37" w:rsidRPr="0099119A">
        <w:t>ument</w:t>
      </w:r>
      <w:r w:rsidR="00093C7B" w:rsidRPr="0099119A">
        <w:t>s that its consultant</w:t>
      </w:r>
      <w:r w:rsidR="00040A37" w:rsidRPr="0099119A">
        <w:t xml:space="preserve"> </w:t>
      </w:r>
      <w:r w:rsidR="00093C7B" w:rsidRPr="0099119A">
        <w:t>wrote to</w:t>
      </w:r>
      <w:r w:rsidR="00040A37" w:rsidRPr="0099119A">
        <w:t xml:space="preserve"> t</w:t>
      </w:r>
      <w:r w:rsidRPr="0099119A">
        <w:t xml:space="preserve">he City </w:t>
      </w:r>
      <w:r w:rsidR="00093C7B" w:rsidRPr="0099119A">
        <w:t>using</w:t>
      </w:r>
      <w:r w:rsidRPr="0099119A">
        <w:t xml:space="preserve"> an email address that Sheyenne believes may be a “tourism hotline email [address].”</w:t>
      </w:r>
      <w:r w:rsidRPr="0099119A">
        <w:rPr>
          <w:rStyle w:val="FootnoteReference"/>
        </w:rPr>
        <w:footnoteReference w:id="51"/>
      </w:r>
      <w:r w:rsidRPr="0099119A">
        <w:t xml:space="preserve">  The record does not establish</w:t>
      </w:r>
      <w:r w:rsidR="00093C7B" w:rsidRPr="0099119A">
        <w:t>, however,</w:t>
      </w:r>
      <w:r w:rsidRPr="0099119A">
        <w:t xml:space="preserve"> that the email address AT&amp;T used was, in fact, incorrect or that AT&amp;T should have used a different email or other address to contact the </w:t>
      </w:r>
      <w:r w:rsidR="00093C7B" w:rsidRPr="0099119A">
        <w:t>C</w:t>
      </w:r>
      <w:r w:rsidRPr="0099119A">
        <w:t xml:space="preserve">ity.  Further, the </w:t>
      </w:r>
      <w:r w:rsidR="00093C7B" w:rsidRPr="0099119A">
        <w:t>C</w:t>
      </w:r>
      <w:r w:rsidRPr="0099119A">
        <w:t>ity has not complained about lack of written notice under the NPA.</w:t>
      </w:r>
    </w:p>
    <w:p w14:paraId="7500D5A5" w14:textId="6B837586" w:rsidR="0069019F" w:rsidRPr="0099119A" w:rsidRDefault="00040A37" w:rsidP="00686217">
      <w:pPr>
        <w:pStyle w:val="ParaNum"/>
      </w:pPr>
      <w:r w:rsidRPr="0099119A">
        <w:t xml:space="preserve">We do observe, however, that AT&amp;T fell short of the notice requirements in Section 17.4(c) and the NPA in several </w:t>
      </w:r>
      <w:r w:rsidR="009B4951" w:rsidRPr="0099119A">
        <w:t>respects</w:t>
      </w:r>
      <w:r w:rsidRPr="0099119A">
        <w:t>.  First, the NPA notices did not include a street address, as required by the NPA</w:t>
      </w:r>
      <w:r w:rsidR="009B4951" w:rsidRPr="0099119A">
        <w:t>.</w:t>
      </w:r>
      <w:r w:rsidR="009B4951" w:rsidRPr="0099119A">
        <w:rPr>
          <w:rStyle w:val="FootnoteReference"/>
        </w:rPr>
        <w:footnoteReference w:id="52"/>
      </w:r>
      <w:r w:rsidR="009B4951" w:rsidRPr="0099119A">
        <w:t xml:space="preserve">  Instead</w:t>
      </w:r>
      <w:r w:rsidRPr="0099119A">
        <w:t>, AT&amp;T described the location of the then-proposed tower as “near the intersection of Sorby Hill Rd and Valley Rd, Fort Ransom, ND 58033</w:t>
      </w:r>
      <w:r w:rsidR="009B4951" w:rsidRPr="0099119A">
        <w:t>.</w:t>
      </w:r>
      <w:r w:rsidRPr="0099119A">
        <w:t>”</w:t>
      </w:r>
      <w:r w:rsidR="00552B9A" w:rsidRPr="0099119A">
        <w:rPr>
          <w:rStyle w:val="FootnoteReference"/>
        </w:rPr>
        <w:footnoteReference w:id="53"/>
      </w:r>
      <w:r w:rsidRPr="0099119A">
        <w:t xml:space="preserve">  We note that a street address was, in fact, available, as it was included in AT&amp;T’s July 23, 2012 local public notice pursuant to the Commission’s </w:t>
      </w:r>
      <w:r w:rsidR="00D5083E" w:rsidRPr="0099119A">
        <w:t>ASR</w:t>
      </w:r>
      <w:r w:rsidRPr="0099119A">
        <w:t xml:space="preserve"> rules.   </w:t>
      </w:r>
    </w:p>
    <w:p w14:paraId="3C112329" w14:textId="77777777" w:rsidR="006A4DBB" w:rsidRPr="0099119A" w:rsidRDefault="0069019F" w:rsidP="00686217">
      <w:pPr>
        <w:pStyle w:val="ParaNum"/>
      </w:pPr>
      <w:r w:rsidRPr="0099119A">
        <w:t xml:space="preserve">In addition, both notices were untimely.  </w:t>
      </w:r>
      <w:r w:rsidR="006A4DBB" w:rsidRPr="0099119A">
        <w:t xml:space="preserve">First, the NPA requires applicants to provide local public notice </w:t>
      </w:r>
      <w:r w:rsidR="009B4951" w:rsidRPr="0099119A">
        <w:t>of their</w:t>
      </w:r>
      <w:r w:rsidR="006A4DBB" w:rsidRPr="0099119A">
        <w:t xml:space="preserve"> proposed tower</w:t>
      </w:r>
      <w:r w:rsidR="009B4951" w:rsidRPr="0099119A">
        <w:t>s</w:t>
      </w:r>
      <w:r w:rsidR="006A4DBB" w:rsidRPr="0099119A">
        <w:t xml:space="preserve"> on or before the date on which the applicant submits its FCC Form 620 to, in this case, the SHPO, thereby giving the SHPO the opportunity to consider any public comments generated by the local public notice during the SHPO’s own period of </w:t>
      </w:r>
      <w:r w:rsidR="009B4951" w:rsidRPr="0099119A">
        <w:t>review</w:t>
      </w:r>
      <w:r w:rsidR="006A4DBB" w:rsidRPr="0099119A">
        <w:t>.</w:t>
      </w:r>
      <w:r w:rsidR="006A4DBB" w:rsidRPr="0099119A">
        <w:rPr>
          <w:rStyle w:val="FootnoteReference"/>
        </w:rPr>
        <w:footnoteReference w:id="54"/>
      </w:r>
      <w:r w:rsidR="006A4DBB" w:rsidRPr="0099119A">
        <w:t xml:space="preserve">  AT&amp;T published local public notice describing the proposed towe</w:t>
      </w:r>
      <w:r w:rsidR="009B4F34" w:rsidRPr="0099119A">
        <w:t xml:space="preserve">r and inviting public comments </w:t>
      </w:r>
      <w:r w:rsidR="006A4DBB" w:rsidRPr="0099119A">
        <w:t>with respect to</w:t>
      </w:r>
      <w:r w:rsidR="009B4F34" w:rsidRPr="0099119A">
        <w:t xml:space="preserve"> its</w:t>
      </w:r>
      <w:r w:rsidR="006A4DBB" w:rsidRPr="0099119A">
        <w:t xml:space="preserve"> potential effects on historic propert</w:t>
      </w:r>
      <w:r w:rsidR="009B4F34" w:rsidRPr="0099119A">
        <w:t>ies</w:t>
      </w:r>
      <w:r w:rsidR="006A4DBB" w:rsidRPr="0099119A">
        <w:t xml:space="preserve"> in </w:t>
      </w:r>
      <w:r w:rsidR="006A4DBB" w:rsidRPr="0099119A">
        <w:rPr>
          <w:i/>
        </w:rPr>
        <w:t>The Ransom County Gazette</w:t>
      </w:r>
      <w:r w:rsidR="006A4DBB" w:rsidRPr="0099119A">
        <w:t xml:space="preserve"> on April 30, May 7, and May 14, 2012</w:t>
      </w:r>
      <w:r w:rsidR="00560317" w:rsidRPr="0099119A">
        <w:t>.</w:t>
      </w:r>
      <w:r w:rsidR="006A4DBB" w:rsidRPr="0099119A">
        <w:rPr>
          <w:rStyle w:val="FootnoteReference"/>
        </w:rPr>
        <w:footnoteReference w:id="55"/>
      </w:r>
      <w:r w:rsidR="006A4DBB" w:rsidRPr="0099119A">
        <w:t xml:space="preserve"> </w:t>
      </w:r>
      <w:r w:rsidR="00560317" w:rsidRPr="0099119A">
        <w:t xml:space="preserve"> However, </w:t>
      </w:r>
      <w:r w:rsidR="006A4DBB" w:rsidRPr="0099119A">
        <w:t xml:space="preserve">it failed to </w:t>
      </w:r>
      <w:r w:rsidR="009B4F34" w:rsidRPr="0099119A">
        <w:t xml:space="preserve">publish this notice on </w:t>
      </w:r>
      <w:r w:rsidR="006A4DBB" w:rsidRPr="0099119A">
        <w:t xml:space="preserve">or before the date on which </w:t>
      </w:r>
      <w:r w:rsidR="009B4F34" w:rsidRPr="0099119A">
        <w:t>it</w:t>
      </w:r>
      <w:r w:rsidR="006A4DBB" w:rsidRPr="0099119A">
        <w:t xml:space="preserve"> submitted its FCC Form 620 to the NDSHPO, </w:t>
      </w:r>
      <w:r w:rsidR="009B4F34" w:rsidRPr="0099119A">
        <w:t>Ap</w:t>
      </w:r>
      <w:r w:rsidR="006A4DBB" w:rsidRPr="0099119A">
        <w:t xml:space="preserve">ril 22, 2012.  </w:t>
      </w:r>
    </w:p>
    <w:p w14:paraId="787EBE6C" w14:textId="47514A1E" w:rsidR="0069019F" w:rsidRPr="0099119A" w:rsidRDefault="006A4DBB" w:rsidP="00686217">
      <w:pPr>
        <w:pStyle w:val="ParaNum"/>
      </w:pPr>
      <w:r w:rsidRPr="0099119A">
        <w:t>Second, t</w:t>
      </w:r>
      <w:r w:rsidR="0069019F" w:rsidRPr="0099119A">
        <w:t>he Commission’s rules require a prospective ASR applicant to provide local public notice containing specific details about the proposed tower</w:t>
      </w:r>
      <w:r w:rsidR="009B4F34" w:rsidRPr="0099119A">
        <w:t xml:space="preserve"> and instructions for filing requests for further environmental review</w:t>
      </w:r>
      <w:r w:rsidR="0069019F" w:rsidRPr="0099119A">
        <w:t xml:space="preserve"> “through publication in a newspaper of general circulation or other appropriate means</w:t>
      </w:r>
      <w:r w:rsidR="009B4F34" w:rsidRPr="0099119A">
        <w:t>.</w:t>
      </w:r>
      <w:r w:rsidR="0069019F" w:rsidRPr="0099119A">
        <w:t>”</w:t>
      </w:r>
      <w:r w:rsidR="0069019F" w:rsidRPr="0099119A">
        <w:rPr>
          <w:rStyle w:val="FootnoteReference"/>
        </w:rPr>
        <w:footnoteReference w:id="56"/>
      </w:r>
      <w:r w:rsidR="0069019F" w:rsidRPr="0099119A">
        <w:rPr>
          <w:rStyle w:val="FootnoteReference"/>
        </w:rPr>
        <w:t xml:space="preserve"> </w:t>
      </w:r>
      <w:r w:rsidR="009B4F34" w:rsidRPr="0099119A">
        <w:rPr>
          <w:rStyle w:val="FootnoteReference"/>
        </w:rPr>
        <w:t xml:space="preserve"> </w:t>
      </w:r>
      <w:r w:rsidR="009B4F34" w:rsidRPr="0099119A">
        <w:t>O</w:t>
      </w:r>
      <w:r w:rsidR="0069019F" w:rsidRPr="0099119A">
        <w:t xml:space="preserve">n or after the date on which </w:t>
      </w:r>
      <w:r w:rsidR="009B4F34" w:rsidRPr="0099119A">
        <w:t>local</w:t>
      </w:r>
      <w:r w:rsidR="0069019F" w:rsidRPr="0099119A">
        <w:t xml:space="preserve"> notice is published</w:t>
      </w:r>
      <w:r w:rsidR="009B4F34" w:rsidRPr="0099119A">
        <w:t>, the Commission posts notification of the proposed construction on its website.</w:t>
      </w:r>
      <w:r w:rsidR="009B4F34" w:rsidRPr="0099119A">
        <w:rPr>
          <w:rStyle w:val="FootnoteReference"/>
        </w:rPr>
        <w:footnoteReference w:id="57"/>
      </w:r>
      <w:r w:rsidR="009B4F34" w:rsidRPr="0099119A">
        <w:t xml:space="preserve">  This national environmental notice remains on</w:t>
      </w:r>
      <w:r w:rsidR="0069019F" w:rsidRPr="0099119A">
        <w:t xml:space="preserve"> the Commission’s website </w:t>
      </w:r>
      <w:r w:rsidR="009B4F34" w:rsidRPr="0099119A">
        <w:t>for</w:t>
      </w:r>
      <w:r w:rsidR="0069019F" w:rsidRPr="0099119A">
        <w:t xml:space="preserve"> 30 day</w:t>
      </w:r>
      <w:r w:rsidR="009B4F34" w:rsidRPr="0099119A">
        <w:t>s, after</w:t>
      </w:r>
      <w:r w:rsidR="0069019F" w:rsidRPr="0099119A">
        <w:t xml:space="preserve"> which interested members of the public may</w:t>
      </w:r>
      <w:r w:rsidR="009B4F34" w:rsidRPr="0099119A">
        <w:t xml:space="preserve"> no longer</w:t>
      </w:r>
      <w:r w:rsidR="0069019F" w:rsidRPr="0099119A">
        <w:t xml:space="preserve"> submit requests for further environmental review.</w:t>
      </w:r>
      <w:r w:rsidR="0069019F" w:rsidRPr="0099119A">
        <w:rPr>
          <w:rStyle w:val="FootnoteReference"/>
        </w:rPr>
        <w:footnoteReference w:id="58"/>
      </w:r>
      <w:r w:rsidR="009B4F34" w:rsidRPr="0099119A">
        <w:t xml:space="preserve">  Thus,</w:t>
      </w:r>
      <w:r w:rsidR="005E25A1" w:rsidRPr="0099119A">
        <w:t xml:space="preserve"> in order to ensure compliance with these timing provisions,</w:t>
      </w:r>
      <w:r w:rsidR="009B4F34" w:rsidRPr="0099119A">
        <w:t xml:space="preserve"> the applicant must publish local notice on or before the date on which it requests that the Commission publish national notice, and the applicant is required to </w:t>
      </w:r>
      <w:r w:rsidR="00302BE8" w:rsidRPr="0099119A">
        <w:t xml:space="preserve">inform the FCC that it supplied the required local notice </w:t>
      </w:r>
      <w:r w:rsidR="009B4F34" w:rsidRPr="0099119A">
        <w:t>when it completes its application.</w:t>
      </w:r>
      <w:r w:rsidR="009B4F34" w:rsidRPr="0099119A">
        <w:rPr>
          <w:rStyle w:val="FootnoteReference"/>
        </w:rPr>
        <w:footnoteReference w:id="59"/>
      </w:r>
      <w:r w:rsidR="0069019F" w:rsidRPr="0099119A">
        <w:t xml:space="preserve">  </w:t>
      </w:r>
      <w:r w:rsidR="005E25A1" w:rsidRPr="0099119A">
        <w:t>Although AT&amp;T</w:t>
      </w:r>
      <w:r w:rsidR="00302BE8" w:rsidRPr="0099119A">
        <w:t>’s application included this information, as well as a general</w:t>
      </w:r>
      <w:r w:rsidR="005E25A1" w:rsidRPr="0099119A">
        <w:t xml:space="preserve"> certifi</w:t>
      </w:r>
      <w:r w:rsidR="00302BE8" w:rsidRPr="0099119A">
        <w:t>cation that all information in the application is “true, complete, correct, and made in good faith,”</w:t>
      </w:r>
      <w:r w:rsidR="005E25A1" w:rsidRPr="0099119A">
        <w:t xml:space="preserve"> it in fact</w:t>
      </w:r>
      <w:r w:rsidR="0069019F" w:rsidRPr="0099119A">
        <w:t xml:space="preserve"> published local public notice p</w:t>
      </w:r>
      <w:r w:rsidR="005E25A1" w:rsidRPr="0099119A">
        <w:t>ursuant to the Commission’s ASR</w:t>
      </w:r>
      <w:r w:rsidR="0069019F" w:rsidRPr="0099119A">
        <w:t xml:space="preserve"> rules on July 23, 2012.</w:t>
      </w:r>
      <w:r w:rsidR="0069019F" w:rsidRPr="0099119A">
        <w:rPr>
          <w:rStyle w:val="FootnoteReference"/>
        </w:rPr>
        <w:footnoteReference w:id="60"/>
      </w:r>
      <w:r w:rsidR="0069019F" w:rsidRPr="0099119A">
        <w:t xml:space="preserve">  </w:t>
      </w:r>
      <w:r w:rsidR="005E25A1" w:rsidRPr="0099119A">
        <w:t>B</w:t>
      </w:r>
      <w:r w:rsidR="0069019F" w:rsidRPr="0099119A">
        <w:t>ecause th</w:t>
      </w:r>
      <w:r w:rsidR="005E25A1" w:rsidRPr="0099119A">
        <w:t>e national public notice</w:t>
      </w:r>
      <w:r w:rsidR="0069019F" w:rsidRPr="0099119A">
        <w:t xml:space="preserve"> was published</w:t>
      </w:r>
      <w:r w:rsidR="005E25A1" w:rsidRPr="0099119A">
        <w:t xml:space="preserve"> at AT&amp;T’s request</w:t>
      </w:r>
      <w:r w:rsidR="0069019F" w:rsidRPr="0099119A">
        <w:t xml:space="preserve"> on July 17, 2012, six days prior to the publication of local public notice, </w:t>
      </w:r>
      <w:r w:rsidR="006B3612" w:rsidRPr="0099119A">
        <w:t>the public comment period remained open for only 24 days following local notice – not 30 or more days, as would be the case in a fully compliant scenario.</w:t>
      </w:r>
    </w:p>
    <w:p w14:paraId="315C2FF8" w14:textId="20FA14FD" w:rsidR="00040A37" w:rsidRPr="0099119A" w:rsidRDefault="00713557" w:rsidP="001749A5">
      <w:pPr>
        <w:pStyle w:val="ParaNum"/>
      </w:pPr>
      <w:r w:rsidRPr="0099119A">
        <w:t xml:space="preserve">Under the circumstances of this case, we find that these procedural defects, while significant, do not invalidate AT&amp;T’s review.  While the Section 106 notice did not contain a street address, it accurately described the tower’s location, and there is no evidence that the lack of a street address misled any potential commenter.  Furthermore, there is no evidence that any party attempted to file a comment or request for review within 30 days of either notice but was prevented from doing so.  </w:t>
      </w:r>
      <w:r w:rsidR="007A3000" w:rsidRPr="0099119A">
        <w:t>While not an excuse, we note</w:t>
      </w:r>
      <w:r w:rsidR="007E5F53">
        <w:t xml:space="preserve"> that</w:t>
      </w:r>
      <w:r w:rsidR="007A3000" w:rsidRPr="0099119A">
        <w:t xml:space="preserve"> the applicable environmental notification rules had been in place for less than a month at the time AT&amp;T began the ASR application process for the Fort Ransom Tower, and we have no reason to believe that AT&amp;T or any other party is systematically providing untimely notices.  All the same, w</w:t>
      </w:r>
      <w:r w:rsidRPr="0099119A">
        <w:t>e caution AT&amp;T and other applicants that full compliance with the content and timing provisions of these notice procedures is required under the Commission’s rules.  Under appropriate circumstances, failure to comply may lead to invalidation of the review and/or enforcement action.</w:t>
      </w:r>
      <w:r w:rsidR="007A3000" w:rsidRPr="0099119A">
        <w:t xml:space="preserve">  </w:t>
      </w:r>
    </w:p>
    <w:p w14:paraId="38A904F3" w14:textId="2985656A" w:rsidR="00511D68" w:rsidRPr="0099119A" w:rsidRDefault="00511D68" w:rsidP="00686217">
      <w:pPr>
        <w:pStyle w:val="ParaNum"/>
        <w:rPr>
          <w:rFonts w:eastAsiaTheme="minorHAnsi"/>
        </w:rPr>
      </w:pPr>
      <w:r w:rsidRPr="0099119A">
        <w:rPr>
          <w:rFonts w:eastAsiaTheme="minorHAnsi"/>
        </w:rPr>
        <w:t>Therefore</w:t>
      </w:r>
      <w:r w:rsidRPr="0099119A">
        <w:t>, the Division d</w:t>
      </w:r>
      <w:r w:rsidR="00CF7850" w:rsidRPr="0099119A">
        <w:t>enies</w:t>
      </w:r>
      <w:r w:rsidRPr="0099119A">
        <w:t xml:space="preserve"> the Complainants’ complaint</w:t>
      </w:r>
      <w:r w:rsidR="00F24F5A" w:rsidRPr="0099119A">
        <w:t>s to the extent they</w:t>
      </w:r>
      <w:r w:rsidRPr="0099119A">
        <w:t xml:space="preserve"> alleg</w:t>
      </w:r>
      <w:r w:rsidR="00F24F5A" w:rsidRPr="0099119A">
        <w:t>e</w:t>
      </w:r>
      <w:r w:rsidRPr="0099119A">
        <w:t xml:space="preserve"> </w:t>
      </w:r>
      <w:r w:rsidR="00A67389" w:rsidRPr="0099119A">
        <w:t>that</w:t>
      </w:r>
      <w:r w:rsidRPr="0099119A">
        <w:t xml:space="preserve"> public notice</w:t>
      </w:r>
      <w:r w:rsidR="00A67389" w:rsidRPr="0099119A">
        <w:t xml:space="preserve"> of the Fort </w:t>
      </w:r>
      <w:r w:rsidR="00A67389" w:rsidRPr="0099119A">
        <w:rPr>
          <w:rFonts w:eastAsiaTheme="minorHAnsi"/>
        </w:rPr>
        <w:t>Ransom</w:t>
      </w:r>
      <w:r w:rsidR="00A67389" w:rsidRPr="0099119A">
        <w:t xml:space="preserve"> Tower was insufficient under the Commission’s</w:t>
      </w:r>
      <w:r w:rsidR="00F24F5A" w:rsidRPr="0099119A">
        <w:t xml:space="preserve"> rules </w:t>
      </w:r>
      <w:r w:rsidR="00A67389" w:rsidRPr="0099119A">
        <w:t>or that individual</w:t>
      </w:r>
      <w:r w:rsidR="00F24F5A" w:rsidRPr="0099119A">
        <w:t xml:space="preserve"> notice </w:t>
      </w:r>
      <w:r w:rsidR="00A67389" w:rsidRPr="0099119A">
        <w:t>should have been</w:t>
      </w:r>
      <w:r w:rsidR="00F24F5A" w:rsidRPr="0099119A">
        <w:t xml:space="preserve"> </w:t>
      </w:r>
      <w:r w:rsidR="00F24F5A" w:rsidRPr="0099119A">
        <w:rPr>
          <w:rFonts w:eastAsiaTheme="minorHAnsi"/>
        </w:rPr>
        <w:t>provided</w:t>
      </w:r>
      <w:r w:rsidR="00F24F5A" w:rsidRPr="0099119A">
        <w:t xml:space="preserve"> to </w:t>
      </w:r>
      <w:r w:rsidR="00A67389" w:rsidRPr="0099119A">
        <w:t>specific</w:t>
      </w:r>
      <w:r w:rsidR="00F24F5A" w:rsidRPr="0099119A">
        <w:t xml:space="preserve"> entities.  However, the Division </w:t>
      </w:r>
      <w:r w:rsidR="00221DA0" w:rsidRPr="0099119A">
        <w:t xml:space="preserve">emphasizes the importance of full compliance and expects </w:t>
      </w:r>
      <w:r w:rsidRPr="0099119A">
        <w:t>AT&amp;T and all other applicants to</w:t>
      </w:r>
      <w:r w:rsidR="002F05A7" w:rsidRPr="0099119A">
        <w:t xml:space="preserve"> adhere to</w:t>
      </w:r>
      <w:r w:rsidRPr="0099119A">
        <w:t xml:space="preserve"> the Commission’s public notice rules in both substance and procedure in the future.</w:t>
      </w:r>
      <w:r w:rsidR="00302BE8" w:rsidRPr="0099119A">
        <w:t xml:space="preserve">  </w:t>
      </w:r>
    </w:p>
    <w:p w14:paraId="472FBF89" w14:textId="77777777" w:rsidR="00A67389" w:rsidRPr="0099119A" w:rsidRDefault="00A67389" w:rsidP="00A67389">
      <w:pPr>
        <w:pStyle w:val="Heading2"/>
      </w:pPr>
      <w:bookmarkStart w:id="24" w:name="_Toc431475795"/>
      <w:bookmarkStart w:id="25" w:name="_Toc432664621"/>
      <w:r w:rsidRPr="0099119A">
        <w:t>Section 106 Review</w:t>
      </w:r>
      <w:bookmarkEnd w:id="24"/>
      <w:bookmarkEnd w:id="25"/>
    </w:p>
    <w:p w14:paraId="0DD3BBC5" w14:textId="18C9C010" w:rsidR="00584313" w:rsidRPr="0099119A" w:rsidRDefault="005A3264" w:rsidP="00686217">
      <w:pPr>
        <w:pStyle w:val="ParaNum"/>
      </w:pPr>
      <w:r w:rsidRPr="0099119A">
        <w:t>Sheyenne, Judith L. Morris, and NCTA</w:t>
      </w:r>
      <w:r w:rsidR="00584313" w:rsidRPr="0099119A">
        <w:t xml:space="preserve"> complain that AT&amp;T failed properly</w:t>
      </w:r>
      <w:r w:rsidR="004A3081" w:rsidRPr="0099119A">
        <w:t xml:space="preserve"> to</w:t>
      </w:r>
      <w:r w:rsidR="00584313" w:rsidRPr="0099119A">
        <w:t xml:space="preserve"> review the tower’s visual effects on historic properties, including the T.J. Walker Historic District, King/Pyramid Hill, the Sheyenne River Valley National Scenic Byway, and the North Country Scenic Trail.</w:t>
      </w:r>
      <w:r w:rsidR="00584313" w:rsidRPr="0099119A">
        <w:rPr>
          <w:rStyle w:val="FootnoteReference"/>
        </w:rPr>
        <w:footnoteReference w:id="61"/>
      </w:r>
      <w:r w:rsidR="005E4DD8" w:rsidRPr="0099119A">
        <w:t xml:space="preserve"> Judith L. Morris</w:t>
      </w:r>
      <w:r w:rsidR="00584313" w:rsidRPr="0099119A">
        <w:t xml:space="preserve"> states that the T.J. Walker Historic District is within the tower’s APE</w:t>
      </w:r>
      <w:r w:rsidR="004A3081" w:rsidRPr="0099119A">
        <w:t>,</w:t>
      </w:r>
      <w:r w:rsidR="00584313" w:rsidRPr="0099119A">
        <w:t xml:space="preserve"> and</w:t>
      </w:r>
      <w:r w:rsidR="004A3081" w:rsidRPr="0099119A">
        <w:t xml:space="preserve"> she</w:t>
      </w:r>
      <w:r w:rsidR="00584313" w:rsidRPr="0099119A">
        <w:t xml:space="preserve"> disputes the assertions in AT&amp;T’s NEPA Report that the tower would not be “generally visible” from within the historic district </w:t>
      </w:r>
      <w:r w:rsidR="004A3081" w:rsidRPr="0099119A">
        <w:t>or</w:t>
      </w:r>
      <w:r w:rsidR="00584313" w:rsidRPr="0099119A">
        <w:t xml:space="preserve"> “visible” from structures within the district.</w:t>
      </w:r>
      <w:r w:rsidR="00584313" w:rsidRPr="0099119A">
        <w:rPr>
          <w:rStyle w:val="FootnoteReference"/>
        </w:rPr>
        <w:footnoteReference w:id="62"/>
      </w:r>
      <w:r w:rsidR="00584313" w:rsidRPr="0099119A">
        <w:t xml:space="preserve">  Sheyenne questions AT&amp;T’s use of a radius of three quarters of a mile from the tower site to search for visual effects.</w:t>
      </w:r>
      <w:r w:rsidR="00584313" w:rsidRPr="0099119A">
        <w:rPr>
          <w:rStyle w:val="FootnoteReference"/>
        </w:rPr>
        <w:footnoteReference w:id="63"/>
      </w:r>
      <w:r w:rsidR="00584313" w:rsidRPr="0099119A">
        <w:t xml:space="preserve"> AT&amp;T responds that the complaints are untimely and argues that it met the Commission’s requirements for historic preservation review</w:t>
      </w:r>
      <w:r w:rsidR="004A3081" w:rsidRPr="0099119A">
        <w:t xml:space="preserve"> when it</w:t>
      </w:r>
      <w:r w:rsidR="00584313" w:rsidRPr="0099119A">
        <w:t xml:space="preserve"> submitt</w:t>
      </w:r>
      <w:r w:rsidR="002C6112" w:rsidRPr="0099119A">
        <w:t>ed</w:t>
      </w:r>
      <w:r w:rsidR="00584313" w:rsidRPr="0099119A">
        <w:t xml:space="preserve"> its </w:t>
      </w:r>
      <w:r w:rsidR="00055F6F" w:rsidRPr="0099119A">
        <w:t>Section 106</w:t>
      </w:r>
      <w:r w:rsidR="004A3081" w:rsidRPr="0099119A">
        <w:t xml:space="preserve"> Submission</w:t>
      </w:r>
      <w:r w:rsidR="00055F6F" w:rsidRPr="0099119A">
        <w:t xml:space="preserve"> Packet</w:t>
      </w:r>
      <w:r w:rsidR="00584313" w:rsidRPr="0099119A">
        <w:t xml:space="preserve"> </w:t>
      </w:r>
      <w:r w:rsidR="004A3081" w:rsidRPr="0099119A">
        <w:t>to the NDSHPO</w:t>
      </w:r>
      <w:r w:rsidR="00584313" w:rsidRPr="0099119A">
        <w:t>.</w:t>
      </w:r>
      <w:r w:rsidR="00584313" w:rsidRPr="0099119A">
        <w:rPr>
          <w:rStyle w:val="FootnoteReference"/>
        </w:rPr>
        <w:footnoteReference w:id="64"/>
      </w:r>
      <w:r w:rsidR="00584313" w:rsidRPr="0099119A">
        <w:t xml:space="preserve">  </w:t>
      </w:r>
    </w:p>
    <w:p w14:paraId="0ED7359C" w14:textId="77777777" w:rsidR="00E14492" w:rsidRPr="0099119A" w:rsidRDefault="00584313" w:rsidP="00686217">
      <w:pPr>
        <w:pStyle w:val="ParaNum"/>
      </w:pPr>
      <w:r w:rsidRPr="0099119A">
        <w:t xml:space="preserve">Section </w:t>
      </w:r>
      <w:r w:rsidR="004A3081" w:rsidRPr="0099119A">
        <w:t>1.</w:t>
      </w:r>
      <w:r w:rsidRPr="0099119A">
        <w:t>1307(a)(4) of the Commission’s rules implements the N</w:t>
      </w:r>
      <w:r w:rsidR="00892BE6" w:rsidRPr="0099119A">
        <w:t>HPA</w:t>
      </w:r>
      <w:r w:rsidRPr="0099119A">
        <w:t xml:space="preserve"> </w:t>
      </w:r>
      <w:r w:rsidR="004A3081" w:rsidRPr="0099119A">
        <w:t>by</w:t>
      </w:r>
      <w:r w:rsidRPr="0099119A">
        <w:t xml:space="preserve"> requir</w:t>
      </w:r>
      <w:r w:rsidR="004A3081" w:rsidRPr="0099119A">
        <w:t>ing</w:t>
      </w:r>
      <w:r w:rsidRPr="0099119A">
        <w:t xml:space="preserve"> applicants to consider the effects of proposed </w:t>
      </w:r>
      <w:r w:rsidR="0026336B" w:rsidRPr="0099119A">
        <w:t>Federal un</w:t>
      </w:r>
      <w:r w:rsidR="00892BE6" w:rsidRPr="0099119A">
        <w:t xml:space="preserve">dertakings </w:t>
      </w:r>
      <w:r w:rsidRPr="0099119A">
        <w:t xml:space="preserve">on historic and cultural </w:t>
      </w:r>
      <w:r w:rsidR="004A3081" w:rsidRPr="0099119A">
        <w:t>properties</w:t>
      </w:r>
      <w:r w:rsidRPr="0099119A">
        <w:t xml:space="preserve"> that are listed or eligible for listing in the National Register of Historic Places.</w:t>
      </w:r>
      <w:r w:rsidRPr="0099119A">
        <w:rPr>
          <w:rStyle w:val="FootnoteReference"/>
        </w:rPr>
        <w:footnoteReference w:id="65"/>
      </w:r>
      <w:r w:rsidRPr="0099119A">
        <w:t xml:space="preserve">  </w:t>
      </w:r>
      <w:r w:rsidR="00A314AD" w:rsidRPr="0099119A">
        <w:t>The Commission has deemed the grant of an ASR application to be a Federal undertaking.</w:t>
      </w:r>
      <w:r w:rsidR="00A314AD" w:rsidRPr="0099119A">
        <w:rPr>
          <w:rStyle w:val="FootnoteReference"/>
        </w:rPr>
        <w:footnoteReference w:id="66"/>
      </w:r>
      <w:r w:rsidR="004A3081" w:rsidRPr="0099119A">
        <w:t xml:space="preserve">  In order to complete Section 106 review</w:t>
      </w:r>
      <w:r w:rsidR="00E14492" w:rsidRPr="0099119A">
        <w:t xml:space="preserve"> under the NHPA, the applicant is required to follow the procedures set forth in the NPA, which is incorporated in</w:t>
      </w:r>
      <w:r w:rsidR="00302BE8" w:rsidRPr="0099119A">
        <w:t>to</w:t>
      </w:r>
      <w:r w:rsidR="00E14492" w:rsidRPr="0099119A">
        <w:t xml:space="preserve"> the Commission’s rules.</w:t>
      </w:r>
      <w:r w:rsidR="00E14492" w:rsidRPr="0099119A">
        <w:rPr>
          <w:rStyle w:val="FootnoteReference"/>
        </w:rPr>
        <w:footnoteReference w:id="67"/>
      </w:r>
      <w:r w:rsidR="00930738" w:rsidRPr="0099119A">
        <w:t xml:space="preserve">  The NPA streamlines and tailors the Section 106 review process specifically for proposed new towers.</w:t>
      </w:r>
    </w:p>
    <w:p w14:paraId="71304842" w14:textId="77777777" w:rsidR="00584313" w:rsidRPr="0099119A" w:rsidRDefault="00584313" w:rsidP="00686217">
      <w:pPr>
        <w:pStyle w:val="ParaNum"/>
      </w:pPr>
      <w:r w:rsidRPr="0099119A">
        <w:t xml:space="preserve">The NPA requires applicants </w:t>
      </w:r>
      <w:r w:rsidR="00EC2CB0" w:rsidRPr="0099119A">
        <w:t xml:space="preserve">proposing to construct new towers </w:t>
      </w:r>
      <w:r w:rsidRPr="0099119A">
        <w:t>to define</w:t>
      </w:r>
      <w:r w:rsidR="00930738" w:rsidRPr="0099119A">
        <w:t xml:space="preserve"> separate</w:t>
      </w:r>
      <w:r w:rsidRPr="0099119A">
        <w:t xml:space="preserve"> APE</w:t>
      </w:r>
      <w:r w:rsidR="00E14492" w:rsidRPr="0099119A">
        <w:t>s</w:t>
      </w:r>
      <w:r w:rsidRPr="0099119A">
        <w:t xml:space="preserve"> </w:t>
      </w:r>
      <w:r w:rsidR="0026336B" w:rsidRPr="0099119A">
        <w:t xml:space="preserve">for </w:t>
      </w:r>
      <w:r w:rsidRPr="0099119A">
        <w:t xml:space="preserve">direct and visual effects and </w:t>
      </w:r>
      <w:r w:rsidR="00EC2CB0" w:rsidRPr="0099119A">
        <w:t xml:space="preserve">to </w:t>
      </w:r>
      <w:r w:rsidRPr="0099119A">
        <w:t xml:space="preserve">identify potentially impacted historic or cultural properties within both APEs in a Section 106 </w:t>
      </w:r>
      <w:r w:rsidR="002C6112" w:rsidRPr="0099119A">
        <w:t>S</w:t>
      </w:r>
      <w:r w:rsidRPr="0099119A">
        <w:t xml:space="preserve">ubmission </w:t>
      </w:r>
      <w:r w:rsidR="002C6112" w:rsidRPr="0099119A">
        <w:t>P</w:t>
      </w:r>
      <w:r w:rsidRPr="0099119A">
        <w:t>acket provided to the relevant SHPO or Tribal Historic Preservation Officer (THPO), as appropriate.</w:t>
      </w:r>
      <w:r w:rsidRPr="0099119A">
        <w:rPr>
          <w:rStyle w:val="FootnoteReference"/>
        </w:rPr>
        <w:footnoteReference w:id="68"/>
      </w:r>
      <w:r w:rsidRPr="0099119A">
        <w:t xml:space="preserve">  The APE for direct effects is limited to the area of potential ground disturbance and any property that might be physically altered or destroyed.</w:t>
      </w:r>
      <w:r w:rsidRPr="0099119A">
        <w:rPr>
          <w:rStyle w:val="FootnoteReference"/>
        </w:rPr>
        <w:footnoteReference w:id="69"/>
      </w:r>
      <w:r w:rsidRPr="0099119A">
        <w:t xml:space="preserve">  The APE for visual effects is “the geographic area in which” the </w:t>
      </w:r>
      <w:r w:rsidR="00020E70" w:rsidRPr="0099119A">
        <w:t xml:space="preserve">proposed </w:t>
      </w:r>
      <w:r w:rsidRPr="0099119A">
        <w:t>tower “has the potential to introduce visual elements that diminish or alter the setting, including the landscape, where the setting is a character-defining feature of a Historic Property that makes it eligible for listing on the National Register.”</w:t>
      </w:r>
      <w:r w:rsidRPr="0099119A">
        <w:rPr>
          <w:rStyle w:val="FootnoteReference"/>
        </w:rPr>
        <w:footnoteReference w:id="70"/>
      </w:r>
      <w:r w:rsidRPr="0099119A">
        <w:t xml:space="preserve">  For a 320</w:t>
      </w:r>
      <w:r w:rsidR="00C802CE" w:rsidRPr="0099119A">
        <w:t>-</w:t>
      </w:r>
      <w:r w:rsidRPr="0099119A">
        <w:t>foot tall tower like the Fort Ransom Tower, the APE for visual effects is presumed to be three quarters of a mile from the tower site unless otherwise established through consultation with the SHPO or THPO.</w:t>
      </w:r>
      <w:r w:rsidRPr="0099119A">
        <w:rPr>
          <w:rStyle w:val="FootnoteReference"/>
        </w:rPr>
        <w:footnoteReference w:id="71"/>
      </w:r>
      <w:r w:rsidRPr="0099119A">
        <w:t xml:space="preserve">  No other APE for visual effects for the</w:t>
      </w:r>
      <w:r w:rsidR="00020E70" w:rsidRPr="0099119A">
        <w:t xml:space="preserve"> then-proposed</w:t>
      </w:r>
      <w:r w:rsidRPr="0099119A">
        <w:t xml:space="preserve"> Fort Ransom Tower was established </w:t>
      </w:r>
      <w:r w:rsidR="00020E70" w:rsidRPr="0099119A">
        <w:t>in this case</w:t>
      </w:r>
      <w:r w:rsidRPr="0099119A">
        <w:t>.</w:t>
      </w:r>
    </w:p>
    <w:p w14:paraId="6450FAB8" w14:textId="77777777" w:rsidR="00055F6F" w:rsidRPr="0099119A" w:rsidRDefault="00584313" w:rsidP="00686217">
      <w:pPr>
        <w:pStyle w:val="ParaNum"/>
      </w:pPr>
      <w:r w:rsidRPr="0099119A">
        <w:t xml:space="preserve">In its Section 106 </w:t>
      </w:r>
      <w:r w:rsidR="00E14492" w:rsidRPr="0099119A">
        <w:t>S</w:t>
      </w:r>
      <w:r w:rsidRPr="0099119A">
        <w:t xml:space="preserve">ubmission </w:t>
      </w:r>
      <w:r w:rsidR="00E14492" w:rsidRPr="0099119A">
        <w:t>P</w:t>
      </w:r>
      <w:r w:rsidRPr="0099119A">
        <w:t>acket, AT&amp;T found no direct effect on historic properties in</w:t>
      </w:r>
      <w:r w:rsidR="001E56D1" w:rsidRPr="0099119A">
        <w:t xml:space="preserve"> either</w:t>
      </w:r>
      <w:r w:rsidRPr="0099119A">
        <w:t xml:space="preserve"> the APE </w:t>
      </w:r>
      <w:r w:rsidR="00823F78" w:rsidRPr="0099119A">
        <w:t xml:space="preserve">for direct effects </w:t>
      </w:r>
      <w:r w:rsidR="001E56D1" w:rsidRPr="0099119A">
        <w:t>or</w:t>
      </w:r>
      <w:r w:rsidRPr="0099119A">
        <w:t xml:space="preserve"> the APE</w:t>
      </w:r>
      <w:r w:rsidR="00823F78" w:rsidRPr="0099119A">
        <w:t xml:space="preserve"> for visual effects</w:t>
      </w:r>
      <w:r w:rsidRPr="0099119A">
        <w:t>.</w:t>
      </w:r>
      <w:r w:rsidRPr="0099119A">
        <w:rPr>
          <w:rStyle w:val="FootnoteReference"/>
        </w:rPr>
        <w:footnoteReference w:id="72"/>
      </w:r>
      <w:r w:rsidRPr="0099119A">
        <w:t xml:space="preserve">  AT&amp;T identified the T.J. Walker Historic District </w:t>
      </w:r>
      <w:r w:rsidR="00823F78" w:rsidRPr="0099119A">
        <w:t xml:space="preserve">as a historic property </w:t>
      </w:r>
      <w:r w:rsidRPr="0099119A">
        <w:t>in the APE for visual effe</w:t>
      </w:r>
      <w:r w:rsidR="00E630BC" w:rsidRPr="0099119A">
        <w:t>cts, but found that the tower would have</w:t>
      </w:r>
      <w:r w:rsidRPr="0099119A">
        <w:t xml:space="preserve"> no visua</w:t>
      </w:r>
      <w:r w:rsidR="00E630BC" w:rsidRPr="0099119A">
        <w:t>l effect</w:t>
      </w:r>
      <w:r w:rsidRPr="0099119A">
        <w:t xml:space="preserve"> on </w:t>
      </w:r>
      <w:r w:rsidR="00823F78" w:rsidRPr="0099119A">
        <w:t xml:space="preserve">it </w:t>
      </w:r>
      <w:r w:rsidRPr="0099119A">
        <w:t>because trees and terrain were expected to obstruct the view of the tower.</w:t>
      </w:r>
      <w:r w:rsidRPr="0099119A">
        <w:rPr>
          <w:rStyle w:val="FootnoteReference"/>
        </w:rPr>
        <w:footnoteReference w:id="73"/>
      </w:r>
      <w:r w:rsidRPr="0099119A">
        <w:t xml:space="preserve">  AT&amp;T</w:t>
      </w:r>
      <w:r w:rsidR="001E56D1" w:rsidRPr="0099119A">
        <w:t xml:space="preserve"> further searched both the National Register and</w:t>
      </w:r>
      <w:r w:rsidRPr="0099119A">
        <w:t xml:space="preserve"> the NDSHPO’s records</w:t>
      </w:r>
      <w:r w:rsidR="001E56D1" w:rsidRPr="0099119A">
        <w:t>, as required under the NPA</w:t>
      </w:r>
      <w:r w:rsidRPr="0099119A">
        <w:t>,</w:t>
      </w:r>
      <w:r w:rsidR="001E56D1" w:rsidRPr="0099119A">
        <w:rPr>
          <w:rStyle w:val="FootnoteReference"/>
        </w:rPr>
        <w:footnoteReference w:id="74"/>
      </w:r>
      <w:r w:rsidRPr="0099119A">
        <w:t xml:space="preserve"> </w:t>
      </w:r>
      <w:r w:rsidR="001E56D1" w:rsidRPr="0099119A">
        <w:t>and did not identify</w:t>
      </w:r>
      <w:r w:rsidRPr="0099119A">
        <w:t xml:space="preserve"> </w:t>
      </w:r>
      <w:r w:rsidR="00823F78" w:rsidRPr="0099119A">
        <w:t xml:space="preserve">King/Pyramid Hill as a </w:t>
      </w:r>
      <w:r w:rsidRPr="0099119A">
        <w:t>property</w:t>
      </w:r>
      <w:r w:rsidR="001E56D1" w:rsidRPr="0099119A">
        <w:t xml:space="preserve"> that was</w:t>
      </w:r>
      <w:r w:rsidR="00823F78" w:rsidRPr="0099119A">
        <w:t xml:space="preserve"> listed or</w:t>
      </w:r>
      <w:r w:rsidR="001E56D1" w:rsidRPr="0099119A">
        <w:t xml:space="preserve"> had been determined</w:t>
      </w:r>
      <w:r w:rsidR="00823F78" w:rsidRPr="0099119A">
        <w:t xml:space="preserve"> eligible for listing</w:t>
      </w:r>
      <w:r w:rsidRPr="0099119A">
        <w:t>.</w:t>
      </w:r>
      <w:r w:rsidR="001E56D1" w:rsidRPr="0099119A">
        <w:rPr>
          <w:rStyle w:val="FootnoteReference"/>
        </w:rPr>
        <w:footnoteReference w:id="75"/>
      </w:r>
      <w:r w:rsidR="001E56D1" w:rsidRPr="0099119A">
        <w:t xml:space="preserve"> </w:t>
      </w:r>
      <w:r w:rsidRPr="0099119A">
        <w:t xml:space="preserve"> Letters from Tribal Nations </w:t>
      </w:r>
      <w:r w:rsidR="006E3C9D" w:rsidRPr="0099119A">
        <w:t>contacted through TCNS</w:t>
      </w:r>
      <w:r w:rsidRPr="0099119A">
        <w:t xml:space="preserve"> state that the then-proposed tower would have no impact on </w:t>
      </w:r>
      <w:r w:rsidR="00E14492" w:rsidRPr="0099119A">
        <w:t>historic properties of cultural or religious significance to them</w:t>
      </w:r>
      <w:r w:rsidR="006E3C9D" w:rsidRPr="0099119A">
        <w:t xml:space="preserve"> in the area where AT&amp;T proposed to build the tower</w:t>
      </w:r>
      <w:r w:rsidRPr="0099119A">
        <w:t>.</w:t>
      </w:r>
      <w:r w:rsidRPr="0099119A">
        <w:rPr>
          <w:rStyle w:val="FootnoteReference"/>
        </w:rPr>
        <w:footnoteReference w:id="76"/>
      </w:r>
      <w:r w:rsidRPr="0099119A">
        <w:t xml:space="preserve">  </w:t>
      </w:r>
      <w:r w:rsidR="008D68FD" w:rsidRPr="0099119A">
        <w:t xml:space="preserve">Additionally, there is no evidence in the record establishing that either the </w:t>
      </w:r>
      <w:r w:rsidRPr="0099119A">
        <w:t xml:space="preserve">Sheyenne River Valley National Scenic </w:t>
      </w:r>
      <w:r w:rsidR="004B734F" w:rsidRPr="0099119A">
        <w:t>By</w:t>
      </w:r>
      <w:r w:rsidRPr="0099119A">
        <w:t xml:space="preserve">way </w:t>
      </w:r>
      <w:r w:rsidR="008D68FD" w:rsidRPr="0099119A">
        <w:t xml:space="preserve">or </w:t>
      </w:r>
      <w:r w:rsidRPr="0099119A">
        <w:t xml:space="preserve">the North Country Scenic Trail </w:t>
      </w:r>
      <w:r w:rsidR="008D68FD" w:rsidRPr="0099119A">
        <w:t>is</w:t>
      </w:r>
      <w:r w:rsidRPr="0099119A">
        <w:t xml:space="preserve"> </w:t>
      </w:r>
      <w:r w:rsidR="008D68FD" w:rsidRPr="0099119A">
        <w:t>listed or</w:t>
      </w:r>
      <w:r w:rsidR="004B734F" w:rsidRPr="0099119A">
        <w:t xml:space="preserve"> has been determined</w:t>
      </w:r>
      <w:r w:rsidR="008D68FD" w:rsidRPr="0099119A">
        <w:t xml:space="preserve"> eligible for listing on the National Register of Historic Places.  Therefore, AT&amp;T was not required</w:t>
      </w:r>
      <w:r w:rsidR="004B734F" w:rsidRPr="0099119A">
        <w:t xml:space="preserve"> under the NPA</w:t>
      </w:r>
      <w:r w:rsidR="008D68FD" w:rsidRPr="0099119A">
        <w:t xml:space="preserve"> to determine whether either was within the APE for visual effects and, if so, whether the proposed Fort Ransom Tower would have a visual effect</w:t>
      </w:r>
      <w:r w:rsidR="00BA14F1" w:rsidRPr="0099119A">
        <w:t xml:space="preserve"> on either </w:t>
      </w:r>
      <w:r w:rsidR="004B734F" w:rsidRPr="0099119A">
        <w:t>property</w:t>
      </w:r>
      <w:r w:rsidR="008D68FD" w:rsidRPr="0099119A">
        <w:t>.</w:t>
      </w:r>
      <w:r w:rsidR="00E630BC" w:rsidRPr="0099119A">
        <w:t xml:space="preserve">  </w:t>
      </w:r>
      <w:r w:rsidR="002524B2" w:rsidRPr="0099119A">
        <w:t>N</w:t>
      </w:r>
      <w:r w:rsidR="00061E0E" w:rsidRPr="0099119A">
        <w:t>o timely public comment questioning or challenging these determinations w</w:t>
      </w:r>
      <w:r w:rsidR="00BA14F1" w:rsidRPr="0099119A">
        <w:t>as</w:t>
      </w:r>
      <w:r w:rsidR="00061E0E" w:rsidRPr="0099119A">
        <w:t xml:space="preserve"> received,</w:t>
      </w:r>
      <w:r w:rsidR="00E630BC" w:rsidRPr="0099119A">
        <w:t xml:space="preserve"> </w:t>
      </w:r>
      <w:r w:rsidR="00E14492" w:rsidRPr="0099119A">
        <w:t>either during the SHPO’s review or within 30 days after AT&amp;T provided</w:t>
      </w:r>
      <w:r w:rsidR="00061E0E" w:rsidRPr="0099119A">
        <w:t xml:space="preserve"> public notice.</w:t>
      </w:r>
      <w:r w:rsidR="00055F6F" w:rsidRPr="0099119A">
        <w:t xml:space="preserve">  </w:t>
      </w:r>
      <w:r w:rsidR="001F48CD" w:rsidRPr="0099119A">
        <w:t>Based on AT&amp;T’s Submission Packet and the lack of public comment, t</w:t>
      </w:r>
      <w:r w:rsidR="001E56D1" w:rsidRPr="0099119A">
        <w:t>he NDSHPO concurred with AT&amp;T’s “No Historic Properties Affected” determination</w:t>
      </w:r>
      <w:r w:rsidR="004B734F" w:rsidRPr="0099119A">
        <w:t>,</w:t>
      </w:r>
      <w:r w:rsidR="001E56D1" w:rsidRPr="0099119A">
        <w:rPr>
          <w:rStyle w:val="FootnoteReference"/>
        </w:rPr>
        <w:footnoteReference w:id="77"/>
      </w:r>
      <w:r w:rsidR="004B734F" w:rsidRPr="0099119A">
        <w:t xml:space="preserve"> and this concurrence concluded the review process under the NPA.</w:t>
      </w:r>
      <w:r w:rsidR="004B734F" w:rsidRPr="0099119A">
        <w:rPr>
          <w:rStyle w:val="FootnoteReference"/>
        </w:rPr>
        <w:footnoteReference w:id="78"/>
      </w:r>
      <w:r w:rsidR="001E56D1" w:rsidRPr="0099119A">
        <w:t xml:space="preserve">  </w:t>
      </w:r>
      <w:r w:rsidR="004B734F" w:rsidRPr="0099119A">
        <w:t>In sum, t</w:t>
      </w:r>
      <w:r w:rsidR="000269FD" w:rsidRPr="0099119A">
        <w:t xml:space="preserve">he record does not support a finding that the applicant </w:t>
      </w:r>
      <w:r w:rsidR="004B734F" w:rsidRPr="0099119A">
        <w:t>committed any material error or omission in completing the Section 106 process prescribed under the NPA that precluded the NDSHPO’s effective review.</w:t>
      </w:r>
      <w:r w:rsidR="004B734F" w:rsidRPr="0099119A">
        <w:rPr>
          <w:rStyle w:val="FootnoteReference"/>
        </w:rPr>
        <w:footnoteReference w:id="79"/>
      </w:r>
      <w:r w:rsidR="004B734F" w:rsidRPr="0099119A">
        <w:t xml:space="preserve">  We therefore do not reopen the NDSHPO’s contemporaneous final determination that no historic properties were affected.</w:t>
      </w:r>
    </w:p>
    <w:p w14:paraId="11AF50AB" w14:textId="77777777" w:rsidR="00584313" w:rsidRPr="0099119A" w:rsidRDefault="008612EF" w:rsidP="00686217">
      <w:pPr>
        <w:pStyle w:val="ParaNum"/>
      </w:pPr>
      <w:r w:rsidRPr="0099119A">
        <w:rPr>
          <w:rFonts w:eastAsiaTheme="minorHAnsi"/>
        </w:rPr>
        <w:t>Accordingly</w:t>
      </w:r>
      <w:r w:rsidR="00055F6F" w:rsidRPr="0099119A">
        <w:t xml:space="preserve">, </w:t>
      </w:r>
      <w:r w:rsidR="72974432" w:rsidRPr="0099119A">
        <w:t>the Division denies the complaints to the extent they allege</w:t>
      </w:r>
      <w:r w:rsidR="00055F6F" w:rsidRPr="0099119A">
        <w:t xml:space="preserve"> that AT&amp;T failed adequately</w:t>
      </w:r>
      <w:r w:rsidR="00E14492" w:rsidRPr="0099119A">
        <w:t xml:space="preserve"> to</w:t>
      </w:r>
      <w:r w:rsidR="00055F6F" w:rsidRPr="0099119A">
        <w:t xml:space="preserve"> </w:t>
      </w:r>
      <w:r w:rsidR="00055F6F" w:rsidRPr="0099119A">
        <w:rPr>
          <w:rFonts w:eastAsiaTheme="minorHAnsi"/>
        </w:rPr>
        <w:t>assess</w:t>
      </w:r>
      <w:r w:rsidR="00055F6F" w:rsidRPr="0099119A">
        <w:t xml:space="preserve"> the Fort Ransom Tower’s effects on historic and cultural properties</w:t>
      </w:r>
      <w:r w:rsidR="006E3C9D" w:rsidRPr="0099119A">
        <w:t xml:space="preserve"> within the appropriate AP</w:t>
      </w:r>
      <w:r w:rsidR="72974432" w:rsidRPr="0099119A">
        <w:t>E</w:t>
      </w:r>
      <w:r w:rsidR="15599D8E" w:rsidRPr="0099119A">
        <w:t>.</w:t>
      </w:r>
    </w:p>
    <w:p w14:paraId="0DB67236" w14:textId="77777777" w:rsidR="008612EF" w:rsidRPr="0099119A" w:rsidRDefault="008612EF" w:rsidP="008612EF">
      <w:pPr>
        <w:pStyle w:val="Heading2"/>
      </w:pPr>
      <w:bookmarkStart w:id="26" w:name="_Toc431475796"/>
      <w:bookmarkStart w:id="27" w:name="_Toc432664622"/>
      <w:r w:rsidRPr="0099119A">
        <w:t>Environmental Review</w:t>
      </w:r>
      <w:bookmarkEnd w:id="26"/>
      <w:bookmarkEnd w:id="27"/>
    </w:p>
    <w:p w14:paraId="2B483D09" w14:textId="08008B52" w:rsidR="00AE6918" w:rsidRPr="0099119A" w:rsidRDefault="00932774" w:rsidP="00686217">
      <w:pPr>
        <w:pStyle w:val="ParaNum"/>
      </w:pPr>
      <w:r w:rsidRPr="0099119A">
        <w:t xml:space="preserve">In addition to effects on historic properties, Complainants also raise environmental concerns about the tower’s visual effects.  </w:t>
      </w:r>
      <w:r w:rsidR="00C84636" w:rsidRPr="0099119A">
        <w:t>Judith L. Morris</w:t>
      </w:r>
      <w:r w:rsidR="00805546" w:rsidRPr="0099119A">
        <w:t xml:space="preserve"> </w:t>
      </w:r>
      <w:r w:rsidR="00AE6918" w:rsidRPr="0099119A">
        <w:t xml:space="preserve">argues that </w:t>
      </w:r>
      <w:r w:rsidR="00A5361B" w:rsidRPr="0099119A">
        <w:t xml:space="preserve">AT&amp;T should have been required to </w:t>
      </w:r>
      <w:r w:rsidRPr="0099119A">
        <w:t>prepare</w:t>
      </w:r>
      <w:r w:rsidR="00A5361B" w:rsidRPr="0099119A">
        <w:t xml:space="preserve"> </w:t>
      </w:r>
      <w:r w:rsidR="00AE6918" w:rsidRPr="0099119A">
        <w:t>an EA pursuant to Section 1.1308(a) of the Commission’s rules because</w:t>
      </w:r>
      <w:r w:rsidR="00BA14F1" w:rsidRPr="0099119A">
        <w:t>,</w:t>
      </w:r>
      <w:r w:rsidR="00AE6918" w:rsidRPr="0099119A">
        <w:t xml:space="preserve"> she</w:t>
      </w:r>
      <w:r w:rsidR="00A5361B" w:rsidRPr="0099119A">
        <w:t xml:space="preserve"> believes</w:t>
      </w:r>
      <w:r w:rsidR="00BA14F1" w:rsidRPr="0099119A">
        <w:t>,</w:t>
      </w:r>
      <w:r w:rsidR="00A5361B" w:rsidRPr="0099119A">
        <w:t xml:space="preserve"> </w:t>
      </w:r>
      <w:r w:rsidR="00AE6918" w:rsidRPr="0099119A">
        <w:t>the tower may have a</w:t>
      </w:r>
      <w:r w:rsidR="005F52F1" w:rsidRPr="0099119A">
        <w:t xml:space="preserve"> significant effect </w:t>
      </w:r>
      <w:r w:rsidR="00AE6918" w:rsidRPr="0099119A">
        <w:t>upon the local environment</w:t>
      </w:r>
      <w:r w:rsidRPr="0099119A">
        <w:t xml:space="preserve"> due its “location at the edge of a pristine, untouched, and historic valley.”</w:t>
      </w:r>
      <w:r w:rsidR="00AE6918" w:rsidRPr="0099119A">
        <w:rPr>
          <w:rStyle w:val="FootnoteReference"/>
        </w:rPr>
        <w:footnoteReference w:id="80"/>
      </w:r>
      <w:r w:rsidR="009F5D99" w:rsidRPr="0099119A">
        <w:t xml:space="preserve">  Don Busta </w:t>
      </w:r>
      <w:r w:rsidRPr="0099119A">
        <w:t>contends</w:t>
      </w:r>
      <w:r w:rsidR="009F5D99" w:rsidRPr="0099119A">
        <w:t xml:space="preserve"> that the tower</w:t>
      </w:r>
      <w:r w:rsidR="00650BE7" w:rsidRPr="0099119A">
        <w:t xml:space="preserve"> takes away from the scenic view of the valley.</w:t>
      </w:r>
      <w:r w:rsidR="00650BE7" w:rsidRPr="0099119A">
        <w:rPr>
          <w:rStyle w:val="FootnoteReference"/>
        </w:rPr>
        <w:footnoteReference w:id="81"/>
      </w:r>
      <w:r w:rsidR="00650BE7" w:rsidRPr="0099119A">
        <w:t xml:space="preserve"> </w:t>
      </w:r>
      <w:r w:rsidR="007E5F53">
        <w:t xml:space="preserve"> </w:t>
      </w:r>
      <w:r w:rsidR="00650BE7" w:rsidRPr="0099119A">
        <w:t>NCTA claims the tower dominates the “viewscape” from the North Country Scenic Trail</w:t>
      </w:r>
      <w:r w:rsidRPr="0099119A">
        <w:t>.</w:t>
      </w:r>
      <w:r w:rsidR="00650BE7" w:rsidRPr="0099119A">
        <w:rPr>
          <w:rStyle w:val="FootnoteReference"/>
        </w:rPr>
        <w:footnoteReference w:id="82"/>
      </w:r>
      <w:r w:rsidR="00650BE7" w:rsidRPr="0099119A">
        <w:t xml:space="preserve">  Sheyenne says the tower is a detriment to the “scenic intrinsic quality” of the Sheyenne River Valley National Scenic Byway, </w:t>
      </w:r>
      <w:r w:rsidR="00704537" w:rsidRPr="0099119A">
        <w:t>and</w:t>
      </w:r>
      <w:r w:rsidR="00117BA4" w:rsidRPr="0099119A">
        <w:t xml:space="preserve"> </w:t>
      </w:r>
      <w:r w:rsidR="00B02F34" w:rsidRPr="0099119A">
        <w:t>that</w:t>
      </w:r>
      <w:r w:rsidR="00117BA4" w:rsidRPr="0099119A">
        <w:t>,</w:t>
      </w:r>
      <w:r w:rsidRPr="0099119A">
        <w:t xml:space="preserve"> due to its construction</w:t>
      </w:r>
      <w:r w:rsidR="00117BA4" w:rsidRPr="0099119A">
        <w:t>,</w:t>
      </w:r>
      <w:r w:rsidR="00B02F34" w:rsidRPr="0099119A">
        <w:t xml:space="preserve"> tourists will now have </w:t>
      </w:r>
      <w:r w:rsidR="00650BE7" w:rsidRPr="0099119A">
        <w:t>photographs of the tower as m</w:t>
      </w:r>
      <w:r w:rsidR="00B876EB" w:rsidRPr="0099119A">
        <w:t>e</w:t>
      </w:r>
      <w:r w:rsidR="00650BE7" w:rsidRPr="0099119A">
        <w:t>mentos.</w:t>
      </w:r>
      <w:r w:rsidR="00650BE7" w:rsidRPr="0099119A">
        <w:rPr>
          <w:rStyle w:val="FootnoteReference"/>
        </w:rPr>
        <w:footnoteReference w:id="83"/>
      </w:r>
    </w:p>
    <w:p w14:paraId="0D5A5DAF" w14:textId="77777777" w:rsidR="00A06D3C" w:rsidRPr="0099119A" w:rsidRDefault="00A06D3C" w:rsidP="00686217">
      <w:pPr>
        <w:pStyle w:val="ParaNum"/>
        <w:rPr>
          <w:rStyle w:val="ptext-1"/>
        </w:rPr>
      </w:pPr>
      <w:r w:rsidRPr="0099119A">
        <w:t>NEPA requires all federal agencies to identify and consider environmental effects when authorizing or undertaking a major federal action.  Under Council on Environmental Quality (CEQ) rules, an agency shall prepare</w:t>
      </w:r>
      <w:r w:rsidR="00932774" w:rsidRPr="0099119A">
        <w:t xml:space="preserve"> an Environ</w:t>
      </w:r>
      <w:r w:rsidR="001202D6" w:rsidRPr="0099119A">
        <w:t xml:space="preserve">mental Impact Statement (EIS) for any proposed </w:t>
      </w:r>
      <w:r w:rsidR="00903127" w:rsidRPr="0099119A">
        <w:t xml:space="preserve">action that </w:t>
      </w:r>
      <w:r w:rsidR="001202D6" w:rsidRPr="0099119A">
        <w:t>the agency has determined will have a significant effect on the environment.  If a</w:t>
      </w:r>
      <w:r w:rsidRPr="0099119A">
        <w:t xml:space="preserve"> proposed action </w:t>
      </w:r>
      <w:r w:rsidR="00405840" w:rsidRPr="0099119A">
        <w:t xml:space="preserve">falls within a class that the agency has determined </w:t>
      </w:r>
      <w:r w:rsidRPr="0099119A">
        <w:t>may significantly affect the environment</w:t>
      </w:r>
      <w:r w:rsidR="00405840" w:rsidRPr="0099119A">
        <w:t xml:space="preserve">, but will not necessarily have a significant environmental impact, </w:t>
      </w:r>
      <w:r w:rsidRPr="0099119A">
        <w:t xml:space="preserve">the agency </w:t>
      </w:r>
      <w:r w:rsidR="00405840" w:rsidRPr="0099119A">
        <w:t>shall</w:t>
      </w:r>
      <w:r w:rsidR="001202D6" w:rsidRPr="0099119A">
        <w:t xml:space="preserve"> prepare, or delegate preparation of, an EA in order to determine whether an EIS is required.</w:t>
      </w:r>
      <w:r w:rsidRPr="0099119A">
        <w:t xml:space="preserve"> </w:t>
      </w:r>
      <w:r w:rsidR="001202D6" w:rsidRPr="0099119A">
        <w:t xml:space="preserve"> Categories of</w:t>
      </w:r>
      <w:r w:rsidRPr="0099119A">
        <w:t xml:space="preserve"> actions that the agency has identified </w:t>
      </w:r>
      <w:r w:rsidR="001202D6" w:rsidRPr="0099119A">
        <w:t xml:space="preserve">as </w:t>
      </w:r>
      <w:r w:rsidRPr="0099119A">
        <w:t xml:space="preserve">individually </w:t>
      </w:r>
      <w:r w:rsidR="001202D6" w:rsidRPr="0099119A">
        <w:t>and</w:t>
      </w:r>
      <w:r w:rsidRPr="0099119A">
        <w:t xml:space="preserve"> cumulatively unlikely to have a significant effect on the human environment </w:t>
      </w:r>
      <w:r w:rsidR="00405840" w:rsidRPr="0099119A">
        <w:t>are</w:t>
      </w:r>
      <w:r w:rsidRPr="0099119A">
        <w:t xml:space="preserve"> categorically excluded</w:t>
      </w:r>
      <w:r w:rsidR="001202D6" w:rsidRPr="0099119A">
        <w:t xml:space="preserve"> from review</w:t>
      </w:r>
      <w:r w:rsidRPr="0099119A">
        <w:t>.</w:t>
      </w:r>
      <w:r w:rsidRPr="0099119A">
        <w:rPr>
          <w:rStyle w:val="FootnoteReference"/>
        </w:rPr>
        <w:footnoteReference w:id="84"/>
      </w:r>
      <w:r w:rsidRPr="0099119A">
        <w:rPr>
          <w:rStyle w:val="ptext-1"/>
        </w:rPr>
        <w:t> </w:t>
      </w:r>
    </w:p>
    <w:p w14:paraId="5EC8CD20" w14:textId="77777777" w:rsidR="00A06D3C" w:rsidRPr="0099119A" w:rsidRDefault="00A06D3C" w:rsidP="00686217">
      <w:pPr>
        <w:pStyle w:val="ParaNum"/>
      </w:pPr>
      <w:r w:rsidRPr="0099119A">
        <w:t>Sections 1.1307(a) and (b) of the Commission’s rules identify specific circumstances under which communications facilities may significantly affect the environment, and which, if present, require</w:t>
      </w:r>
      <w:r w:rsidR="001202D6" w:rsidRPr="0099119A">
        <w:t xml:space="preserve"> the</w:t>
      </w:r>
      <w:r w:rsidRPr="0099119A">
        <w:t xml:space="preserve"> applicant to prepare an EA for the Commission to evaluate as part of its decision-making process.</w:t>
      </w:r>
      <w:r w:rsidRPr="0099119A">
        <w:rPr>
          <w:rStyle w:val="FootnoteReference"/>
        </w:rPr>
        <w:footnoteReference w:id="85"/>
      </w:r>
      <w:r w:rsidRPr="0099119A">
        <w:t xml:space="preserve">  None of these circumstances</w:t>
      </w:r>
      <w:r w:rsidR="00EC5EF1" w:rsidRPr="0099119A">
        <w:t>, other than potentially significant effects on historic properties,</w:t>
      </w:r>
      <w:r w:rsidR="00EC5EF1" w:rsidRPr="0099119A">
        <w:rPr>
          <w:rStyle w:val="FootnoteReference"/>
        </w:rPr>
        <w:footnoteReference w:id="86"/>
      </w:r>
      <w:r w:rsidRPr="0099119A">
        <w:t xml:space="preserve"> are alleged to be present here.</w:t>
      </w:r>
    </w:p>
    <w:p w14:paraId="58723A90" w14:textId="77777777" w:rsidR="00015826" w:rsidRPr="0099119A" w:rsidRDefault="00A06D3C" w:rsidP="00686217">
      <w:pPr>
        <w:pStyle w:val="ParaNum"/>
      </w:pPr>
      <w:r w:rsidRPr="0099119A">
        <w:t>Except as provided in Sections 1.1307(c) and (d), actions not within the categories for which EAs are required under Sections 1.1307(a) and (b) of the Commission’s rules “are deemed individually and cumulatively to have no significant effect on the quality of the human environment and are categorically excluded from environmental processing.”</w:t>
      </w:r>
      <w:r w:rsidRPr="0099119A">
        <w:rPr>
          <w:rStyle w:val="FootnoteReference"/>
        </w:rPr>
        <w:footnoteReference w:id="87"/>
      </w:r>
      <w:r w:rsidRPr="0099119A">
        <w:t xml:space="preserve">  Under Sections 1.1307(c) and (d), the agency shall require an EA if it determines</w:t>
      </w:r>
      <w:r w:rsidR="00405840" w:rsidRPr="0099119A">
        <w:t>, on its own motion or in response to an allegation by an interested person,</w:t>
      </w:r>
      <w:r w:rsidRPr="0099119A">
        <w:t xml:space="preserve"> that an otherwise categorically excluded action may have a significant environmental impact.</w:t>
      </w:r>
      <w:r w:rsidRPr="0099119A">
        <w:rPr>
          <w:rStyle w:val="FootnoteReference"/>
        </w:rPr>
        <w:footnoteReference w:id="88"/>
      </w:r>
      <w:r w:rsidRPr="0099119A">
        <w:t xml:space="preserve">  The Commission’s environmental notification process for ASR applications provides an opportunity for interested persons to allege that an EA is required under Section 1.1307(c) for otherwise categorically excluded actions.</w:t>
      </w:r>
      <w:r w:rsidRPr="0099119A">
        <w:rPr>
          <w:vertAlign w:val="superscript"/>
        </w:rPr>
        <w:footnoteReference w:id="89"/>
      </w:r>
      <w:r w:rsidRPr="0099119A">
        <w:t xml:space="preserve">  </w:t>
      </w:r>
      <w:r w:rsidR="00850228" w:rsidRPr="0099119A">
        <w:t xml:space="preserve"> </w:t>
      </w:r>
    </w:p>
    <w:p w14:paraId="313D7C68" w14:textId="77777777" w:rsidR="00C16CF6" w:rsidRPr="0099119A" w:rsidRDefault="00F276EE" w:rsidP="00686217">
      <w:pPr>
        <w:pStyle w:val="ParaNum"/>
      </w:pPr>
      <w:r w:rsidRPr="0099119A">
        <w:t xml:space="preserve">Because no timely public comments or objections were received – indeed, public notice was provided in July 2012, and the first of the subject complaints was not submitted until the end of November 2012 - </w:t>
      </w:r>
      <w:r w:rsidR="00405840" w:rsidRPr="0099119A">
        <w:t>we</w:t>
      </w:r>
      <w:r w:rsidRPr="0099119A">
        <w:t xml:space="preserve"> dismiss each complaint as untimely filed</w:t>
      </w:r>
      <w:r w:rsidR="00405840" w:rsidRPr="0099119A">
        <w:t xml:space="preserve"> with respect to claims of potential</w:t>
      </w:r>
      <w:r w:rsidR="00073640" w:rsidRPr="0099119A">
        <w:t>ly</w:t>
      </w:r>
      <w:r w:rsidR="00405840" w:rsidRPr="0099119A">
        <w:t xml:space="preserve"> significant environmental impacts that allegedly require an EA</w:t>
      </w:r>
      <w:r w:rsidRPr="0099119A">
        <w:t xml:space="preserve">. </w:t>
      </w:r>
      <w:r w:rsidR="00405840" w:rsidRPr="0099119A">
        <w:t xml:space="preserve"> As documented in AT&amp;T’s NEPA Report, AT&amp;T performed sufficient research and inquiry to support its conclusion that the then-proposed Fort Ransom </w:t>
      </w:r>
      <w:r w:rsidR="00FC556E" w:rsidRPr="0099119A">
        <w:t>T</w:t>
      </w:r>
      <w:r w:rsidR="00405840" w:rsidRPr="0099119A">
        <w:t>ower would have no significant environmental effects under the criteria listed in Section 1.1307(a) and (b) of the Commission’s rules.</w:t>
      </w:r>
      <w:r w:rsidR="00FC556E" w:rsidRPr="0099119A">
        <w:rPr>
          <w:rStyle w:val="FootnoteReference"/>
        </w:rPr>
        <w:footnoteReference w:id="90"/>
      </w:r>
      <w:r w:rsidR="00405840" w:rsidRPr="0099119A">
        <w:t xml:space="preserve">  </w:t>
      </w:r>
      <w:r w:rsidR="00073640" w:rsidRPr="0099119A">
        <w:t xml:space="preserve">The rules do not require an applicant to consider potential significant environmental impacts that are not listed in Section 1.1307(a) or (b). </w:t>
      </w:r>
    </w:p>
    <w:p w14:paraId="1EDA704F" w14:textId="26B5D4B7" w:rsidR="00AE6918" w:rsidRPr="00A93529" w:rsidRDefault="00073640" w:rsidP="00686217">
      <w:pPr>
        <w:pStyle w:val="ParaNum"/>
        <w:rPr>
          <w:szCs w:val="22"/>
        </w:rPr>
      </w:pPr>
      <w:r w:rsidRPr="007E5F53">
        <w:rPr>
          <w:szCs w:val="22"/>
        </w:rPr>
        <w:t xml:space="preserve"> </w:t>
      </w:r>
      <w:r w:rsidR="00322F07" w:rsidRPr="007E5F53">
        <w:rPr>
          <w:szCs w:val="22"/>
        </w:rPr>
        <w:t xml:space="preserve">We note that </w:t>
      </w:r>
      <w:r w:rsidR="003961B7" w:rsidRPr="007E5F53">
        <w:rPr>
          <w:szCs w:val="22"/>
        </w:rPr>
        <w:t xml:space="preserve">while </w:t>
      </w:r>
      <w:r w:rsidR="00322F07" w:rsidRPr="007E5F53">
        <w:rPr>
          <w:szCs w:val="22"/>
        </w:rPr>
        <w:t>the Commission does not automatically require submission of an EA in cases that may raise aesthetic concerns</w:t>
      </w:r>
      <w:r w:rsidR="003961B7" w:rsidRPr="00A93529">
        <w:rPr>
          <w:szCs w:val="22"/>
        </w:rPr>
        <w:t>, s</w:t>
      </w:r>
      <w:r w:rsidR="00322F07" w:rsidRPr="00A93529">
        <w:rPr>
          <w:szCs w:val="22"/>
        </w:rPr>
        <w:t>uch concerns may be raised as extraordinary circumstances pursuant to Sections 1.1307(c) and (d), and we decide on a case-by-case basis whether the action may have a significant environmental impact so as to require environmental processing.</w:t>
      </w:r>
      <w:r w:rsidR="00322F07" w:rsidRPr="004003D1">
        <w:rPr>
          <w:rStyle w:val="FootnoteReference"/>
          <w:sz w:val="22"/>
        </w:rPr>
        <w:footnoteReference w:id="91"/>
      </w:r>
      <w:r w:rsidR="00322F07" w:rsidRPr="00A93529">
        <w:rPr>
          <w:szCs w:val="22"/>
        </w:rPr>
        <w:t xml:space="preserve">  In addressing such cases, we give considerable weight to any site approval obtained from a local, state, </w:t>
      </w:r>
      <w:r w:rsidR="00322F07" w:rsidRPr="00A93529">
        <w:rPr>
          <w:bCs/>
          <w:szCs w:val="22"/>
        </w:rPr>
        <w:t>or</w:t>
      </w:r>
      <w:r w:rsidR="00322F07" w:rsidRPr="00A93529">
        <w:rPr>
          <w:szCs w:val="22"/>
        </w:rPr>
        <w:t xml:space="preserve"> regional land use </w:t>
      </w:r>
      <w:r w:rsidR="00322F07" w:rsidRPr="00A93529">
        <w:rPr>
          <w:bCs/>
          <w:szCs w:val="22"/>
        </w:rPr>
        <w:t>authority</w:t>
      </w:r>
      <w:r w:rsidR="00322F07" w:rsidRPr="00A93529">
        <w:rPr>
          <w:szCs w:val="22"/>
        </w:rPr>
        <w:t xml:space="preserve"> or federal land management agency, </w:t>
      </w:r>
      <w:r w:rsidR="00322F07" w:rsidRPr="000F7680">
        <w:t>if that approval has taken into account the environmental impact of the proposal</w:t>
      </w:r>
      <w:r w:rsidR="00322F07" w:rsidRPr="007E5F53">
        <w:rPr>
          <w:szCs w:val="22"/>
        </w:rPr>
        <w:t>.</w:t>
      </w:r>
      <w:r w:rsidR="00322F07" w:rsidRPr="004003D1">
        <w:rPr>
          <w:rStyle w:val="FootnoteReference"/>
          <w:sz w:val="22"/>
        </w:rPr>
        <w:footnoteReference w:id="92"/>
      </w:r>
      <w:r w:rsidR="00322F07" w:rsidRPr="007E5F53">
        <w:rPr>
          <w:szCs w:val="22"/>
        </w:rPr>
        <w:t xml:space="preserve"> </w:t>
      </w:r>
      <w:r w:rsidR="007E5F53">
        <w:rPr>
          <w:szCs w:val="22"/>
        </w:rPr>
        <w:t xml:space="preserve"> </w:t>
      </w:r>
      <w:r w:rsidR="00322F07" w:rsidRPr="007E5F53">
        <w:rPr>
          <w:szCs w:val="22"/>
        </w:rPr>
        <w:t>Site-specific factors such as the presence of a designated scenic highway</w:t>
      </w:r>
      <w:r w:rsidR="003961B7" w:rsidRPr="007E5F53">
        <w:rPr>
          <w:szCs w:val="22"/>
        </w:rPr>
        <w:t xml:space="preserve"> or trail</w:t>
      </w:r>
      <w:r w:rsidR="00322F07" w:rsidRPr="007E5F53">
        <w:rPr>
          <w:szCs w:val="22"/>
        </w:rPr>
        <w:t xml:space="preserve"> would be considered.  Given that NEPA requires environmental review of proposed (not completed) Federal actions, however, extraordinary circumstances that require environmental processing should be raised by interested parties, or identified by the staff </w:t>
      </w:r>
      <w:r w:rsidR="00322F07" w:rsidRPr="00A93529">
        <w:rPr>
          <w:szCs w:val="22"/>
        </w:rPr>
        <w:t>on its own motion, during pre-construction review.   Here Complainants raised concerns as to visual impacts only after the public notice period was complete and after the tower was constructed.  In these circumstances, we dismiss the complaints as untimely.  In doing so, we do not decide whether an EA would have been required if the allegations as to visual effects had been timely.</w:t>
      </w:r>
    </w:p>
    <w:p w14:paraId="3D1347F6" w14:textId="77777777" w:rsidR="001157F4" w:rsidRPr="0099119A" w:rsidRDefault="001157F4" w:rsidP="001157F4">
      <w:pPr>
        <w:pStyle w:val="Heading2"/>
      </w:pPr>
      <w:bookmarkStart w:id="28" w:name="_Toc431475797"/>
      <w:bookmarkStart w:id="29" w:name="_Toc432664623"/>
      <w:r w:rsidRPr="0099119A">
        <w:t>Local Building Permit Process</w:t>
      </w:r>
      <w:bookmarkEnd w:id="28"/>
      <w:bookmarkEnd w:id="29"/>
    </w:p>
    <w:p w14:paraId="27BC8A3A" w14:textId="77777777" w:rsidR="00387CA3" w:rsidRPr="0099119A" w:rsidRDefault="006C733A" w:rsidP="00686217">
      <w:pPr>
        <w:pStyle w:val="ParaNum"/>
      </w:pPr>
      <w:r w:rsidRPr="0099119A">
        <w:t>Judith</w:t>
      </w:r>
      <w:r w:rsidR="00FC556E" w:rsidRPr="0099119A">
        <w:t xml:space="preserve"> L.</w:t>
      </w:r>
      <w:r w:rsidRPr="0099119A">
        <w:t xml:space="preserve"> Morris asserts that AT&amp;T did not obtain a local building permit before construction began.</w:t>
      </w:r>
      <w:r w:rsidRPr="0099119A">
        <w:rPr>
          <w:rStyle w:val="FootnoteReference"/>
        </w:rPr>
        <w:footnoteReference w:id="93"/>
      </w:r>
      <w:r w:rsidRPr="0099119A">
        <w:t xml:space="preserve">  Without addressing the merits of this allegation, </w:t>
      </w:r>
      <w:r w:rsidR="0031206B" w:rsidRPr="0099119A">
        <w:t xml:space="preserve">the Division </w:t>
      </w:r>
      <w:r w:rsidRPr="0099119A">
        <w:t>note</w:t>
      </w:r>
      <w:r w:rsidR="0031206B" w:rsidRPr="0099119A">
        <w:t>s</w:t>
      </w:r>
      <w:r w:rsidR="004210A9" w:rsidRPr="0099119A">
        <w:t xml:space="preserve"> that </w:t>
      </w:r>
      <w:r w:rsidR="006B3612" w:rsidRPr="0099119A">
        <w:t>ensuring compliance with</w:t>
      </w:r>
      <w:r w:rsidR="004210A9" w:rsidRPr="0099119A">
        <w:t xml:space="preserve"> local building permit</w:t>
      </w:r>
      <w:r w:rsidR="006B3612" w:rsidRPr="0099119A">
        <w:t xml:space="preserve"> requirement</w:t>
      </w:r>
      <w:r w:rsidR="004210A9" w:rsidRPr="0099119A">
        <w:t>s fall</w:t>
      </w:r>
      <w:r w:rsidR="006B3612" w:rsidRPr="0099119A">
        <w:t>s</w:t>
      </w:r>
      <w:r w:rsidR="004210A9" w:rsidRPr="0099119A">
        <w:t xml:space="preserve"> outside of the Commission’s purview.</w:t>
      </w:r>
      <w:r w:rsidR="00FC556E" w:rsidRPr="0099119A">
        <w:rPr>
          <w:rStyle w:val="FootnoteReference"/>
        </w:rPr>
        <w:footnoteReference w:id="94"/>
      </w:r>
      <w:r w:rsidR="00753F43" w:rsidRPr="0099119A">
        <w:t xml:space="preserve"> </w:t>
      </w:r>
      <w:r w:rsidR="00C46B7E" w:rsidRPr="0099119A">
        <w:t xml:space="preserve"> Therefore, Judith L. Morris’s complaint that AT&amp;T failed to obtain a local building permit prior to construction is dismissed.</w:t>
      </w:r>
    </w:p>
    <w:p w14:paraId="070F8F17" w14:textId="77777777" w:rsidR="00FD4FCD" w:rsidRPr="0099119A" w:rsidRDefault="00FD4FCD" w:rsidP="00FD4FCD">
      <w:pPr>
        <w:pStyle w:val="Heading1"/>
        <w:ind w:right="-144"/>
        <w:rPr>
          <w:rFonts w:ascii="Times New Roman" w:hAnsi="Times New Roman"/>
          <w:szCs w:val="22"/>
        </w:rPr>
      </w:pPr>
      <w:bookmarkStart w:id="30" w:name="_Toc431475798"/>
      <w:bookmarkStart w:id="31" w:name="_Toc432664624"/>
      <w:r w:rsidRPr="0099119A">
        <w:rPr>
          <w:rFonts w:ascii="Times New Roman" w:hAnsi="Times New Roman"/>
          <w:szCs w:val="22"/>
        </w:rPr>
        <w:t>Conclusion</w:t>
      </w:r>
      <w:bookmarkEnd w:id="30"/>
      <w:bookmarkEnd w:id="31"/>
    </w:p>
    <w:p w14:paraId="7AF12BC9" w14:textId="28AE3903" w:rsidR="004E63D9" w:rsidRPr="0099119A" w:rsidRDefault="00EE286F" w:rsidP="00686217">
      <w:pPr>
        <w:pStyle w:val="ParaNum"/>
      </w:pPr>
      <w:r w:rsidRPr="0099119A">
        <w:t>B</w:t>
      </w:r>
      <w:r w:rsidR="006D2F3C" w:rsidRPr="0099119A">
        <w:t>ased on the record, the Division</w:t>
      </w:r>
      <w:r w:rsidR="00673253" w:rsidRPr="0099119A">
        <w:t xml:space="preserve"> </w:t>
      </w:r>
      <w:r w:rsidR="006D2F3C" w:rsidRPr="0099119A">
        <w:t xml:space="preserve">finds that AT&amp;T complied </w:t>
      </w:r>
      <w:r w:rsidR="00CE6A8A" w:rsidRPr="0099119A">
        <w:t>generally</w:t>
      </w:r>
      <w:r w:rsidR="00C46B7E" w:rsidRPr="0099119A">
        <w:t xml:space="preserve"> and substantively</w:t>
      </w:r>
      <w:r w:rsidR="00CE6A8A" w:rsidRPr="0099119A">
        <w:t xml:space="preserve"> </w:t>
      </w:r>
      <w:r w:rsidR="006D2F3C" w:rsidRPr="0099119A">
        <w:t xml:space="preserve">with </w:t>
      </w:r>
      <w:r w:rsidR="00753F43" w:rsidRPr="0099119A">
        <w:t>the Commission’s process for assessing impacts pursuant to</w:t>
      </w:r>
      <w:r w:rsidR="00C802CE" w:rsidRPr="0099119A">
        <w:t xml:space="preserve"> </w:t>
      </w:r>
      <w:r w:rsidR="00F9794F" w:rsidRPr="0099119A">
        <w:t>its</w:t>
      </w:r>
      <w:r w:rsidR="00C802CE" w:rsidRPr="0099119A">
        <w:t xml:space="preserve"> rules implementing</w:t>
      </w:r>
      <w:r w:rsidR="00753F43" w:rsidRPr="0099119A">
        <w:t xml:space="preserve"> </w:t>
      </w:r>
      <w:r w:rsidR="006D2F3C" w:rsidRPr="0099119A">
        <w:t>NEPA</w:t>
      </w:r>
      <w:r w:rsidR="00673253" w:rsidRPr="0099119A">
        <w:t xml:space="preserve"> </w:t>
      </w:r>
      <w:r w:rsidR="00753F43" w:rsidRPr="0099119A">
        <w:t>and</w:t>
      </w:r>
      <w:r w:rsidR="00162E01" w:rsidRPr="0099119A">
        <w:t xml:space="preserve"> the</w:t>
      </w:r>
      <w:r w:rsidR="00753F43" w:rsidRPr="0099119A">
        <w:t xml:space="preserve"> NHPA.</w:t>
      </w:r>
      <w:r w:rsidR="00F9794F" w:rsidRPr="0099119A">
        <w:t xml:space="preserve">  Therefore, the complaints are dismissed in part and denied in part.</w:t>
      </w:r>
      <w:r w:rsidR="00753F43" w:rsidRPr="0099119A">
        <w:t xml:space="preserve">  The Division is concerned, however,</w:t>
      </w:r>
      <w:r w:rsidR="00C46B7E" w:rsidRPr="0099119A">
        <w:t xml:space="preserve"> by</w:t>
      </w:r>
      <w:r w:rsidR="00753F43" w:rsidRPr="0099119A">
        <w:t xml:space="preserve"> AT&amp;T’s</w:t>
      </w:r>
      <w:r w:rsidR="002E44D3" w:rsidRPr="0099119A">
        <w:t xml:space="preserve"> deviations from the Commission’s procedural requirements, although in this case they did not alter the ultimate conclusion</w:t>
      </w:r>
      <w:r w:rsidR="00302BE8" w:rsidRPr="0099119A">
        <w:t xml:space="preserve"> and we find no</w:t>
      </w:r>
      <w:r w:rsidR="00557FAC" w:rsidRPr="0099119A">
        <w:t>thing to indicate that AT&amp;T ha</w:t>
      </w:r>
      <w:r w:rsidR="00F24266">
        <w:t>s</w:t>
      </w:r>
      <w:r w:rsidR="00557FAC" w:rsidRPr="0099119A">
        <w:t xml:space="preserve"> routinely failed to adhere to these rules</w:t>
      </w:r>
      <w:r w:rsidR="002E44D3" w:rsidRPr="0099119A">
        <w:t xml:space="preserve">.  </w:t>
      </w:r>
      <w:r w:rsidR="0059007A" w:rsidRPr="0099119A">
        <w:t>T</w:t>
      </w:r>
      <w:r w:rsidR="004E63D9" w:rsidRPr="0099119A">
        <w:t xml:space="preserve">he Division </w:t>
      </w:r>
      <w:r w:rsidR="00557FAC" w:rsidRPr="0099119A">
        <w:t>expects</w:t>
      </w:r>
      <w:r w:rsidR="004E63D9" w:rsidRPr="0099119A">
        <w:t xml:space="preserve"> </w:t>
      </w:r>
      <w:r w:rsidR="002E44D3" w:rsidRPr="0099119A">
        <w:t xml:space="preserve">AT&amp;T </w:t>
      </w:r>
      <w:r w:rsidR="00753F43" w:rsidRPr="0099119A">
        <w:t xml:space="preserve">and </w:t>
      </w:r>
      <w:r w:rsidR="004E63D9" w:rsidRPr="0099119A">
        <w:t>all</w:t>
      </w:r>
      <w:r w:rsidR="00753F43" w:rsidRPr="0099119A">
        <w:t xml:space="preserve"> other</w:t>
      </w:r>
      <w:r w:rsidR="004E63D9" w:rsidRPr="0099119A">
        <w:t xml:space="preserve"> </w:t>
      </w:r>
      <w:r w:rsidR="00AB1C8B" w:rsidRPr="0099119A">
        <w:t>a</w:t>
      </w:r>
      <w:r w:rsidR="002E44D3" w:rsidRPr="0099119A">
        <w:t xml:space="preserve">pplicants </w:t>
      </w:r>
      <w:r w:rsidR="004E63D9" w:rsidRPr="0099119A">
        <w:t>to ensure</w:t>
      </w:r>
      <w:r w:rsidR="0086542B" w:rsidRPr="0099119A">
        <w:t xml:space="preserve"> that </w:t>
      </w:r>
      <w:r w:rsidR="002E44D3" w:rsidRPr="0099119A">
        <w:t>they adhere to all substantive and</w:t>
      </w:r>
      <w:r w:rsidR="00753F43" w:rsidRPr="0099119A">
        <w:t xml:space="preserve"> procedur</w:t>
      </w:r>
      <w:r w:rsidR="002E44D3" w:rsidRPr="0099119A">
        <w:t xml:space="preserve">al requirements when completing </w:t>
      </w:r>
      <w:r w:rsidR="00753F43" w:rsidRPr="0099119A">
        <w:t>the</w:t>
      </w:r>
      <w:r w:rsidR="00F9794F" w:rsidRPr="0099119A">
        <w:t xml:space="preserve"> environmental and historic preservation</w:t>
      </w:r>
      <w:r w:rsidR="00753F43" w:rsidRPr="0099119A">
        <w:t xml:space="preserve"> review process</w:t>
      </w:r>
      <w:r w:rsidR="00673253" w:rsidRPr="0099119A">
        <w:t>.</w:t>
      </w:r>
    </w:p>
    <w:p w14:paraId="1129B456" w14:textId="77777777" w:rsidR="00FD4FCD" w:rsidRPr="0099119A" w:rsidRDefault="00FD4FCD" w:rsidP="00FD4FCD">
      <w:pPr>
        <w:pStyle w:val="Heading1"/>
        <w:ind w:right="-144"/>
        <w:rPr>
          <w:rFonts w:ascii="Times New Roman" w:hAnsi="Times New Roman"/>
        </w:rPr>
      </w:pPr>
      <w:bookmarkStart w:id="32" w:name="_Toc431475799"/>
      <w:bookmarkStart w:id="33" w:name="_Toc432664625"/>
      <w:r w:rsidRPr="0099119A">
        <w:rPr>
          <w:rFonts w:ascii="Times New Roman" w:hAnsi="Times New Roman"/>
        </w:rPr>
        <w:t xml:space="preserve">ordering </w:t>
      </w:r>
      <w:r w:rsidRPr="0099119A">
        <w:rPr>
          <w:rFonts w:ascii="Times New Roman" w:hAnsi="Times New Roman"/>
          <w:szCs w:val="22"/>
        </w:rPr>
        <w:t>clause</w:t>
      </w:r>
      <w:r w:rsidR="00AD0244" w:rsidRPr="0099119A">
        <w:rPr>
          <w:rFonts w:ascii="Times New Roman" w:hAnsi="Times New Roman"/>
          <w:szCs w:val="22"/>
        </w:rPr>
        <w:t>S</w:t>
      </w:r>
      <w:bookmarkEnd w:id="32"/>
      <w:bookmarkEnd w:id="33"/>
    </w:p>
    <w:p w14:paraId="07F7F387" w14:textId="6B5E605C" w:rsidR="00844190" w:rsidRPr="0099119A" w:rsidRDefault="00DD374B" w:rsidP="00686217">
      <w:pPr>
        <w:pStyle w:val="ParaNum"/>
      </w:pPr>
      <w:r w:rsidRPr="0099119A">
        <w:t>Accordingly,</w:t>
      </w:r>
      <w:r w:rsidR="00AD0244" w:rsidRPr="0099119A">
        <w:t xml:space="preserve"> pursuant to</w:t>
      </w:r>
      <w:r w:rsidR="006B3612" w:rsidRPr="0099119A">
        <w:t xml:space="preserve"> Section 106 of the National Historic Preservation Act,</w:t>
      </w:r>
      <w:r w:rsidR="00AD0244" w:rsidRPr="0099119A">
        <w:t xml:space="preserve"> </w:t>
      </w:r>
      <w:r w:rsidR="00A909A4" w:rsidRPr="0099119A">
        <w:t>54 U.S.C. § 30</w:t>
      </w:r>
      <w:r w:rsidR="00437F0F" w:rsidRPr="0099119A">
        <w:t>6108</w:t>
      </w:r>
      <w:r w:rsidR="00A909A4" w:rsidRPr="0099119A">
        <w:t>,</w:t>
      </w:r>
      <w:r w:rsidR="00E060B8" w:rsidRPr="0099119A">
        <w:rPr>
          <w:szCs w:val="22"/>
        </w:rPr>
        <w:t xml:space="preserve"> </w:t>
      </w:r>
      <w:r w:rsidR="00E060B8" w:rsidRPr="0099119A">
        <w:t>Sec</w:t>
      </w:r>
      <w:r w:rsidR="00F24266">
        <w:t>tion</w:t>
      </w:r>
      <w:r w:rsidR="00E060B8" w:rsidRPr="0099119A">
        <w:t xml:space="preserve"> 102</w:t>
      </w:r>
      <w:r w:rsidR="00F24266">
        <w:t>(C)</w:t>
      </w:r>
      <w:r w:rsidR="00E060B8" w:rsidRPr="0099119A">
        <w:t xml:space="preserve"> of the National Environmental Policy Act, 42 U</w:t>
      </w:r>
      <w:r w:rsidR="00F24266">
        <w:t>.</w:t>
      </w:r>
      <w:r w:rsidR="00E060B8" w:rsidRPr="0099119A">
        <w:t>S</w:t>
      </w:r>
      <w:r w:rsidR="00F24266">
        <w:t>.</w:t>
      </w:r>
      <w:r w:rsidR="00E060B8" w:rsidRPr="0099119A">
        <w:t>C</w:t>
      </w:r>
      <w:r w:rsidR="00F24266">
        <w:t>.</w:t>
      </w:r>
      <w:r w:rsidR="00E060B8" w:rsidRPr="0099119A">
        <w:t xml:space="preserve"> § 4332</w:t>
      </w:r>
      <w:r w:rsidR="00F24266">
        <w:t>(C)</w:t>
      </w:r>
      <w:r w:rsidR="00AD0244" w:rsidRPr="0099119A">
        <w:t>,</w:t>
      </w:r>
      <w:r w:rsidR="00437F0F" w:rsidRPr="0099119A">
        <w:t xml:space="preserve"> and Sections</w:t>
      </w:r>
      <w:r w:rsidR="00AD0244" w:rsidRPr="0099119A">
        <w:t xml:space="preserve"> 1.1307(a) and (c)</w:t>
      </w:r>
      <w:r w:rsidR="00437F0F" w:rsidRPr="0099119A">
        <w:t xml:space="preserve"> and</w:t>
      </w:r>
      <w:r w:rsidR="00AD0244" w:rsidRPr="0099119A">
        <w:t xml:space="preserve"> 17.4(c)</w:t>
      </w:r>
      <w:r w:rsidR="00437F0F" w:rsidRPr="0099119A">
        <w:t xml:space="preserve"> of the Commission’s rules, 47 C.F.R. §§ 1.1307(a),(c), 17.4(c)</w:t>
      </w:r>
      <w:r w:rsidR="00AD0244" w:rsidRPr="0099119A">
        <w:t>,</w:t>
      </w:r>
      <w:r w:rsidRPr="0099119A">
        <w:t xml:space="preserve"> </w:t>
      </w:r>
      <w:r w:rsidR="00A22DCD" w:rsidRPr="0099119A">
        <w:t>the complaints filed by the Sheyenne River Valley National Scenic Byway, Don Busta, Judith L. Morris, and the North Country Trail Association are DISMISSED in part and otherwise DENIED.</w:t>
      </w:r>
    </w:p>
    <w:p w14:paraId="4E4642EE" w14:textId="77777777" w:rsidR="000A0A59" w:rsidRDefault="00EE286F" w:rsidP="00686217">
      <w:pPr>
        <w:pStyle w:val="ParaNum"/>
      </w:pPr>
      <w:r w:rsidRPr="0099119A">
        <w:t>T</w:t>
      </w:r>
      <w:r w:rsidR="00844190" w:rsidRPr="0099119A">
        <w:t>his action is taken pursuant to delegated authority, pursuant to Sec</w:t>
      </w:r>
      <w:r w:rsidR="0031206B" w:rsidRPr="0099119A">
        <w:t>tion</w:t>
      </w:r>
      <w:r w:rsidR="00844190" w:rsidRPr="0099119A">
        <w:t xml:space="preserve"> 0.331 of the Commission’s rules</w:t>
      </w:r>
      <w:r w:rsidR="001F48CD" w:rsidRPr="0099119A">
        <w:t>, 47 C.F.R. § 0.331</w:t>
      </w:r>
      <w:r w:rsidR="00844190" w:rsidRPr="0099119A">
        <w:t>.</w:t>
      </w:r>
    </w:p>
    <w:p w14:paraId="5461133B" w14:textId="77777777" w:rsidR="00F24266" w:rsidRDefault="00F24266" w:rsidP="000F7680">
      <w:pPr>
        <w:pStyle w:val="ParaNum"/>
        <w:numPr>
          <w:ilvl w:val="0"/>
          <w:numId w:val="0"/>
        </w:numPr>
        <w:ind w:firstLine="720"/>
      </w:pPr>
    </w:p>
    <w:p w14:paraId="2B2B9CB2" w14:textId="1EA3A37C" w:rsidR="00F24266" w:rsidRPr="0099119A" w:rsidRDefault="00F24266" w:rsidP="00B27471">
      <w:pPr>
        <w:pStyle w:val="ParaNum"/>
        <w:numPr>
          <w:ilvl w:val="0"/>
          <w:numId w:val="0"/>
        </w:numPr>
        <w:ind w:left="3600" w:firstLine="720"/>
      </w:pPr>
      <w:r>
        <w:t>FEDERAL COMMUNICATIONS COMMISSION</w:t>
      </w:r>
    </w:p>
    <w:p w14:paraId="788289D6" w14:textId="77777777" w:rsidR="00DD374B" w:rsidRPr="0099119A" w:rsidRDefault="00DD374B" w:rsidP="00FD4FCD">
      <w:pPr>
        <w:spacing w:after="120"/>
        <w:ind w:right="-144" w:firstLine="720"/>
      </w:pPr>
    </w:p>
    <w:p w14:paraId="42EECDBA" w14:textId="77777777" w:rsidR="00AD0244" w:rsidRPr="0099119A" w:rsidRDefault="00AD0244" w:rsidP="00FD4FCD">
      <w:pPr>
        <w:spacing w:after="120"/>
        <w:ind w:right="-144" w:firstLine="720"/>
      </w:pPr>
    </w:p>
    <w:p w14:paraId="5E57437E" w14:textId="77777777" w:rsidR="00AD0244" w:rsidRPr="0099119A" w:rsidRDefault="00AD0244" w:rsidP="00FD4FCD">
      <w:pPr>
        <w:spacing w:after="120"/>
        <w:ind w:right="-144" w:firstLine="720"/>
      </w:pPr>
    </w:p>
    <w:p w14:paraId="54C51A54" w14:textId="6BD11DD9" w:rsidR="00AD0244" w:rsidRPr="0099119A" w:rsidRDefault="00AD0244" w:rsidP="00AD0244">
      <w:pPr>
        <w:ind w:right="-144" w:firstLine="720"/>
      </w:pPr>
      <w:r w:rsidRPr="0099119A">
        <w:tab/>
      </w:r>
      <w:r w:rsidRPr="0099119A">
        <w:tab/>
      </w:r>
      <w:r w:rsidRPr="0099119A">
        <w:tab/>
      </w:r>
      <w:r w:rsidRPr="0099119A">
        <w:tab/>
      </w:r>
      <w:r w:rsidRPr="0099119A">
        <w:tab/>
        <w:t>Jeffrey S. Steinberg</w:t>
      </w:r>
    </w:p>
    <w:p w14:paraId="288FF563" w14:textId="06C37B7B" w:rsidR="00AD0244" w:rsidRPr="0099119A" w:rsidRDefault="00AD0244" w:rsidP="00AD0244">
      <w:pPr>
        <w:ind w:right="-144" w:firstLine="720"/>
      </w:pPr>
      <w:r w:rsidRPr="0099119A">
        <w:tab/>
      </w:r>
      <w:r w:rsidRPr="0099119A">
        <w:tab/>
      </w:r>
      <w:r w:rsidRPr="0099119A">
        <w:tab/>
      </w:r>
      <w:r w:rsidRPr="0099119A">
        <w:tab/>
      </w:r>
      <w:r w:rsidRPr="0099119A">
        <w:tab/>
        <w:t>Deputy Chief</w:t>
      </w:r>
    </w:p>
    <w:p w14:paraId="35C5ADE2" w14:textId="1464D057" w:rsidR="00AD0244" w:rsidRPr="0099119A" w:rsidRDefault="00AD0244" w:rsidP="00AD0244">
      <w:pPr>
        <w:ind w:right="-144" w:firstLine="720"/>
      </w:pPr>
      <w:r w:rsidRPr="0099119A">
        <w:tab/>
      </w:r>
      <w:r w:rsidRPr="0099119A">
        <w:tab/>
      </w:r>
      <w:r w:rsidRPr="0099119A">
        <w:tab/>
      </w:r>
      <w:r w:rsidRPr="0099119A">
        <w:tab/>
      </w:r>
      <w:r w:rsidRPr="0099119A">
        <w:tab/>
        <w:t>Competition and Infrastructure Policy Division</w:t>
      </w:r>
    </w:p>
    <w:p w14:paraId="7BAC858C" w14:textId="7A9944FC" w:rsidR="00AD0244" w:rsidRPr="0099119A" w:rsidRDefault="00AD0244" w:rsidP="001C5448">
      <w:pPr>
        <w:ind w:right="-144" w:firstLine="720"/>
      </w:pPr>
      <w:r w:rsidRPr="0099119A">
        <w:tab/>
      </w:r>
      <w:r w:rsidRPr="0099119A">
        <w:tab/>
      </w:r>
      <w:r w:rsidRPr="0099119A">
        <w:tab/>
      </w:r>
      <w:r w:rsidRPr="0099119A">
        <w:tab/>
      </w:r>
      <w:r w:rsidRPr="0099119A">
        <w:tab/>
        <w:t>Wireless Telecommunications Bureau</w:t>
      </w:r>
    </w:p>
    <w:sectPr w:rsidR="00AD0244" w:rsidRPr="0099119A" w:rsidSect="00DE3D4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F871B" w14:textId="77777777" w:rsidR="004003D1" w:rsidRDefault="004003D1" w:rsidP="0020209F">
      <w:r>
        <w:separator/>
      </w:r>
    </w:p>
  </w:endnote>
  <w:endnote w:type="continuationSeparator" w:id="0">
    <w:p w14:paraId="717F7B52" w14:textId="77777777" w:rsidR="004003D1" w:rsidRDefault="004003D1" w:rsidP="0020209F">
      <w:r>
        <w:continuationSeparator/>
      </w:r>
    </w:p>
  </w:endnote>
  <w:endnote w:type="continuationNotice" w:id="1">
    <w:p w14:paraId="345E372D" w14:textId="77777777" w:rsidR="004003D1" w:rsidRDefault="004003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5074A" w14:textId="77777777" w:rsidR="00213768" w:rsidRDefault="002137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484521"/>
      <w:docPartObj>
        <w:docPartGallery w:val="Page Numbers (Bottom of Page)"/>
        <w:docPartUnique/>
      </w:docPartObj>
    </w:sdtPr>
    <w:sdtEndPr>
      <w:rPr>
        <w:noProof/>
      </w:rPr>
    </w:sdtEndPr>
    <w:sdtContent>
      <w:p w14:paraId="307F7EA5" w14:textId="77777777" w:rsidR="0024724F" w:rsidRDefault="0024724F">
        <w:pPr>
          <w:pStyle w:val="Footer"/>
          <w:jc w:val="right"/>
        </w:pPr>
        <w:r>
          <w:fldChar w:fldCharType="begin"/>
        </w:r>
        <w:r>
          <w:instrText xml:space="preserve"> PAGE   \* MERGEFORMAT </w:instrText>
        </w:r>
        <w:r>
          <w:fldChar w:fldCharType="separate"/>
        </w:r>
        <w:r w:rsidR="006B0E38">
          <w:rPr>
            <w:noProof/>
          </w:rPr>
          <w:t>1</w:t>
        </w:r>
        <w:r>
          <w:rPr>
            <w:noProof/>
          </w:rPr>
          <w:fldChar w:fldCharType="end"/>
        </w:r>
      </w:p>
    </w:sdtContent>
  </w:sdt>
  <w:p w14:paraId="262A5D14" w14:textId="77777777" w:rsidR="0024724F" w:rsidRDefault="0024724F" w:rsidP="00B939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DAEEF" w14:textId="77777777" w:rsidR="00213768" w:rsidRDefault="00213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69505" w14:textId="77777777" w:rsidR="004003D1" w:rsidRDefault="004003D1" w:rsidP="0020209F">
      <w:r>
        <w:separator/>
      </w:r>
    </w:p>
  </w:footnote>
  <w:footnote w:type="continuationSeparator" w:id="0">
    <w:p w14:paraId="5B7121A9" w14:textId="77777777" w:rsidR="004003D1" w:rsidRDefault="004003D1" w:rsidP="0020209F">
      <w:r>
        <w:continuationSeparator/>
      </w:r>
    </w:p>
  </w:footnote>
  <w:footnote w:type="continuationNotice" w:id="1">
    <w:p w14:paraId="142B01F4" w14:textId="77777777" w:rsidR="004003D1" w:rsidRDefault="004003D1"/>
  </w:footnote>
  <w:footnote w:id="2">
    <w:p w14:paraId="1C1B056E" w14:textId="77777777" w:rsidR="0024724F" w:rsidRPr="00041576" w:rsidRDefault="0024724F" w:rsidP="00B424A6">
      <w:pPr>
        <w:pStyle w:val="FootnoteText"/>
        <w:spacing w:after="0"/>
      </w:pPr>
      <w:r>
        <w:rPr>
          <w:rStyle w:val="FootnoteReference"/>
        </w:rPr>
        <w:footnoteRef/>
      </w:r>
      <w:r>
        <w:t xml:space="preserve"> </w:t>
      </w:r>
      <w:r w:rsidRPr="00041576">
        <w:t>On May 12, 2015, the former Spectrum and Competition Policy Division was renamed the Competition and Infrastructure Policy Division.</w:t>
      </w:r>
    </w:p>
  </w:footnote>
  <w:footnote w:id="3">
    <w:p w14:paraId="53AC1737" w14:textId="77777777" w:rsidR="0024724F" w:rsidRDefault="0024724F" w:rsidP="00B424A6">
      <w:pPr>
        <w:pStyle w:val="FootnoteText"/>
        <w:spacing w:after="0"/>
      </w:pPr>
      <w:r>
        <w:rPr>
          <w:rStyle w:val="FootnoteReference"/>
        </w:rPr>
        <w:footnoteRef/>
      </w:r>
      <w:r>
        <w:t xml:space="preserve"> </w:t>
      </w:r>
      <w:r w:rsidRPr="00041576">
        <w:t>47 C.F.R. Part 1, Subpart I.</w:t>
      </w:r>
    </w:p>
  </w:footnote>
  <w:footnote w:id="4">
    <w:p w14:paraId="0C03730C" w14:textId="77777777" w:rsidR="0024724F" w:rsidRPr="00761377" w:rsidRDefault="0024724F" w:rsidP="00B424A6">
      <w:pPr>
        <w:pStyle w:val="FootnoteText"/>
        <w:spacing w:after="0"/>
        <w:rPr>
          <w:i/>
        </w:rPr>
      </w:pPr>
      <w:r w:rsidRPr="00F925AB">
        <w:rPr>
          <w:rStyle w:val="FootnoteReference"/>
        </w:rPr>
        <w:footnoteRef/>
      </w:r>
      <w:r w:rsidRPr="001C5448">
        <w:t xml:space="preserve"> </w:t>
      </w:r>
      <w:r w:rsidRPr="00B47E91">
        <w:t>42 U.S.C. §§ 4321-4370h.</w:t>
      </w:r>
    </w:p>
  </w:footnote>
  <w:footnote w:id="5">
    <w:p w14:paraId="7B615392" w14:textId="77777777" w:rsidR="0024724F" w:rsidRPr="00CD2049" w:rsidRDefault="0024724F" w:rsidP="00B424A6">
      <w:pPr>
        <w:pStyle w:val="FootnoteText"/>
        <w:spacing w:after="0"/>
      </w:pPr>
      <w:r w:rsidRPr="00761377">
        <w:rPr>
          <w:rStyle w:val="FootnoteReference"/>
        </w:rPr>
        <w:footnoteRef/>
      </w:r>
      <w:r w:rsidRPr="00761377">
        <w:t xml:space="preserve"> 54 U.S.C. § </w:t>
      </w:r>
      <w:r>
        <w:t xml:space="preserve">300101 </w:t>
      </w:r>
      <w:r w:rsidRPr="000F7680">
        <w:rPr>
          <w:i/>
        </w:rPr>
        <w:t>et seq</w:t>
      </w:r>
      <w:r>
        <w:t>.</w:t>
      </w:r>
      <w:r w:rsidRPr="00B47E91">
        <w:t xml:space="preserve">; </w:t>
      </w:r>
      <w:r w:rsidRPr="00B47E91">
        <w:rPr>
          <w:i/>
        </w:rPr>
        <w:t>see</w:t>
      </w:r>
      <w:r w:rsidRPr="00B47E91">
        <w:t xml:space="preserve"> 47 C.F.R. §</w:t>
      </w:r>
      <w:r w:rsidRPr="00761377">
        <w:t xml:space="preserve"> 1.1307(a)(4) and (5).</w:t>
      </w:r>
    </w:p>
  </w:footnote>
  <w:footnote w:id="6">
    <w:p w14:paraId="5FCFFB6D" w14:textId="77777777" w:rsidR="0024724F" w:rsidRPr="001D7E3F" w:rsidRDefault="0024724F" w:rsidP="00B424A6">
      <w:pPr>
        <w:pStyle w:val="FootnoteText"/>
        <w:spacing w:after="0"/>
      </w:pPr>
      <w:r w:rsidRPr="00CA52E5">
        <w:rPr>
          <w:rStyle w:val="FootnoteReference"/>
        </w:rPr>
        <w:footnoteRef/>
      </w:r>
      <w:r w:rsidRPr="00CA52E5">
        <w:t xml:space="preserve"> The State Historical Society of North Dakota is the State Historic Preservation Officer (SHPO) for North Dakota under</w:t>
      </w:r>
      <w:r w:rsidR="007D711F">
        <w:t xml:space="preserve"> Section</w:t>
      </w:r>
      <w:r w:rsidR="00B424A6">
        <w:t xml:space="preserve"> </w:t>
      </w:r>
      <w:r w:rsidR="001D7E3F">
        <w:t>101(b)(1)(A)</w:t>
      </w:r>
      <w:r w:rsidR="007D711F">
        <w:t xml:space="preserve"> of the NHPA,</w:t>
      </w:r>
      <w:r w:rsidR="00FC54E2">
        <w:t xml:space="preserve"> 54 U.S.C. § 30230</w:t>
      </w:r>
      <w:r w:rsidR="0005551E">
        <w:t>1(1</w:t>
      </w:r>
      <w:r w:rsidR="0005551E" w:rsidRPr="001D7E3F">
        <w:t>)</w:t>
      </w:r>
      <w:r w:rsidR="0005551E" w:rsidRPr="00ED547F">
        <w:t>.</w:t>
      </w:r>
    </w:p>
  </w:footnote>
  <w:footnote w:id="7">
    <w:p w14:paraId="48ED7A4F" w14:textId="77777777" w:rsidR="0024724F" w:rsidRPr="00104654" w:rsidRDefault="0024724F" w:rsidP="00B424A6">
      <w:pPr>
        <w:pStyle w:val="FootnoteText"/>
        <w:spacing w:after="0"/>
      </w:pPr>
      <w:r w:rsidRPr="00CD2049">
        <w:rPr>
          <w:rStyle w:val="FootnoteReference"/>
        </w:rPr>
        <w:footnoteRef/>
      </w:r>
      <w:r w:rsidRPr="00CD2049">
        <w:t xml:space="preserve"> </w:t>
      </w:r>
      <w:r w:rsidRPr="00104654">
        <w:rPr>
          <w:i/>
        </w:rPr>
        <w:t>See</w:t>
      </w:r>
      <w:r w:rsidRPr="00104654">
        <w:t xml:space="preserve"> 47 C.F.R.</w:t>
      </w:r>
      <w:r>
        <w:t xml:space="preserve"> §</w:t>
      </w:r>
      <w:r w:rsidRPr="00A314AD">
        <w:t xml:space="preserve"> 1.1307(a)(4) and 47 C.F.R. Pt. 1, App. C (Nationwide Programmatic Agreement for Review of Effects on Historic Pr</w:t>
      </w:r>
      <w:r w:rsidRPr="00104654">
        <w:t>operties for Certain Undertakings Approved by the Federal Communications Commission)</w:t>
      </w:r>
      <w:r w:rsidR="00962FE9">
        <w:t xml:space="preserve"> (NPA)</w:t>
      </w:r>
      <w:r w:rsidRPr="00104654">
        <w:t>.</w:t>
      </w:r>
      <w:r w:rsidRPr="00F26F67">
        <w:t xml:space="preserve"> </w:t>
      </w:r>
      <w:r w:rsidRPr="00A314AD">
        <w:t xml:space="preserve">The NPA tailors and streamlines the Section 106 review process required by the </w:t>
      </w:r>
      <w:r>
        <w:t>NH</w:t>
      </w:r>
      <w:r w:rsidRPr="00104654">
        <w:t>PA and the Commission’s rules at 47 C.F.R. § 1.1307(a)(4)</w:t>
      </w:r>
      <w:r>
        <w:t>.</w:t>
      </w:r>
    </w:p>
  </w:footnote>
  <w:footnote w:id="8">
    <w:p w14:paraId="597A1040" w14:textId="566E537C" w:rsidR="0024724F" w:rsidRPr="001C5448" w:rsidRDefault="0024724F" w:rsidP="00B424A6">
      <w:pPr>
        <w:pStyle w:val="FootnoteText"/>
        <w:spacing w:after="0"/>
        <w:rPr>
          <w:i/>
        </w:rPr>
      </w:pPr>
      <w:r w:rsidRPr="00104654">
        <w:rPr>
          <w:rStyle w:val="FootnoteReference"/>
        </w:rPr>
        <w:footnoteRef/>
      </w:r>
      <w:r w:rsidRPr="00104654">
        <w:t xml:space="preserve"> </w:t>
      </w:r>
      <w:r w:rsidRPr="00104654">
        <w:rPr>
          <w:i/>
        </w:rPr>
        <w:t xml:space="preserve">See </w:t>
      </w:r>
      <w:r w:rsidRPr="00CD2049">
        <w:t>AT&amp;T’s Response to Complaints Alleging Noncompl</w:t>
      </w:r>
      <w:r>
        <w:t>ia</w:t>
      </w:r>
      <w:r w:rsidRPr="00CD2049">
        <w:t>nce with Section 106 of the National Historic Preservation Act from Tower in Fort Ransom, SD</w:t>
      </w:r>
      <w:r w:rsidR="00CD5D23">
        <w:t xml:space="preserve"> [</w:t>
      </w:r>
      <w:r w:rsidR="00CD5D23">
        <w:rPr>
          <w:i/>
        </w:rPr>
        <w:t>sic</w:t>
      </w:r>
      <w:r w:rsidR="00CD5D23">
        <w:t>]</w:t>
      </w:r>
      <w:r w:rsidRPr="00CD2049">
        <w:t>, February 13, 2014</w:t>
      </w:r>
      <w:r>
        <w:t xml:space="preserve"> (</w:t>
      </w:r>
      <w:r w:rsidRPr="00CD2049">
        <w:t xml:space="preserve">AT&amp;T Response to </w:t>
      </w:r>
      <w:r>
        <w:t xml:space="preserve">NCTA, </w:t>
      </w:r>
      <w:r w:rsidRPr="00CD2049">
        <w:t>Sheyenne</w:t>
      </w:r>
      <w:r>
        <w:t>,</w:t>
      </w:r>
      <w:r w:rsidRPr="00CD2049">
        <w:t xml:space="preserve"> and Don Busta</w:t>
      </w:r>
      <w:r>
        <w:t>)</w:t>
      </w:r>
      <w:r w:rsidRPr="00CD2049">
        <w:t xml:space="preserve">, Ex. A, NEPA Report, </w:t>
      </w:r>
      <w:r>
        <w:t>at 233</w:t>
      </w:r>
      <w:r w:rsidRPr="00104654">
        <w:t xml:space="preserve"> </w:t>
      </w:r>
      <w:r>
        <w:t>(</w:t>
      </w:r>
      <w:r w:rsidRPr="00104654">
        <w:t>Applicant’s Form 620 Submission</w:t>
      </w:r>
      <w:r>
        <w:t>)</w:t>
      </w:r>
      <w:r w:rsidRPr="00AC5E6B">
        <w:t>.</w:t>
      </w:r>
      <w:r>
        <w:t xml:space="preserve">  </w:t>
      </w:r>
      <w:r w:rsidRPr="00F244E9">
        <w:t xml:space="preserve">The APE is discussed in more detail at </w:t>
      </w:r>
      <w:r w:rsidR="004F4AE1">
        <w:t>¶¶</w:t>
      </w:r>
      <w:r w:rsidRPr="00F244E9">
        <w:t xml:space="preserve"> </w:t>
      </w:r>
      <w:r w:rsidR="00960FB4">
        <w:t>1</w:t>
      </w:r>
      <w:r w:rsidR="001D7E3F">
        <w:t>8</w:t>
      </w:r>
      <w:r w:rsidR="00960FB4">
        <w:t>-2</w:t>
      </w:r>
      <w:r w:rsidR="001D7E3F">
        <w:t>2</w:t>
      </w:r>
      <w:r>
        <w:t xml:space="preserve">, </w:t>
      </w:r>
      <w:r>
        <w:rPr>
          <w:i/>
        </w:rPr>
        <w:t>infra.</w:t>
      </w:r>
    </w:p>
  </w:footnote>
  <w:footnote w:id="9">
    <w:p w14:paraId="3ACE4223" w14:textId="1BD63D5B" w:rsidR="0024724F" w:rsidRPr="00104654" w:rsidRDefault="0024724F" w:rsidP="00B424A6">
      <w:pPr>
        <w:pStyle w:val="FootnoteText"/>
        <w:spacing w:after="0"/>
      </w:pPr>
      <w:r w:rsidRPr="00A314AD">
        <w:rPr>
          <w:rStyle w:val="FootnoteReference"/>
        </w:rPr>
        <w:footnoteRef/>
      </w:r>
      <w:r w:rsidRPr="00A314AD">
        <w:t xml:space="preserve"> 47 C.F.R. Pt</w:t>
      </w:r>
      <w:r w:rsidR="001D7E3F">
        <w:t>.</w:t>
      </w:r>
      <w:r w:rsidRPr="00A314AD">
        <w:t xml:space="preserve"> 1, App. C, § V(B)</w:t>
      </w:r>
      <w:r>
        <w:t>,</w:t>
      </w:r>
      <w:r w:rsidRPr="00A314AD">
        <w:t>(C).</w:t>
      </w:r>
    </w:p>
  </w:footnote>
  <w:footnote w:id="10">
    <w:p w14:paraId="15CC1F38" w14:textId="6C69AD23" w:rsidR="0024724F" w:rsidRPr="00CD2049" w:rsidRDefault="0024724F" w:rsidP="00B424A6">
      <w:pPr>
        <w:pStyle w:val="FootnoteText"/>
        <w:spacing w:after="0"/>
      </w:pPr>
      <w:r w:rsidRPr="00104654">
        <w:rPr>
          <w:rStyle w:val="FootnoteReference"/>
        </w:rPr>
        <w:footnoteRef/>
      </w:r>
      <w:r w:rsidR="00EE2F08">
        <w:t xml:space="preserve"> </w:t>
      </w:r>
      <w:r w:rsidRPr="00104654">
        <w:t xml:space="preserve">AT&amp;T Response to </w:t>
      </w:r>
      <w:r>
        <w:t xml:space="preserve">NCTA, </w:t>
      </w:r>
      <w:r w:rsidRPr="00104654">
        <w:t>Sheyenne</w:t>
      </w:r>
      <w:r>
        <w:t>,</w:t>
      </w:r>
      <w:r w:rsidRPr="00104654">
        <w:t xml:space="preserve"> and Don Busta</w:t>
      </w:r>
      <w:r>
        <w:t>, Ex. B.</w:t>
      </w:r>
    </w:p>
  </w:footnote>
  <w:footnote w:id="11">
    <w:p w14:paraId="52D66D67" w14:textId="43EB2021" w:rsidR="0024724F" w:rsidRPr="00B47E91" w:rsidRDefault="0024724F" w:rsidP="00B424A6">
      <w:pPr>
        <w:pStyle w:val="FootnoteText"/>
        <w:spacing w:after="0"/>
        <w:rPr>
          <w:b/>
        </w:rPr>
      </w:pPr>
      <w:r w:rsidRPr="00104654">
        <w:rPr>
          <w:rStyle w:val="FootnoteReference"/>
        </w:rPr>
        <w:footnoteRef/>
      </w:r>
      <w:r w:rsidRPr="00104654">
        <w:t xml:space="preserve"> </w:t>
      </w:r>
      <w:r w:rsidRPr="001C5448">
        <w:rPr>
          <w:i/>
        </w:rPr>
        <w:t xml:space="preserve">See </w:t>
      </w:r>
      <w:r w:rsidRPr="00CD2049">
        <w:t xml:space="preserve">AT&amp;T Response to </w:t>
      </w:r>
      <w:r>
        <w:t xml:space="preserve">NCTA, </w:t>
      </w:r>
      <w:r w:rsidRPr="00CD2049">
        <w:t>Sheyenne</w:t>
      </w:r>
      <w:r>
        <w:t>,</w:t>
      </w:r>
      <w:r w:rsidRPr="00CD2049">
        <w:t xml:space="preserve"> and Don Busta, Ex. A, NEPA Report</w:t>
      </w:r>
      <w:r w:rsidR="00B82351">
        <w:t>, at 15 (</w:t>
      </w:r>
      <w:r w:rsidRPr="00A314AD">
        <w:t xml:space="preserve">Letter from Impact </w:t>
      </w:r>
      <w:r w:rsidRPr="00AC5E6B">
        <w:t>7</w:t>
      </w:r>
      <w:r w:rsidRPr="00F244E9">
        <w:t>G, Inc.</w:t>
      </w:r>
      <w:r>
        <w:t xml:space="preserve">, </w:t>
      </w:r>
      <w:r w:rsidRPr="00B47E91">
        <w:t>environmental consultant for AT&amp;T, to North Dakota Game and Fish Department, April 24, 2012</w:t>
      </w:r>
      <w:r w:rsidR="00B82351">
        <w:t>) and at 17 (</w:t>
      </w:r>
      <w:r w:rsidRPr="00B47E91">
        <w:t>Letter from Impact 7G, Inc. to U.S. Fish and Wildlife Service, North Dakota Field Office, April 24, 2012</w:t>
      </w:r>
      <w:r w:rsidR="00B82351">
        <w:t>).</w:t>
      </w:r>
    </w:p>
  </w:footnote>
  <w:footnote w:id="12">
    <w:p w14:paraId="072FDBE4" w14:textId="38100016" w:rsidR="0024724F" w:rsidRPr="00B47E91" w:rsidRDefault="0024724F" w:rsidP="00B424A6">
      <w:pPr>
        <w:pStyle w:val="FootnoteText"/>
        <w:spacing w:after="0"/>
        <w:rPr>
          <w:b/>
        </w:rPr>
      </w:pPr>
      <w:r w:rsidRPr="00B47E91">
        <w:rPr>
          <w:rStyle w:val="FootnoteReference"/>
        </w:rPr>
        <w:footnoteRef/>
      </w:r>
      <w:r w:rsidRPr="00B47E91">
        <w:t xml:space="preserve"> </w:t>
      </w:r>
      <w:r w:rsidRPr="00B47E91">
        <w:rPr>
          <w:i/>
        </w:rPr>
        <w:t>See</w:t>
      </w:r>
      <w:r w:rsidRPr="00B47E91">
        <w:t xml:space="preserve"> AT&amp;T Response to NCTA, Sheyenne, and Don Busta, Ex. A, NEPA Report,</w:t>
      </w:r>
      <w:r w:rsidR="00B82351">
        <w:t xml:space="preserve"> at 18-19 (</w:t>
      </w:r>
      <w:r w:rsidRPr="00B47E91">
        <w:t>Letter from U.S. Fish and Wildlife Service to Impact 7G, Inc., May 23, 2012</w:t>
      </w:r>
      <w:r w:rsidR="00B82351">
        <w:t>)</w:t>
      </w:r>
      <w:r w:rsidRPr="00B47E91">
        <w:t xml:space="preserve">.  </w:t>
      </w:r>
    </w:p>
  </w:footnote>
  <w:footnote w:id="13">
    <w:p w14:paraId="52137AA4" w14:textId="087231D2" w:rsidR="0024724F" w:rsidRPr="00B47E91" w:rsidRDefault="0024724F" w:rsidP="00B424A6">
      <w:pPr>
        <w:pStyle w:val="FootnoteText"/>
        <w:spacing w:after="0"/>
        <w:rPr>
          <w:b/>
        </w:rPr>
      </w:pPr>
      <w:r w:rsidRPr="00B47E91">
        <w:rPr>
          <w:rStyle w:val="FootnoteReference"/>
        </w:rPr>
        <w:footnoteRef/>
      </w:r>
      <w:r w:rsidRPr="00B47E91">
        <w:t xml:space="preserve"> </w:t>
      </w:r>
      <w:r w:rsidRPr="00E855E5">
        <w:rPr>
          <w:i/>
        </w:rPr>
        <w:t>See</w:t>
      </w:r>
      <w:r w:rsidRPr="00B47E91">
        <w:t xml:space="preserve"> AT&amp;T Response to NCTA, Sheyenne, and Don Busta, Ex. A, NEPA Report,</w:t>
      </w:r>
      <w:r w:rsidR="00B82351">
        <w:t xml:space="preserve"> at 16 (</w:t>
      </w:r>
      <w:r w:rsidRPr="00B47E91">
        <w:t>Letter from North Dakota Game and Fish Department to Impact 7G, Inc., May 15, 2012</w:t>
      </w:r>
      <w:r w:rsidR="00B82351">
        <w:t>)</w:t>
      </w:r>
      <w:r w:rsidRPr="00B47E91">
        <w:t>.</w:t>
      </w:r>
    </w:p>
  </w:footnote>
  <w:footnote w:id="14">
    <w:p w14:paraId="5054C3FD" w14:textId="77777777" w:rsidR="0024724F" w:rsidRPr="00B47E91" w:rsidRDefault="0024724F" w:rsidP="00B424A6">
      <w:pPr>
        <w:pStyle w:val="FootnoteText"/>
        <w:spacing w:after="0"/>
      </w:pPr>
      <w:r w:rsidRPr="00B47E91">
        <w:rPr>
          <w:rStyle w:val="FootnoteReference"/>
        </w:rPr>
        <w:footnoteRef/>
      </w:r>
      <w:r w:rsidRPr="00B47E91">
        <w:t xml:space="preserve"> </w:t>
      </w:r>
      <w:r>
        <w:rPr>
          <w:i/>
        </w:rPr>
        <w:t>See</w:t>
      </w:r>
      <w:r w:rsidRPr="001C5448">
        <w:rPr>
          <w:i/>
        </w:rPr>
        <w:t xml:space="preserve"> </w:t>
      </w:r>
      <w:r w:rsidRPr="00B47E91">
        <w:t>14 C.F.R. § 77.9.</w:t>
      </w:r>
    </w:p>
  </w:footnote>
  <w:footnote w:id="15">
    <w:p w14:paraId="5EEF95A7" w14:textId="04FC8D40" w:rsidR="0024724F" w:rsidRPr="00B47E91" w:rsidRDefault="0024724F" w:rsidP="00B424A6">
      <w:pPr>
        <w:pStyle w:val="FootnoteText"/>
        <w:spacing w:after="0"/>
      </w:pPr>
      <w:r w:rsidRPr="00B47E91">
        <w:rPr>
          <w:rStyle w:val="FootnoteReference"/>
        </w:rPr>
        <w:footnoteRef/>
      </w:r>
      <w:r w:rsidRPr="00B47E91">
        <w:t xml:space="preserve"> 47 C.F.R. § 17.4(a)</w:t>
      </w:r>
      <w:r w:rsidR="00EE2F08">
        <w:t>.</w:t>
      </w:r>
    </w:p>
  </w:footnote>
  <w:footnote w:id="16">
    <w:p w14:paraId="284D1238" w14:textId="67C384C6" w:rsidR="0024724F" w:rsidRPr="00150111" w:rsidRDefault="0024724F" w:rsidP="00B424A6">
      <w:pPr>
        <w:pStyle w:val="FootnoteText"/>
        <w:spacing w:after="0"/>
      </w:pPr>
      <w:r w:rsidRPr="00B65FF4">
        <w:rPr>
          <w:rStyle w:val="FootnoteReference"/>
        </w:rPr>
        <w:footnoteRef/>
      </w:r>
      <w:r w:rsidRPr="00B65FF4">
        <w:t xml:space="preserve"> </w:t>
      </w:r>
      <w:r w:rsidRPr="00B65FF4">
        <w:rPr>
          <w:i/>
        </w:rPr>
        <w:t xml:space="preserve">See </w:t>
      </w:r>
      <w:r w:rsidRPr="00B65FF4">
        <w:t>47 C.F.R. § 17.4(c)(3),(4).</w:t>
      </w:r>
      <w:r>
        <w:t xml:space="preserve">  This local notice requirement is separate from the historic preservation local notice required under the NPA, although </w:t>
      </w:r>
      <w:r w:rsidRPr="007044DE">
        <w:t>both requirements can be met through a single notice if it satisfies the timing and content requirements of each</w:t>
      </w:r>
      <w:r w:rsidRPr="00530C9F">
        <w:t>.</w:t>
      </w:r>
      <w:r w:rsidR="00A41FB6" w:rsidRPr="00530C9F">
        <w:t xml:space="preserve">  </w:t>
      </w:r>
      <w:r w:rsidR="00A41FB6" w:rsidRPr="00530C9F">
        <w:rPr>
          <w:i/>
        </w:rPr>
        <w:t xml:space="preserve">See </w:t>
      </w:r>
      <w:r w:rsidR="00A41FB6" w:rsidRPr="007044DE">
        <w:t xml:space="preserve">In the Matter of </w:t>
      </w:r>
      <w:r w:rsidR="00A41FB6" w:rsidRPr="007044DE">
        <w:rPr>
          <w:rStyle w:val="Heading3Char"/>
          <w:rFonts w:eastAsiaTheme="minorHAnsi"/>
          <w:b w:val="0"/>
        </w:rPr>
        <w:t>Effects of Communications Towers on Migratory Birds,</w:t>
      </w:r>
      <w:r w:rsidR="00A41FB6" w:rsidRPr="007044DE">
        <w:t xml:space="preserve"> WT Dockets 06-81 and 03-187, </w:t>
      </w:r>
      <w:r w:rsidR="00A41FB6" w:rsidRPr="007044DE">
        <w:rPr>
          <w:i/>
        </w:rPr>
        <w:t>Order on</w:t>
      </w:r>
      <w:r w:rsidR="00A41FB6">
        <w:rPr>
          <w:i/>
        </w:rPr>
        <w:t xml:space="preserve"> Remand, </w:t>
      </w:r>
      <w:r w:rsidR="00A41FB6" w:rsidRPr="001C5448">
        <w:rPr>
          <w:color w:val="252525"/>
        </w:rPr>
        <w:t>26 FCC Rcd. 16700</w:t>
      </w:r>
      <w:r w:rsidR="00F77AE2">
        <w:rPr>
          <w:color w:val="252525"/>
        </w:rPr>
        <w:t>, 16716</w:t>
      </w:r>
      <w:r w:rsidR="00087A86">
        <w:rPr>
          <w:color w:val="252525"/>
        </w:rPr>
        <w:t xml:space="preserve"> ¶ 41</w:t>
      </w:r>
      <w:r w:rsidR="001D7E3F">
        <w:rPr>
          <w:color w:val="252525"/>
        </w:rPr>
        <w:t xml:space="preserve"> (2011) (</w:t>
      </w:r>
      <w:r w:rsidR="001D7E3F">
        <w:rPr>
          <w:i/>
          <w:color w:val="252525"/>
        </w:rPr>
        <w:t>Migratory Birds Remand Order</w:t>
      </w:r>
      <w:r w:rsidR="001D7E3F">
        <w:rPr>
          <w:color w:val="252525"/>
        </w:rPr>
        <w:t>)</w:t>
      </w:r>
      <w:r w:rsidR="00A41FB6">
        <w:rPr>
          <w:color w:val="252525"/>
        </w:rPr>
        <w:t>.</w:t>
      </w:r>
    </w:p>
  </w:footnote>
  <w:footnote w:id="17">
    <w:p w14:paraId="2FC0AD0F" w14:textId="5936FAC2" w:rsidR="0024724F" w:rsidRPr="00104654" w:rsidRDefault="0024724F" w:rsidP="00B424A6">
      <w:pPr>
        <w:pStyle w:val="FootnoteText"/>
        <w:spacing w:after="0"/>
      </w:pPr>
      <w:r w:rsidRPr="00F244E9">
        <w:rPr>
          <w:rStyle w:val="FootnoteReference"/>
        </w:rPr>
        <w:footnoteRef/>
      </w:r>
      <w:r w:rsidRPr="00F244E9">
        <w:t xml:space="preserve"> </w:t>
      </w:r>
      <w:r w:rsidRPr="00104654">
        <w:rPr>
          <w:i/>
        </w:rPr>
        <w:t>See</w:t>
      </w:r>
      <w:r w:rsidRPr="00A314AD">
        <w:t xml:space="preserve"> Application for Antenna Structure Registration, AT&amp;T Mobility Services LLC, File No. A0779997, available at:  </w:t>
      </w:r>
      <w:hyperlink r:id="rId1" w:history="1">
        <w:r w:rsidRPr="00104654">
          <w:rPr>
            <w:rStyle w:val="Hyperlink"/>
          </w:rPr>
          <w:t>http://wireless2.fcc.gov/UlsApp/AsrSearch/asrApplication.jsp?applKey=4130369</w:t>
        </w:r>
      </w:hyperlink>
      <w:r w:rsidRPr="00104654">
        <w:t xml:space="preserve"> (last visited </w:t>
      </w:r>
      <w:r w:rsidR="00456445">
        <w:t>Oct. 14</w:t>
      </w:r>
      <w:r w:rsidRPr="00104654">
        <w:t xml:space="preserve">, 2015). </w:t>
      </w:r>
    </w:p>
  </w:footnote>
  <w:footnote w:id="18">
    <w:p w14:paraId="0DBBF391" w14:textId="77777777" w:rsidR="0024724F" w:rsidRPr="00CD2049" w:rsidRDefault="0024724F" w:rsidP="00B424A6">
      <w:pPr>
        <w:pStyle w:val="FootnoteText"/>
        <w:spacing w:after="0"/>
      </w:pPr>
      <w:r w:rsidRPr="00CD2049">
        <w:rPr>
          <w:rStyle w:val="FootnoteReference"/>
        </w:rPr>
        <w:footnoteRef/>
      </w:r>
      <w:r w:rsidRPr="00CD2049">
        <w:t xml:space="preserve"> AT&amp;T Response to </w:t>
      </w:r>
      <w:r>
        <w:t xml:space="preserve">NCTA, </w:t>
      </w:r>
      <w:r w:rsidRPr="00CD2049">
        <w:t>Sheyenne</w:t>
      </w:r>
      <w:r>
        <w:t>,</w:t>
      </w:r>
      <w:r w:rsidRPr="00CD2049">
        <w:t xml:space="preserve"> and Don Busta</w:t>
      </w:r>
      <w:r>
        <w:t>, Ex. B, Local Public Notices, July Public Notice</w:t>
      </w:r>
      <w:r w:rsidRPr="00CD2049">
        <w:t>.</w:t>
      </w:r>
    </w:p>
  </w:footnote>
  <w:footnote w:id="19">
    <w:p w14:paraId="7E7BB05A" w14:textId="52C9866E" w:rsidR="0024724F" w:rsidRPr="00104654" w:rsidRDefault="0024724F" w:rsidP="00606B0D">
      <w:pPr>
        <w:pStyle w:val="FootnoteText"/>
        <w:spacing w:after="0"/>
      </w:pPr>
      <w:r w:rsidRPr="00104654">
        <w:rPr>
          <w:rStyle w:val="FootnoteReference"/>
        </w:rPr>
        <w:footnoteRef/>
      </w:r>
      <w:r w:rsidRPr="00A314AD">
        <w:t xml:space="preserve"> </w:t>
      </w:r>
      <w:r w:rsidRPr="00A314AD">
        <w:rPr>
          <w:i/>
        </w:rPr>
        <w:t>See</w:t>
      </w:r>
      <w:r w:rsidRPr="00A314AD">
        <w:t xml:space="preserve"> </w:t>
      </w:r>
      <w:r w:rsidRPr="00AC5E6B">
        <w:t>Antenna Structure Registration, AT&amp;T Mobility Se</w:t>
      </w:r>
      <w:r w:rsidRPr="00F244E9">
        <w:t xml:space="preserve">rvices LLC, Registration </w:t>
      </w:r>
      <w:r w:rsidR="007044DE">
        <w:t xml:space="preserve">No. </w:t>
      </w:r>
      <w:r w:rsidRPr="00F244E9">
        <w:t xml:space="preserve">1284938, available at:  </w:t>
      </w:r>
      <w:r w:rsidR="00EE2F08">
        <w:t>http://wireless2.fcc.gov/UlsApp/AsrSearch/asrRegistration.jsp?regKey=2684366</w:t>
      </w:r>
      <w:r w:rsidRPr="00104654">
        <w:t xml:space="preserve"> (last visited </w:t>
      </w:r>
      <w:r w:rsidR="00456445">
        <w:t>Oct. 14</w:t>
      </w:r>
      <w:r w:rsidRPr="00104654">
        <w:t>, 2015).</w:t>
      </w:r>
    </w:p>
  </w:footnote>
  <w:footnote w:id="20">
    <w:p w14:paraId="6A29731D" w14:textId="6CAA5CBA" w:rsidR="0024724F" w:rsidRPr="00104654" w:rsidRDefault="0024724F" w:rsidP="00606B0D">
      <w:pPr>
        <w:pStyle w:val="FootnoteText"/>
        <w:spacing w:after="0"/>
      </w:pPr>
      <w:r w:rsidRPr="00104654">
        <w:rPr>
          <w:rStyle w:val="FootnoteReference"/>
        </w:rPr>
        <w:footnoteRef/>
      </w:r>
      <w:r w:rsidRPr="00104654">
        <w:t xml:space="preserve"> </w:t>
      </w:r>
      <w:r w:rsidR="00254E8E" w:rsidRPr="00104654">
        <w:rPr>
          <w:i/>
        </w:rPr>
        <w:t>See</w:t>
      </w:r>
      <w:r w:rsidR="00254E8E" w:rsidRPr="00A314AD">
        <w:t xml:space="preserve"> </w:t>
      </w:r>
      <w:r w:rsidR="00456445" w:rsidRPr="00A314AD">
        <w:t xml:space="preserve">Application for Antenna Structure Registration, AT&amp;T Mobility Services LLC, File No. A0779997, available at:  </w:t>
      </w:r>
      <w:hyperlink r:id="rId2" w:history="1">
        <w:r w:rsidR="00456445" w:rsidRPr="00104654">
          <w:rPr>
            <w:rStyle w:val="Hyperlink"/>
          </w:rPr>
          <w:t>http://wireless2.fcc.gov/UlsApp/AsrSearch/asrApplication.jsp?applKey=4130369</w:t>
        </w:r>
      </w:hyperlink>
      <w:r w:rsidR="00456445" w:rsidRPr="00104654">
        <w:t xml:space="preserve"> (last visited </w:t>
      </w:r>
      <w:r w:rsidR="00456445">
        <w:t>Oct. 14</w:t>
      </w:r>
      <w:r w:rsidR="00456445" w:rsidRPr="00104654">
        <w:t xml:space="preserve">, 2015). </w:t>
      </w:r>
      <w:r w:rsidR="00456445">
        <w:t xml:space="preserve"> </w:t>
      </w:r>
    </w:p>
  </w:footnote>
  <w:footnote w:id="21">
    <w:p w14:paraId="53321AA4" w14:textId="77777777" w:rsidR="0024724F" w:rsidRDefault="0024724F" w:rsidP="00B424A6">
      <w:pPr>
        <w:pStyle w:val="FootnoteText"/>
        <w:spacing w:after="0"/>
      </w:pPr>
      <w:r>
        <w:rPr>
          <w:rStyle w:val="FootnoteReference"/>
        </w:rPr>
        <w:footnoteRef/>
      </w:r>
      <w:r>
        <w:t xml:space="preserve"> All four complaints were filed initially with the FCC’s Consumer and Governmental Affairs Bureau and then transferred to the Division.</w:t>
      </w:r>
    </w:p>
  </w:footnote>
  <w:footnote w:id="22">
    <w:p w14:paraId="4434F020" w14:textId="14628113" w:rsidR="0024724F" w:rsidRPr="00104654" w:rsidRDefault="0024724F" w:rsidP="00606B0D">
      <w:pPr>
        <w:pStyle w:val="FootnoteText"/>
        <w:spacing w:after="0"/>
      </w:pPr>
      <w:r w:rsidRPr="00104654">
        <w:rPr>
          <w:rStyle w:val="FootnoteReference"/>
        </w:rPr>
        <w:footnoteRef/>
      </w:r>
      <w:r w:rsidRPr="00104654">
        <w:t xml:space="preserve"> Sheyenne’s complaint (Sheyenne Complaint) was submitted on November 27, 2012.</w:t>
      </w:r>
      <w:r>
        <w:t xml:space="preserve">  Although the first paragraph of the complaint states</w:t>
      </w:r>
      <w:r w:rsidR="00A41FB6">
        <w:t xml:space="preserve"> in part</w:t>
      </w:r>
      <w:r>
        <w:t xml:space="preserve"> that it was filed on behalf of both Sheyenne and the Sheyenne State Forest/Fort Ransom Segment of the North Country National Scenic Trail, it is signed only by Bobby Koepplin as the Chairperson of Sheyenne.</w:t>
      </w:r>
    </w:p>
  </w:footnote>
  <w:footnote w:id="23">
    <w:p w14:paraId="3DECE0B4" w14:textId="21FE76B8" w:rsidR="0024724F" w:rsidRPr="00104654" w:rsidRDefault="0024724F" w:rsidP="00606B0D">
      <w:pPr>
        <w:pStyle w:val="FootnoteText"/>
        <w:spacing w:after="0"/>
      </w:pPr>
      <w:r w:rsidRPr="00104654">
        <w:rPr>
          <w:rStyle w:val="FootnoteReference"/>
        </w:rPr>
        <w:footnoteRef/>
      </w:r>
      <w:r w:rsidRPr="00104654">
        <w:t xml:space="preserve"> Don Busta’s complaint (Don Busta Complaint) was submitted on November 29, 2012.  </w:t>
      </w:r>
    </w:p>
  </w:footnote>
  <w:footnote w:id="24">
    <w:p w14:paraId="43753481" w14:textId="3A1D28E4" w:rsidR="0024724F" w:rsidRPr="00104654" w:rsidRDefault="0024724F" w:rsidP="00606B0D">
      <w:pPr>
        <w:pStyle w:val="FootnoteText"/>
        <w:spacing w:after="0"/>
      </w:pPr>
      <w:r w:rsidRPr="00104654">
        <w:rPr>
          <w:rStyle w:val="FootnoteReference"/>
        </w:rPr>
        <w:footnoteRef/>
      </w:r>
      <w:r w:rsidRPr="00104654">
        <w:t xml:space="preserve"> Judith L. Morris submitted her Letter re: Formal Complaint of Installation of AT&amp;T Antenna Structure, Antenna Structure Registration N</w:t>
      </w:r>
      <w:r w:rsidR="00947EE6">
        <w:t>o.</w:t>
      </w:r>
      <w:r w:rsidRPr="00104654">
        <w:t xml:space="preserve"> 1287938 (Judith L. Morris Complaint) </w:t>
      </w:r>
      <w:r>
        <w:t>on December 22, 2012</w:t>
      </w:r>
      <w:r w:rsidRPr="00104654">
        <w:t>.</w:t>
      </w:r>
    </w:p>
  </w:footnote>
  <w:footnote w:id="25">
    <w:p w14:paraId="026C0DE9" w14:textId="0BB68793" w:rsidR="0024724F" w:rsidRPr="00104654" w:rsidRDefault="0024724F" w:rsidP="00606B0D">
      <w:pPr>
        <w:pStyle w:val="FootnoteText"/>
        <w:spacing w:after="0"/>
      </w:pPr>
      <w:r w:rsidRPr="00104654">
        <w:rPr>
          <w:rStyle w:val="FootnoteReference"/>
        </w:rPr>
        <w:footnoteRef/>
      </w:r>
      <w:r w:rsidRPr="00104654">
        <w:t xml:space="preserve"> NCTA’s complaint (NCTA Complaint) was submitted on March 1, 2013.  </w:t>
      </w:r>
    </w:p>
  </w:footnote>
  <w:footnote w:id="26">
    <w:p w14:paraId="065E5D58" w14:textId="77777777" w:rsidR="005D3B28" w:rsidRPr="00530C9F" w:rsidRDefault="0024724F" w:rsidP="00B424A6">
      <w:pPr>
        <w:pStyle w:val="FootnoteText"/>
        <w:spacing w:after="0"/>
      </w:pPr>
      <w:r w:rsidRPr="005D3B28">
        <w:rPr>
          <w:rStyle w:val="FootnoteReference"/>
        </w:rPr>
        <w:footnoteRef/>
      </w:r>
      <w:r w:rsidRPr="005D3B28">
        <w:t xml:space="preserve"> </w:t>
      </w:r>
      <w:r w:rsidR="005D3B28" w:rsidRPr="001C5448">
        <w:rPr>
          <w:i/>
        </w:rPr>
        <w:t>See</w:t>
      </w:r>
      <w:r w:rsidR="005D3B28" w:rsidRPr="001C5448">
        <w:t xml:space="preserve"> Sheyenne Complaint, Attachment; Don Busta Complaint; Judith L. Morris Complaint at 1-3; and NCTA Response to Response of AT&amp;T to complaint 13-C00476941-1 (NCTA Response to AT&amp;T). </w:t>
      </w:r>
    </w:p>
  </w:footnote>
  <w:footnote w:id="27">
    <w:p w14:paraId="6D2FA733" w14:textId="77777777" w:rsidR="0024724F" w:rsidRPr="00D30B5A" w:rsidRDefault="0024724F" w:rsidP="00B424A6">
      <w:pPr>
        <w:pStyle w:val="FootnoteText"/>
        <w:spacing w:after="0"/>
      </w:pPr>
      <w:r w:rsidRPr="00530C9F">
        <w:rPr>
          <w:rStyle w:val="FootnoteReference"/>
        </w:rPr>
        <w:footnoteRef/>
      </w:r>
      <w:r w:rsidRPr="00530C9F">
        <w:t xml:space="preserve"> </w:t>
      </w:r>
      <w:r w:rsidR="005D3B28" w:rsidRPr="00530C9F">
        <w:rPr>
          <w:i/>
        </w:rPr>
        <w:t xml:space="preserve">See </w:t>
      </w:r>
      <w:r w:rsidR="005D3B28">
        <w:t xml:space="preserve">Sheyenne Complaint and </w:t>
      </w:r>
      <w:r w:rsidR="005D3B28" w:rsidRPr="000A4D61">
        <w:t>Attachment; Don Busta Complaint; Judith L. Morris Complaint</w:t>
      </w:r>
      <w:r w:rsidR="00DC149E">
        <w:t xml:space="preserve"> at 3-5</w:t>
      </w:r>
      <w:r w:rsidR="005D3B28" w:rsidRPr="000A4D61">
        <w:t xml:space="preserve">; and NCTA </w:t>
      </w:r>
      <w:r w:rsidR="005D3B28">
        <w:t>Response to AT&amp;T.</w:t>
      </w:r>
    </w:p>
  </w:footnote>
  <w:footnote w:id="28">
    <w:p w14:paraId="582E4322" w14:textId="77777777" w:rsidR="0024724F" w:rsidRPr="00A314AD" w:rsidRDefault="0024724F" w:rsidP="00606B0D">
      <w:pPr>
        <w:pStyle w:val="FootnoteText"/>
        <w:spacing w:after="0"/>
      </w:pPr>
      <w:r w:rsidRPr="00104654">
        <w:rPr>
          <w:rStyle w:val="FootnoteReference"/>
        </w:rPr>
        <w:footnoteRef/>
      </w:r>
      <w:r w:rsidRPr="00A314AD">
        <w:t xml:space="preserve"> Judith L. Morris Complaint at 3</w:t>
      </w:r>
      <w:r w:rsidR="00DC149E">
        <w:t>.</w:t>
      </w:r>
    </w:p>
  </w:footnote>
  <w:footnote w:id="29">
    <w:p w14:paraId="01D24466" w14:textId="747BD696" w:rsidR="0024724F" w:rsidRPr="00104654" w:rsidRDefault="0024724F" w:rsidP="00B424A6">
      <w:pPr>
        <w:pStyle w:val="FootnoteText"/>
        <w:spacing w:after="0"/>
      </w:pPr>
      <w:r w:rsidRPr="00104654">
        <w:rPr>
          <w:rStyle w:val="FootnoteReference"/>
        </w:rPr>
        <w:footnoteRef/>
      </w:r>
      <w:r w:rsidRPr="00104654">
        <w:t xml:space="preserve"> </w:t>
      </w:r>
      <w:r w:rsidRPr="00CD2049">
        <w:t xml:space="preserve"> AT&amp;T Response to Notice of Informal Complaint re: Bobby Koepplin, January 16, 2013 (AT&amp;T Response to Sheyenne); AT&amp;T Response to Notice of Informal Complaint re: Don Busta, January 16, 2013 (AT&amp;T Response to Don Busta); Response of Skyway Towers Development, LLC, to Informal Complaints 12-C00443444-1 and 12-C00444128-1, January 18, 2013 (Skyway Response to Sheyenne and Don Busta); AT&amp;T Response to Notice of Informal Complaint re: Bruce Matthews, April 13, 2013 (AT&amp;T Response to NCTA); AT&amp;T Response to </w:t>
      </w:r>
      <w:r>
        <w:t xml:space="preserve">NCTA, </w:t>
      </w:r>
      <w:r w:rsidRPr="00CD2049">
        <w:t>Sheyenne</w:t>
      </w:r>
      <w:r>
        <w:t>,</w:t>
      </w:r>
      <w:r w:rsidRPr="00CD2049">
        <w:t xml:space="preserve"> and Don Busta; Response of Skyway Towers, LLC, to Informal Complaints 12-C00443444-1, 12-C0044128-1, and 13-C00476941-1, February 13, 2014 (Skyway Response to Sheyenne, NCTA, and Don Busta); Response of Skyway Towers, LLC, to Informal Complaint of Judith L. Morris, 12-C00452973, March </w:t>
      </w:r>
      <w:r w:rsidR="00446D36" w:rsidRPr="001C5448">
        <w:t>6</w:t>
      </w:r>
      <w:r w:rsidRPr="001C5448">
        <w:t>,</w:t>
      </w:r>
      <w:r w:rsidRPr="00CD2049">
        <w:t xml:space="preserve"> 2014 (Skyway Response to Judith L. Morris); and AT&amp;T’s Response to Complaint of Judith Morris (No. 12-C00452973) Alleging Noncompliance with Section 106 of the National Historic Preservation Act from Tower in Fort Ransom, SD</w:t>
      </w:r>
      <w:r w:rsidR="00EE2F08">
        <w:t xml:space="preserve"> [</w:t>
      </w:r>
      <w:r w:rsidR="00EE2F08">
        <w:rPr>
          <w:i/>
        </w:rPr>
        <w:t>sic</w:t>
      </w:r>
      <w:r w:rsidR="00EE2F08">
        <w:t>]</w:t>
      </w:r>
      <w:r w:rsidRPr="00CD2049">
        <w:t>, March 6, 2014 (AT&amp;T Response to Judith L. Morris).</w:t>
      </w:r>
    </w:p>
  </w:footnote>
  <w:footnote w:id="30">
    <w:p w14:paraId="7A96B6BF" w14:textId="77777777" w:rsidR="0024724F" w:rsidRPr="00CD2049" w:rsidRDefault="0024724F" w:rsidP="00B424A6">
      <w:pPr>
        <w:pStyle w:val="FootnoteText"/>
        <w:spacing w:after="0"/>
      </w:pPr>
      <w:r w:rsidRPr="00CD2049">
        <w:rPr>
          <w:rStyle w:val="FootnoteReference"/>
        </w:rPr>
        <w:footnoteRef/>
      </w:r>
      <w:r w:rsidRPr="00CD2049">
        <w:t xml:space="preserve"> </w:t>
      </w:r>
      <w:r w:rsidRPr="00CD2049">
        <w:rPr>
          <w:i/>
        </w:rPr>
        <w:t xml:space="preserve">See </w:t>
      </w:r>
      <w:r w:rsidRPr="00CD2049">
        <w:t xml:space="preserve">AT&amp;T Response to </w:t>
      </w:r>
      <w:r>
        <w:t xml:space="preserve">NCTA, </w:t>
      </w:r>
      <w:r w:rsidRPr="00CD2049">
        <w:t>Sheyenne</w:t>
      </w:r>
      <w:r>
        <w:t>,</w:t>
      </w:r>
      <w:r w:rsidRPr="00CD2049">
        <w:t xml:space="preserve"> and Don Busta, Ex. A, NEPA Report.</w:t>
      </w:r>
    </w:p>
  </w:footnote>
  <w:footnote w:id="31">
    <w:p w14:paraId="02EDB85A" w14:textId="434F453A" w:rsidR="0024724F" w:rsidRPr="00745120" w:rsidRDefault="0024724F" w:rsidP="00B424A6">
      <w:pPr>
        <w:pStyle w:val="FootnoteText"/>
        <w:spacing w:after="0"/>
      </w:pPr>
      <w:r w:rsidRPr="00A314AD">
        <w:rPr>
          <w:rStyle w:val="FootnoteReference"/>
        </w:rPr>
        <w:footnoteRef/>
      </w:r>
      <w:r w:rsidRPr="00A314AD">
        <w:t xml:space="preserve"> </w:t>
      </w:r>
      <w:r w:rsidR="00EE2F08">
        <w:t xml:space="preserve">NCTA </w:t>
      </w:r>
      <w:r w:rsidRPr="00A314AD">
        <w:t>Response to AT&amp;T</w:t>
      </w:r>
      <w:r w:rsidRPr="00745120">
        <w:t>; Response to AT&amp;T and Skyway Towers Development</w:t>
      </w:r>
      <w:r>
        <w:t xml:space="preserve">, LLC, filed by Sheyenne, </w:t>
      </w:r>
      <w:r w:rsidRPr="00745120">
        <w:t>February 19, 2014.</w:t>
      </w:r>
    </w:p>
  </w:footnote>
  <w:footnote w:id="32">
    <w:p w14:paraId="74C5FB95" w14:textId="77777777" w:rsidR="001D7E3F" w:rsidRDefault="001D7E3F" w:rsidP="00E855E5">
      <w:pPr>
        <w:pStyle w:val="FootnoteText"/>
        <w:spacing w:after="0"/>
      </w:pPr>
      <w:r>
        <w:rPr>
          <w:rStyle w:val="FootnoteReference"/>
        </w:rPr>
        <w:footnoteRef/>
      </w:r>
      <w:r>
        <w:t xml:space="preserve"> Email from Donald Johnson, Attorney, Spectrum and Competition Policy Division, to Robert Vitanza, General Attorney, AT&amp;T Services, Inc., November 13, 2014.</w:t>
      </w:r>
    </w:p>
  </w:footnote>
  <w:footnote w:id="33">
    <w:p w14:paraId="6A516762" w14:textId="7F006790" w:rsidR="0041687E" w:rsidRDefault="0041687E" w:rsidP="00E855E5">
      <w:pPr>
        <w:pStyle w:val="FootnoteText"/>
        <w:spacing w:after="0"/>
      </w:pPr>
      <w:r>
        <w:rPr>
          <w:rStyle w:val="FootnoteReference"/>
        </w:rPr>
        <w:footnoteRef/>
      </w:r>
      <w:r w:rsidR="00221DA0">
        <w:t xml:space="preserve"> </w:t>
      </w:r>
      <w:r>
        <w:t>Declaration of Lance Rom</w:t>
      </w:r>
      <w:r w:rsidR="00A53E50">
        <w:t>,</w:t>
      </w:r>
      <w:r>
        <w:t xml:space="preserve"> Principal Investigator for Quality Cultural Resource Services, November 20, 2014 (Rom Declaration)</w:t>
      </w:r>
      <w:r w:rsidR="00EE2F08">
        <w:t>;</w:t>
      </w:r>
      <w:r>
        <w:t xml:space="preserve"> Declaration of Jeromy Pribil</w:t>
      </w:r>
      <w:r w:rsidR="00A53E50">
        <w:t>,</w:t>
      </w:r>
      <w:r>
        <w:t xml:space="preserve"> Project Manager for Impact 7G, Inc., November 28, 2014 (Pribil Declaration).</w:t>
      </w:r>
    </w:p>
  </w:footnote>
  <w:footnote w:id="34">
    <w:p w14:paraId="4FF80CDE" w14:textId="4D91FAA5" w:rsidR="0024724F" w:rsidRPr="00C53F79" w:rsidRDefault="0024724F" w:rsidP="00B424A6">
      <w:pPr>
        <w:pStyle w:val="FootnoteText"/>
        <w:spacing w:after="0"/>
      </w:pPr>
      <w:r w:rsidRPr="00C53F79">
        <w:rPr>
          <w:rStyle w:val="FootnoteReference"/>
        </w:rPr>
        <w:footnoteRef/>
      </w:r>
      <w:r w:rsidRPr="00C53F79">
        <w:t xml:space="preserve"> </w:t>
      </w:r>
      <w:r w:rsidRPr="00C53F79">
        <w:rPr>
          <w:i/>
        </w:rPr>
        <w:t>See, e.g.,</w:t>
      </w:r>
      <w:r w:rsidRPr="00150111">
        <w:rPr>
          <w:i/>
        </w:rPr>
        <w:t xml:space="preserve"> </w:t>
      </w:r>
      <w:r w:rsidRPr="00C53F79">
        <w:t>AT&amp;T Response to NCTA, Sheyenne, and Don Busta at 1; AT&amp;T Response to Don Busta; AT&amp;T Response to Sheyenne; Skyway Response to Judith L. Morris at 2</w:t>
      </w:r>
      <w:r w:rsidR="00446D36">
        <w:t xml:space="preserve">; </w:t>
      </w:r>
      <w:r w:rsidR="004C23A6">
        <w:t>S</w:t>
      </w:r>
      <w:r w:rsidR="00446D36">
        <w:t>kyway Response to Sheyenne and Don Busta at 1</w:t>
      </w:r>
      <w:r w:rsidR="004C23A6">
        <w:t>; Skyway Response to Sheyenne, NCTA, and Don Busta at 5</w:t>
      </w:r>
      <w:r w:rsidR="00446D36">
        <w:t>.</w:t>
      </w:r>
    </w:p>
  </w:footnote>
  <w:footnote w:id="35">
    <w:p w14:paraId="7A127A8F" w14:textId="7449652E" w:rsidR="0024724F" w:rsidRPr="00F721C1" w:rsidRDefault="0024724F" w:rsidP="00E855E5">
      <w:pPr>
        <w:pStyle w:val="FootnoteText"/>
        <w:spacing w:after="0"/>
      </w:pPr>
      <w:r w:rsidRPr="00C53F79">
        <w:rPr>
          <w:rStyle w:val="FootnoteReference"/>
        </w:rPr>
        <w:footnoteRef/>
      </w:r>
      <w:r w:rsidRPr="00C53F79">
        <w:t xml:space="preserve"> </w:t>
      </w:r>
      <w:r w:rsidRPr="00745120">
        <w:rPr>
          <w:i/>
        </w:rPr>
        <w:t xml:space="preserve">See </w:t>
      </w:r>
      <w:r w:rsidRPr="00745120">
        <w:t xml:space="preserve">In the Matter of Wireless Properties, LLC, </w:t>
      </w:r>
      <w:r w:rsidRPr="00761377">
        <w:rPr>
          <w:i/>
        </w:rPr>
        <w:t>Order</w:t>
      </w:r>
      <w:r w:rsidRPr="00761377">
        <w:t xml:space="preserve">, </w:t>
      </w:r>
      <w:r w:rsidRPr="00761377">
        <w:rPr>
          <w:color w:val="252525"/>
        </w:rPr>
        <w:t>2015 WL 4484432</w:t>
      </w:r>
      <w:r>
        <w:rPr>
          <w:color w:val="252525"/>
        </w:rPr>
        <w:t>, ¶</w:t>
      </w:r>
      <w:r w:rsidRPr="007044DE">
        <w:rPr>
          <w:color w:val="252525"/>
        </w:rPr>
        <w:t xml:space="preserve">14 </w:t>
      </w:r>
      <w:r w:rsidRPr="00530C9F">
        <w:rPr>
          <w:color w:val="252525"/>
        </w:rPr>
        <w:t>(</w:t>
      </w:r>
      <w:r w:rsidR="00446D36" w:rsidRPr="00530C9F">
        <w:rPr>
          <w:color w:val="252525"/>
        </w:rPr>
        <w:t>July 21, 2015</w:t>
      </w:r>
      <w:r w:rsidRPr="00530C9F">
        <w:rPr>
          <w:color w:val="252525"/>
        </w:rPr>
        <w:t>)</w:t>
      </w:r>
      <w:r>
        <w:rPr>
          <w:color w:val="252525"/>
        </w:rPr>
        <w:t xml:space="preserve"> (</w:t>
      </w:r>
      <w:r>
        <w:rPr>
          <w:i/>
          <w:color w:val="252525"/>
        </w:rPr>
        <w:t xml:space="preserve">Wireless Properties); see also </w:t>
      </w:r>
      <w:r>
        <w:rPr>
          <w:color w:val="252525"/>
        </w:rPr>
        <w:t>47 C.F.R. Pt. 1, App.</w:t>
      </w:r>
      <w:r w:rsidR="00960FB4">
        <w:rPr>
          <w:color w:val="252525"/>
        </w:rPr>
        <w:t xml:space="preserve"> </w:t>
      </w:r>
      <w:r>
        <w:rPr>
          <w:color w:val="252525"/>
        </w:rPr>
        <w:t xml:space="preserve">C, § XI </w:t>
      </w:r>
      <w:r w:rsidR="00446D36">
        <w:rPr>
          <w:color w:val="252525"/>
        </w:rPr>
        <w:t>(“</w:t>
      </w:r>
      <w:r w:rsidR="00446D36" w:rsidRPr="001C5448">
        <w:rPr>
          <w:color w:val="252525"/>
        </w:rPr>
        <w:t xml:space="preserve">Any member of the public may notify the Commission of concerns it has regarding the application of this Nationwide Agreement within a State or with regard to the review of individual Undertakings covered or excluded under the terms of this Agreement. </w:t>
      </w:r>
      <w:r w:rsidR="00446D36">
        <w:rPr>
          <w:color w:val="252525"/>
        </w:rPr>
        <w:t xml:space="preserve">… </w:t>
      </w:r>
      <w:r w:rsidR="00446D36" w:rsidRPr="001C5448">
        <w:rPr>
          <w:color w:val="252525"/>
        </w:rPr>
        <w:t xml:space="preserve">The Commission will consider public comments and following </w:t>
      </w:r>
      <w:r w:rsidR="00446D36" w:rsidRPr="00E855E5">
        <w:t>consultation</w:t>
      </w:r>
      <w:r w:rsidR="00446D36" w:rsidRPr="001C5448">
        <w:rPr>
          <w:color w:val="252525"/>
        </w:rPr>
        <w:t xml:space="preserve"> with the SHPO/THPO, potentially affected Indian tribes and NHOs, or Council, where appropriate, take appropriate actions. The Commission shall notify the objector of the outcome of its actions.”)</w:t>
      </w:r>
      <w:r w:rsidR="00EE2F08">
        <w:rPr>
          <w:color w:val="252525"/>
        </w:rPr>
        <w:t>.</w:t>
      </w:r>
    </w:p>
  </w:footnote>
  <w:footnote w:id="36">
    <w:p w14:paraId="31F4BEF4" w14:textId="77777777" w:rsidR="0024724F" w:rsidRPr="00CD2049" w:rsidRDefault="0024724F" w:rsidP="00B424A6">
      <w:pPr>
        <w:pStyle w:val="FootnoteText"/>
        <w:spacing w:after="0"/>
      </w:pPr>
      <w:r w:rsidRPr="00CD2049">
        <w:rPr>
          <w:rStyle w:val="FootnoteReference"/>
        </w:rPr>
        <w:footnoteRef/>
      </w:r>
      <w:r w:rsidRPr="00CD2049">
        <w:t xml:space="preserve"> Sheyenne Complaint</w:t>
      </w:r>
      <w:r>
        <w:t>; Judith L. Morris</w:t>
      </w:r>
      <w:r w:rsidRPr="00CD2049">
        <w:t xml:space="preserve"> Complaint at 5; NCTA Response</w:t>
      </w:r>
      <w:r w:rsidR="00A45C99">
        <w:t xml:space="preserve"> to AT&amp;T</w:t>
      </w:r>
      <w:r w:rsidRPr="00CD2049">
        <w:t>.</w:t>
      </w:r>
    </w:p>
  </w:footnote>
  <w:footnote w:id="37">
    <w:p w14:paraId="154E6BFD" w14:textId="77777777" w:rsidR="0024724F" w:rsidRPr="00CD2049" w:rsidRDefault="0024724F" w:rsidP="00B424A6">
      <w:pPr>
        <w:pStyle w:val="FootnoteText"/>
        <w:spacing w:after="0"/>
      </w:pPr>
      <w:r w:rsidRPr="00CD2049">
        <w:rPr>
          <w:rStyle w:val="FootnoteReference"/>
        </w:rPr>
        <w:footnoteRef/>
      </w:r>
      <w:r w:rsidRPr="00CD2049">
        <w:t xml:space="preserve"> Judith L. Morris Complaint at 2.</w:t>
      </w:r>
    </w:p>
  </w:footnote>
  <w:footnote w:id="38">
    <w:p w14:paraId="7C91781D" w14:textId="77777777" w:rsidR="0024724F" w:rsidRPr="00CD2049" w:rsidRDefault="0024724F" w:rsidP="00B424A6">
      <w:pPr>
        <w:pStyle w:val="FootnoteText"/>
        <w:spacing w:after="0"/>
      </w:pPr>
      <w:r w:rsidRPr="00CD2049">
        <w:rPr>
          <w:rStyle w:val="FootnoteReference"/>
        </w:rPr>
        <w:footnoteRef/>
      </w:r>
      <w:r w:rsidRPr="00CD2049">
        <w:t xml:space="preserve"> </w:t>
      </w:r>
      <w:r w:rsidR="0041687E">
        <w:rPr>
          <w:i/>
        </w:rPr>
        <w:t>Id.</w:t>
      </w:r>
      <w:r w:rsidRPr="00CD2049">
        <w:t xml:space="preserve"> at 1.</w:t>
      </w:r>
    </w:p>
  </w:footnote>
  <w:footnote w:id="39">
    <w:p w14:paraId="73B9DB01" w14:textId="77777777" w:rsidR="0024724F" w:rsidRPr="00CD2049" w:rsidRDefault="0024724F" w:rsidP="00B424A6">
      <w:pPr>
        <w:pStyle w:val="FootnoteText"/>
        <w:spacing w:after="0"/>
      </w:pPr>
      <w:r w:rsidRPr="00CD2049">
        <w:rPr>
          <w:rStyle w:val="FootnoteReference"/>
        </w:rPr>
        <w:footnoteRef/>
      </w:r>
      <w:r w:rsidRPr="00CD2049">
        <w:t xml:space="preserve"> Don Busta Complaint.</w:t>
      </w:r>
    </w:p>
  </w:footnote>
  <w:footnote w:id="40">
    <w:p w14:paraId="3C13B9E9" w14:textId="1642B452" w:rsidR="0024724F" w:rsidRPr="00CD2049" w:rsidRDefault="0024724F" w:rsidP="00B424A6">
      <w:pPr>
        <w:pStyle w:val="FootnoteText"/>
        <w:spacing w:after="0"/>
      </w:pPr>
      <w:r w:rsidRPr="00CD2049">
        <w:rPr>
          <w:rStyle w:val="FootnoteReference"/>
        </w:rPr>
        <w:footnoteRef/>
      </w:r>
      <w:r w:rsidRPr="00CD2049">
        <w:t xml:space="preserve"> </w:t>
      </w:r>
      <w:r w:rsidRPr="00ED547F">
        <w:rPr>
          <w:i/>
        </w:rPr>
        <w:t>Id</w:t>
      </w:r>
      <w:r w:rsidRPr="0041687E">
        <w:rPr>
          <w:i/>
        </w:rPr>
        <w:t>.</w:t>
      </w:r>
      <w:r w:rsidR="00960FB4">
        <w:rPr>
          <w:i/>
        </w:rPr>
        <w:tab/>
      </w:r>
    </w:p>
  </w:footnote>
  <w:footnote w:id="41">
    <w:p w14:paraId="5BD005EC" w14:textId="74B6828E" w:rsidR="0024724F" w:rsidRPr="00DE4116" w:rsidRDefault="0024724F" w:rsidP="00B424A6">
      <w:pPr>
        <w:pStyle w:val="FootnoteText"/>
        <w:spacing w:after="0"/>
      </w:pPr>
      <w:r w:rsidRPr="00761377">
        <w:rPr>
          <w:rStyle w:val="FootnoteReference"/>
        </w:rPr>
        <w:footnoteRef/>
      </w:r>
      <w:r w:rsidRPr="00DE4116">
        <w:t xml:space="preserve"> </w:t>
      </w:r>
      <w:r w:rsidR="00C91D25">
        <w:rPr>
          <w:i/>
        </w:rPr>
        <w:t xml:space="preserve">See, e.g., </w:t>
      </w:r>
      <w:r w:rsidR="00C91D25">
        <w:t>Skyway Response to Sheyenne and Don Busta</w:t>
      </w:r>
      <w:r w:rsidR="0041687E">
        <w:t xml:space="preserve"> at 3;</w:t>
      </w:r>
      <w:r w:rsidR="00C91D25">
        <w:t xml:space="preserve"> </w:t>
      </w:r>
      <w:r w:rsidR="00E72D4E" w:rsidRPr="00C53F79">
        <w:t>AT&amp;T Response to NCTA, Sheyenne, and Don Busta</w:t>
      </w:r>
      <w:r>
        <w:t xml:space="preserve">; </w:t>
      </w:r>
      <w:r>
        <w:rPr>
          <w:i/>
        </w:rPr>
        <w:t>s</w:t>
      </w:r>
      <w:r w:rsidRPr="00DE4116">
        <w:rPr>
          <w:i/>
        </w:rPr>
        <w:t xml:space="preserve">ee </w:t>
      </w:r>
      <w:r w:rsidRPr="00DE4116">
        <w:t>47 C.F.R. § 17.4(c) and 47 C.F.R. Pt. 1, App. C</w:t>
      </w:r>
      <w:r w:rsidR="00EE2F08">
        <w:t>,</w:t>
      </w:r>
      <w:r w:rsidRPr="00DE4116">
        <w:t xml:space="preserve"> § V(B).</w:t>
      </w:r>
    </w:p>
  </w:footnote>
  <w:footnote w:id="42">
    <w:p w14:paraId="56800640" w14:textId="77777777" w:rsidR="0024724F" w:rsidRPr="009B4951" w:rsidRDefault="0024724F" w:rsidP="00B424A6">
      <w:pPr>
        <w:pStyle w:val="FootnoteText"/>
        <w:spacing w:after="0"/>
      </w:pPr>
      <w:r w:rsidRPr="009B4951">
        <w:rPr>
          <w:rStyle w:val="FootnoteReference"/>
        </w:rPr>
        <w:footnoteRef/>
      </w:r>
      <w:r w:rsidRPr="009B4951">
        <w:t xml:space="preserve"> </w:t>
      </w:r>
      <w:r w:rsidRPr="009B4951">
        <w:rPr>
          <w:i/>
        </w:rPr>
        <w:t xml:space="preserve">See, e.g., </w:t>
      </w:r>
      <w:r w:rsidRPr="009B4951">
        <w:t>AT&amp;T Response to Don Busta.</w:t>
      </w:r>
    </w:p>
  </w:footnote>
  <w:footnote w:id="43">
    <w:p w14:paraId="087CA516" w14:textId="77777777" w:rsidR="0024724F" w:rsidRPr="00EF7278" w:rsidRDefault="0024724F" w:rsidP="00B424A6">
      <w:pPr>
        <w:pStyle w:val="FootnoteText"/>
        <w:spacing w:after="0"/>
      </w:pPr>
      <w:r w:rsidRPr="00DD4593">
        <w:rPr>
          <w:rStyle w:val="FootnoteReference"/>
        </w:rPr>
        <w:footnoteRef/>
      </w:r>
      <w:r w:rsidR="00EF7278">
        <w:t xml:space="preserve"> </w:t>
      </w:r>
      <w:r w:rsidR="00EF7278">
        <w:rPr>
          <w:i/>
        </w:rPr>
        <w:t>See</w:t>
      </w:r>
      <w:r w:rsidR="00EF7278">
        <w:t xml:space="preserve"> AT&amp;T Response to</w:t>
      </w:r>
      <w:r w:rsidR="0041687E">
        <w:t xml:space="preserve"> NCTA,</w:t>
      </w:r>
      <w:r w:rsidR="00EF7278">
        <w:t xml:space="preserve"> Sheyenne</w:t>
      </w:r>
      <w:r w:rsidR="0041687E">
        <w:t>,</w:t>
      </w:r>
      <w:r w:rsidR="00EF7278">
        <w:t xml:space="preserve"> and Don Busta, Ex. A, NEPA Report</w:t>
      </w:r>
      <w:r w:rsidR="0041687E">
        <w:t>,</w:t>
      </w:r>
      <w:r w:rsidR="00EF7278">
        <w:t xml:space="preserve"> at </w:t>
      </w:r>
      <w:r w:rsidR="001B045B">
        <w:t xml:space="preserve">181 and </w:t>
      </w:r>
      <w:r w:rsidR="00EF7278">
        <w:t>Ex. B, Local Public Notice and July Public Notice.</w:t>
      </w:r>
    </w:p>
  </w:footnote>
  <w:footnote w:id="44">
    <w:p w14:paraId="30D5FCAF" w14:textId="77777777" w:rsidR="0024724F" w:rsidRPr="009B4951" w:rsidRDefault="0024724F" w:rsidP="00B424A6">
      <w:pPr>
        <w:pStyle w:val="FootnoteText"/>
        <w:spacing w:after="0"/>
      </w:pPr>
      <w:r w:rsidRPr="009B4951">
        <w:rPr>
          <w:rStyle w:val="FootnoteReference"/>
        </w:rPr>
        <w:footnoteRef/>
      </w:r>
      <w:r w:rsidRPr="009B4951">
        <w:t xml:space="preserve"> </w:t>
      </w:r>
      <w:r>
        <w:t>U</w:t>
      </w:r>
      <w:r w:rsidRPr="009B4951">
        <w:t>nder</w:t>
      </w:r>
      <w:r>
        <w:t xml:space="preserve"> the</w:t>
      </w:r>
      <w:r w:rsidRPr="009B4951">
        <w:t xml:space="preserve"> NPA</w:t>
      </w:r>
      <w:r>
        <w:t>,</w:t>
      </w:r>
      <w:r w:rsidRPr="009B4951">
        <w:t xml:space="preserve"> the SHPO may require notice to local organizations</w:t>
      </w:r>
      <w:r>
        <w:t xml:space="preserve">, but there is no evidence that the NDSHPO did so here.  </w:t>
      </w:r>
      <w:r>
        <w:rPr>
          <w:i/>
        </w:rPr>
        <w:t>See</w:t>
      </w:r>
      <w:r>
        <w:t xml:space="preserve"> 47 C.F.R. Pt. 1, App. C, § V.D</w:t>
      </w:r>
      <w:r w:rsidRPr="009B4951">
        <w:t>.</w:t>
      </w:r>
    </w:p>
  </w:footnote>
  <w:footnote w:id="45">
    <w:p w14:paraId="1C4B8830" w14:textId="7CB22FAD" w:rsidR="0024724F" w:rsidRPr="00D5083E" w:rsidRDefault="0024724F" w:rsidP="00B424A6">
      <w:pPr>
        <w:pStyle w:val="FootnoteText"/>
        <w:spacing w:after="0"/>
      </w:pPr>
      <w:r w:rsidRPr="00761377">
        <w:rPr>
          <w:rStyle w:val="FootnoteReference"/>
        </w:rPr>
        <w:footnoteRef/>
      </w:r>
      <w:r w:rsidRPr="00A314AD">
        <w:t xml:space="preserve"> </w:t>
      </w:r>
      <w:r w:rsidR="00536FB0">
        <w:rPr>
          <w:i/>
        </w:rPr>
        <w:t xml:space="preserve">See </w:t>
      </w:r>
      <w:r w:rsidR="00536FB0">
        <w:t xml:space="preserve">Scenic Trails Resolution, as published on the Appalachian Trail Conservatory website, available at:  </w:t>
      </w:r>
      <w:hyperlink r:id="rId3" w:history="1">
        <w:r w:rsidRPr="00CD2049">
          <w:rPr>
            <w:rStyle w:val="Hyperlink"/>
          </w:rPr>
          <w:t>https://www.atcvip.org/docs/default-source/default-document-library/wireless-industry-agreement.pdf?sfvrsn=0</w:t>
        </w:r>
      </w:hyperlink>
      <w:r w:rsidRPr="00CD2049">
        <w:rPr>
          <w:rStyle w:val="Hyperlink"/>
        </w:rPr>
        <w:t xml:space="preserve"> </w:t>
      </w:r>
      <w:r w:rsidRPr="00D5083E">
        <w:rPr>
          <w:rStyle w:val="Hyperlink"/>
          <w:color w:val="auto"/>
          <w:u w:val="none"/>
        </w:rPr>
        <w:t xml:space="preserve">(last </w:t>
      </w:r>
      <w:r w:rsidRPr="00B424A6">
        <w:t>visited</w:t>
      </w:r>
      <w:r w:rsidRPr="00D5083E">
        <w:rPr>
          <w:rStyle w:val="Hyperlink"/>
          <w:color w:val="auto"/>
          <w:u w:val="none"/>
        </w:rPr>
        <w:t xml:space="preserve"> </w:t>
      </w:r>
      <w:r w:rsidR="00536FB0">
        <w:rPr>
          <w:rStyle w:val="Hyperlink"/>
          <w:color w:val="auto"/>
          <w:u w:val="none"/>
        </w:rPr>
        <w:t>Oct. 14, 2015</w:t>
      </w:r>
      <w:r w:rsidRPr="00D5083E">
        <w:rPr>
          <w:rStyle w:val="Hyperlink"/>
          <w:color w:val="auto"/>
          <w:u w:val="none"/>
        </w:rPr>
        <w:t>)</w:t>
      </w:r>
      <w:r>
        <w:rPr>
          <w:rStyle w:val="Hyperlink"/>
          <w:color w:val="auto"/>
          <w:u w:val="none"/>
        </w:rPr>
        <w:t>.</w:t>
      </w:r>
    </w:p>
  </w:footnote>
  <w:footnote w:id="46">
    <w:p w14:paraId="18B45F46" w14:textId="399ECFEE" w:rsidR="0024724F" w:rsidRPr="00CD2049" w:rsidRDefault="0024724F" w:rsidP="00B424A6">
      <w:pPr>
        <w:pStyle w:val="FootnoteText"/>
        <w:spacing w:after="0"/>
      </w:pPr>
      <w:r w:rsidRPr="00CD2049">
        <w:rPr>
          <w:rStyle w:val="FootnoteReference"/>
        </w:rPr>
        <w:footnoteRef/>
      </w:r>
      <w:r w:rsidRPr="00CD2049">
        <w:t xml:space="preserve"> </w:t>
      </w:r>
      <w:r w:rsidRPr="00CD2049">
        <w:rPr>
          <w:i/>
        </w:rPr>
        <w:t xml:space="preserve">See </w:t>
      </w:r>
      <w:r w:rsidR="000F7680">
        <w:t xml:space="preserve"> </w:t>
      </w:r>
      <w:r w:rsidR="00EE2F08">
        <w:rPr>
          <w:i/>
        </w:rPr>
        <w:t>id.</w:t>
      </w:r>
      <w:r w:rsidRPr="00CD2049">
        <w:t xml:space="preserve">, </w:t>
      </w:r>
      <w:r>
        <w:t>§</w:t>
      </w:r>
      <w:r w:rsidRPr="00CD2049">
        <w:t xml:space="preserve"> IIA,</w:t>
      </w:r>
      <w:r w:rsidRPr="00CD2049">
        <w:rPr>
          <w:i/>
        </w:rPr>
        <w:t xml:space="preserve"> </w:t>
      </w:r>
      <w:r w:rsidRPr="00CD2049">
        <w:t>at 4.</w:t>
      </w:r>
    </w:p>
  </w:footnote>
  <w:footnote w:id="47">
    <w:p w14:paraId="5AB7BEFE" w14:textId="2D2788F2" w:rsidR="0024724F" w:rsidRPr="00393102" w:rsidRDefault="0024724F" w:rsidP="00B424A6">
      <w:pPr>
        <w:pStyle w:val="FootnoteText"/>
        <w:spacing w:after="0"/>
      </w:pPr>
      <w:r>
        <w:rPr>
          <w:rStyle w:val="FootnoteReference"/>
        </w:rPr>
        <w:footnoteRef/>
      </w:r>
      <w:r>
        <w:t xml:space="preserve"> </w:t>
      </w:r>
      <w:r>
        <w:rPr>
          <w:i/>
        </w:rPr>
        <w:t>Id.</w:t>
      </w:r>
      <w:r>
        <w:t xml:space="preserve">  </w:t>
      </w:r>
    </w:p>
  </w:footnote>
  <w:footnote w:id="48">
    <w:p w14:paraId="562709D0" w14:textId="77777777" w:rsidR="0024724F" w:rsidRDefault="0024724F" w:rsidP="00B424A6">
      <w:pPr>
        <w:pStyle w:val="FootnoteText"/>
        <w:spacing w:after="0"/>
      </w:pPr>
      <w:r>
        <w:rPr>
          <w:rStyle w:val="FootnoteReference"/>
        </w:rPr>
        <w:footnoteRef/>
      </w:r>
      <w:r>
        <w:t xml:space="preserve"> </w:t>
      </w:r>
      <w:r w:rsidRPr="00761377">
        <w:t xml:space="preserve">Signatories to </w:t>
      </w:r>
      <w:r>
        <w:t>the Scenic Trails R</w:t>
      </w:r>
      <w:r w:rsidRPr="00761377">
        <w:t xml:space="preserve">esolution </w:t>
      </w:r>
      <w:r>
        <w:t>are</w:t>
      </w:r>
      <w:r w:rsidRPr="00761377">
        <w:t>:  CTIA – The Wireless Association, PCIA – The Wireless Infrastructure Association</w:t>
      </w:r>
      <w:r w:rsidRPr="00104654">
        <w:t>, the Ap</w:t>
      </w:r>
      <w:r w:rsidRPr="00A314AD">
        <w:t xml:space="preserve">palachian Trail Conference, the American Hiking Society, the Potomac Heritage Partnership, the Continental Divide Trail Alliance, the Florida Trail Association, the Ice Age Park and Trail Association, the Pacific Crest Trail Association, and </w:t>
      </w:r>
      <w:r>
        <w:t>NCTA</w:t>
      </w:r>
      <w:r w:rsidRPr="00A314AD">
        <w:t>.</w:t>
      </w:r>
    </w:p>
  </w:footnote>
  <w:footnote w:id="49">
    <w:p w14:paraId="32B04DD9" w14:textId="77777777" w:rsidR="0024724F" w:rsidRPr="00CD2049" w:rsidRDefault="0024724F" w:rsidP="00B424A6">
      <w:pPr>
        <w:pStyle w:val="FootnoteText"/>
        <w:spacing w:after="0"/>
      </w:pPr>
      <w:r w:rsidRPr="00CD2049">
        <w:rPr>
          <w:rStyle w:val="FootnoteReference"/>
        </w:rPr>
        <w:footnoteRef/>
      </w:r>
      <w:r w:rsidRPr="00CD2049">
        <w:t xml:space="preserve"> Sheyenne Complaint at 5</w:t>
      </w:r>
      <w:r w:rsidR="0041687E">
        <w:t>;</w:t>
      </w:r>
      <w:r w:rsidRPr="00CD2049">
        <w:t xml:space="preserve"> Judith L. Morris Complaint at 2.</w:t>
      </w:r>
    </w:p>
  </w:footnote>
  <w:footnote w:id="50">
    <w:p w14:paraId="30A75D24" w14:textId="77777777" w:rsidR="0024724F" w:rsidRPr="00CD2049" w:rsidRDefault="0024724F" w:rsidP="00B424A6">
      <w:pPr>
        <w:pStyle w:val="FootnoteText"/>
        <w:spacing w:after="0"/>
      </w:pPr>
      <w:r w:rsidRPr="00CD2049">
        <w:rPr>
          <w:rStyle w:val="FootnoteReference"/>
        </w:rPr>
        <w:footnoteRef/>
      </w:r>
      <w:r w:rsidRPr="00CD2049">
        <w:t xml:space="preserve"> 47 C.F.R. Pt. 1, App. C, § V(C).</w:t>
      </w:r>
    </w:p>
  </w:footnote>
  <w:footnote w:id="51">
    <w:p w14:paraId="1FAD09B8" w14:textId="24AA441D" w:rsidR="0024724F" w:rsidRPr="00CD2049" w:rsidRDefault="0024724F" w:rsidP="00B424A6">
      <w:pPr>
        <w:pStyle w:val="FootnoteText"/>
        <w:spacing w:after="0"/>
        <w:rPr>
          <w:b/>
        </w:rPr>
      </w:pPr>
      <w:r w:rsidRPr="00CD2049">
        <w:rPr>
          <w:rStyle w:val="FootnoteReference"/>
        </w:rPr>
        <w:footnoteRef/>
      </w:r>
      <w:r w:rsidRPr="00CD2049">
        <w:t xml:space="preserve"> Sheyenne Complaint at 1</w:t>
      </w:r>
      <w:r w:rsidR="00314C91">
        <w:t>.</w:t>
      </w:r>
      <w:r>
        <w:t xml:space="preserve"> </w:t>
      </w:r>
      <w:r w:rsidR="00314C91">
        <w:rPr>
          <w:i/>
        </w:rPr>
        <w:t>S</w:t>
      </w:r>
      <w:r>
        <w:rPr>
          <w:i/>
        </w:rPr>
        <w:t>ee</w:t>
      </w:r>
      <w:r>
        <w:t xml:space="preserve"> </w:t>
      </w:r>
      <w:r w:rsidRPr="00CD2049">
        <w:t xml:space="preserve">AT&amp;T Response to </w:t>
      </w:r>
      <w:r>
        <w:t xml:space="preserve">NCTA, </w:t>
      </w:r>
      <w:r w:rsidRPr="00CD2049">
        <w:t>Sheyenne</w:t>
      </w:r>
      <w:r>
        <w:t>,</w:t>
      </w:r>
      <w:r w:rsidRPr="00CD2049">
        <w:t xml:space="preserve"> and Don Busta, Ex. A, NEPA Report,</w:t>
      </w:r>
      <w:r w:rsidR="007E5F53">
        <w:t xml:space="preserve"> at 230 (</w:t>
      </w:r>
      <w:r>
        <w:t xml:space="preserve">Letter from Impact </w:t>
      </w:r>
      <w:r w:rsidR="00FC54E2">
        <w:t>7</w:t>
      </w:r>
      <w:r>
        <w:t xml:space="preserve">G to City of Fort Ransom at </w:t>
      </w:r>
      <w:hyperlink r:id="rId4" w:history="1">
        <w:r w:rsidRPr="00076665">
          <w:rPr>
            <w:rStyle w:val="Hyperlink"/>
          </w:rPr>
          <w:t>info@fortransomnd.com</w:t>
        </w:r>
      </w:hyperlink>
      <w:r>
        <w:t xml:space="preserve">, </w:t>
      </w:r>
      <w:r w:rsidRPr="00CD2049">
        <w:t>April 1</w:t>
      </w:r>
      <w:r>
        <w:t>7</w:t>
      </w:r>
      <w:r w:rsidRPr="00CD2049">
        <w:t>, 2012</w:t>
      </w:r>
      <w:r w:rsidR="007E5F53">
        <w:t>)</w:t>
      </w:r>
      <w:r>
        <w:t>.</w:t>
      </w:r>
    </w:p>
  </w:footnote>
  <w:footnote w:id="52">
    <w:p w14:paraId="4C5A90F0" w14:textId="77777777" w:rsidR="0024724F" w:rsidRDefault="0024724F" w:rsidP="00B424A6">
      <w:pPr>
        <w:pStyle w:val="FootnoteText"/>
        <w:spacing w:after="0"/>
      </w:pPr>
      <w:r>
        <w:rPr>
          <w:rStyle w:val="FootnoteReference"/>
        </w:rPr>
        <w:footnoteRef/>
      </w:r>
      <w:r>
        <w:t xml:space="preserve"> </w:t>
      </w:r>
      <w:r w:rsidRPr="00955B4B">
        <w:t>47 C.F.R., Pt. 1, App. C</w:t>
      </w:r>
      <w:r>
        <w:t>,</w:t>
      </w:r>
      <w:r w:rsidRPr="00955B4B">
        <w:t xml:space="preserve"> § V(C)(1)</w:t>
      </w:r>
      <w:r>
        <w:t>.</w:t>
      </w:r>
    </w:p>
  </w:footnote>
  <w:footnote w:id="53">
    <w:p w14:paraId="2D407331" w14:textId="5E2014DF" w:rsidR="00552B9A" w:rsidRDefault="00552B9A" w:rsidP="00E855E5">
      <w:pPr>
        <w:pStyle w:val="FootnoteText"/>
        <w:spacing w:after="0"/>
      </w:pPr>
      <w:r>
        <w:rPr>
          <w:rStyle w:val="FootnoteReference"/>
        </w:rPr>
        <w:footnoteRef/>
      </w:r>
      <w:r>
        <w:t xml:space="preserve"> </w:t>
      </w:r>
      <w:r w:rsidRPr="00CD2049">
        <w:t xml:space="preserve">AT&amp;T Response to </w:t>
      </w:r>
      <w:r>
        <w:t xml:space="preserve">NCTA, </w:t>
      </w:r>
      <w:r w:rsidRPr="00CD2049">
        <w:t>Sheyenne</w:t>
      </w:r>
      <w:r>
        <w:t>,</w:t>
      </w:r>
      <w:r w:rsidRPr="00CD2049">
        <w:t xml:space="preserve"> and Don Busta</w:t>
      </w:r>
      <w:r>
        <w:t>, Ex. B, Local Public Notices</w:t>
      </w:r>
      <w:r w:rsidR="000E3813">
        <w:t>.</w:t>
      </w:r>
    </w:p>
  </w:footnote>
  <w:footnote w:id="54">
    <w:p w14:paraId="497730C3" w14:textId="4A464276" w:rsidR="0024724F" w:rsidRPr="00CD2049" w:rsidRDefault="0024724F" w:rsidP="00B424A6">
      <w:pPr>
        <w:pStyle w:val="FootnoteText"/>
        <w:spacing w:after="0"/>
      </w:pPr>
      <w:r w:rsidRPr="00CD2049">
        <w:rPr>
          <w:rStyle w:val="FootnoteReference"/>
        </w:rPr>
        <w:footnoteRef/>
      </w:r>
      <w:r w:rsidRPr="00CD2049">
        <w:t xml:space="preserve"> </w:t>
      </w:r>
      <w:r w:rsidRPr="00CD2049">
        <w:rPr>
          <w:i/>
        </w:rPr>
        <w:t>See</w:t>
      </w:r>
      <w:r w:rsidRPr="00CD2049">
        <w:t xml:space="preserve"> 47 C.F.R. Pt. 1, App. C</w:t>
      </w:r>
      <w:r w:rsidR="007E5F53">
        <w:t>,</w:t>
      </w:r>
      <w:r w:rsidRPr="00CD2049">
        <w:t xml:space="preserve"> § V(B)</w:t>
      </w:r>
      <w:r>
        <w:t xml:space="preserve">; </w:t>
      </w:r>
      <w:r>
        <w:rPr>
          <w:i/>
        </w:rPr>
        <w:t>see also id.</w:t>
      </w:r>
      <w:r w:rsidR="00552B9A">
        <w:rPr>
          <w:i/>
        </w:rPr>
        <w:t xml:space="preserve"> </w:t>
      </w:r>
      <w:r w:rsidR="00552B9A" w:rsidRPr="000F7680">
        <w:t>at</w:t>
      </w:r>
      <w:r>
        <w:rPr>
          <w:i/>
        </w:rPr>
        <w:t xml:space="preserve"> </w:t>
      </w:r>
      <w:r>
        <w:t>§§ V</w:t>
      </w:r>
      <w:r w:rsidRPr="00CD2049">
        <w:t>(E)</w:t>
      </w:r>
      <w:r>
        <w:t xml:space="preserve"> (directing applicant to forward public comments to the SHPO)</w:t>
      </w:r>
      <w:r w:rsidR="00552B9A">
        <w:t xml:space="preserve"> and</w:t>
      </w:r>
      <w:r w:rsidRPr="00CD2049">
        <w:t xml:space="preserve"> VII(A)(</w:t>
      </w:r>
      <w:r>
        <w:t>3</w:t>
      </w:r>
      <w:r w:rsidRPr="00CD2049">
        <w:t>)</w:t>
      </w:r>
      <w:r>
        <w:t xml:space="preserve"> (providing additional time for SHPO to review comments received during last five days of review period)</w:t>
      </w:r>
      <w:r w:rsidRPr="00CD2049">
        <w:t>.</w:t>
      </w:r>
    </w:p>
  </w:footnote>
  <w:footnote w:id="55">
    <w:p w14:paraId="7C96800E" w14:textId="77777777" w:rsidR="0024724F" w:rsidRPr="00CD2049" w:rsidRDefault="0024724F" w:rsidP="00B424A6">
      <w:pPr>
        <w:pStyle w:val="FootnoteText"/>
        <w:spacing w:after="0"/>
      </w:pPr>
      <w:r w:rsidRPr="00CD2049">
        <w:rPr>
          <w:rStyle w:val="FootnoteReference"/>
        </w:rPr>
        <w:footnoteRef/>
      </w:r>
      <w:r w:rsidRPr="00CD2049">
        <w:t xml:space="preserve"> AT&amp;T Response to </w:t>
      </w:r>
      <w:r>
        <w:t xml:space="preserve">NCTA, </w:t>
      </w:r>
      <w:r w:rsidRPr="00CD2049">
        <w:t>Sheyenne</w:t>
      </w:r>
      <w:r>
        <w:t>,</w:t>
      </w:r>
      <w:r w:rsidRPr="00CD2049">
        <w:t xml:space="preserve"> and Don Busta at 6.</w:t>
      </w:r>
    </w:p>
  </w:footnote>
  <w:footnote w:id="56">
    <w:p w14:paraId="34BB8369" w14:textId="77777777" w:rsidR="0024724F" w:rsidRPr="00CD2049" w:rsidRDefault="0024724F" w:rsidP="00B424A6">
      <w:pPr>
        <w:pStyle w:val="FootnoteText"/>
        <w:spacing w:after="0"/>
      </w:pPr>
      <w:r w:rsidRPr="00CD2049">
        <w:rPr>
          <w:rStyle w:val="FootnoteReference"/>
        </w:rPr>
        <w:footnoteRef/>
      </w:r>
      <w:r w:rsidRPr="00CD2049">
        <w:t xml:space="preserve"> 47 C.F.R. § 17.4(c)(3).</w:t>
      </w:r>
    </w:p>
  </w:footnote>
  <w:footnote w:id="57">
    <w:p w14:paraId="18AD2365" w14:textId="77777777" w:rsidR="0024724F" w:rsidRPr="00CD2049" w:rsidRDefault="0024724F" w:rsidP="00B424A6">
      <w:pPr>
        <w:pStyle w:val="FootnoteText"/>
        <w:spacing w:after="0"/>
      </w:pPr>
      <w:r w:rsidRPr="00CD2049">
        <w:rPr>
          <w:rStyle w:val="FootnoteReference"/>
        </w:rPr>
        <w:footnoteRef/>
      </w:r>
      <w:r w:rsidRPr="00CD2049">
        <w:t xml:space="preserve"> </w:t>
      </w:r>
      <w:r w:rsidRPr="00CD2049">
        <w:rPr>
          <w:i/>
        </w:rPr>
        <w:t xml:space="preserve">See </w:t>
      </w:r>
      <w:r w:rsidRPr="00CD2049">
        <w:t>47 C.F.R. § 17.4(c)(4).</w:t>
      </w:r>
    </w:p>
  </w:footnote>
  <w:footnote w:id="58">
    <w:p w14:paraId="4533A1C6" w14:textId="30D833C9" w:rsidR="0024724F" w:rsidRPr="00CD2049" w:rsidRDefault="0024724F" w:rsidP="00B424A6">
      <w:pPr>
        <w:pStyle w:val="FootnoteText"/>
        <w:spacing w:after="0"/>
      </w:pPr>
      <w:r w:rsidRPr="00CD2049">
        <w:rPr>
          <w:rStyle w:val="FootnoteReference"/>
        </w:rPr>
        <w:footnoteRef/>
      </w:r>
      <w:r w:rsidRPr="00CD2049">
        <w:t xml:space="preserve"> </w:t>
      </w:r>
      <w:r w:rsidRPr="00CD2049">
        <w:rPr>
          <w:i/>
        </w:rPr>
        <w:t xml:space="preserve">See </w:t>
      </w:r>
      <w:r w:rsidRPr="00CD2049">
        <w:t>47 C.F.R. § 17.4(c)</w:t>
      </w:r>
      <w:r>
        <w:t>(4),</w:t>
      </w:r>
      <w:r w:rsidRPr="00CD2049">
        <w:t>(5)</w:t>
      </w:r>
      <w:r w:rsidR="00162E01">
        <w:t xml:space="preserve">.  </w:t>
      </w:r>
      <w:r w:rsidR="00552B9A">
        <w:t xml:space="preserve">Applications currently on environmental notice </w:t>
      </w:r>
      <w:r w:rsidR="00162E01">
        <w:t xml:space="preserve">can be found </w:t>
      </w:r>
      <w:r w:rsidR="007E5F53">
        <w:t>on</w:t>
      </w:r>
      <w:r w:rsidRPr="00CD2049">
        <w:t xml:space="preserve"> </w:t>
      </w:r>
      <w:r w:rsidR="00552B9A">
        <w:t xml:space="preserve">the Federal Communications Commission website at: </w:t>
      </w:r>
      <w:hyperlink r:id="rId5" w:history="1">
        <w:r w:rsidR="00A93529" w:rsidRPr="000F724F">
          <w:rPr>
            <w:rStyle w:val="Hyperlink"/>
          </w:rPr>
          <w:t>https://wireless2.fcc.gov/ASRManager/service/nationalNoticeReport.faces</w:t>
        </w:r>
      </w:hyperlink>
      <w:r w:rsidR="00A93529" w:rsidRPr="000F7680">
        <w:t xml:space="preserve"> (last visited Oct. 14, 2015)</w:t>
      </w:r>
      <w:r w:rsidR="00A93529">
        <w:t>.</w:t>
      </w:r>
    </w:p>
  </w:footnote>
  <w:footnote w:id="59">
    <w:p w14:paraId="68D1F8BA" w14:textId="168851C5" w:rsidR="0024724F" w:rsidRPr="00162E01" w:rsidRDefault="0024724F" w:rsidP="00B424A6">
      <w:pPr>
        <w:pStyle w:val="FootnoteText"/>
        <w:spacing w:after="0"/>
      </w:pPr>
      <w:r w:rsidRPr="005E25A1">
        <w:rPr>
          <w:rStyle w:val="FootnoteReference"/>
        </w:rPr>
        <w:footnoteRef/>
      </w:r>
      <w:r w:rsidRPr="005E25A1">
        <w:t xml:space="preserve"> </w:t>
      </w:r>
      <w:r w:rsidR="00E12DF6">
        <w:rPr>
          <w:i/>
        </w:rPr>
        <w:t>See</w:t>
      </w:r>
      <w:r w:rsidR="00E12DF6">
        <w:t xml:space="preserve"> FCC Form 854, Items </w:t>
      </w:r>
      <w:r w:rsidR="0023495E">
        <w:t xml:space="preserve">47 and </w:t>
      </w:r>
      <w:r w:rsidR="00E12DF6">
        <w:t xml:space="preserve">49-51 and Certification Statements, </w:t>
      </w:r>
      <w:r w:rsidR="00E12DF6" w:rsidRPr="00ED547F">
        <w:t>available at</w:t>
      </w:r>
      <w:r w:rsidR="007E5F53">
        <w:t>:</w:t>
      </w:r>
      <w:r w:rsidR="00E12DF6" w:rsidRPr="00ED547F">
        <w:t xml:space="preserve"> </w:t>
      </w:r>
      <w:hyperlink r:id="rId6" w:history="1">
        <w:r w:rsidR="00314C91" w:rsidRPr="00FB19B3">
          <w:rPr>
            <w:rStyle w:val="Hyperlink"/>
          </w:rPr>
          <w:t>https://transition.fcc.gov/Forms/Form854/854.pdf</w:t>
        </w:r>
      </w:hyperlink>
      <w:r w:rsidR="00314C91">
        <w:t xml:space="preserve"> (last visited Oct. 14, 2015)</w:t>
      </w:r>
      <w:r w:rsidR="00E12DF6" w:rsidRPr="00ED547F">
        <w:t>.</w:t>
      </w:r>
    </w:p>
  </w:footnote>
  <w:footnote w:id="60">
    <w:p w14:paraId="5A3FE291" w14:textId="77777777" w:rsidR="0024724F" w:rsidRPr="00CD2049" w:rsidRDefault="0024724F" w:rsidP="00B424A6">
      <w:pPr>
        <w:pStyle w:val="FootnoteText"/>
        <w:spacing w:after="0"/>
      </w:pPr>
      <w:r w:rsidRPr="00CD2049">
        <w:rPr>
          <w:rStyle w:val="FootnoteReference"/>
        </w:rPr>
        <w:footnoteRef/>
      </w:r>
      <w:r w:rsidRPr="00CD2049">
        <w:t xml:space="preserve"> AT&amp;T Response to </w:t>
      </w:r>
      <w:r>
        <w:t xml:space="preserve">NCTA, </w:t>
      </w:r>
      <w:r w:rsidRPr="00CD2049">
        <w:t>Sheyenne</w:t>
      </w:r>
      <w:r>
        <w:t>,</w:t>
      </w:r>
      <w:r w:rsidRPr="00CD2049">
        <w:t xml:space="preserve"> and Don Busta at 7.</w:t>
      </w:r>
    </w:p>
  </w:footnote>
  <w:footnote w:id="61">
    <w:p w14:paraId="3EDE3647" w14:textId="3F3CBD60" w:rsidR="0024724F" w:rsidRPr="00E3391E" w:rsidRDefault="0024724F" w:rsidP="00B424A6">
      <w:pPr>
        <w:pStyle w:val="FootnoteText"/>
        <w:spacing w:after="0"/>
      </w:pPr>
      <w:r w:rsidRPr="00E3391E">
        <w:rPr>
          <w:rStyle w:val="FootnoteReference"/>
        </w:rPr>
        <w:footnoteRef/>
      </w:r>
      <w:r w:rsidRPr="001C5448">
        <w:t xml:space="preserve"> </w:t>
      </w:r>
      <w:r w:rsidRPr="00E3391E">
        <w:t>Sheyenne Complaint</w:t>
      </w:r>
      <w:r w:rsidR="00E12DF6">
        <w:t xml:space="preserve"> and Attachment at 1-2</w:t>
      </w:r>
      <w:r>
        <w:t>;</w:t>
      </w:r>
      <w:r w:rsidRPr="00E3391E">
        <w:t xml:space="preserve"> Judith L. Morris Complaint at 2-5</w:t>
      </w:r>
      <w:r>
        <w:t>;</w:t>
      </w:r>
      <w:r w:rsidR="00E12DF6">
        <w:t xml:space="preserve"> </w:t>
      </w:r>
      <w:r w:rsidRPr="00E3391E">
        <w:t>NCTA Response</w:t>
      </w:r>
      <w:r w:rsidR="00162E01">
        <w:t xml:space="preserve"> to AT&amp;T</w:t>
      </w:r>
      <w:r w:rsidRPr="00E3391E">
        <w:t>.</w:t>
      </w:r>
    </w:p>
  </w:footnote>
  <w:footnote w:id="62">
    <w:p w14:paraId="6DD51915" w14:textId="00C1C522" w:rsidR="0024724F" w:rsidRPr="00E3391E" w:rsidRDefault="0024724F" w:rsidP="00B424A6">
      <w:pPr>
        <w:pStyle w:val="FootnoteText"/>
        <w:spacing w:after="0"/>
      </w:pPr>
      <w:r w:rsidRPr="00E3391E">
        <w:rPr>
          <w:rStyle w:val="FootnoteReference"/>
        </w:rPr>
        <w:footnoteRef/>
      </w:r>
      <w:r w:rsidRPr="001C5448">
        <w:t xml:space="preserve"> </w:t>
      </w:r>
      <w:r w:rsidRPr="00E3391E">
        <w:t>Judith L. Miller Complaint at 4</w:t>
      </w:r>
      <w:r w:rsidR="00314C91">
        <w:t xml:space="preserve">.  </w:t>
      </w:r>
      <w:r w:rsidR="00314C91">
        <w:rPr>
          <w:i/>
        </w:rPr>
        <w:t>S</w:t>
      </w:r>
      <w:r>
        <w:rPr>
          <w:i/>
        </w:rPr>
        <w:t>ee</w:t>
      </w:r>
      <w:r w:rsidRPr="00E3391E">
        <w:t xml:space="preserve"> AT&amp;T Response to NCTA, Sheyenne, and Don Busta, Ex. A, NEPA Report</w:t>
      </w:r>
      <w:r w:rsidR="00162E01">
        <w:t>,</w:t>
      </w:r>
      <w:r w:rsidR="00E12DF6">
        <w:t xml:space="preserve"> at 210.</w:t>
      </w:r>
    </w:p>
  </w:footnote>
  <w:footnote w:id="63">
    <w:p w14:paraId="0A11C8CA" w14:textId="77777777" w:rsidR="0024724F" w:rsidRPr="00E3391E" w:rsidRDefault="0024724F" w:rsidP="00B424A6">
      <w:pPr>
        <w:pStyle w:val="FootnoteText"/>
        <w:spacing w:after="0"/>
      </w:pPr>
      <w:r w:rsidRPr="00E3391E">
        <w:rPr>
          <w:rStyle w:val="FootnoteReference"/>
        </w:rPr>
        <w:footnoteRef/>
      </w:r>
      <w:r w:rsidRPr="00E3391E">
        <w:t xml:space="preserve"> Sheyenne Complaint at 1.</w:t>
      </w:r>
    </w:p>
  </w:footnote>
  <w:footnote w:id="64">
    <w:p w14:paraId="6750AEDE" w14:textId="1839E56B" w:rsidR="0024724F" w:rsidRPr="00A41635" w:rsidRDefault="0024724F" w:rsidP="00B424A6">
      <w:pPr>
        <w:pStyle w:val="FootnoteText"/>
        <w:spacing w:after="0"/>
      </w:pPr>
      <w:r w:rsidRPr="00E3391E">
        <w:rPr>
          <w:rStyle w:val="FootnoteReference"/>
        </w:rPr>
        <w:footnoteRef/>
      </w:r>
      <w:r w:rsidRPr="00E3391E">
        <w:t xml:space="preserve"> </w:t>
      </w:r>
      <w:r w:rsidRPr="00E3391E">
        <w:rPr>
          <w:i/>
        </w:rPr>
        <w:t>See, e.g.,</w:t>
      </w:r>
      <w:r w:rsidRPr="00E3391E">
        <w:t xml:space="preserve"> AT&amp;T Response to NCTA, Sheyenne, and Don Busta</w:t>
      </w:r>
      <w:r w:rsidR="006339F1">
        <w:t xml:space="preserve"> at 2-4</w:t>
      </w:r>
      <w:r>
        <w:t>.</w:t>
      </w:r>
      <w:r w:rsidRPr="00A41635">
        <w:t xml:space="preserve"> </w:t>
      </w:r>
    </w:p>
  </w:footnote>
  <w:footnote w:id="65">
    <w:p w14:paraId="1D51716A" w14:textId="77777777" w:rsidR="0024724F" w:rsidRPr="00117BA4" w:rsidRDefault="0024724F" w:rsidP="00B424A6">
      <w:pPr>
        <w:pStyle w:val="FootnoteText"/>
        <w:spacing w:after="0"/>
      </w:pPr>
      <w:r w:rsidRPr="00117BA4">
        <w:rPr>
          <w:rStyle w:val="FootnoteReference"/>
        </w:rPr>
        <w:footnoteRef/>
      </w:r>
      <w:r w:rsidRPr="00117BA4">
        <w:t xml:space="preserve"> </w:t>
      </w:r>
      <w:r w:rsidRPr="00117BA4">
        <w:rPr>
          <w:i/>
        </w:rPr>
        <w:t xml:space="preserve">See </w:t>
      </w:r>
      <w:r>
        <w:t>47 C.F.R. § 1.1307(a)(4</w:t>
      </w:r>
      <w:r w:rsidRPr="00117BA4">
        <w:t xml:space="preserve">).  </w:t>
      </w:r>
    </w:p>
  </w:footnote>
  <w:footnote w:id="66">
    <w:p w14:paraId="58789F29" w14:textId="57515CFE" w:rsidR="0024724F" w:rsidRPr="00A67389" w:rsidRDefault="0024724F" w:rsidP="00B424A6">
      <w:pPr>
        <w:pStyle w:val="FootnoteText"/>
        <w:spacing w:after="0"/>
      </w:pPr>
      <w:r w:rsidRPr="00A41635">
        <w:rPr>
          <w:rStyle w:val="FootnoteReference"/>
        </w:rPr>
        <w:footnoteRef/>
      </w:r>
      <w:r w:rsidRPr="00A41635">
        <w:t xml:space="preserve"> </w:t>
      </w:r>
      <w:r w:rsidRPr="00A67389">
        <w:t xml:space="preserve">Nationwide Programmatic Agreement Regarding The Section 106 National Historic Preservation Act Review Process, WT Docket No. 03-128, </w:t>
      </w:r>
      <w:r w:rsidRPr="00A67389">
        <w:rPr>
          <w:i/>
        </w:rPr>
        <w:t>Report and Order</w:t>
      </w:r>
      <w:r w:rsidRPr="00A67389">
        <w:t>, 20 FCC Rcd 1073</w:t>
      </w:r>
      <w:r w:rsidRPr="00A41635">
        <w:t xml:space="preserve">, </w:t>
      </w:r>
      <w:r>
        <w:t xml:space="preserve">1083 </w:t>
      </w:r>
      <w:r w:rsidRPr="00A41635">
        <w:t>¶ 25</w:t>
      </w:r>
      <w:r>
        <w:t xml:space="preserve"> (2004)</w:t>
      </w:r>
      <w:r w:rsidR="007E5F53">
        <w:t xml:space="preserve">, </w:t>
      </w:r>
      <w:r w:rsidR="007E5F53">
        <w:rPr>
          <w:i/>
        </w:rPr>
        <w:t>aff’</w:t>
      </w:r>
      <w:r w:rsidR="00A93529">
        <w:rPr>
          <w:i/>
        </w:rPr>
        <w:t>d.</w:t>
      </w:r>
      <w:r w:rsidR="007E5F53">
        <w:rPr>
          <w:i/>
        </w:rPr>
        <w:t xml:space="preserve"> sub nom. CTIA – The Wireless Ass’n. v. FCC</w:t>
      </w:r>
      <w:r w:rsidR="007E5F53">
        <w:t>, 466 F.3d 105 (D.C, Cir. 2006)</w:t>
      </w:r>
      <w:r w:rsidRPr="00A41635">
        <w:t>.</w:t>
      </w:r>
    </w:p>
  </w:footnote>
  <w:footnote w:id="67">
    <w:p w14:paraId="267ED5D1" w14:textId="77777777" w:rsidR="0024724F" w:rsidRDefault="0024724F" w:rsidP="00B424A6">
      <w:pPr>
        <w:pStyle w:val="FootnoteText"/>
        <w:spacing w:after="0"/>
      </w:pPr>
      <w:r w:rsidRPr="00A41635">
        <w:rPr>
          <w:rStyle w:val="FootnoteReference"/>
        </w:rPr>
        <w:footnoteRef/>
      </w:r>
      <w:r w:rsidRPr="00A41635">
        <w:t xml:space="preserve"> </w:t>
      </w:r>
      <w:r>
        <w:rPr>
          <w:i/>
        </w:rPr>
        <w:t xml:space="preserve">See </w:t>
      </w:r>
      <w:r>
        <w:t xml:space="preserve">47 C.F.R. § 1.1307(a)(4); </w:t>
      </w:r>
      <w:r w:rsidRPr="00A41635">
        <w:t>47 C.F.R. Pt. 1, App. C.</w:t>
      </w:r>
    </w:p>
  </w:footnote>
  <w:footnote w:id="68">
    <w:p w14:paraId="6ADD784F" w14:textId="77777777" w:rsidR="0024724F" w:rsidRPr="00CD2049" w:rsidRDefault="0024724F" w:rsidP="00B424A6">
      <w:pPr>
        <w:pStyle w:val="FootnoteText"/>
        <w:spacing w:after="0"/>
      </w:pPr>
      <w:r w:rsidRPr="00CD2049">
        <w:rPr>
          <w:rStyle w:val="FootnoteReference"/>
        </w:rPr>
        <w:footnoteRef/>
      </w:r>
      <w:r w:rsidRPr="00CD2049">
        <w:t xml:space="preserve"> </w:t>
      </w:r>
      <w:r>
        <w:rPr>
          <w:i/>
        </w:rPr>
        <w:t>See</w:t>
      </w:r>
      <w:r>
        <w:t xml:space="preserve"> 47 C.F.R. Pt. 1, App. C, §§ II.A.3, VI.A, and VI.C.</w:t>
      </w:r>
    </w:p>
  </w:footnote>
  <w:footnote w:id="69">
    <w:p w14:paraId="4D5D502E" w14:textId="67696F5D" w:rsidR="0024724F" w:rsidRPr="00CD2049" w:rsidRDefault="0024724F" w:rsidP="00B424A6">
      <w:pPr>
        <w:pStyle w:val="FootnoteText"/>
        <w:spacing w:after="0"/>
      </w:pPr>
      <w:r w:rsidRPr="00CD2049">
        <w:rPr>
          <w:rStyle w:val="FootnoteReference"/>
        </w:rPr>
        <w:footnoteRef/>
      </w:r>
      <w:r w:rsidRPr="00CD2049">
        <w:t xml:space="preserve"> </w:t>
      </w:r>
      <w:r>
        <w:rPr>
          <w:i/>
        </w:rPr>
        <w:t xml:space="preserve">See </w:t>
      </w:r>
      <w:r w:rsidR="007E5F53">
        <w:rPr>
          <w:i/>
        </w:rPr>
        <w:t>id.</w:t>
      </w:r>
      <w:r>
        <w:t xml:space="preserve">, § </w:t>
      </w:r>
      <w:r w:rsidRPr="00CD2049">
        <w:t>V</w:t>
      </w:r>
      <w:r>
        <w:t>I.</w:t>
      </w:r>
      <w:r w:rsidRPr="00CD2049">
        <w:t>C</w:t>
      </w:r>
      <w:r>
        <w:t>.</w:t>
      </w:r>
      <w:r w:rsidRPr="00CD2049">
        <w:t>2</w:t>
      </w:r>
      <w:r>
        <w:t>.</w:t>
      </w:r>
    </w:p>
  </w:footnote>
  <w:footnote w:id="70">
    <w:p w14:paraId="0FD9DAB1" w14:textId="52E22B02" w:rsidR="0024724F" w:rsidRPr="00CD2049" w:rsidRDefault="0024724F" w:rsidP="00B424A6">
      <w:pPr>
        <w:pStyle w:val="FootnoteText"/>
        <w:spacing w:after="0"/>
      </w:pPr>
      <w:r w:rsidRPr="00CD2049">
        <w:rPr>
          <w:rStyle w:val="FootnoteReference"/>
        </w:rPr>
        <w:footnoteRef/>
      </w:r>
      <w:r w:rsidRPr="00CD2049">
        <w:t xml:space="preserve"> </w:t>
      </w:r>
      <w:r>
        <w:rPr>
          <w:i/>
        </w:rPr>
        <w:t xml:space="preserve">See </w:t>
      </w:r>
      <w:r w:rsidR="007E5F53">
        <w:rPr>
          <w:i/>
        </w:rPr>
        <w:t>id.</w:t>
      </w:r>
      <w:r>
        <w:t xml:space="preserve">, § </w:t>
      </w:r>
      <w:r w:rsidRPr="00CD2049">
        <w:t>V</w:t>
      </w:r>
      <w:r>
        <w:t>I.</w:t>
      </w:r>
      <w:r w:rsidRPr="00CD2049">
        <w:t>C</w:t>
      </w:r>
      <w:r>
        <w:t>.</w:t>
      </w:r>
      <w:r w:rsidRPr="00CD2049">
        <w:t>3</w:t>
      </w:r>
      <w:r>
        <w:t>.</w:t>
      </w:r>
    </w:p>
  </w:footnote>
  <w:footnote w:id="71">
    <w:p w14:paraId="33A773F2" w14:textId="4998DEF7" w:rsidR="0024724F" w:rsidRPr="00CD2049" w:rsidRDefault="0024724F" w:rsidP="00B424A6">
      <w:pPr>
        <w:pStyle w:val="FootnoteText"/>
        <w:spacing w:after="0"/>
      </w:pPr>
      <w:r w:rsidRPr="00CD2049">
        <w:rPr>
          <w:rStyle w:val="FootnoteReference"/>
        </w:rPr>
        <w:footnoteRef/>
      </w:r>
      <w:r w:rsidRPr="00CD2049">
        <w:t xml:space="preserve"> </w:t>
      </w:r>
      <w:r>
        <w:rPr>
          <w:i/>
        </w:rPr>
        <w:t xml:space="preserve">See </w:t>
      </w:r>
      <w:r w:rsidR="007E5F53">
        <w:rPr>
          <w:i/>
        </w:rPr>
        <w:t>id.</w:t>
      </w:r>
      <w:r>
        <w:t xml:space="preserve">, §§ </w:t>
      </w:r>
      <w:r w:rsidRPr="00CD2049">
        <w:t>V</w:t>
      </w:r>
      <w:r>
        <w:t>I.</w:t>
      </w:r>
      <w:r w:rsidRPr="00CD2049">
        <w:t>C</w:t>
      </w:r>
      <w:r>
        <w:t>.</w:t>
      </w:r>
      <w:r w:rsidRPr="00CD2049">
        <w:t xml:space="preserve">3 and </w:t>
      </w:r>
      <w:r w:rsidR="00A93529">
        <w:t>VI.</w:t>
      </w:r>
      <w:r w:rsidRPr="00CD2049">
        <w:t>C</w:t>
      </w:r>
      <w:r>
        <w:t>.</w:t>
      </w:r>
      <w:r w:rsidRPr="00CD2049">
        <w:t>4</w:t>
      </w:r>
      <w:r>
        <w:t>.</w:t>
      </w:r>
      <w:r w:rsidRPr="00CD2049">
        <w:t>b</w:t>
      </w:r>
      <w:r>
        <w:t>.</w:t>
      </w:r>
    </w:p>
  </w:footnote>
  <w:footnote w:id="72">
    <w:p w14:paraId="3A17D4DE" w14:textId="24B4673F" w:rsidR="0024724F" w:rsidRPr="00CD2049" w:rsidRDefault="0024724F" w:rsidP="00B424A6">
      <w:pPr>
        <w:pStyle w:val="FootnoteText"/>
        <w:spacing w:after="0"/>
      </w:pPr>
      <w:r w:rsidRPr="00CD2049">
        <w:rPr>
          <w:rStyle w:val="FootnoteReference"/>
        </w:rPr>
        <w:footnoteRef/>
      </w:r>
      <w:r w:rsidRPr="00CD2049">
        <w:t xml:space="preserve"> </w:t>
      </w:r>
      <w:r>
        <w:rPr>
          <w:i/>
        </w:rPr>
        <w:t xml:space="preserve">See </w:t>
      </w:r>
      <w:r w:rsidRPr="00CD2049">
        <w:t xml:space="preserve">AT&amp;T Response to </w:t>
      </w:r>
      <w:r>
        <w:t xml:space="preserve">NCTA, </w:t>
      </w:r>
      <w:r w:rsidRPr="00CD2049">
        <w:t>Sheyenne</w:t>
      </w:r>
      <w:r>
        <w:t>,</w:t>
      </w:r>
      <w:r w:rsidRPr="00CD2049">
        <w:t xml:space="preserve"> and Don Busta, Ex. A, NEPA Report</w:t>
      </w:r>
      <w:r>
        <w:t>, at 200.</w:t>
      </w:r>
    </w:p>
  </w:footnote>
  <w:footnote w:id="73">
    <w:p w14:paraId="3F4E2D34" w14:textId="291397C5" w:rsidR="0024724F" w:rsidRPr="00CD2049" w:rsidRDefault="0024724F" w:rsidP="00B424A6">
      <w:pPr>
        <w:pStyle w:val="FootnoteText"/>
        <w:spacing w:after="0"/>
      </w:pPr>
      <w:r w:rsidRPr="00CD2049">
        <w:rPr>
          <w:rStyle w:val="FootnoteReference"/>
        </w:rPr>
        <w:footnoteRef/>
      </w:r>
      <w:r w:rsidRPr="00CD2049">
        <w:t xml:space="preserve"> </w:t>
      </w:r>
      <w:r>
        <w:rPr>
          <w:i/>
        </w:rPr>
        <w:t xml:space="preserve">See </w:t>
      </w:r>
      <w:r w:rsidR="007E5F53">
        <w:rPr>
          <w:i/>
        </w:rPr>
        <w:t>id.</w:t>
      </w:r>
      <w:r>
        <w:t xml:space="preserve"> at 206-215.</w:t>
      </w:r>
    </w:p>
  </w:footnote>
  <w:footnote w:id="74">
    <w:p w14:paraId="3528F497" w14:textId="6DF19321" w:rsidR="0024724F" w:rsidRPr="001E56D1" w:rsidRDefault="0024724F" w:rsidP="00B424A6">
      <w:pPr>
        <w:pStyle w:val="FootnoteText"/>
        <w:spacing w:after="0"/>
      </w:pPr>
      <w:r>
        <w:rPr>
          <w:rStyle w:val="FootnoteReference"/>
        </w:rPr>
        <w:footnoteRef/>
      </w:r>
      <w:r>
        <w:t xml:space="preserve"> </w:t>
      </w:r>
      <w:r w:rsidR="00162E01">
        <w:t>47 C.F.R. Pt. 1, App. C,</w:t>
      </w:r>
      <w:r w:rsidR="00BF0B94">
        <w:t xml:space="preserve"> § VI</w:t>
      </w:r>
      <w:r w:rsidR="00A93529">
        <w:t>.</w:t>
      </w:r>
      <w:r w:rsidR="00BF0B94">
        <w:t>D</w:t>
      </w:r>
      <w:r w:rsidR="00A93529">
        <w:t>.</w:t>
      </w:r>
      <w:r w:rsidR="00BF0B94">
        <w:t>1</w:t>
      </w:r>
      <w:r w:rsidR="00A93529">
        <w:t>.</w:t>
      </w:r>
      <w:r w:rsidR="00BF0B94">
        <w:t>a.</w:t>
      </w:r>
    </w:p>
  </w:footnote>
  <w:footnote w:id="75">
    <w:p w14:paraId="7F3C1061" w14:textId="628190EF" w:rsidR="0024724F" w:rsidRPr="00CD2049" w:rsidRDefault="0024724F" w:rsidP="00B424A6">
      <w:pPr>
        <w:pStyle w:val="FootnoteText"/>
        <w:spacing w:after="0"/>
      </w:pPr>
      <w:r w:rsidRPr="00CD2049">
        <w:rPr>
          <w:rStyle w:val="FootnoteReference"/>
        </w:rPr>
        <w:footnoteRef/>
      </w:r>
      <w:r w:rsidRPr="00CD2049">
        <w:t xml:space="preserve"> </w:t>
      </w:r>
      <w:r>
        <w:rPr>
          <w:i/>
        </w:rPr>
        <w:t xml:space="preserve">See </w:t>
      </w:r>
      <w:r>
        <w:t xml:space="preserve">AT&amp;T Response to NCTA, Sheyenne, and Don Busta, Ex. A, </w:t>
      </w:r>
      <w:r w:rsidR="006374D1">
        <w:t>at 183 (Letter from Impact 7G, Inc. to Ms. Susan Quinnell, Review and Compliance Coordinator, State Historical Society for North Dakota, April 22, 2012)</w:t>
      </w:r>
      <w:r w:rsidR="007E5F53">
        <w:t>;</w:t>
      </w:r>
      <w:r w:rsidR="00162E01">
        <w:t xml:space="preserve"> Rom Declaration</w:t>
      </w:r>
      <w:r w:rsidR="007E5F53">
        <w:t>;</w:t>
      </w:r>
      <w:r w:rsidR="00162E01">
        <w:t xml:space="preserve"> Pribil Declaration</w:t>
      </w:r>
      <w:r w:rsidR="00E3097F">
        <w:t>.</w:t>
      </w:r>
      <w:r w:rsidRPr="00246CD7">
        <w:t xml:space="preserve"> </w:t>
      </w:r>
    </w:p>
  </w:footnote>
  <w:footnote w:id="76">
    <w:p w14:paraId="3E4D5D0A" w14:textId="030FA976" w:rsidR="0024724F" w:rsidRPr="00CD2049" w:rsidRDefault="0024724F" w:rsidP="00B424A6">
      <w:pPr>
        <w:pStyle w:val="FootnoteText"/>
        <w:spacing w:after="0"/>
      </w:pPr>
      <w:r w:rsidRPr="00CD2049">
        <w:rPr>
          <w:rStyle w:val="FootnoteReference"/>
        </w:rPr>
        <w:footnoteRef/>
      </w:r>
      <w:r w:rsidRPr="00CD2049">
        <w:t xml:space="preserve"> </w:t>
      </w:r>
      <w:r>
        <w:rPr>
          <w:i/>
        </w:rPr>
        <w:t xml:space="preserve">See </w:t>
      </w:r>
      <w:r w:rsidRPr="00CD2049">
        <w:t xml:space="preserve">AT&amp;T Response to </w:t>
      </w:r>
      <w:r>
        <w:t xml:space="preserve">NCTA, </w:t>
      </w:r>
      <w:r w:rsidRPr="00CD2049">
        <w:t>Sheyenne</w:t>
      </w:r>
      <w:r>
        <w:t>,</w:t>
      </w:r>
      <w:r w:rsidRPr="00CD2049">
        <w:t xml:space="preserve"> and Don Busta, Ex. A, NEPA Report</w:t>
      </w:r>
      <w:r>
        <w:t>, at 38, 41, and 44.</w:t>
      </w:r>
    </w:p>
  </w:footnote>
  <w:footnote w:id="77">
    <w:p w14:paraId="38F70F97" w14:textId="249B6632" w:rsidR="0024724F" w:rsidRPr="00CD2049" w:rsidRDefault="0024724F" w:rsidP="00B424A6">
      <w:pPr>
        <w:pStyle w:val="FootnoteText"/>
        <w:spacing w:after="0"/>
      </w:pPr>
      <w:r w:rsidRPr="00CD2049">
        <w:rPr>
          <w:rStyle w:val="FootnoteReference"/>
        </w:rPr>
        <w:footnoteRef/>
      </w:r>
      <w:r w:rsidRPr="00CD2049">
        <w:t xml:space="preserve"> </w:t>
      </w:r>
      <w:r>
        <w:rPr>
          <w:i/>
        </w:rPr>
        <w:t xml:space="preserve">See </w:t>
      </w:r>
      <w:r w:rsidR="007E5F53">
        <w:rPr>
          <w:i/>
        </w:rPr>
        <w:t>id.</w:t>
      </w:r>
      <w:r w:rsidRPr="00CD2049">
        <w:t xml:space="preserve"> </w:t>
      </w:r>
      <w:r>
        <w:t>at 233.</w:t>
      </w:r>
    </w:p>
  </w:footnote>
  <w:footnote w:id="78">
    <w:p w14:paraId="791DEE37" w14:textId="31A95D47" w:rsidR="0024724F" w:rsidRPr="004B734F" w:rsidRDefault="0024724F" w:rsidP="00B424A6">
      <w:pPr>
        <w:pStyle w:val="FootnoteText"/>
        <w:spacing w:after="0"/>
      </w:pPr>
      <w:r>
        <w:rPr>
          <w:rStyle w:val="FootnoteReference"/>
        </w:rPr>
        <w:footnoteRef/>
      </w:r>
      <w:r w:rsidRPr="00150111">
        <w:rPr>
          <w:rFonts w:asciiTheme="minorHAnsi" w:hAnsiTheme="minorHAnsi"/>
        </w:rPr>
        <w:t xml:space="preserve"> </w:t>
      </w:r>
      <w:r w:rsidR="00162E01">
        <w:t>47 C.F.R. Pt. 1, App. C,</w:t>
      </w:r>
      <w:r w:rsidR="00562F6B">
        <w:t xml:space="preserve"> § VII</w:t>
      </w:r>
      <w:r w:rsidR="00A93529">
        <w:t>.</w:t>
      </w:r>
      <w:r w:rsidR="00562F6B">
        <w:t>B</w:t>
      </w:r>
      <w:r w:rsidR="00A93529">
        <w:t>.</w:t>
      </w:r>
      <w:r w:rsidR="00562F6B">
        <w:t>1.</w:t>
      </w:r>
    </w:p>
  </w:footnote>
  <w:footnote w:id="79">
    <w:p w14:paraId="0C48B66F" w14:textId="0DF2E0CD" w:rsidR="0024724F" w:rsidRPr="008612EF" w:rsidRDefault="0024724F" w:rsidP="00B424A6">
      <w:pPr>
        <w:pStyle w:val="FootnoteText"/>
        <w:spacing w:after="0"/>
      </w:pPr>
      <w:r>
        <w:rPr>
          <w:rStyle w:val="FootnoteReference"/>
        </w:rPr>
        <w:footnoteRef/>
      </w:r>
      <w:r>
        <w:t xml:space="preserve"> </w:t>
      </w:r>
      <w:r w:rsidRPr="0067246E">
        <w:rPr>
          <w:i/>
        </w:rPr>
        <w:t>See</w:t>
      </w:r>
      <w:r w:rsidRPr="0067246E">
        <w:t xml:space="preserve"> </w:t>
      </w:r>
      <w:r>
        <w:rPr>
          <w:i/>
        </w:rPr>
        <w:t>Wireless Properties</w:t>
      </w:r>
      <w:r w:rsidRPr="0067246E">
        <w:t xml:space="preserve"> at ¶ 14.</w:t>
      </w:r>
      <w:r>
        <w:t xml:space="preserve">  By contrast, in </w:t>
      </w:r>
      <w:r>
        <w:rPr>
          <w:i/>
        </w:rPr>
        <w:t>Wireless Properties</w:t>
      </w:r>
      <w:r>
        <w:t xml:space="preserve">, the applicant failed to identify to the SHPO a historic property within the APE that was listed in the National Register, which it was required to do under the NPA.  </w:t>
      </w:r>
      <w:r>
        <w:rPr>
          <w:i/>
        </w:rPr>
        <w:t>See id.</w:t>
      </w:r>
      <w:r>
        <w:t xml:space="preserve"> at</w:t>
      </w:r>
      <w:r w:rsidR="007E5F53">
        <w:t xml:space="preserve"> ¶</w:t>
      </w:r>
      <w:r>
        <w:t xml:space="preserve"> </w:t>
      </w:r>
      <w:r w:rsidR="00562F6B">
        <w:t>3</w:t>
      </w:r>
      <w:r w:rsidR="002F05A7">
        <w:t>.</w:t>
      </w:r>
    </w:p>
  </w:footnote>
  <w:footnote w:id="80">
    <w:p w14:paraId="5C8B7CF1" w14:textId="7E1D74E2" w:rsidR="0024724F" w:rsidRPr="00932774" w:rsidRDefault="0024724F" w:rsidP="00B424A6">
      <w:pPr>
        <w:pStyle w:val="FootnoteText"/>
        <w:spacing w:after="0"/>
      </w:pPr>
      <w:r w:rsidRPr="00CD2049">
        <w:rPr>
          <w:rStyle w:val="FootnoteReference"/>
        </w:rPr>
        <w:footnoteRef/>
      </w:r>
      <w:r w:rsidRPr="00CD2049">
        <w:t xml:space="preserve"> </w:t>
      </w:r>
      <w:r w:rsidRPr="00104654">
        <w:t xml:space="preserve">Judith L. Morris Complaint at </w:t>
      </w:r>
      <w:r>
        <w:t>2-</w:t>
      </w:r>
      <w:r w:rsidRPr="00104654">
        <w:t>3.</w:t>
      </w:r>
      <w:r>
        <w:t xml:space="preserve">  </w:t>
      </w:r>
      <w:r>
        <w:rPr>
          <w:i/>
        </w:rPr>
        <w:t xml:space="preserve">See </w:t>
      </w:r>
      <w:r>
        <w:t>47 C.F.R. § 1.1308(a</w:t>
      </w:r>
      <w:r w:rsidRPr="001C5448">
        <w:t>) (</w:t>
      </w:r>
      <w:r w:rsidR="00162E01">
        <w:t>a</w:t>
      </w:r>
      <w:r w:rsidR="00562F6B" w:rsidRPr="001C5448">
        <w:t xml:space="preserve">pplicants shall prepare </w:t>
      </w:r>
      <w:r w:rsidR="00162E01">
        <w:t>EAs</w:t>
      </w:r>
      <w:r w:rsidR="00562F6B" w:rsidRPr="001C5448">
        <w:t xml:space="preserve"> for actions that may have a significant environmental impact</w:t>
      </w:r>
      <w:r w:rsidR="00087A86">
        <w:t>)</w:t>
      </w:r>
      <w:r w:rsidR="00562F6B" w:rsidRPr="001C5448">
        <w:t>.</w:t>
      </w:r>
    </w:p>
  </w:footnote>
  <w:footnote w:id="81">
    <w:p w14:paraId="6E45015D" w14:textId="77777777" w:rsidR="0024724F" w:rsidRPr="00A314AD" w:rsidRDefault="0024724F" w:rsidP="00B424A6">
      <w:pPr>
        <w:pStyle w:val="FootnoteText"/>
        <w:spacing w:after="0"/>
      </w:pPr>
      <w:r w:rsidRPr="00A314AD">
        <w:rPr>
          <w:rStyle w:val="FootnoteReference"/>
        </w:rPr>
        <w:footnoteRef/>
      </w:r>
      <w:r w:rsidRPr="00A314AD">
        <w:t xml:space="preserve"> Don Busta Complaint.</w:t>
      </w:r>
    </w:p>
  </w:footnote>
  <w:footnote w:id="82">
    <w:p w14:paraId="6852487D" w14:textId="77777777" w:rsidR="0024724F" w:rsidRPr="00104654" w:rsidRDefault="0024724F" w:rsidP="00B424A6">
      <w:pPr>
        <w:pStyle w:val="FootnoteText"/>
        <w:spacing w:after="0"/>
      </w:pPr>
      <w:r w:rsidRPr="00104654">
        <w:rPr>
          <w:rStyle w:val="FootnoteReference"/>
        </w:rPr>
        <w:footnoteRef/>
      </w:r>
      <w:r w:rsidRPr="00104654">
        <w:t xml:space="preserve"> NCTA Response</w:t>
      </w:r>
      <w:r w:rsidR="00162E01">
        <w:t xml:space="preserve"> to AT&amp;T</w:t>
      </w:r>
      <w:r w:rsidRPr="00104654">
        <w:t>.</w:t>
      </w:r>
    </w:p>
  </w:footnote>
  <w:footnote w:id="83">
    <w:p w14:paraId="37B3DF6B" w14:textId="77777777" w:rsidR="0024724F" w:rsidRPr="00104654" w:rsidRDefault="0024724F" w:rsidP="00B424A6">
      <w:pPr>
        <w:pStyle w:val="FootnoteText"/>
        <w:spacing w:after="0"/>
      </w:pPr>
      <w:r w:rsidRPr="00104654">
        <w:rPr>
          <w:rStyle w:val="FootnoteReference"/>
        </w:rPr>
        <w:footnoteRef/>
      </w:r>
      <w:r w:rsidRPr="00104654">
        <w:t xml:space="preserve"> Sheyenne Complaint at 2.</w:t>
      </w:r>
    </w:p>
  </w:footnote>
  <w:footnote w:id="84">
    <w:p w14:paraId="0A8ED6F4" w14:textId="4B19FD76" w:rsidR="0024724F" w:rsidRPr="00D76A7A" w:rsidRDefault="0024724F" w:rsidP="00B424A6">
      <w:pPr>
        <w:pStyle w:val="FootnoteText"/>
        <w:spacing w:after="0"/>
      </w:pPr>
      <w:r w:rsidRPr="00D76A7A">
        <w:rPr>
          <w:rStyle w:val="FootnoteReference"/>
        </w:rPr>
        <w:footnoteRef/>
      </w:r>
      <w:r w:rsidRPr="00D76A7A">
        <w:t xml:space="preserve"> </w:t>
      </w:r>
      <w:r w:rsidRPr="00D76A7A">
        <w:rPr>
          <w:i/>
        </w:rPr>
        <w:t>See</w:t>
      </w:r>
      <w:r w:rsidRPr="00D76A7A">
        <w:t xml:space="preserve"> 40 C.F.R. §§ 1501.4(a)-(b) (a federal agency shall determine whether a proposal is of a type that normally requires an environmental impact statement (EIS) or normally is categorically excluded and, if neither is applicable, the agency shall prepare an EA)</w:t>
      </w:r>
      <w:r w:rsidR="00087A86">
        <w:t xml:space="preserve"> and</w:t>
      </w:r>
      <w:r w:rsidRPr="00D76A7A">
        <w:t xml:space="preserve"> 1507.3(b)(2) (agency shall specify criteria for identifying typical classes of action that normally require an EIS, normally do not require either an EIS or an EA, and normally require an EA but not necessarily an EIS).</w:t>
      </w:r>
    </w:p>
  </w:footnote>
  <w:footnote w:id="85">
    <w:p w14:paraId="24D90245" w14:textId="496C3686" w:rsidR="0024724F" w:rsidRPr="00D76A7A" w:rsidRDefault="0024724F" w:rsidP="00B424A6">
      <w:pPr>
        <w:pStyle w:val="FootnoteText"/>
        <w:spacing w:after="0"/>
      </w:pPr>
      <w:r w:rsidRPr="00D76A7A">
        <w:rPr>
          <w:rStyle w:val="FootnoteReference"/>
        </w:rPr>
        <w:footnoteRef/>
      </w:r>
      <w:r w:rsidRPr="00D76A7A">
        <w:t xml:space="preserve"> 47 C.F.R. §§ 1.1307(a),(b); </w:t>
      </w:r>
      <w:r w:rsidRPr="00D76A7A">
        <w:rPr>
          <w:i/>
        </w:rPr>
        <w:t>see also</w:t>
      </w:r>
      <w:r w:rsidRPr="00D76A7A">
        <w:t xml:space="preserve"> 47 C.F.R. § 1.1307(d) Note (interim criteria for preparing an EA to address potential significant effects to migratory birds, pending final rules). </w:t>
      </w:r>
      <w:r>
        <w:t xml:space="preserve"> The Commission has not identified any category of actions that routinely requires an EIS.  47 C.F.R. § 1.1305.</w:t>
      </w:r>
    </w:p>
  </w:footnote>
  <w:footnote w:id="86">
    <w:p w14:paraId="3438CA50" w14:textId="77777777" w:rsidR="0024724F" w:rsidRPr="00EC5EF1" w:rsidRDefault="0024724F" w:rsidP="00B424A6">
      <w:pPr>
        <w:pStyle w:val="FootnoteText"/>
        <w:spacing w:after="0"/>
        <w:rPr>
          <w:i/>
        </w:rPr>
      </w:pPr>
      <w:r>
        <w:rPr>
          <w:rStyle w:val="FootnoteReference"/>
        </w:rPr>
        <w:footnoteRef/>
      </w:r>
      <w:r>
        <w:t xml:space="preserve"> 47 C.F.R. § 1.1307(a)(4): </w:t>
      </w:r>
      <w:r>
        <w:rPr>
          <w:i/>
        </w:rPr>
        <w:t>see</w:t>
      </w:r>
      <w:r>
        <w:t xml:space="preserve"> discussion in Section III.B, </w:t>
      </w:r>
      <w:r>
        <w:rPr>
          <w:i/>
        </w:rPr>
        <w:t>supra.</w:t>
      </w:r>
    </w:p>
  </w:footnote>
  <w:footnote w:id="87">
    <w:p w14:paraId="01B63037" w14:textId="77777777" w:rsidR="0024724F" w:rsidRPr="00D76A7A" w:rsidRDefault="0024724F" w:rsidP="00B424A6">
      <w:pPr>
        <w:pStyle w:val="FootnoteText"/>
        <w:spacing w:after="0"/>
      </w:pPr>
      <w:r w:rsidRPr="00D76A7A">
        <w:rPr>
          <w:rStyle w:val="FootnoteReference"/>
        </w:rPr>
        <w:footnoteRef/>
      </w:r>
      <w:r w:rsidRPr="00D76A7A">
        <w:t xml:space="preserve"> 47 C.F.R. § 1.1306(a).</w:t>
      </w:r>
    </w:p>
  </w:footnote>
  <w:footnote w:id="88">
    <w:p w14:paraId="45645697" w14:textId="57748254" w:rsidR="0024724F" w:rsidRPr="00D76A7A" w:rsidRDefault="0024724F" w:rsidP="00B424A6">
      <w:pPr>
        <w:pStyle w:val="FootnoteText"/>
        <w:spacing w:after="0"/>
      </w:pPr>
      <w:r w:rsidRPr="00D76A7A">
        <w:rPr>
          <w:rStyle w:val="FootnoteReference"/>
        </w:rPr>
        <w:footnoteRef/>
      </w:r>
      <w:r w:rsidRPr="00D76A7A">
        <w:t xml:space="preserve"> </w:t>
      </w:r>
      <w:r w:rsidRPr="00D76A7A">
        <w:rPr>
          <w:i/>
        </w:rPr>
        <w:t>See</w:t>
      </w:r>
      <w:r w:rsidRPr="00D76A7A">
        <w:t xml:space="preserve"> 47 C.F.R. §§ 1.1307(c),(d); Public Employees for Environmental Responsibility, </w:t>
      </w:r>
      <w:r w:rsidRPr="00D76A7A">
        <w:rPr>
          <w:i/>
        </w:rPr>
        <w:t>Order</w:t>
      </w:r>
      <w:r w:rsidRPr="00D76A7A">
        <w:t>, 16 FCC Rcd 21439, 21441 ¶ 3 (2001).  These provisions satisfy Section 1508.4 of the Council on Environmental Quality’s rules, 40 C.F.R. § 1508.4, requiring that “[a]ny [categorical exclusion] procedures shall provide for extraordinary circumstances in which a normally excluded action may have a significant environmental effect.”</w:t>
      </w:r>
    </w:p>
  </w:footnote>
  <w:footnote w:id="89">
    <w:p w14:paraId="355AC9EE" w14:textId="77777777" w:rsidR="0024724F" w:rsidRPr="00F77B41" w:rsidRDefault="0024724F" w:rsidP="00B424A6">
      <w:pPr>
        <w:pStyle w:val="FootnoteText"/>
        <w:spacing w:after="0"/>
      </w:pPr>
      <w:r w:rsidRPr="00D76A7A">
        <w:rPr>
          <w:rStyle w:val="FootnoteReference"/>
        </w:rPr>
        <w:footnoteRef/>
      </w:r>
      <w:r w:rsidRPr="00D76A7A">
        <w:t xml:space="preserve"> </w:t>
      </w:r>
      <w:r w:rsidR="00162E01">
        <w:rPr>
          <w:i/>
        </w:rPr>
        <w:t>Migratory Birds Remand</w:t>
      </w:r>
      <w:r w:rsidRPr="00D76A7A">
        <w:t xml:space="preserve"> </w:t>
      </w:r>
      <w:r w:rsidRPr="00D76A7A">
        <w:rPr>
          <w:i/>
        </w:rPr>
        <w:t>Order</w:t>
      </w:r>
      <w:r w:rsidRPr="00F77B41">
        <w:t xml:space="preserve">, 26 FCC Rcd. </w:t>
      </w:r>
      <w:r w:rsidR="00162E01">
        <w:t>at</w:t>
      </w:r>
      <w:r w:rsidRPr="00F77B41">
        <w:t xml:space="preserve"> 16719 ¶ 50. </w:t>
      </w:r>
    </w:p>
  </w:footnote>
  <w:footnote w:id="90">
    <w:p w14:paraId="77018F97" w14:textId="77777777" w:rsidR="0024724F" w:rsidRPr="00EC5EF1" w:rsidRDefault="0024724F" w:rsidP="00B424A6">
      <w:pPr>
        <w:pStyle w:val="FootnoteText"/>
        <w:spacing w:after="0"/>
      </w:pPr>
      <w:r w:rsidRPr="00EC5EF1">
        <w:rPr>
          <w:rStyle w:val="FootnoteReference"/>
        </w:rPr>
        <w:footnoteRef/>
      </w:r>
      <w:r>
        <w:t xml:space="preserve"> </w:t>
      </w:r>
      <w:r>
        <w:rPr>
          <w:i/>
        </w:rPr>
        <w:t xml:space="preserve">See </w:t>
      </w:r>
      <w:r w:rsidRPr="00CD2049">
        <w:t xml:space="preserve">AT&amp;T Response to </w:t>
      </w:r>
      <w:r>
        <w:t xml:space="preserve">NCTA, </w:t>
      </w:r>
      <w:r w:rsidRPr="00CD2049">
        <w:t>Sheyenne</w:t>
      </w:r>
      <w:r>
        <w:t>,</w:t>
      </w:r>
      <w:r w:rsidRPr="00CD2049">
        <w:t xml:space="preserve"> and Don Busta, Ex. A, NEPA Report</w:t>
      </w:r>
      <w:r>
        <w:t>.</w:t>
      </w:r>
    </w:p>
  </w:footnote>
  <w:footnote w:id="91">
    <w:p w14:paraId="1393056F" w14:textId="73133771" w:rsidR="00322F07" w:rsidRPr="00EC5EF1" w:rsidRDefault="00322F07" w:rsidP="000F7680">
      <w:pPr>
        <w:pStyle w:val="FootnoteText"/>
        <w:spacing w:after="0"/>
      </w:pPr>
      <w:r>
        <w:rPr>
          <w:rStyle w:val="FootnoteReference"/>
        </w:rPr>
        <w:footnoteRef/>
      </w:r>
      <w:r>
        <w:t xml:space="preserve"> </w:t>
      </w:r>
      <w:r>
        <w:rPr>
          <w:i/>
        </w:rPr>
        <w:t>See</w:t>
      </w:r>
      <w:r>
        <w:t xml:space="preserve"> Amendment of Environmental Rules in Response to New Regulations Issued by the Council on Environmental Quality, GEN Docket N</w:t>
      </w:r>
      <w:r w:rsidR="00E13DC5">
        <w:t>o. 79-163, 60 Rad.Reg.2d (P&amp;F) 13</w:t>
      </w:r>
      <w:r>
        <w:t xml:space="preserve"> </w:t>
      </w:r>
      <w:r w:rsidR="004F4AE1">
        <w:t>¶</w:t>
      </w:r>
      <w:r>
        <w:t xml:space="preserve"> 11 (1986).</w:t>
      </w:r>
    </w:p>
  </w:footnote>
  <w:footnote w:id="92">
    <w:p w14:paraId="0A4440CE" w14:textId="2785EBB8" w:rsidR="00322F07" w:rsidRPr="001157F4" w:rsidRDefault="00322F07" w:rsidP="000F7680">
      <w:pPr>
        <w:pStyle w:val="FootnoteText"/>
        <w:spacing w:after="0"/>
      </w:pPr>
      <w:r>
        <w:rPr>
          <w:rStyle w:val="FootnoteReference"/>
        </w:rPr>
        <w:footnoteRef/>
      </w:r>
      <w:r>
        <w:t xml:space="preserve"> </w:t>
      </w:r>
      <w:r w:rsidR="00E13DC5">
        <w:rPr>
          <w:i/>
        </w:rPr>
        <w:t xml:space="preserve">Id. </w:t>
      </w:r>
      <w:r w:rsidR="00E13DC5" w:rsidRPr="000F7680">
        <w:t>at</w:t>
      </w:r>
      <w:r>
        <w:rPr>
          <w:i/>
        </w:rPr>
        <w:t xml:space="preserve"> </w:t>
      </w:r>
      <w:r w:rsidR="004F4AE1">
        <w:rPr>
          <w:i/>
        </w:rPr>
        <w:t>¶</w:t>
      </w:r>
      <w:r>
        <w:t xml:space="preserve"> 12.</w:t>
      </w:r>
    </w:p>
  </w:footnote>
  <w:footnote w:id="93">
    <w:p w14:paraId="380022E1" w14:textId="77777777" w:rsidR="0024724F" w:rsidRPr="00F77B41" w:rsidRDefault="0024724F" w:rsidP="00606B0D">
      <w:pPr>
        <w:pStyle w:val="FootnoteText"/>
        <w:spacing w:after="0"/>
      </w:pPr>
      <w:r w:rsidRPr="00F77B41">
        <w:rPr>
          <w:rStyle w:val="FootnoteReference"/>
        </w:rPr>
        <w:footnoteRef/>
      </w:r>
      <w:r w:rsidRPr="00F77B41">
        <w:t xml:space="preserve"> Judith L. Morris Complaint at 3.</w:t>
      </w:r>
    </w:p>
  </w:footnote>
  <w:footnote w:id="94">
    <w:p w14:paraId="7846E056" w14:textId="77777777" w:rsidR="0024724F" w:rsidRDefault="0024724F" w:rsidP="00B424A6">
      <w:pPr>
        <w:pStyle w:val="FootnoteText"/>
        <w:spacing w:after="0"/>
      </w:pPr>
      <w:r w:rsidRPr="00EC5EF1">
        <w:rPr>
          <w:rStyle w:val="FootnoteReference"/>
        </w:rPr>
        <w:footnoteRef/>
      </w:r>
      <w:r w:rsidRPr="00EC5EF1">
        <w:t xml:space="preserve"> </w:t>
      </w:r>
      <w:r w:rsidR="006B3612">
        <w:rPr>
          <w:i/>
        </w:rPr>
        <w:t xml:space="preserve">Cf. </w:t>
      </w:r>
      <w:r w:rsidR="006B3612">
        <w:t xml:space="preserve">47 U.S.C. § 332(c)(7)(A) (“Except as provided in this paragraph, nothing in [the Communications] Act shall limit or affect the authority of a State or local government or instrumentality thereof over decisions regarding the placement, construction, and modification of personal wireless service facilities.”).  </w:t>
      </w:r>
      <w:r w:rsidRPr="00EC5EF1">
        <w:t>In cases involving towers to be constructed in floodplains, the staff typically looks to the building permit as evidence that the facility will be elevated above the floodplain and therefore will not cause a significant environmental impact.</w:t>
      </w:r>
      <w:r>
        <w:t xml:space="preserve">  </w:t>
      </w:r>
      <w:r>
        <w:rPr>
          <w:i/>
        </w:rPr>
        <w:t>See</w:t>
      </w:r>
      <w:r>
        <w:t xml:space="preserve"> 47 C.F.R. § 1.1307(a)(6).</w:t>
      </w:r>
      <w:r w:rsidRPr="00EC5EF1">
        <w:t xml:space="preserve">  The Fort Ransom Tower, however, is not located in a floodplain.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12B1A" w14:textId="77777777" w:rsidR="00213768" w:rsidRDefault="002137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BC7DD" w14:textId="40A485EC" w:rsidR="00365F84" w:rsidRDefault="00365F84" w:rsidP="00365F84">
    <w:pPr>
      <w:pStyle w:val="Header"/>
      <w:rPr>
        <w:b w:val="0"/>
      </w:rPr>
    </w:pPr>
    <w:r>
      <w:rPr>
        <w:noProof/>
      </w:rPr>
      <mc:AlternateContent>
        <mc:Choice Requires="wps">
          <w:drawing>
            <wp:anchor distT="0" distB="0" distL="114300" distR="114300" simplePos="0" relativeHeight="251659264" behindDoc="1" locked="0" layoutInCell="0" allowOverlap="1" wp14:anchorId="6973832A" wp14:editId="054B030B">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5F2B53" id="Rectangle 1"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sidR="00DE00E2">
      <w:t>DA</w:t>
    </w:r>
    <w:r>
      <w:rPr>
        <w:spacing w:val="-2"/>
      </w:rPr>
      <w:t xml:space="preserve"> 15-1181</w:t>
    </w:r>
  </w:p>
  <w:p w14:paraId="3FE37740" w14:textId="77777777" w:rsidR="00365F84" w:rsidRDefault="00365F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44C71" w14:textId="77777777" w:rsidR="00213768" w:rsidRDefault="002137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4A7B4C"/>
    <w:multiLevelType w:val="multilevel"/>
    <w:tmpl w:val="DFC883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933CC0"/>
    <w:multiLevelType w:val="hybridMultilevel"/>
    <w:tmpl w:val="D1EE231E"/>
    <w:lvl w:ilvl="0" w:tplc="2144811E">
      <w:start w:val="1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5624C8F"/>
    <w:multiLevelType w:val="multilevel"/>
    <w:tmpl w:val="B08A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852530"/>
    <w:multiLevelType w:val="multilevel"/>
    <w:tmpl w:val="C38447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D056789"/>
    <w:multiLevelType w:val="hybridMultilevel"/>
    <w:tmpl w:val="9AAC2ED4"/>
    <w:lvl w:ilvl="0" w:tplc="0409000F">
      <w:start w:val="1"/>
      <w:numFmt w:val="decimal"/>
      <w:lvlText w:val="%1."/>
      <w:lvlJc w:val="left"/>
      <w:pPr>
        <w:ind w:left="12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91444E"/>
    <w:multiLevelType w:val="multilevel"/>
    <w:tmpl w:val="47502A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1D5421"/>
    <w:multiLevelType w:val="multilevel"/>
    <w:tmpl w:val="65DC25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4E294EF0"/>
    <w:multiLevelType w:val="hybridMultilevel"/>
    <w:tmpl w:val="252EC5CE"/>
    <w:lvl w:ilvl="0" w:tplc="25F81E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6422AD"/>
    <w:multiLevelType w:val="hybridMultilevel"/>
    <w:tmpl w:val="D10AE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681E"/>
    <w:multiLevelType w:val="multilevel"/>
    <w:tmpl w:val="4A6689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A72605"/>
    <w:multiLevelType w:val="hybridMultilevel"/>
    <w:tmpl w:val="9AAC2ED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DE02D0"/>
    <w:multiLevelType w:val="multilevel"/>
    <w:tmpl w:val="210E5B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D6E05A1"/>
    <w:multiLevelType w:val="multilevel"/>
    <w:tmpl w:val="3A74C9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FF279E"/>
    <w:multiLevelType w:val="hybridMultilevel"/>
    <w:tmpl w:val="BC020AA0"/>
    <w:lvl w:ilvl="0" w:tplc="CE46DA92">
      <w:start w:val="1"/>
      <w:numFmt w:val="upperRoman"/>
      <w:lvlText w:val="%1."/>
      <w:lvlJc w:val="left"/>
      <w:pPr>
        <w:ind w:left="7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0">
    <w:nsid w:val="615F34DD"/>
    <w:multiLevelType w:val="multilevel"/>
    <w:tmpl w:val="878686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B5A31EA"/>
    <w:multiLevelType w:val="multilevel"/>
    <w:tmpl w:val="4BA2D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E12717D"/>
    <w:multiLevelType w:val="hybridMultilevel"/>
    <w:tmpl w:val="46348544"/>
    <w:lvl w:ilvl="0" w:tplc="FDB254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67209C"/>
    <w:multiLevelType w:val="hybridMultilevel"/>
    <w:tmpl w:val="EF009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8C5039"/>
    <w:multiLevelType w:val="multilevel"/>
    <w:tmpl w:val="CFB84C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90F026D"/>
    <w:multiLevelType w:val="multilevel"/>
    <w:tmpl w:val="906017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BD02E43"/>
    <w:multiLevelType w:val="multilevel"/>
    <w:tmpl w:val="E31674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2"/>
  </w:num>
  <w:num w:numId="3">
    <w:abstractNumId w:val="23"/>
  </w:num>
  <w:num w:numId="4">
    <w:abstractNumId w:val="8"/>
  </w:num>
  <w:num w:numId="5">
    <w:abstractNumId w:val="18"/>
  </w:num>
  <w:num w:numId="6">
    <w:abstractNumId w:val="15"/>
  </w:num>
  <w:num w:numId="7">
    <w:abstractNumId w:val="20"/>
  </w:num>
  <w:num w:numId="8">
    <w:abstractNumId w:val="10"/>
  </w:num>
  <w:num w:numId="9">
    <w:abstractNumId w:val="9"/>
  </w:num>
  <w:num w:numId="10">
    <w:abstractNumId w:val="16"/>
  </w:num>
  <w:num w:numId="11">
    <w:abstractNumId w:val="6"/>
  </w:num>
  <w:num w:numId="12">
    <w:abstractNumId w:val="14"/>
  </w:num>
  <w:num w:numId="13">
    <w:abstractNumId w:val="1"/>
  </w:num>
  <w:num w:numId="14">
    <w:abstractNumId w:val="26"/>
  </w:num>
  <w:num w:numId="15">
    <w:abstractNumId w:val="17"/>
  </w:num>
  <w:num w:numId="16">
    <w:abstractNumId w:val="21"/>
  </w:num>
  <w:num w:numId="17">
    <w:abstractNumId w:val="24"/>
  </w:num>
  <w:num w:numId="18">
    <w:abstractNumId w:val="25"/>
  </w:num>
  <w:num w:numId="19">
    <w:abstractNumId w:val="2"/>
  </w:num>
  <w:num w:numId="20">
    <w:abstractNumId w:val="12"/>
  </w:num>
  <w:num w:numId="21">
    <w:abstractNumId w:val="19"/>
  </w:num>
  <w:num w:numId="22">
    <w:abstractNumId w:val="7"/>
  </w:num>
  <w:num w:numId="23">
    <w:abstractNumId w:val="5"/>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1"/>
  </w:num>
  <w:num w:numId="27">
    <w:abstractNumId w:val="4"/>
  </w:num>
  <w:num w:numId="28">
    <w:abstractNumId w:val="0"/>
  </w:num>
  <w:num w:numId="29">
    <w:abstractNumId w:val="1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244"/>
    <w:rsid w:val="0000442C"/>
    <w:rsid w:val="000049D6"/>
    <w:rsid w:val="000100FC"/>
    <w:rsid w:val="00015826"/>
    <w:rsid w:val="00015A4C"/>
    <w:rsid w:val="0002040D"/>
    <w:rsid w:val="00020E70"/>
    <w:rsid w:val="000215E3"/>
    <w:rsid w:val="000225B7"/>
    <w:rsid w:val="000269FD"/>
    <w:rsid w:val="000278EC"/>
    <w:rsid w:val="00032BA7"/>
    <w:rsid w:val="0003305A"/>
    <w:rsid w:val="00035AF2"/>
    <w:rsid w:val="00037887"/>
    <w:rsid w:val="00040A37"/>
    <w:rsid w:val="00041576"/>
    <w:rsid w:val="000419AA"/>
    <w:rsid w:val="000440E7"/>
    <w:rsid w:val="000470DD"/>
    <w:rsid w:val="00054839"/>
    <w:rsid w:val="0005551E"/>
    <w:rsid w:val="00055965"/>
    <w:rsid w:val="00055F6F"/>
    <w:rsid w:val="000606FB"/>
    <w:rsid w:val="00060D82"/>
    <w:rsid w:val="00061E0E"/>
    <w:rsid w:val="000647A2"/>
    <w:rsid w:val="00066BE0"/>
    <w:rsid w:val="00070FDC"/>
    <w:rsid w:val="00073640"/>
    <w:rsid w:val="00073CA2"/>
    <w:rsid w:val="0007656C"/>
    <w:rsid w:val="0007736A"/>
    <w:rsid w:val="00080AA4"/>
    <w:rsid w:val="000818AE"/>
    <w:rsid w:val="00081CE8"/>
    <w:rsid w:val="00085065"/>
    <w:rsid w:val="00087A86"/>
    <w:rsid w:val="00093C7B"/>
    <w:rsid w:val="000968C3"/>
    <w:rsid w:val="000A0A59"/>
    <w:rsid w:val="000A75F7"/>
    <w:rsid w:val="000B6750"/>
    <w:rsid w:val="000B7EB9"/>
    <w:rsid w:val="000C26CE"/>
    <w:rsid w:val="000C2BB8"/>
    <w:rsid w:val="000D423A"/>
    <w:rsid w:val="000D4A04"/>
    <w:rsid w:val="000D4CA8"/>
    <w:rsid w:val="000D72A1"/>
    <w:rsid w:val="000E3813"/>
    <w:rsid w:val="000E479C"/>
    <w:rsid w:val="000E571A"/>
    <w:rsid w:val="000F7680"/>
    <w:rsid w:val="00104654"/>
    <w:rsid w:val="00106719"/>
    <w:rsid w:val="001122A7"/>
    <w:rsid w:val="0011310E"/>
    <w:rsid w:val="001157F4"/>
    <w:rsid w:val="0011749E"/>
    <w:rsid w:val="00117BA4"/>
    <w:rsid w:val="001202D6"/>
    <w:rsid w:val="00122E86"/>
    <w:rsid w:val="0012388B"/>
    <w:rsid w:val="00130453"/>
    <w:rsid w:val="00130AC3"/>
    <w:rsid w:val="0014297C"/>
    <w:rsid w:val="0014388C"/>
    <w:rsid w:val="00150111"/>
    <w:rsid w:val="00162E01"/>
    <w:rsid w:val="001658FA"/>
    <w:rsid w:val="00181F5B"/>
    <w:rsid w:val="00191D43"/>
    <w:rsid w:val="001929DD"/>
    <w:rsid w:val="00192EF7"/>
    <w:rsid w:val="00195978"/>
    <w:rsid w:val="001A2375"/>
    <w:rsid w:val="001B045B"/>
    <w:rsid w:val="001B1BAA"/>
    <w:rsid w:val="001B6920"/>
    <w:rsid w:val="001C0B13"/>
    <w:rsid w:val="001C1F89"/>
    <w:rsid w:val="001C4914"/>
    <w:rsid w:val="001C5448"/>
    <w:rsid w:val="001C76E5"/>
    <w:rsid w:val="001D0A84"/>
    <w:rsid w:val="001D7E3F"/>
    <w:rsid w:val="001E20C8"/>
    <w:rsid w:val="001E22F4"/>
    <w:rsid w:val="001E3C07"/>
    <w:rsid w:val="001E40C6"/>
    <w:rsid w:val="001E50FD"/>
    <w:rsid w:val="001E56D1"/>
    <w:rsid w:val="001F145E"/>
    <w:rsid w:val="001F1AB7"/>
    <w:rsid w:val="001F29A0"/>
    <w:rsid w:val="001F48CD"/>
    <w:rsid w:val="002009BF"/>
    <w:rsid w:val="0020209F"/>
    <w:rsid w:val="0020233F"/>
    <w:rsid w:val="0020299E"/>
    <w:rsid w:val="00203464"/>
    <w:rsid w:val="00205EEC"/>
    <w:rsid w:val="00213768"/>
    <w:rsid w:val="00221DA0"/>
    <w:rsid w:val="002309FA"/>
    <w:rsid w:val="0023495E"/>
    <w:rsid w:val="00234ADF"/>
    <w:rsid w:val="002367D5"/>
    <w:rsid w:val="00240610"/>
    <w:rsid w:val="0024137F"/>
    <w:rsid w:val="00241C62"/>
    <w:rsid w:val="00244589"/>
    <w:rsid w:val="00246CD7"/>
    <w:rsid w:val="0024724F"/>
    <w:rsid w:val="002524B2"/>
    <w:rsid w:val="00253FDC"/>
    <w:rsid w:val="00253FF8"/>
    <w:rsid w:val="00254E8E"/>
    <w:rsid w:val="00261197"/>
    <w:rsid w:val="0026336B"/>
    <w:rsid w:val="00267647"/>
    <w:rsid w:val="00270B04"/>
    <w:rsid w:val="0027112C"/>
    <w:rsid w:val="00274FB4"/>
    <w:rsid w:val="002849D6"/>
    <w:rsid w:val="00286CCF"/>
    <w:rsid w:val="00293EAC"/>
    <w:rsid w:val="00297E89"/>
    <w:rsid w:val="002A0E1F"/>
    <w:rsid w:val="002A11BE"/>
    <w:rsid w:val="002A2CD7"/>
    <w:rsid w:val="002B2065"/>
    <w:rsid w:val="002B4588"/>
    <w:rsid w:val="002B53C8"/>
    <w:rsid w:val="002C6112"/>
    <w:rsid w:val="002C686F"/>
    <w:rsid w:val="002C6C79"/>
    <w:rsid w:val="002D11A7"/>
    <w:rsid w:val="002D2244"/>
    <w:rsid w:val="002D7596"/>
    <w:rsid w:val="002E2F44"/>
    <w:rsid w:val="002E44D3"/>
    <w:rsid w:val="002E4BCC"/>
    <w:rsid w:val="002E5B3B"/>
    <w:rsid w:val="002F05A7"/>
    <w:rsid w:val="002F4AFA"/>
    <w:rsid w:val="002F6096"/>
    <w:rsid w:val="0030120C"/>
    <w:rsid w:val="00302BE8"/>
    <w:rsid w:val="0030473E"/>
    <w:rsid w:val="0030611A"/>
    <w:rsid w:val="0031206B"/>
    <w:rsid w:val="00313B24"/>
    <w:rsid w:val="00314C91"/>
    <w:rsid w:val="00314DA5"/>
    <w:rsid w:val="003204D6"/>
    <w:rsid w:val="00320F67"/>
    <w:rsid w:val="00322A75"/>
    <w:rsid w:val="00322F07"/>
    <w:rsid w:val="00323847"/>
    <w:rsid w:val="00326FD3"/>
    <w:rsid w:val="003277CA"/>
    <w:rsid w:val="0034023E"/>
    <w:rsid w:val="00341E12"/>
    <w:rsid w:val="00346271"/>
    <w:rsid w:val="00350AE1"/>
    <w:rsid w:val="00353C86"/>
    <w:rsid w:val="003600FC"/>
    <w:rsid w:val="00365F84"/>
    <w:rsid w:val="00371F43"/>
    <w:rsid w:val="00376A73"/>
    <w:rsid w:val="00376D28"/>
    <w:rsid w:val="00381D9F"/>
    <w:rsid w:val="00382A14"/>
    <w:rsid w:val="00384212"/>
    <w:rsid w:val="003846F2"/>
    <w:rsid w:val="003857CE"/>
    <w:rsid w:val="003862C8"/>
    <w:rsid w:val="00387CA3"/>
    <w:rsid w:val="00387DDA"/>
    <w:rsid w:val="00390F7F"/>
    <w:rsid w:val="00391FA7"/>
    <w:rsid w:val="00393102"/>
    <w:rsid w:val="00393BBB"/>
    <w:rsid w:val="003961B7"/>
    <w:rsid w:val="003A18BC"/>
    <w:rsid w:val="003A1A69"/>
    <w:rsid w:val="003A31A3"/>
    <w:rsid w:val="003A3C56"/>
    <w:rsid w:val="003A4544"/>
    <w:rsid w:val="003A5300"/>
    <w:rsid w:val="003A67B9"/>
    <w:rsid w:val="003A6B23"/>
    <w:rsid w:val="003A6B95"/>
    <w:rsid w:val="003B56AE"/>
    <w:rsid w:val="003B5FD0"/>
    <w:rsid w:val="003C091D"/>
    <w:rsid w:val="003C2078"/>
    <w:rsid w:val="003D019F"/>
    <w:rsid w:val="003D3C99"/>
    <w:rsid w:val="003D7324"/>
    <w:rsid w:val="003E20B2"/>
    <w:rsid w:val="003E2646"/>
    <w:rsid w:val="003F0685"/>
    <w:rsid w:val="003F0B20"/>
    <w:rsid w:val="003F2F00"/>
    <w:rsid w:val="004003D1"/>
    <w:rsid w:val="00404223"/>
    <w:rsid w:val="00405840"/>
    <w:rsid w:val="00412D69"/>
    <w:rsid w:val="00414BE7"/>
    <w:rsid w:val="0041687E"/>
    <w:rsid w:val="004205A8"/>
    <w:rsid w:val="004210A9"/>
    <w:rsid w:val="00423F09"/>
    <w:rsid w:val="00425526"/>
    <w:rsid w:val="00433FD8"/>
    <w:rsid w:val="00436C18"/>
    <w:rsid w:val="00437F0F"/>
    <w:rsid w:val="00440873"/>
    <w:rsid w:val="00440922"/>
    <w:rsid w:val="00446D36"/>
    <w:rsid w:val="00454513"/>
    <w:rsid w:val="00454CEE"/>
    <w:rsid w:val="00456445"/>
    <w:rsid w:val="00456784"/>
    <w:rsid w:val="00461987"/>
    <w:rsid w:val="00463F83"/>
    <w:rsid w:val="00465F57"/>
    <w:rsid w:val="00467E51"/>
    <w:rsid w:val="004808DE"/>
    <w:rsid w:val="00483858"/>
    <w:rsid w:val="004874AC"/>
    <w:rsid w:val="00495573"/>
    <w:rsid w:val="00495E5F"/>
    <w:rsid w:val="00497EDC"/>
    <w:rsid w:val="004A3081"/>
    <w:rsid w:val="004A3BFA"/>
    <w:rsid w:val="004B3AF1"/>
    <w:rsid w:val="004B71D2"/>
    <w:rsid w:val="004B734F"/>
    <w:rsid w:val="004B7DAD"/>
    <w:rsid w:val="004C23A6"/>
    <w:rsid w:val="004D3F05"/>
    <w:rsid w:val="004D4173"/>
    <w:rsid w:val="004D4585"/>
    <w:rsid w:val="004D6ADF"/>
    <w:rsid w:val="004D6BE3"/>
    <w:rsid w:val="004D7220"/>
    <w:rsid w:val="004D7A98"/>
    <w:rsid w:val="004E2C68"/>
    <w:rsid w:val="004E3586"/>
    <w:rsid w:val="004E56DE"/>
    <w:rsid w:val="004E63D9"/>
    <w:rsid w:val="004F16A5"/>
    <w:rsid w:val="004F30AA"/>
    <w:rsid w:val="004F4AE1"/>
    <w:rsid w:val="004F58B3"/>
    <w:rsid w:val="004F5C71"/>
    <w:rsid w:val="005069C4"/>
    <w:rsid w:val="0051049E"/>
    <w:rsid w:val="0051194B"/>
    <w:rsid w:val="00511D68"/>
    <w:rsid w:val="00512808"/>
    <w:rsid w:val="005154C8"/>
    <w:rsid w:val="00525994"/>
    <w:rsid w:val="0052619B"/>
    <w:rsid w:val="00530C9F"/>
    <w:rsid w:val="00530D78"/>
    <w:rsid w:val="0053190D"/>
    <w:rsid w:val="00531EA6"/>
    <w:rsid w:val="00536FB0"/>
    <w:rsid w:val="005410D1"/>
    <w:rsid w:val="0054590F"/>
    <w:rsid w:val="005514C4"/>
    <w:rsid w:val="00552B9A"/>
    <w:rsid w:val="00554E00"/>
    <w:rsid w:val="00557DA4"/>
    <w:rsid w:val="00557FAC"/>
    <w:rsid w:val="00560317"/>
    <w:rsid w:val="00562147"/>
    <w:rsid w:val="00562F6B"/>
    <w:rsid w:val="00564E92"/>
    <w:rsid w:val="00566584"/>
    <w:rsid w:val="005726DB"/>
    <w:rsid w:val="00580D26"/>
    <w:rsid w:val="00582F49"/>
    <w:rsid w:val="00584313"/>
    <w:rsid w:val="0059007A"/>
    <w:rsid w:val="0059046A"/>
    <w:rsid w:val="00597723"/>
    <w:rsid w:val="005A2B84"/>
    <w:rsid w:val="005A3264"/>
    <w:rsid w:val="005B5971"/>
    <w:rsid w:val="005C4075"/>
    <w:rsid w:val="005C4C00"/>
    <w:rsid w:val="005C54C8"/>
    <w:rsid w:val="005D1655"/>
    <w:rsid w:val="005D3B28"/>
    <w:rsid w:val="005D3BAE"/>
    <w:rsid w:val="005D4F77"/>
    <w:rsid w:val="005E03FB"/>
    <w:rsid w:val="005E25A1"/>
    <w:rsid w:val="005E4DD8"/>
    <w:rsid w:val="005E629A"/>
    <w:rsid w:val="005E6CA8"/>
    <w:rsid w:val="005F52F1"/>
    <w:rsid w:val="005F5E93"/>
    <w:rsid w:val="005F7958"/>
    <w:rsid w:val="005F7EAE"/>
    <w:rsid w:val="00602A68"/>
    <w:rsid w:val="00605848"/>
    <w:rsid w:val="0060685B"/>
    <w:rsid w:val="00606B0D"/>
    <w:rsid w:val="00606CAE"/>
    <w:rsid w:val="00607C96"/>
    <w:rsid w:val="00616625"/>
    <w:rsid w:val="00616F63"/>
    <w:rsid w:val="00621C86"/>
    <w:rsid w:val="00627FC6"/>
    <w:rsid w:val="00631373"/>
    <w:rsid w:val="006339F1"/>
    <w:rsid w:val="00633DA6"/>
    <w:rsid w:val="006374D1"/>
    <w:rsid w:val="00640038"/>
    <w:rsid w:val="0064017B"/>
    <w:rsid w:val="006457DE"/>
    <w:rsid w:val="00650BE7"/>
    <w:rsid w:val="0065348D"/>
    <w:rsid w:val="0066562E"/>
    <w:rsid w:val="0067246E"/>
    <w:rsid w:val="00673253"/>
    <w:rsid w:val="00674537"/>
    <w:rsid w:val="00675962"/>
    <w:rsid w:val="0068213E"/>
    <w:rsid w:val="00682A1A"/>
    <w:rsid w:val="00685026"/>
    <w:rsid w:val="006860E5"/>
    <w:rsid w:val="00686217"/>
    <w:rsid w:val="0069019F"/>
    <w:rsid w:val="006937BC"/>
    <w:rsid w:val="00694101"/>
    <w:rsid w:val="00695DC8"/>
    <w:rsid w:val="006A2B79"/>
    <w:rsid w:val="006A2F6A"/>
    <w:rsid w:val="006A434A"/>
    <w:rsid w:val="006A4DBB"/>
    <w:rsid w:val="006A7098"/>
    <w:rsid w:val="006A76F5"/>
    <w:rsid w:val="006B0E38"/>
    <w:rsid w:val="006B26D3"/>
    <w:rsid w:val="006B2FB5"/>
    <w:rsid w:val="006B3612"/>
    <w:rsid w:val="006B7005"/>
    <w:rsid w:val="006B7A28"/>
    <w:rsid w:val="006C733A"/>
    <w:rsid w:val="006D00A0"/>
    <w:rsid w:val="006D2F3C"/>
    <w:rsid w:val="006D3698"/>
    <w:rsid w:val="006D4F92"/>
    <w:rsid w:val="006E3466"/>
    <w:rsid w:val="006E3C9D"/>
    <w:rsid w:val="006E5A78"/>
    <w:rsid w:val="006E6447"/>
    <w:rsid w:val="006F177C"/>
    <w:rsid w:val="006F7CD8"/>
    <w:rsid w:val="007002C7"/>
    <w:rsid w:val="00701553"/>
    <w:rsid w:val="007044DE"/>
    <w:rsid w:val="00704537"/>
    <w:rsid w:val="007065D0"/>
    <w:rsid w:val="00706BCD"/>
    <w:rsid w:val="007079FC"/>
    <w:rsid w:val="00713557"/>
    <w:rsid w:val="00715BD5"/>
    <w:rsid w:val="007164CF"/>
    <w:rsid w:val="007202FF"/>
    <w:rsid w:val="00720894"/>
    <w:rsid w:val="0072402C"/>
    <w:rsid w:val="00724230"/>
    <w:rsid w:val="00725F50"/>
    <w:rsid w:val="00734199"/>
    <w:rsid w:val="00745120"/>
    <w:rsid w:val="007514FC"/>
    <w:rsid w:val="00753F43"/>
    <w:rsid w:val="0075770F"/>
    <w:rsid w:val="00761377"/>
    <w:rsid w:val="007672C0"/>
    <w:rsid w:val="00776121"/>
    <w:rsid w:val="00776313"/>
    <w:rsid w:val="00792387"/>
    <w:rsid w:val="0079766B"/>
    <w:rsid w:val="007A0D48"/>
    <w:rsid w:val="007A3000"/>
    <w:rsid w:val="007A5D2D"/>
    <w:rsid w:val="007B0B9B"/>
    <w:rsid w:val="007C04B9"/>
    <w:rsid w:val="007C4005"/>
    <w:rsid w:val="007C4587"/>
    <w:rsid w:val="007D20D5"/>
    <w:rsid w:val="007D711F"/>
    <w:rsid w:val="007D791B"/>
    <w:rsid w:val="007E053B"/>
    <w:rsid w:val="007E2AA9"/>
    <w:rsid w:val="007E379C"/>
    <w:rsid w:val="007E394D"/>
    <w:rsid w:val="007E5F53"/>
    <w:rsid w:val="007F5C79"/>
    <w:rsid w:val="00803012"/>
    <w:rsid w:val="008046A1"/>
    <w:rsid w:val="00805546"/>
    <w:rsid w:val="00814503"/>
    <w:rsid w:val="00823DFD"/>
    <w:rsid w:val="00823F78"/>
    <w:rsid w:val="00825F89"/>
    <w:rsid w:val="008317B3"/>
    <w:rsid w:val="00844190"/>
    <w:rsid w:val="00850228"/>
    <w:rsid w:val="008509DD"/>
    <w:rsid w:val="00850F3B"/>
    <w:rsid w:val="00852116"/>
    <w:rsid w:val="008612EF"/>
    <w:rsid w:val="0086189E"/>
    <w:rsid w:val="0086542B"/>
    <w:rsid w:val="00866929"/>
    <w:rsid w:val="00867FB1"/>
    <w:rsid w:val="00870D73"/>
    <w:rsid w:val="0087382B"/>
    <w:rsid w:val="008804F8"/>
    <w:rsid w:val="008857E5"/>
    <w:rsid w:val="00885AD7"/>
    <w:rsid w:val="00886189"/>
    <w:rsid w:val="008876C8"/>
    <w:rsid w:val="00890C5F"/>
    <w:rsid w:val="00892BE6"/>
    <w:rsid w:val="00894D8D"/>
    <w:rsid w:val="008951B9"/>
    <w:rsid w:val="00896C7F"/>
    <w:rsid w:val="008A6F87"/>
    <w:rsid w:val="008B207E"/>
    <w:rsid w:val="008B3293"/>
    <w:rsid w:val="008B3D9C"/>
    <w:rsid w:val="008C376D"/>
    <w:rsid w:val="008C47BB"/>
    <w:rsid w:val="008C526C"/>
    <w:rsid w:val="008D67EA"/>
    <w:rsid w:val="008D68FD"/>
    <w:rsid w:val="008D6B50"/>
    <w:rsid w:val="008E3904"/>
    <w:rsid w:val="008E5543"/>
    <w:rsid w:val="008E7E96"/>
    <w:rsid w:val="008F419D"/>
    <w:rsid w:val="009012E4"/>
    <w:rsid w:val="00903127"/>
    <w:rsid w:val="00904D21"/>
    <w:rsid w:val="009113FA"/>
    <w:rsid w:val="00915809"/>
    <w:rsid w:val="00916EAD"/>
    <w:rsid w:val="00924C27"/>
    <w:rsid w:val="00927241"/>
    <w:rsid w:val="00927A82"/>
    <w:rsid w:val="00930738"/>
    <w:rsid w:val="00932774"/>
    <w:rsid w:val="00945924"/>
    <w:rsid w:val="00947EE6"/>
    <w:rsid w:val="00947FA0"/>
    <w:rsid w:val="00950FFE"/>
    <w:rsid w:val="00951507"/>
    <w:rsid w:val="00951743"/>
    <w:rsid w:val="00955B4B"/>
    <w:rsid w:val="009602EA"/>
    <w:rsid w:val="00960C35"/>
    <w:rsid w:val="00960FB4"/>
    <w:rsid w:val="009618E1"/>
    <w:rsid w:val="00961C0E"/>
    <w:rsid w:val="00962FE9"/>
    <w:rsid w:val="00965E43"/>
    <w:rsid w:val="00967AE1"/>
    <w:rsid w:val="00971910"/>
    <w:rsid w:val="00973447"/>
    <w:rsid w:val="00974124"/>
    <w:rsid w:val="009806A2"/>
    <w:rsid w:val="0099119A"/>
    <w:rsid w:val="009A5881"/>
    <w:rsid w:val="009B0FD3"/>
    <w:rsid w:val="009B1818"/>
    <w:rsid w:val="009B3817"/>
    <w:rsid w:val="009B4951"/>
    <w:rsid w:val="009B4F34"/>
    <w:rsid w:val="009C2F57"/>
    <w:rsid w:val="009C38AB"/>
    <w:rsid w:val="009C4C87"/>
    <w:rsid w:val="009D1332"/>
    <w:rsid w:val="009D332D"/>
    <w:rsid w:val="009D3655"/>
    <w:rsid w:val="009E35D4"/>
    <w:rsid w:val="009F0F0A"/>
    <w:rsid w:val="009F206C"/>
    <w:rsid w:val="009F5D99"/>
    <w:rsid w:val="00A05FD9"/>
    <w:rsid w:val="00A06D3C"/>
    <w:rsid w:val="00A14D2C"/>
    <w:rsid w:val="00A16570"/>
    <w:rsid w:val="00A22DCD"/>
    <w:rsid w:val="00A22E2F"/>
    <w:rsid w:val="00A232C1"/>
    <w:rsid w:val="00A314AD"/>
    <w:rsid w:val="00A337EA"/>
    <w:rsid w:val="00A33D88"/>
    <w:rsid w:val="00A36FBF"/>
    <w:rsid w:val="00A40502"/>
    <w:rsid w:val="00A4071B"/>
    <w:rsid w:val="00A41635"/>
    <w:rsid w:val="00A41FB6"/>
    <w:rsid w:val="00A41FDE"/>
    <w:rsid w:val="00A44AE1"/>
    <w:rsid w:val="00A45C99"/>
    <w:rsid w:val="00A507AF"/>
    <w:rsid w:val="00A52BC1"/>
    <w:rsid w:val="00A5361B"/>
    <w:rsid w:val="00A53E50"/>
    <w:rsid w:val="00A542FA"/>
    <w:rsid w:val="00A645EC"/>
    <w:rsid w:val="00A65B00"/>
    <w:rsid w:val="00A67389"/>
    <w:rsid w:val="00A90927"/>
    <w:rsid w:val="00A909A4"/>
    <w:rsid w:val="00A932DC"/>
    <w:rsid w:val="00A93529"/>
    <w:rsid w:val="00A93534"/>
    <w:rsid w:val="00A97A30"/>
    <w:rsid w:val="00AB12E5"/>
    <w:rsid w:val="00AB1C8B"/>
    <w:rsid w:val="00AB1CD4"/>
    <w:rsid w:val="00AB33E5"/>
    <w:rsid w:val="00AB5210"/>
    <w:rsid w:val="00AC1EF7"/>
    <w:rsid w:val="00AC5E6B"/>
    <w:rsid w:val="00AC5F08"/>
    <w:rsid w:val="00AD0244"/>
    <w:rsid w:val="00AD4211"/>
    <w:rsid w:val="00AD7649"/>
    <w:rsid w:val="00AE5DD7"/>
    <w:rsid w:val="00AE6354"/>
    <w:rsid w:val="00AE6918"/>
    <w:rsid w:val="00AE72DE"/>
    <w:rsid w:val="00AF0E07"/>
    <w:rsid w:val="00AF46ED"/>
    <w:rsid w:val="00AF67ED"/>
    <w:rsid w:val="00AF71C2"/>
    <w:rsid w:val="00B02F34"/>
    <w:rsid w:val="00B035BD"/>
    <w:rsid w:val="00B03BED"/>
    <w:rsid w:val="00B06CD9"/>
    <w:rsid w:val="00B15834"/>
    <w:rsid w:val="00B23004"/>
    <w:rsid w:val="00B2410C"/>
    <w:rsid w:val="00B24FE2"/>
    <w:rsid w:val="00B258D0"/>
    <w:rsid w:val="00B27471"/>
    <w:rsid w:val="00B424A6"/>
    <w:rsid w:val="00B42C9F"/>
    <w:rsid w:val="00B47E91"/>
    <w:rsid w:val="00B56060"/>
    <w:rsid w:val="00B56C2D"/>
    <w:rsid w:val="00B6125C"/>
    <w:rsid w:val="00B63313"/>
    <w:rsid w:val="00B65FF4"/>
    <w:rsid w:val="00B66B21"/>
    <w:rsid w:val="00B66B2A"/>
    <w:rsid w:val="00B66F9E"/>
    <w:rsid w:val="00B74F52"/>
    <w:rsid w:val="00B75D68"/>
    <w:rsid w:val="00B82351"/>
    <w:rsid w:val="00B876EB"/>
    <w:rsid w:val="00B925D9"/>
    <w:rsid w:val="00B938F0"/>
    <w:rsid w:val="00B939EB"/>
    <w:rsid w:val="00B944B8"/>
    <w:rsid w:val="00B95109"/>
    <w:rsid w:val="00B95555"/>
    <w:rsid w:val="00B9575E"/>
    <w:rsid w:val="00BA14F1"/>
    <w:rsid w:val="00BA2407"/>
    <w:rsid w:val="00BA2752"/>
    <w:rsid w:val="00BB0FBD"/>
    <w:rsid w:val="00BB3015"/>
    <w:rsid w:val="00BC13BA"/>
    <w:rsid w:val="00BC1590"/>
    <w:rsid w:val="00BC33CC"/>
    <w:rsid w:val="00BC4915"/>
    <w:rsid w:val="00BC5892"/>
    <w:rsid w:val="00BD16BC"/>
    <w:rsid w:val="00BD66C4"/>
    <w:rsid w:val="00BE4095"/>
    <w:rsid w:val="00BF0B94"/>
    <w:rsid w:val="00BF625E"/>
    <w:rsid w:val="00C02547"/>
    <w:rsid w:val="00C03818"/>
    <w:rsid w:val="00C06169"/>
    <w:rsid w:val="00C11CD5"/>
    <w:rsid w:val="00C12BB3"/>
    <w:rsid w:val="00C16CF6"/>
    <w:rsid w:val="00C216A9"/>
    <w:rsid w:val="00C33196"/>
    <w:rsid w:val="00C42044"/>
    <w:rsid w:val="00C42072"/>
    <w:rsid w:val="00C458EE"/>
    <w:rsid w:val="00C466D0"/>
    <w:rsid w:val="00C46AF6"/>
    <w:rsid w:val="00C46B7E"/>
    <w:rsid w:val="00C53D18"/>
    <w:rsid w:val="00C53F79"/>
    <w:rsid w:val="00C57221"/>
    <w:rsid w:val="00C63754"/>
    <w:rsid w:val="00C72E03"/>
    <w:rsid w:val="00C802CE"/>
    <w:rsid w:val="00C8051D"/>
    <w:rsid w:val="00C84636"/>
    <w:rsid w:val="00C859B1"/>
    <w:rsid w:val="00C862BA"/>
    <w:rsid w:val="00C90694"/>
    <w:rsid w:val="00C91D25"/>
    <w:rsid w:val="00C9760C"/>
    <w:rsid w:val="00CA04EA"/>
    <w:rsid w:val="00CA1F27"/>
    <w:rsid w:val="00CA35F3"/>
    <w:rsid w:val="00CA3CC1"/>
    <w:rsid w:val="00CA52E5"/>
    <w:rsid w:val="00CB24E1"/>
    <w:rsid w:val="00CB56BE"/>
    <w:rsid w:val="00CB72A8"/>
    <w:rsid w:val="00CC7428"/>
    <w:rsid w:val="00CD2049"/>
    <w:rsid w:val="00CD369C"/>
    <w:rsid w:val="00CD3E87"/>
    <w:rsid w:val="00CD5485"/>
    <w:rsid w:val="00CD5D23"/>
    <w:rsid w:val="00CE1A24"/>
    <w:rsid w:val="00CE1C26"/>
    <w:rsid w:val="00CE2A1B"/>
    <w:rsid w:val="00CE2C46"/>
    <w:rsid w:val="00CE51F3"/>
    <w:rsid w:val="00CE5D12"/>
    <w:rsid w:val="00CE670E"/>
    <w:rsid w:val="00CE6A8A"/>
    <w:rsid w:val="00CF2634"/>
    <w:rsid w:val="00CF32A1"/>
    <w:rsid w:val="00CF3A23"/>
    <w:rsid w:val="00CF3D58"/>
    <w:rsid w:val="00CF4121"/>
    <w:rsid w:val="00CF71FB"/>
    <w:rsid w:val="00CF7850"/>
    <w:rsid w:val="00D060BF"/>
    <w:rsid w:val="00D074A1"/>
    <w:rsid w:val="00D10A03"/>
    <w:rsid w:val="00D1305D"/>
    <w:rsid w:val="00D25832"/>
    <w:rsid w:val="00D26681"/>
    <w:rsid w:val="00D30B5A"/>
    <w:rsid w:val="00D310B9"/>
    <w:rsid w:val="00D31FCC"/>
    <w:rsid w:val="00D32F0D"/>
    <w:rsid w:val="00D34F40"/>
    <w:rsid w:val="00D40DF1"/>
    <w:rsid w:val="00D47D46"/>
    <w:rsid w:val="00D50717"/>
    <w:rsid w:val="00D5083E"/>
    <w:rsid w:val="00D510B6"/>
    <w:rsid w:val="00D51B4E"/>
    <w:rsid w:val="00D57D16"/>
    <w:rsid w:val="00D6740C"/>
    <w:rsid w:val="00D7245B"/>
    <w:rsid w:val="00D767F4"/>
    <w:rsid w:val="00D81F06"/>
    <w:rsid w:val="00D83F1B"/>
    <w:rsid w:val="00D8725B"/>
    <w:rsid w:val="00D87E2F"/>
    <w:rsid w:val="00D90608"/>
    <w:rsid w:val="00D9532E"/>
    <w:rsid w:val="00DA3019"/>
    <w:rsid w:val="00DA3B6F"/>
    <w:rsid w:val="00DA58D0"/>
    <w:rsid w:val="00DB17F5"/>
    <w:rsid w:val="00DB3208"/>
    <w:rsid w:val="00DB5DF5"/>
    <w:rsid w:val="00DB6055"/>
    <w:rsid w:val="00DC149E"/>
    <w:rsid w:val="00DC2415"/>
    <w:rsid w:val="00DD1606"/>
    <w:rsid w:val="00DD1AA1"/>
    <w:rsid w:val="00DD374B"/>
    <w:rsid w:val="00DD4593"/>
    <w:rsid w:val="00DD7CCC"/>
    <w:rsid w:val="00DE00E2"/>
    <w:rsid w:val="00DE1C9B"/>
    <w:rsid w:val="00DE3D4D"/>
    <w:rsid w:val="00DE4116"/>
    <w:rsid w:val="00DE496B"/>
    <w:rsid w:val="00DF3FFC"/>
    <w:rsid w:val="00E060B8"/>
    <w:rsid w:val="00E12200"/>
    <w:rsid w:val="00E122C1"/>
    <w:rsid w:val="00E12DF6"/>
    <w:rsid w:val="00E1307A"/>
    <w:rsid w:val="00E13DC5"/>
    <w:rsid w:val="00E14492"/>
    <w:rsid w:val="00E171EF"/>
    <w:rsid w:val="00E1732E"/>
    <w:rsid w:val="00E176D4"/>
    <w:rsid w:val="00E25DAC"/>
    <w:rsid w:val="00E3097F"/>
    <w:rsid w:val="00E32DEF"/>
    <w:rsid w:val="00E3391E"/>
    <w:rsid w:val="00E35DDA"/>
    <w:rsid w:val="00E36297"/>
    <w:rsid w:val="00E41084"/>
    <w:rsid w:val="00E53579"/>
    <w:rsid w:val="00E620FA"/>
    <w:rsid w:val="00E625FD"/>
    <w:rsid w:val="00E630BC"/>
    <w:rsid w:val="00E668D3"/>
    <w:rsid w:val="00E72D4E"/>
    <w:rsid w:val="00E74656"/>
    <w:rsid w:val="00E81384"/>
    <w:rsid w:val="00E83182"/>
    <w:rsid w:val="00E855E5"/>
    <w:rsid w:val="00E90F38"/>
    <w:rsid w:val="00E9107F"/>
    <w:rsid w:val="00E91785"/>
    <w:rsid w:val="00E92550"/>
    <w:rsid w:val="00E96F5D"/>
    <w:rsid w:val="00EA111B"/>
    <w:rsid w:val="00EA1320"/>
    <w:rsid w:val="00EA2125"/>
    <w:rsid w:val="00EA6CD5"/>
    <w:rsid w:val="00EA6D61"/>
    <w:rsid w:val="00EB03F8"/>
    <w:rsid w:val="00EB0A7A"/>
    <w:rsid w:val="00EB1872"/>
    <w:rsid w:val="00EB2864"/>
    <w:rsid w:val="00EB2C4E"/>
    <w:rsid w:val="00EC01BA"/>
    <w:rsid w:val="00EC2CB0"/>
    <w:rsid w:val="00EC349D"/>
    <w:rsid w:val="00EC46B6"/>
    <w:rsid w:val="00EC5EF1"/>
    <w:rsid w:val="00ED547F"/>
    <w:rsid w:val="00ED7D05"/>
    <w:rsid w:val="00EE1259"/>
    <w:rsid w:val="00EE286F"/>
    <w:rsid w:val="00EE2F08"/>
    <w:rsid w:val="00EE664A"/>
    <w:rsid w:val="00EF4E52"/>
    <w:rsid w:val="00EF7278"/>
    <w:rsid w:val="00EF73E0"/>
    <w:rsid w:val="00EF78B0"/>
    <w:rsid w:val="00F00A62"/>
    <w:rsid w:val="00F00F1E"/>
    <w:rsid w:val="00F01E69"/>
    <w:rsid w:val="00F0274C"/>
    <w:rsid w:val="00F12112"/>
    <w:rsid w:val="00F15E36"/>
    <w:rsid w:val="00F20E76"/>
    <w:rsid w:val="00F231A4"/>
    <w:rsid w:val="00F23526"/>
    <w:rsid w:val="00F24266"/>
    <w:rsid w:val="00F244E9"/>
    <w:rsid w:val="00F24F5A"/>
    <w:rsid w:val="00F25E89"/>
    <w:rsid w:val="00F26F67"/>
    <w:rsid w:val="00F276EE"/>
    <w:rsid w:val="00F346BE"/>
    <w:rsid w:val="00F3503F"/>
    <w:rsid w:val="00F406A5"/>
    <w:rsid w:val="00F454F9"/>
    <w:rsid w:val="00F47CFC"/>
    <w:rsid w:val="00F53626"/>
    <w:rsid w:val="00F5406E"/>
    <w:rsid w:val="00F65A9C"/>
    <w:rsid w:val="00F701A8"/>
    <w:rsid w:val="00F720B2"/>
    <w:rsid w:val="00F721C1"/>
    <w:rsid w:val="00F7549B"/>
    <w:rsid w:val="00F77AE2"/>
    <w:rsid w:val="00F77B41"/>
    <w:rsid w:val="00F807A7"/>
    <w:rsid w:val="00F8435D"/>
    <w:rsid w:val="00F86646"/>
    <w:rsid w:val="00F86D12"/>
    <w:rsid w:val="00F86FB9"/>
    <w:rsid w:val="00F91A09"/>
    <w:rsid w:val="00F925AB"/>
    <w:rsid w:val="00F92B27"/>
    <w:rsid w:val="00F9794F"/>
    <w:rsid w:val="00FA061A"/>
    <w:rsid w:val="00FA23DF"/>
    <w:rsid w:val="00FA6C1E"/>
    <w:rsid w:val="00FB1674"/>
    <w:rsid w:val="00FB2EBB"/>
    <w:rsid w:val="00FB458D"/>
    <w:rsid w:val="00FC0540"/>
    <w:rsid w:val="00FC0A5F"/>
    <w:rsid w:val="00FC32BC"/>
    <w:rsid w:val="00FC54E2"/>
    <w:rsid w:val="00FC556E"/>
    <w:rsid w:val="00FD4FCD"/>
    <w:rsid w:val="00FE08C9"/>
    <w:rsid w:val="00FE1C52"/>
    <w:rsid w:val="00FE4BE7"/>
    <w:rsid w:val="00FF5917"/>
    <w:rsid w:val="00FF6320"/>
    <w:rsid w:val="02D71AD4"/>
    <w:rsid w:val="15599D8E"/>
    <w:rsid w:val="3603201D"/>
    <w:rsid w:val="5A3A9C72"/>
    <w:rsid w:val="5BB4E136"/>
    <w:rsid w:val="7297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F81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E38"/>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6B0E38"/>
    <w:pPr>
      <w:keepNext/>
      <w:numPr>
        <w:numId w:val="22"/>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6B0E38"/>
    <w:pPr>
      <w:keepNext/>
      <w:numPr>
        <w:ilvl w:val="1"/>
        <w:numId w:val="22"/>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
    <w:basedOn w:val="Normal"/>
    <w:next w:val="ParaNum"/>
    <w:link w:val="Heading3Char"/>
    <w:qFormat/>
    <w:rsid w:val="006B0E38"/>
    <w:pPr>
      <w:keepNext/>
      <w:numPr>
        <w:ilvl w:val="2"/>
        <w:numId w:val="2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1,Heading 4 Char Char1 Char Char1,Heading 4 Char1 Char Char Char Char1"/>
    <w:basedOn w:val="Normal"/>
    <w:next w:val="ParaNum"/>
    <w:link w:val="Heading4Char"/>
    <w:qFormat/>
    <w:rsid w:val="006B0E38"/>
    <w:pPr>
      <w:keepNext/>
      <w:numPr>
        <w:ilvl w:val="3"/>
        <w:numId w:val="22"/>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6B0E38"/>
    <w:pPr>
      <w:keepNext/>
      <w:numPr>
        <w:ilvl w:val="4"/>
        <w:numId w:val="22"/>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link w:val="Heading6Char"/>
    <w:qFormat/>
    <w:rsid w:val="006B0E38"/>
    <w:pPr>
      <w:numPr>
        <w:ilvl w:val="5"/>
        <w:numId w:val="22"/>
      </w:numPr>
      <w:tabs>
        <w:tab w:val="left" w:pos="4320"/>
      </w:tabs>
      <w:spacing w:after="120"/>
      <w:outlineLvl w:val="5"/>
    </w:pPr>
    <w:rPr>
      <w:b/>
    </w:rPr>
  </w:style>
  <w:style w:type="paragraph" w:styleId="Heading7">
    <w:name w:val="heading 7"/>
    <w:basedOn w:val="Normal"/>
    <w:next w:val="ParaNum"/>
    <w:link w:val="Heading7Char"/>
    <w:qFormat/>
    <w:rsid w:val="006B0E38"/>
    <w:pPr>
      <w:numPr>
        <w:ilvl w:val="6"/>
        <w:numId w:val="22"/>
      </w:numPr>
      <w:tabs>
        <w:tab w:val="left" w:pos="5040"/>
      </w:tabs>
      <w:spacing w:after="120"/>
      <w:ind w:left="5040" w:hanging="720"/>
      <w:outlineLvl w:val="6"/>
    </w:pPr>
    <w:rPr>
      <w:b/>
    </w:rPr>
  </w:style>
  <w:style w:type="paragraph" w:styleId="Heading8">
    <w:name w:val="heading 8"/>
    <w:basedOn w:val="Normal"/>
    <w:next w:val="ParaNum"/>
    <w:link w:val="Heading8Char"/>
    <w:qFormat/>
    <w:rsid w:val="006B0E38"/>
    <w:pPr>
      <w:numPr>
        <w:ilvl w:val="7"/>
        <w:numId w:val="2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6B0E38"/>
    <w:pPr>
      <w:numPr>
        <w:ilvl w:val="8"/>
        <w:numId w:val="2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B0E3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B0E38"/>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ALTS FOOTNOTE,f"/>
    <w:link w:val="FootnoteTextChar"/>
    <w:rsid w:val="006B0E38"/>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1,Footnote Text Char Char Char1,Footnote Text Char2 Char Char Char1,Footnote Text Char Char1 Char Char Char1,Footnote Text Char2 Char Char Char Char Char1,Footnote Text Char1 Char Char Char Char Char Char1"/>
    <w:basedOn w:val="DefaultParagraphFont"/>
    <w:link w:val="FootnoteText"/>
    <w:rsid w:val="0020209F"/>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7,FR,Style 13,Style 6,Footnote Reference/,Style 4,Style 7"/>
    <w:rsid w:val="006B0E38"/>
    <w:rPr>
      <w:rFonts w:ascii="Times New Roman" w:hAnsi="Times New Roman"/>
      <w:dstrike w:val="0"/>
      <w:color w:val="auto"/>
      <w:sz w:val="20"/>
      <w:vertAlign w:val="superscript"/>
    </w:rPr>
  </w:style>
  <w:style w:type="paragraph" w:styleId="ListParagraph">
    <w:name w:val="List Paragraph"/>
    <w:basedOn w:val="Normal"/>
    <w:uiPriority w:val="34"/>
    <w:qFormat/>
    <w:rsid w:val="00EA1320"/>
    <w:pPr>
      <w:ind w:left="720"/>
      <w:contextualSpacing/>
    </w:pPr>
  </w:style>
  <w:style w:type="paragraph" w:styleId="Header">
    <w:name w:val="header"/>
    <w:basedOn w:val="Normal"/>
    <w:link w:val="HeaderChar"/>
    <w:autoRedefine/>
    <w:rsid w:val="006B0E38"/>
    <w:pPr>
      <w:tabs>
        <w:tab w:val="center" w:pos="4680"/>
        <w:tab w:val="right" w:pos="9360"/>
      </w:tabs>
    </w:pPr>
    <w:rPr>
      <w:b/>
    </w:rPr>
  </w:style>
  <w:style w:type="character" w:customStyle="1" w:styleId="HeaderChar">
    <w:name w:val="Header Char"/>
    <w:basedOn w:val="DefaultParagraphFont"/>
    <w:link w:val="Header"/>
    <w:rsid w:val="00CA35F3"/>
    <w:rPr>
      <w:rFonts w:ascii="Times New Roman" w:eastAsia="Times New Roman" w:hAnsi="Times New Roman" w:cs="Times New Roman"/>
      <w:b/>
      <w:snapToGrid w:val="0"/>
      <w:kern w:val="28"/>
      <w:szCs w:val="20"/>
    </w:rPr>
  </w:style>
  <w:style w:type="paragraph" w:styleId="Footer">
    <w:name w:val="footer"/>
    <w:basedOn w:val="Normal"/>
    <w:link w:val="FooterChar"/>
    <w:rsid w:val="006B0E38"/>
    <w:pPr>
      <w:tabs>
        <w:tab w:val="center" w:pos="4320"/>
        <w:tab w:val="right" w:pos="8640"/>
      </w:tabs>
    </w:pPr>
  </w:style>
  <w:style w:type="character" w:customStyle="1" w:styleId="FooterChar">
    <w:name w:val="Footer Char"/>
    <w:basedOn w:val="DefaultParagraphFont"/>
    <w:link w:val="Footer"/>
    <w:rsid w:val="00CA35F3"/>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1E22F4"/>
    <w:rPr>
      <w:rFonts w:ascii="Tahoma" w:hAnsi="Tahoma" w:cs="Tahoma"/>
      <w:sz w:val="16"/>
      <w:szCs w:val="16"/>
    </w:rPr>
  </w:style>
  <w:style w:type="character" w:customStyle="1" w:styleId="BalloonTextChar">
    <w:name w:val="Balloon Text Char"/>
    <w:basedOn w:val="DefaultParagraphFont"/>
    <w:link w:val="BalloonText"/>
    <w:uiPriority w:val="99"/>
    <w:semiHidden/>
    <w:rsid w:val="001E22F4"/>
    <w:rPr>
      <w:rFonts w:ascii="Tahoma" w:hAnsi="Tahoma" w:cs="Tahoma"/>
      <w:sz w:val="16"/>
      <w:szCs w:val="16"/>
    </w:rPr>
  </w:style>
  <w:style w:type="paragraph" w:styleId="Revision">
    <w:name w:val="Revision"/>
    <w:hidden/>
    <w:uiPriority w:val="99"/>
    <w:semiHidden/>
    <w:rsid w:val="00B939EB"/>
    <w:pPr>
      <w:spacing w:after="0" w:line="240" w:lineRule="auto"/>
    </w:pPr>
  </w:style>
  <w:style w:type="paragraph" w:styleId="EndnoteText">
    <w:name w:val="endnote text"/>
    <w:basedOn w:val="Normal"/>
    <w:link w:val="EndnoteTextChar"/>
    <w:semiHidden/>
    <w:rsid w:val="006B0E38"/>
    <w:rPr>
      <w:sz w:val="20"/>
    </w:rPr>
  </w:style>
  <w:style w:type="character" w:customStyle="1" w:styleId="EndnoteTextChar">
    <w:name w:val="Endnote Text Char"/>
    <w:basedOn w:val="DefaultParagraphFont"/>
    <w:link w:val="EndnoteText"/>
    <w:semiHidden/>
    <w:rsid w:val="00867FB1"/>
    <w:rPr>
      <w:rFonts w:ascii="Times New Roman" w:eastAsia="Times New Roman" w:hAnsi="Times New Roman" w:cs="Times New Roman"/>
      <w:snapToGrid w:val="0"/>
      <w:kern w:val="28"/>
      <w:sz w:val="20"/>
      <w:szCs w:val="20"/>
    </w:rPr>
  </w:style>
  <w:style w:type="character" w:styleId="EndnoteReference">
    <w:name w:val="endnote reference"/>
    <w:semiHidden/>
    <w:rsid w:val="006B0E38"/>
    <w:rPr>
      <w:vertAlign w:val="superscript"/>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9B1818"/>
    <w:rPr>
      <w:rFonts w:ascii="Times New Roman Bold" w:eastAsia="Times New Roman" w:hAnsi="Times New Roman Bold" w:cs="Times New Roman"/>
      <w:b/>
      <w:caps/>
      <w:snapToGrid w:val="0"/>
      <w:kern w:val="28"/>
      <w:szCs w:val="20"/>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basedOn w:val="DefaultParagraphFont"/>
    <w:link w:val="Heading2"/>
    <w:rsid w:val="009B1818"/>
    <w:rPr>
      <w:rFonts w:ascii="Times New Roman" w:eastAsia="Times New Roman" w:hAnsi="Times New Roman" w:cs="Times New Roman"/>
      <w:b/>
      <w:snapToGrid w:val="0"/>
      <w:kern w:val="28"/>
      <w:szCs w:val="20"/>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basedOn w:val="DefaultParagraphFont"/>
    <w:link w:val="Heading3"/>
    <w:rsid w:val="009B1818"/>
    <w:rPr>
      <w:rFonts w:ascii="Times New Roman" w:eastAsia="Times New Roman" w:hAnsi="Times New Roman" w:cs="Times New Roman"/>
      <w:b/>
      <w:snapToGrid w:val="0"/>
      <w:kern w:val="28"/>
      <w:szCs w:val="20"/>
    </w:rPr>
  </w:style>
  <w:style w:type="character" w:customStyle="1" w:styleId="Heading4Char">
    <w:name w:val="Heading 4 Char"/>
    <w:aliases w:val="Heading 4 Char2 Char,Heading 4 Char1 Char Char,Heading 4 Char Char Char Char,Heading 4 Char Char1 Char,Heading 4 Char1 Char1,Heading 4 Char Char Char1,Heading 4 Char2 Char Char1 Char,Heading 4 Char Char1 Char Char1 Char"/>
    <w:basedOn w:val="DefaultParagraphFont"/>
    <w:link w:val="Heading4"/>
    <w:rsid w:val="009B1818"/>
    <w:rPr>
      <w:rFonts w:ascii="Times New Roman" w:eastAsia="Times New Roman" w:hAnsi="Times New Roman" w:cs="Times New Roman"/>
      <w:b/>
      <w:snapToGrid w:val="0"/>
      <w:kern w:val="28"/>
      <w:szCs w:val="20"/>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basedOn w:val="DefaultParagraphFont"/>
    <w:link w:val="Heading5"/>
    <w:rsid w:val="009B1818"/>
    <w:rPr>
      <w:rFonts w:ascii="Times New Roman" w:eastAsia="Times New Roman" w:hAnsi="Times New Roman" w:cs="Times New Roman"/>
      <w:b/>
      <w:snapToGrid w:val="0"/>
      <w:kern w:val="28"/>
      <w:szCs w:val="20"/>
    </w:rPr>
  </w:style>
  <w:style w:type="character" w:customStyle="1" w:styleId="Heading6Char">
    <w:name w:val="Heading 6 Char"/>
    <w:aliases w:val="h6 Char,Heading 6 Char2 Char,Heading 6 Char1 Char Char,Heading 6 Char Char Char Char,Heading 6 Char Char1 Char,Heading 6 Char1 Char1,Heading 6 Char Char Char1"/>
    <w:basedOn w:val="DefaultParagraphFont"/>
    <w:link w:val="Heading6"/>
    <w:rsid w:val="009B1818"/>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9B1818"/>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9B1818"/>
    <w:rPr>
      <w:rFonts w:ascii="Times New Roman" w:eastAsia="Times New Roman" w:hAnsi="Times New Roman" w:cs="Times New Roman"/>
      <w:b/>
      <w:snapToGrid w:val="0"/>
      <w:kern w:val="28"/>
      <w:szCs w:val="20"/>
    </w:rPr>
  </w:style>
  <w:style w:type="character" w:customStyle="1" w:styleId="Heading9Char">
    <w:name w:val="Heading 9 Char"/>
    <w:aliases w:val="Topic Char,table Char,t Char,9 Char,Heading 9.table Char,Titre 9 Char"/>
    <w:basedOn w:val="DefaultParagraphFont"/>
    <w:link w:val="Heading9"/>
    <w:rsid w:val="009B1818"/>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6B0E38"/>
    <w:pPr>
      <w:numPr>
        <w:numId w:val="21"/>
      </w:numPr>
      <w:tabs>
        <w:tab w:val="clear" w:pos="1080"/>
        <w:tab w:val="num" w:pos="1440"/>
      </w:tabs>
      <w:spacing w:after="120"/>
    </w:pPr>
  </w:style>
  <w:style w:type="character" w:customStyle="1" w:styleId="ParaNumChar">
    <w:name w:val="ParaNum Char"/>
    <w:link w:val="ParaNum"/>
    <w:rsid w:val="009B1818"/>
    <w:rPr>
      <w:rFonts w:ascii="Times New Roman" w:eastAsia="Times New Roman" w:hAnsi="Times New Roman" w:cs="Times New Roman"/>
      <w:snapToGrid w:val="0"/>
      <w:kern w:val="28"/>
      <w:szCs w:val="20"/>
    </w:rPr>
  </w:style>
  <w:style w:type="character" w:styleId="CommentReference">
    <w:name w:val="annotation reference"/>
    <w:basedOn w:val="DefaultParagraphFont"/>
    <w:uiPriority w:val="99"/>
    <w:semiHidden/>
    <w:unhideWhenUsed/>
    <w:rsid w:val="009B1818"/>
    <w:rPr>
      <w:sz w:val="16"/>
      <w:szCs w:val="16"/>
    </w:rPr>
  </w:style>
  <w:style w:type="paragraph" w:styleId="CommentText">
    <w:name w:val="annotation text"/>
    <w:basedOn w:val="Normal"/>
    <w:link w:val="CommentTextChar"/>
    <w:uiPriority w:val="99"/>
    <w:semiHidden/>
    <w:unhideWhenUsed/>
    <w:rsid w:val="009B1818"/>
    <w:rPr>
      <w:sz w:val="20"/>
    </w:rPr>
  </w:style>
  <w:style w:type="character" w:customStyle="1" w:styleId="CommentTextChar">
    <w:name w:val="Comment Text Char"/>
    <w:basedOn w:val="DefaultParagraphFont"/>
    <w:link w:val="CommentText"/>
    <w:uiPriority w:val="99"/>
    <w:semiHidden/>
    <w:rsid w:val="009B1818"/>
    <w:rPr>
      <w:sz w:val="20"/>
      <w:szCs w:val="20"/>
    </w:rPr>
  </w:style>
  <w:style w:type="paragraph" w:styleId="CommentSubject">
    <w:name w:val="annotation subject"/>
    <w:basedOn w:val="CommentText"/>
    <w:next w:val="CommentText"/>
    <w:link w:val="CommentSubjectChar"/>
    <w:uiPriority w:val="99"/>
    <w:semiHidden/>
    <w:unhideWhenUsed/>
    <w:rsid w:val="009B1818"/>
    <w:rPr>
      <w:b/>
      <w:bCs/>
    </w:rPr>
  </w:style>
  <w:style w:type="character" w:customStyle="1" w:styleId="CommentSubjectChar">
    <w:name w:val="Comment Subject Char"/>
    <w:basedOn w:val="CommentTextChar"/>
    <w:link w:val="CommentSubject"/>
    <w:uiPriority w:val="99"/>
    <w:semiHidden/>
    <w:rsid w:val="009B1818"/>
    <w:rPr>
      <w:b/>
      <w:bCs/>
      <w:sz w:val="20"/>
      <w:szCs w:val="20"/>
    </w:rPr>
  </w:style>
  <w:style w:type="character" w:customStyle="1" w:styleId="FootnoteTextChar3">
    <w:name w:val="Footnote Text Char3"/>
    <w:aliases w:val="Footnote Text Char1 Char,Footnote Text Char Char Char,Footnote Text Char2 Char Char Char,Footnote Text Char Char1 Char Char Char,Footnote Text Char2 Char Char Char Char Char,Footnote Text Char1 Char Char Char Char Char Char,f Char"/>
    <w:rsid w:val="00412D69"/>
    <w:rPr>
      <w:lang w:val="en-US" w:eastAsia="en-US" w:bidi="ar-SA"/>
    </w:rPr>
  </w:style>
  <w:style w:type="character" w:styleId="Hyperlink">
    <w:name w:val="Hyperlink"/>
    <w:rsid w:val="006B0E38"/>
    <w:rPr>
      <w:color w:val="0000FF"/>
      <w:u w:val="single"/>
    </w:rPr>
  </w:style>
  <w:style w:type="paragraph" w:styleId="NormalWeb">
    <w:name w:val="Normal (Web)"/>
    <w:basedOn w:val="Normal"/>
    <w:uiPriority w:val="99"/>
    <w:semiHidden/>
    <w:unhideWhenUsed/>
    <w:rsid w:val="00F20E76"/>
    <w:pPr>
      <w:spacing w:before="100" w:beforeAutospacing="1" w:after="100" w:afterAutospacing="1"/>
    </w:pPr>
    <w:rPr>
      <w:sz w:val="24"/>
      <w:szCs w:val="24"/>
    </w:rPr>
  </w:style>
  <w:style w:type="character" w:customStyle="1" w:styleId="apple-converted-space">
    <w:name w:val="apple-converted-space"/>
    <w:basedOn w:val="DefaultParagraphFont"/>
    <w:rsid w:val="00F20E76"/>
  </w:style>
  <w:style w:type="character" w:styleId="FollowedHyperlink">
    <w:name w:val="FollowedHyperlink"/>
    <w:basedOn w:val="DefaultParagraphFont"/>
    <w:uiPriority w:val="99"/>
    <w:semiHidden/>
    <w:unhideWhenUsed/>
    <w:rsid w:val="00F701A8"/>
    <w:rPr>
      <w:color w:val="800080" w:themeColor="followedHyperlink"/>
      <w:u w:val="single"/>
    </w:rPr>
  </w:style>
  <w:style w:type="character" w:customStyle="1" w:styleId="enumxml">
    <w:name w:val="enumxml"/>
    <w:basedOn w:val="DefaultParagraphFont"/>
    <w:rsid w:val="0066562E"/>
  </w:style>
  <w:style w:type="character" w:customStyle="1" w:styleId="contents">
    <w:name w:val="contents"/>
    <w:basedOn w:val="DefaultParagraphFont"/>
    <w:rsid w:val="0066562E"/>
  </w:style>
  <w:style w:type="character" w:customStyle="1" w:styleId="ptext-1">
    <w:name w:val="ptext-1"/>
    <w:basedOn w:val="DefaultParagraphFont"/>
    <w:rsid w:val="0066562E"/>
  </w:style>
  <w:style w:type="paragraph" w:styleId="TOC1">
    <w:name w:val="toc 1"/>
    <w:basedOn w:val="Normal"/>
    <w:next w:val="Normal"/>
    <w:rsid w:val="006B0E38"/>
    <w:pPr>
      <w:tabs>
        <w:tab w:val="left" w:pos="360"/>
        <w:tab w:val="right" w:leader="dot" w:pos="9360"/>
      </w:tabs>
      <w:suppressAutoHyphens/>
      <w:ind w:left="360" w:right="720" w:hanging="360"/>
    </w:pPr>
    <w:rPr>
      <w:caps/>
      <w:noProof/>
    </w:rPr>
  </w:style>
  <w:style w:type="paragraph" w:styleId="TOC2">
    <w:name w:val="toc 2"/>
    <w:basedOn w:val="Normal"/>
    <w:next w:val="Normal"/>
    <w:rsid w:val="006B0E38"/>
    <w:pPr>
      <w:tabs>
        <w:tab w:val="left" w:pos="720"/>
        <w:tab w:val="right" w:leader="dot" w:pos="9360"/>
      </w:tabs>
      <w:suppressAutoHyphens/>
      <w:ind w:left="720" w:right="720" w:hanging="360"/>
    </w:pPr>
    <w:rPr>
      <w:noProof/>
    </w:rPr>
  </w:style>
  <w:style w:type="paragraph" w:styleId="TOC3">
    <w:name w:val="toc 3"/>
    <w:basedOn w:val="Normal"/>
    <w:next w:val="Normal"/>
    <w:semiHidden/>
    <w:rsid w:val="006B0E3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B0E3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B0E3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B0E3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B0E3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B0E3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B0E3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B0E38"/>
    <w:pPr>
      <w:tabs>
        <w:tab w:val="right" w:pos="9360"/>
      </w:tabs>
      <w:suppressAutoHyphens/>
    </w:pPr>
  </w:style>
  <w:style w:type="character" w:customStyle="1" w:styleId="EquationCaption">
    <w:name w:val="_Equation Caption"/>
    <w:rsid w:val="006B0E38"/>
  </w:style>
  <w:style w:type="character" w:styleId="PageNumber">
    <w:name w:val="page number"/>
    <w:basedOn w:val="DefaultParagraphFont"/>
    <w:rsid w:val="006B0E38"/>
  </w:style>
  <w:style w:type="paragraph" w:styleId="BlockText">
    <w:name w:val="Block Text"/>
    <w:basedOn w:val="Normal"/>
    <w:rsid w:val="006B0E38"/>
    <w:pPr>
      <w:spacing w:after="240"/>
      <w:ind w:left="1440" w:right="1440"/>
    </w:pPr>
  </w:style>
  <w:style w:type="paragraph" w:customStyle="1" w:styleId="Paratitle">
    <w:name w:val="Para title"/>
    <w:basedOn w:val="Normal"/>
    <w:rsid w:val="006B0E38"/>
    <w:pPr>
      <w:tabs>
        <w:tab w:val="center" w:pos="9270"/>
      </w:tabs>
      <w:spacing w:after="240"/>
    </w:pPr>
    <w:rPr>
      <w:spacing w:val="-2"/>
    </w:rPr>
  </w:style>
  <w:style w:type="paragraph" w:customStyle="1" w:styleId="Bullet">
    <w:name w:val="Bullet"/>
    <w:basedOn w:val="Normal"/>
    <w:rsid w:val="006B0E38"/>
    <w:pPr>
      <w:tabs>
        <w:tab w:val="left" w:pos="2160"/>
      </w:tabs>
      <w:spacing w:after="220"/>
      <w:ind w:left="2160" w:hanging="720"/>
    </w:pPr>
  </w:style>
  <w:style w:type="paragraph" w:customStyle="1" w:styleId="TableFormat">
    <w:name w:val="TableFormat"/>
    <w:basedOn w:val="Bullet"/>
    <w:rsid w:val="006B0E38"/>
    <w:pPr>
      <w:tabs>
        <w:tab w:val="clear" w:pos="2160"/>
        <w:tab w:val="left" w:pos="5040"/>
      </w:tabs>
      <w:ind w:left="5040" w:hanging="3600"/>
    </w:pPr>
  </w:style>
  <w:style w:type="paragraph" w:customStyle="1" w:styleId="TOCTitle">
    <w:name w:val="TOC Title"/>
    <w:basedOn w:val="Normal"/>
    <w:rsid w:val="006B0E3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B0E38"/>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E38"/>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6B0E38"/>
    <w:pPr>
      <w:keepNext/>
      <w:numPr>
        <w:numId w:val="22"/>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6B0E38"/>
    <w:pPr>
      <w:keepNext/>
      <w:numPr>
        <w:ilvl w:val="1"/>
        <w:numId w:val="22"/>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
    <w:basedOn w:val="Normal"/>
    <w:next w:val="ParaNum"/>
    <w:link w:val="Heading3Char"/>
    <w:qFormat/>
    <w:rsid w:val="006B0E38"/>
    <w:pPr>
      <w:keepNext/>
      <w:numPr>
        <w:ilvl w:val="2"/>
        <w:numId w:val="2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1,Heading 4 Char Char1 Char Char1,Heading 4 Char1 Char Char Char Char1"/>
    <w:basedOn w:val="Normal"/>
    <w:next w:val="ParaNum"/>
    <w:link w:val="Heading4Char"/>
    <w:qFormat/>
    <w:rsid w:val="006B0E38"/>
    <w:pPr>
      <w:keepNext/>
      <w:numPr>
        <w:ilvl w:val="3"/>
        <w:numId w:val="22"/>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6B0E38"/>
    <w:pPr>
      <w:keepNext/>
      <w:numPr>
        <w:ilvl w:val="4"/>
        <w:numId w:val="22"/>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link w:val="Heading6Char"/>
    <w:qFormat/>
    <w:rsid w:val="006B0E38"/>
    <w:pPr>
      <w:numPr>
        <w:ilvl w:val="5"/>
        <w:numId w:val="22"/>
      </w:numPr>
      <w:tabs>
        <w:tab w:val="left" w:pos="4320"/>
      </w:tabs>
      <w:spacing w:after="120"/>
      <w:outlineLvl w:val="5"/>
    </w:pPr>
    <w:rPr>
      <w:b/>
    </w:rPr>
  </w:style>
  <w:style w:type="paragraph" w:styleId="Heading7">
    <w:name w:val="heading 7"/>
    <w:basedOn w:val="Normal"/>
    <w:next w:val="ParaNum"/>
    <w:link w:val="Heading7Char"/>
    <w:qFormat/>
    <w:rsid w:val="006B0E38"/>
    <w:pPr>
      <w:numPr>
        <w:ilvl w:val="6"/>
        <w:numId w:val="22"/>
      </w:numPr>
      <w:tabs>
        <w:tab w:val="left" w:pos="5040"/>
      </w:tabs>
      <w:spacing w:after="120"/>
      <w:ind w:left="5040" w:hanging="720"/>
      <w:outlineLvl w:val="6"/>
    </w:pPr>
    <w:rPr>
      <w:b/>
    </w:rPr>
  </w:style>
  <w:style w:type="paragraph" w:styleId="Heading8">
    <w:name w:val="heading 8"/>
    <w:basedOn w:val="Normal"/>
    <w:next w:val="ParaNum"/>
    <w:link w:val="Heading8Char"/>
    <w:qFormat/>
    <w:rsid w:val="006B0E38"/>
    <w:pPr>
      <w:numPr>
        <w:ilvl w:val="7"/>
        <w:numId w:val="2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6B0E38"/>
    <w:pPr>
      <w:numPr>
        <w:ilvl w:val="8"/>
        <w:numId w:val="2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B0E3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B0E38"/>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ALTS FOOTNOTE,f"/>
    <w:link w:val="FootnoteTextChar"/>
    <w:rsid w:val="006B0E38"/>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1,Footnote Text Char Char Char1,Footnote Text Char2 Char Char Char1,Footnote Text Char Char1 Char Char Char1,Footnote Text Char2 Char Char Char Char Char1,Footnote Text Char1 Char Char Char Char Char Char1"/>
    <w:basedOn w:val="DefaultParagraphFont"/>
    <w:link w:val="FootnoteText"/>
    <w:rsid w:val="0020209F"/>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7,FR,Style 13,Style 6,Footnote Reference/,Style 4,Style 7"/>
    <w:rsid w:val="006B0E38"/>
    <w:rPr>
      <w:rFonts w:ascii="Times New Roman" w:hAnsi="Times New Roman"/>
      <w:dstrike w:val="0"/>
      <w:color w:val="auto"/>
      <w:sz w:val="20"/>
      <w:vertAlign w:val="superscript"/>
    </w:rPr>
  </w:style>
  <w:style w:type="paragraph" w:styleId="ListParagraph">
    <w:name w:val="List Paragraph"/>
    <w:basedOn w:val="Normal"/>
    <w:uiPriority w:val="34"/>
    <w:qFormat/>
    <w:rsid w:val="00EA1320"/>
    <w:pPr>
      <w:ind w:left="720"/>
      <w:contextualSpacing/>
    </w:pPr>
  </w:style>
  <w:style w:type="paragraph" w:styleId="Header">
    <w:name w:val="header"/>
    <w:basedOn w:val="Normal"/>
    <w:link w:val="HeaderChar"/>
    <w:autoRedefine/>
    <w:rsid w:val="006B0E38"/>
    <w:pPr>
      <w:tabs>
        <w:tab w:val="center" w:pos="4680"/>
        <w:tab w:val="right" w:pos="9360"/>
      </w:tabs>
    </w:pPr>
    <w:rPr>
      <w:b/>
    </w:rPr>
  </w:style>
  <w:style w:type="character" w:customStyle="1" w:styleId="HeaderChar">
    <w:name w:val="Header Char"/>
    <w:basedOn w:val="DefaultParagraphFont"/>
    <w:link w:val="Header"/>
    <w:rsid w:val="00CA35F3"/>
    <w:rPr>
      <w:rFonts w:ascii="Times New Roman" w:eastAsia="Times New Roman" w:hAnsi="Times New Roman" w:cs="Times New Roman"/>
      <w:b/>
      <w:snapToGrid w:val="0"/>
      <w:kern w:val="28"/>
      <w:szCs w:val="20"/>
    </w:rPr>
  </w:style>
  <w:style w:type="paragraph" w:styleId="Footer">
    <w:name w:val="footer"/>
    <w:basedOn w:val="Normal"/>
    <w:link w:val="FooterChar"/>
    <w:rsid w:val="006B0E38"/>
    <w:pPr>
      <w:tabs>
        <w:tab w:val="center" w:pos="4320"/>
        <w:tab w:val="right" w:pos="8640"/>
      </w:tabs>
    </w:pPr>
  </w:style>
  <w:style w:type="character" w:customStyle="1" w:styleId="FooterChar">
    <w:name w:val="Footer Char"/>
    <w:basedOn w:val="DefaultParagraphFont"/>
    <w:link w:val="Footer"/>
    <w:rsid w:val="00CA35F3"/>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1E22F4"/>
    <w:rPr>
      <w:rFonts w:ascii="Tahoma" w:hAnsi="Tahoma" w:cs="Tahoma"/>
      <w:sz w:val="16"/>
      <w:szCs w:val="16"/>
    </w:rPr>
  </w:style>
  <w:style w:type="character" w:customStyle="1" w:styleId="BalloonTextChar">
    <w:name w:val="Balloon Text Char"/>
    <w:basedOn w:val="DefaultParagraphFont"/>
    <w:link w:val="BalloonText"/>
    <w:uiPriority w:val="99"/>
    <w:semiHidden/>
    <w:rsid w:val="001E22F4"/>
    <w:rPr>
      <w:rFonts w:ascii="Tahoma" w:hAnsi="Tahoma" w:cs="Tahoma"/>
      <w:sz w:val="16"/>
      <w:szCs w:val="16"/>
    </w:rPr>
  </w:style>
  <w:style w:type="paragraph" w:styleId="Revision">
    <w:name w:val="Revision"/>
    <w:hidden/>
    <w:uiPriority w:val="99"/>
    <w:semiHidden/>
    <w:rsid w:val="00B939EB"/>
    <w:pPr>
      <w:spacing w:after="0" w:line="240" w:lineRule="auto"/>
    </w:pPr>
  </w:style>
  <w:style w:type="paragraph" w:styleId="EndnoteText">
    <w:name w:val="endnote text"/>
    <w:basedOn w:val="Normal"/>
    <w:link w:val="EndnoteTextChar"/>
    <w:semiHidden/>
    <w:rsid w:val="006B0E38"/>
    <w:rPr>
      <w:sz w:val="20"/>
    </w:rPr>
  </w:style>
  <w:style w:type="character" w:customStyle="1" w:styleId="EndnoteTextChar">
    <w:name w:val="Endnote Text Char"/>
    <w:basedOn w:val="DefaultParagraphFont"/>
    <w:link w:val="EndnoteText"/>
    <w:semiHidden/>
    <w:rsid w:val="00867FB1"/>
    <w:rPr>
      <w:rFonts w:ascii="Times New Roman" w:eastAsia="Times New Roman" w:hAnsi="Times New Roman" w:cs="Times New Roman"/>
      <w:snapToGrid w:val="0"/>
      <w:kern w:val="28"/>
      <w:sz w:val="20"/>
      <w:szCs w:val="20"/>
    </w:rPr>
  </w:style>
  <w:style w:type="character" w:styleId="EndnoteReference">
    <w:name w:val="endnote reference"/>
    <w:semiHidden/>
    <w:rsid w:val="006B0E38"/>
    <w:rPr>
      <w:vertAlign w:val="superscript"/>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9B1818"/>
    <w:rPr>
      <w:rFonts w:ascii="Times New Roman Bold" w:eastAsia="Times New Roman" w:hAnsi="Times New Roman Bold" w:cs="Times New Roman"/>
      <w:b/>
      <w:caps/>
      <w:snapToGrid w:val="0"/>
      <w:kern w:val="28"/>
      <w:szCs w:val="20"/>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basedOn w:val="DefaultParagraphFont"/>
    <w:link w:val="Heading2"/>
    <w:rsid w:val="009B1818"/>
    <w:rPr>
      <w:rFonts w:ascii="Times New Roman" w:eastAsia="Times New Roman" w:hAnsi="Times New Roman" w:cs="Times New Roman"/>
      <w:b/>
      <w:snapToGrid w:val="0"/>
      <w:kern w:val="28"/>
      <w:szCs w:val="20"/>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basedOn w:val="DefaultParagraphFont"/>
    <w:link w:val="Heading3"/>
    <w:rsid w:val="009B1818"/>
    <w:rPr>
      <w:rFonts w:ascii="Times New Roman" w:eastAsia="Times New Roman" w:hAnsi="Times New Roman" w:cs="Times New Roman"/>
      <w:b/>
      <w:snapToGrid w:val="0"/>
      <w:kern w:val="28"/>
      <w:szCs w:val="20"/>
    </w:rPr>
  </w:style>
  <w:style w:type="character" w:customStyle="1" w:styleId="Heading4Char">
    <w:name w:val="Heading 4 Char"/>
    <w:aliases w:val="Heading 4 Char2 Char,Heading 4 Char1 Char Char,Heading 4 Char Char Char Char,Heading 4 Char Char1 Char,Heading 4 Char1 Char1,Heading 4 Char Char Char1,Heading 4 Char2 Char Char1 Char,Heading 4 Char Char1 Char Char1 Char"/>
    <w:basedOn w:val="DefaultParagraphFont"/>
    <w:link w:val="Heading4"/>
    <w:rsid w:val="009B1818"/>
    <w:rPr>
      <w:rFonts w:ascii="Times New Roman" w:eastAsia="Times New Roman" w:hAnsi="Times New Roman" w:cs="Times New Roman"/>
      <w:b/>
      <w:snapToGrid w:val="0"/>
      <w:kern w:val="28"/>
      <w:szCs w:val="20"/>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basedOn w:val="DefaultParagraphFont"/>
    <w:link w:val="Heading5"/>
    <w:rsid w:val="009B1818"/>
    <w:rPr>
      <w:rFonts w:ascii="Times New Roman" w:eastAsia="Times New Roman" w:hAnsi="Times New Roman" w:cs="Times New Roman"/>
      <w:b/>
      <w:snapToGrid w:val="0"/>
      <w:kern w:val="28"/>
      <w:szCs w:val="20"/>
    </w:rPr>
  </w:style>
  <w:style w:type="character" w:customStyle="1" w:styleId="Heading6Char">
    <w:name w:val="Heading 6 Char"/>
    <w:aliases w:val="h6 Char,Heading 6 Char2 Char,Heading 6 Char1 Char Char,Heading 6 Char Char Char Char,Heading 6 Char Char1 Char,Heading 6 Char1 Char1,Heading 6 Char Char Char1"/>
    <w:basedOn w:val="DefaultParagraphFont"/>
    <w:link w:val="Heading6"/>
    <w:rsid w:val="009B1818"/>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9B1818"/>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9B1818"/>
    <w:rPr>
      <w:rFonts w:ascii="Times New Roman" w:eastAsia="Times New Roman" w:hAnsi="Times New Roman" w:cs="Times New Roman"/>
      <w:b/>
      <w:snapToGrid w:val="0"/>
      <w:kern w:val="28"/>
      <w:szCs w:val="20"/>
    </w:rPr>
  </w:style>
  <w:style w:type="character" w:customStyle="1" w:styleId="Heading9Char">
    <w:name w:val="Heading 9 Char"/>
    <w:aliases w:val="Topic Char,table Char,t Char,9 Char,Heading 9.table Char,Titre 9 Char"/>
    <w:basedOn w:val="DefaultParagraphFont"/>
    <w:link w:val="Heading9"/>
    <w:rsid w:val="009B1818"/>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6B0E38"/>
    <w:pPr>
      <w:numPr>
        <w:numId w:val="21"/>
      </w:numPr>
      <w:tabs>
        <w:tab w:val="clear" w:pos="1080"/>
        <w:tab w:val="num" w:pos="1440"/>
      </w:tabs>
      <w:spacing w:after="120"/>
    </w:pPr>
  </w:style>
  <w:style w:type="character" w:customStyle="1" w:styleId="ParaNumChar">
    <w:name w:val="ParaNum Char"/>
    <w:link w:val="ParaNum"/>
    <w:rsid w:val="009B1818"/>
    <w:rPr>
      <w:rFonts w:ascii="Times New Roman" w:eastAsia="Times New Roman" w:hAnsi="Times New Roman" w:cs="Times New Roman"/>
      <w:snapToGrid w:val="0"/>
      <w:kern w:val="28"/>
      <w:szCs w:val="20"/>
    </w:rPr>
  </w:style>
  <w:style w:type="character" w:styleId="CommentReference">
    <w:name w:val="annotation reference"/>
    <w:basedOn w:val="DefaultParagraphFont"/>
    <w:uiPriority w:val="99"/>
    <w:semiHidden/>
    <w:unhideWhenUsed/>
    <w:rsid w:val="009B1818"/>
    <w:rPr>
      <w:sz w:val="16"/>
      <w:szCs w:val="16"/>
    </w:rPr>
  </w:style>
  <w:style w:type="paragraph" w:styleId="CommentText">
    <w:name w:val="annotation text"/>
    <w:basedOn w:val="Normal"/>
    <w:link w:val="CommentTextChar"/>
    <w:uiPriority w:val="99"/>
    <w:semiHidden/>
    <w:unhideWhenUsed/>
    <w:rsid w:val="009B1818"/>
    <w:rPr>
      <w:sz w:val="20"/>
    </w:rPr>
  </w:style>
  <w:style w:type="character" w:customStyle="1" w:styleId="CommentTextChar">
    <w:name w:val="Comment Text Char"/>
    <w:basedOn w:val="DefaultParagraphFont"/>
    <w:link w:val="CommentText"/>
    <w:uiPriority w:val="99"/>
    <w:semiHidden/>
    <w:rsid w:val="009B1818"/>
    <w:rPr>
      <w:sz w:val="20"/>
      <w:szCs w:val="20"/>
    </w:rPr>
  </w:style>
  <w:style w:type="paragraph" w:styleId="CommentSubject">
    <w:name w:val="annotation subject"/>
    <w:basedOn w:val="CommentText"/>
    <w:next w:val="CommentText"/>
    <w:link w:val="CommentSubjectChar"/>
    <w:uiPriority w:val="99"/>
    <w:semiHidden/>
    <w:unhideWhenUsed/>
    <w:rsid w:val="009B1818"/>
    <w:rPr>
      <w:b/>
      <w:bCs/>
    </w:rPr>
  </w:style>
  <w:style w:type="character" w:customStyle="1" w:styleId="CommentSubjectChar">
    <w:name w:val="Comment Subject Char"/>
    <w:basedOn w:val="CommentTextChar"/>
    <w:link w:val="CommentSubject"/>
    <w:uiPriority w:val="99"/>
    <w:semiHidden/>
    <w:rsid w:val="009B1818"/>
    <w:rPr>
      <w:b/>
      <w:bCs/>
      <w:sz w:val="20"/>
      <w:szCs w:val="20"/>
    </w:rPr>
  </w:style>
  <w:style w:type="character" w:customStyle="1" w:styleId="FootnoteTextChar3">
    <w:name w:val="Footnote Text Char3"/>
    <w:aliases w:val="Footnote Text Char1 Char,Footnote Text Char Char Char,Footnote Text Char2 Char Char Char,Footnote Text Char Char1 Char Char Char,Footnote Text Char2 Char Char Char Char Char,Footnote Text Char1 Char Char Char Char Char Char,f Char"/>
    <w:rsid w:val="00412D69"/>
    <w:rPr>
      <w:lang w:val="en-US" w:eastAsia="en-US" w:bidi="ar-SA"/>
    </w:rPr>
  </w:style>
  <w:style w:type="character" w:styleId="Hyperlink">
    <w:name w:val="Hyperlink"/>
    <w:rsid w:val="006B0E38"/>
    <w:rPr>
      <w:color w:val="0000FF"/>
      <w:u w:val="single"/>
    </w:rPr>
  </w:style>
  <w:style w:type="paragraph" w:styleId="NormalWeb">
    <w:name w:val="Normal (Web)"/>
    <w:basedOn w:val="Normal"/>
    <w:uiPriority w:val="99"/>
    <w:semiHidden/>
    <w:unhideWhenUsed/>
    <w:rsid w:val="00F20E76"/>
    <w:pPr>
      <w:spacing w:before="100" w:beforeAutospacing="1" w:after="100" w:afterAutospacing="1"/>
    </w:pPr>
    <w:rPr>
      <w:sz w:val="24"/>
      <w:szCs w:val="24"/>
    </w:rPr>
  </w:style>
  <w:style w:type="character" w:customStyle="1" w:styleId="apple-converted-space">
    <w:name w:val="apple-converted-space"/>
    <w:basedOn w:val="DefaultParagraphFont"/>
    <w:rsid w:val="00F20E76"/>
  </w:style>
  <w:style w:type="character" w:styleId="FollowedHyperlink">
    <w:name w:val="FollowedHyperlink"/>
    <w:basedOn w:val="DefaultParagraphFont"/>
    <w:uiPriority w:val="99"/>
    <w:semiHidden/>
    <w:unhideWhenUsed/>
    <w:rsid w:val="00F701A8"/>
    <w:rPr>
      <w:color w:val="800080" w:themeColor="followedHyperlink"/>
      <w:u w:val="single"/>
    </w:rPr>
  </w:style>
  <w:style w:type="character" w:customStyle="1" w:styleId="enumxml">
    <w:name w:val="enumxml"/>
    <w:basedOn w:val="DefaultParagraphFont"/>
    <w:rsid w:val="0066562E"/>
  </w:style>
  <w:style w:type="character" w:customStyle="1" w:styleId="contents">
    <w:name w:val="contents"/>
    <w:basedOn w:val="DefaultParagraphFont"/>
    <w:rsid w:val="0066562E"/>
  </w:style>
  <w:style w:type="character" w:customStyle="1" w:styleId="ptext-1">
    <w:name w:val="ptext-1"/>
    <w:basedOn w:val="DefaultParagraphFont"/>
    <w:rsid w:val="0066562E"/>
  </w:style>
  <w:style w:type="paragraph" w:styleId="TOC1">
    <w:name w:val="toc 1"/>
    <w:basedOn w:val="Normal"/>
    <w:next w:val="Normal"/>
    <w:rsid w:val="006B0E38"/>
    <w:pPr>
      <w:tabs>
        <w:tab w:val="left" w:pos="360"/>
        <w:tab w:val="right" w:leader="dot" w:pos="9360"/>
      </w:tabs>
      <w:suppressAutoHyphens/>
      <w:ind w:left="360" w:right="720" w:hanging="360"/>
    </w:pPr>
    <w:rPr>
      <w:caps/>
      <w:noProof/>
    </w:rPr>
  </w:style>
  <w:style w:type="paragraph" w:styleId="TOC2">
    <w:name w:val="toc 2"/>
    <w:basedOn w:val="Normal"/>
    <w:next w:val="Normal"/>
    <w:rsid w:val="006B0E38"/>
    <w:pPr>
      <w:tabs>
        <w:tab w:val="left" w:pos="720"/>
        <w:tab w:val="right" w:leader="dot" w:pos="9360"/>
      </w:tabs>
      <w:suppressAutoHyphens/>
      <w:ind w:left="720" w:right="720" w:hanging="360"/>
    </w:pPr>
    <w:rPr>
      <w:noProof/>
    </w:rPr>
  </w:style>
  <w:style w:type="paragraph" w:styleId="TOC3">
    <w:name w:val="toc 3"/>
    <w:basedOn w:val="Normal"/>
    <w:next w:val="Normal"/>
    <w:semiHidden/>
    <w:rsid w:val="006B0E3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B0E3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B0E3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B0E3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B0E3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B0E3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B0E3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B0E38"/>
    <w:pPr>
      <w:tabs>
        <w:tab w:val="right" w:pos="9360"/>
      </w:tabs>
      <w:suppressAutoHyphens/>
    </w:pPr>
  </w:style>
  <w:style w:type="character" w:customStyle="1" w:styleId="EquationCaption">
    <w:name w:val="_Equation Caption"/>
    <w:rsid w:val="006B0E38"/>
  </w:style>
  <w:style w:type="character" w:styleId="PageNumber">
    <w:name w:val="page number"/>
    <w:basedOn w:val="DefaultParagraphFont"/>
    <w:rsid w:val="006B0E38"/>
  </w:style>
  <w:style w:type="paragraph" w:styleId="BlockText">
    <w:name w:val="Block Text"/>
    <w:basedOn w:val="Normal"/>
    <w:rsid w:val="006B0E38"/>
    <w:pPr>
      <w:spacing w:after="240"/>
      <w:ind w:left="1440" w:right="1440"/>
    </w:pPr>
  </w:style>
  <w:style w:type="paragraph" w:customStyle="1" w:styleId="Paratitle">
    <w:name w:val="Para title"/>
    <w:basedOn w:val="Normal"/>
    <w:rsid w:val="006B0E38"/>
    <w:pPr>
      <w:tabs>
        <w:tab w:val="center" w:pos="9270"/>
      </w:tabs>
      <w:spacing w:after="240"/>
    </w:pPr>
    <w:rPr>
      <w:spacing w:val="-2"/>
    </w:rPr>
  </w:style>
  <w:style w:type="paragraph" w:customStyle="1" w:styleId="Bullet">
    <w:name w:val="Bullet"/>
    <w:basedOn w:val="Normal"/>
    <w:rsid w:val="006B0E38"/>
    <w:pPr>
      <w:tabs>
        <w:tab w:val="left" w:pos="2160"/>
      </w:tabs>
      <w:spacing w:after="220"/>
      <w:ind w:left="2160" w:hanging="720"/>
    </w:pPr>
  </w:style>
  <w:style w:type="paragraph" w:customStyle="1" w:styleId="TableFormat">
    <w:name w:val="TableFormat"/>
    <w:basedOn w:val="Bullet"/>
    <w:rsid w:val="006B0E38"/>
    <w:pPr>
      <w:tabs>
        <w:tab w:val="clear" w:pos="2160"/>
        <w:tab w:val="left" w:pos="5040"/>
      </w:tabs>
      <w:ind w:left="5040" w:hanging="3600"/>
    </w:pPr>
  </w:style>
  <w:style w:type="paragraph" w:customStyle="1" w:styleId="TOCTitle">
    <w:name w:val="TOC Title"/>
    <w:basedOn w:val="Normal"/>
    <w:rsid w:val="006B0E3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B0E38"/>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1023">
      <w:bodyDiv w:val="1"/>
      <w:marLeft w:val="0"/>
      <w:marRight w:val="0"/>
      <w:marTop w:val="0"/>
      <w:marBottom w:val="0"/>
      <w:divBdr>
        <w:top w:val="none" w:sz="0" w:space="0" w:color="auto"/>
        <w:left w:val="none" w:sz="0" w:space="0" w:color="auto"/>
        <w:bottom w:val="none" w:sz="0" w:space="0" w:color="auto"/>
        <w:right w:val="none" w:sz="0" w:space="0" w:color="auto"/>
      </w:divBdr>
    </w:div>
    <w:div w:id="85925474">
      <w:bodyDiv w:val="1"/>
      <w:marLeft w:val="0"/>
      <w:marRight w:val="0"/>
      <w:marTop w:val="0"/>
      <w:marBottom w:val="0"/>
      <w:divBdr>
        <w:top w:val="none" w:sz="0" w:space="0" w:color="auto"/>
        <w:left w:val="none" w:sz="0" w:space="0" w:color="auto"/>
        <w:bottom w:val="none" w:sz="0" w:space="0" w:color="auto"/>
        <w:right w:val="none" w:sz="0" w:space="0" w:color="auto"/>
      </w:divBdr>
    </w:div>
    <w:div w:id="130561317">
      <w:bodyDiv w:val="1"/>
      <w:marLeft w:val="0"/>
      <w:marRight w:val="0"/>
      <w:marTop w:val="0"/>
      <w:marBottom w:val="0"/>
      <w:divBdr>
        <w:top w:val="none" w:sz="0" w:space="0" w:color="auto"/>
        <w:left w:val="none" w:sz="0" w:space="0" w:color="auto"/>
        <w:bottom w:val="none" w:sz="0" w:space="0" w:color="auto"/>
        <w:right w:val="none" w:sz="0" w:space="0" w:color="auto"/>
      </w:divBdr>
    </w:div>
    <w:div w:id="289019150">
      <w:bodyDiv w:val="1"/>
      <w:marLeft w:val="0"/>
      <w:marRight w:val="0"/>
      <w:marTop w:val="0"/>
      <w:marBottom w:val="0"/>
      <w:divBdr>
        <w:top w:val="none" w:sz="0" w:space="0" w:color="auto"/>
        <w:left w:val="none" w:sz="0" w:space="0" w:color="auto"/>
        <w:bottom w:val="none" w:sz="0" w:space="0" w:color="auto"/>
        <w:right w:val="none" w:sz="0" w:space="0" w:color="auto"/>
      </w:divBdr>
    </w:div>
    <w:div w:id="549537520">
      <w:bodyDiv w:val="1"/>
      <w:marLeft w:val="0"/>
      <w:marRight w:val="0"/>
      <w:marTop w:val="0"/>
      <w:marBottom w:val="0"/>
      <w:divBdr>
        <w:top w:val="none" w:sz="0" w:space="0" w:color="auto"/>
        <w:left w:val="none" w:sz="0" w:space="0" w:color="auto"/>
        <w:bottom w:val="none" w:sz="0" w:space="0" w:color="auto"/>
        <w:right w:val="none" w:sz="0" w:space="0" w:color="auto"/>
      </w:divBdr>
    </w:div>
    <w:div w:id="754670686">
      <w:bodyDiv w:val="1"/>
      <w:marLeft w:val="0"/>
      <w:marRight w:val="0"/>
      <w:marTop w:val="0"/>
      <w:marBottom w:val="0"/>
      <w:divBdr>
        <w:top w:val="none" w:sz="0" w:space="0" w:color="auto"/>
        <w:left w:val="none" w:sz="0" w:space="0" w:color="auto"/>
        <w:bottom w:val="none" w:sz="0" w:space="0" w:color="auto"/>
        <w:right w:val="none" w:sz="0" w:space="0" w:color="auto"/>
      </w:divBdr>
    </w:div>
    <w:div w:id="962921802">
      <w:bodyDiv w:val="1"/>
      <w:marLeft w:val="0"/>
      <w:marRight w:val="0"/>
      <w:marTop w:val="0"/>
      <w:marBottom w:val="0"/>
      <w:divBdr>
        <w:top w:val="none" w:sz="0" w:space="0" w:color="auto"/>
        <w:left w:val="none" w:sz="0" w:space="0" w:color="auto"/>
        <w:bottom w:val="none" w:sz="0" w:space="0" w:color="auto"/>
        <w:right w:val="none" w:sz="0" w:space="0" w:color="auto"/>
      </w:divBdr>
    </w:div>
    <w:div w:id="1385830074">
      <w:bodyDiv w:val="1"/>
      <w:marLeft w:val="0"/>
      <w:marRight w:val="0"/>
      <w:marTop w:val="0"/>
      <w:marBottom w:val="0"/>
      <w:divBdr>
        <w:top w:val="none" w:sz="0" w:space="0" w:color="auto"/>
        <w:left w:val="none" w:sz="0" w:space="0" w:color="auto"/>
        <w:bottom w:val="none" w:sz="0" w:space="0" w:color="auto"/>
        <w:right w:val="none" w:sz="0" w:space="0" w:color="auto"/>
      </w:divBdr>
    </w:div>
    <w:div w:id="1469590273">
      <w:bodyDiv w:val="1"/>
      <w:marLeft w:val="0"/>
      <w:marRight w:val="0"/>
      <w:marTop w:val="0"/>
      <w:marBottom w:val="0"/>
      <w:divBdr>
        <w:top w:val="none" w:sz="0" w:space="0" w:color="auto"/>
        <w:left w:val="none" w:sz="0" w:space="0" w:color="auto"/>
        <w:bottom w:val="none" w:sz="0" w:space="0" w:color="auto"/>
        <w:right w:val="none" w:sz="0" w:space="0" w:color="auto"/>
      </w:divBdr>
    </w:div>
    <w:div w:id="1709530669">
      <w:bodyDiv w:val="1"/>
      <w:marLeft w:val="0"/>
      <w:marRight w:val="0"/>
      <w:marTop w:val="0"/>
      <w:marBottom w:val="0"/>
      <w:divBdr>
        <w:top w:val="none" w:sz="0" w:space="0" w:color="auto"/>
        <w:left w:val="none" w:sz="0" w:space="0" w:color="auto"/>
        <w:bottom w:val="none" w:sz="0" w:space="0" w:color="auto"/>
        <w:right w:val="none" w:sz="0" w:space="0" w:color="auto"/>
      </w:divBdr>
      <w:divsChild>
        <w:div w:id="1062756634">
          <w:marLeft w:val="0"/>
          <w:marRight w:val="0"/>
          <w:marTop w:val="0"/>
          <w:marBottom w:val="0"/>
          <w:divBdr>
            <w:top w:val="none" w:sz="0" w:space="0" w:color="auto"/>
            <w:left w:val="none" w:sz="0" w:space="0" w:color="auto"/>
            <w:bottom w:val="none" w:sz="0" w:space="0" w:color="auto"/>
            <w:right w:val="none" w:sz="0" w:space="0" w:color="auto"/>
          </w:divBdr>
        </w:div>
        <w:div w:id="1408963681">
          <w:marLeft w:val="0"/>
          <w:marRight w:val="0"/>
          <w:marTop w:val="0"/>
          <w:marBottom w:val="0"/>
          <w:divBdr>
            <w:top w:val="none" w:sz="0" w:space="0" w:color="auto"/>
            <w:left w:val="none" w:sz="0" w:space="0" w:color="auto"/>
            <w:bottom w:val="none" w:sz="0" w:space="0" w:color="auto"/>
            <w:right w:val="none" w:sz="0" w:space="0" w:color="auto"/>
          </w:divBdr>
        </w:div>
        <w:div w:id="1841506641">
          <w:marLeft w:val="0"/>
          <w:marRight w:val="0"/>
          <w:marTop w:val="0"/>
          <w:marBottom w:val="0"/>
          <w:divBdr>
            <w:top w:val="none" w:sz="0" w:space="0" w:color="auto"/>
            <w:left w:val="none" w:sz="0" w:space="0" w:color="auto"/>
            <w:bottom w:val="none" w:sz="0" w:space="0" w:color="auto"/>
            <w:right w:val="none" w:sz="0" w:space="0" w:color="auto"/>
          </w:divBdr>
        </w:div>
        <w:div w:id="772016853">
          <w:marLeft w:val="0"/>
          <w:marRight w:val="0"/>
          <w:marTop w:val="0"/>
          <w:marBottom w:val="0"/>
          <w:divBdr>
            <w:top w:val="none" w:sz="0" w:space="0" w:color="auto"/>
            <w:left w:val="none" w:sz="0" w:space="0" w:color="auto"/>
            <w:bottom w:val="none" w:sz="0" w:space="0" w:color="auto"/>
            <w:right w:val="none" w:sz="0" w:space="0" w:color="auto"/>
          </w:divBdr>
        </w:div>
        <w:div w:id="306981643">
          <w:marLeft w:val="0"/>
          <w:marRight w:val="0"/>
          <w:marTop w:val="0"/>
          <w:marBottom w:val="0"/>
          <w:divBdr>
            <w:top w:val="none" w:sz="0" w:space="0" w:color="auto"/>
            <w:left w:val="none" w:sz="0" w:space="0" w:color="auto"/>
            <w:bottom w:val="none" w:sz="0" w:space="0" w:color="auto"/>
            <w:right w:val="none" w:sz="0" w:space="0" w:color="auto"/>
          </w:divBdr>
        </w:div>
        <w:div w:id="1807891579">
          <w:marLeft w:val="0"/>
          <w:marRight w:val="0"/>
          <w:marTop w:val="0"/>
          <w:marBottom w:val="0"/>
          <w:divBdr>
            <w:top w:val="none" w:sz="0" w:space="0" w:color="auto"/>
            <w:left w:val="none" w:sz="0" w:space="0" w:color="auto"/>
            <w:bottom w:val="none" w:sz="0" w:space="0" w:color="auto"/>
            <w:right w:val="none" w:sz="0" w:space="0" w:color="auto"/>
          </w:divBdr>
        </w:div>
      </w:divsChild>
    </w:div>
    <w:div w:id="1761833797">
      <w:bodyDiv w:val="1"/>
      <w:marLeft w:val="0"/>
      <w:marRight w:val="0"/>
      <w:marTop w:val="0"/>
      <w:marBottom w:val="0"/>
      <w:divBdr>
        <w:top w:val="none" w:sz="0" w:space="0" w:color="auto"/>
        <w:left w:val="none" w:sz="0" w:space="0" w:color="auto"/>
        <w:bottom w:val="none" w:sz="0" w:space="0" w:color="auto"/>
        <w:right w:val="none" w:sz="0" w:space="0" w:color="auto"/>
      </w:divBdr>
      <w:divsChild>
        <w:div w:id="51387443">
          <w:marLeft w:val="0"/>
          <w:marRight w:val="0"/>
          <w:marTop w:val="0"/>
          <w:marBottom w:val="0"/>
          <w:divBdr>
            <w:top w:val="none" w:sz="0" w:space="0" w:color="auto"/>
            <w:left w:val="none" w:sz="0" w:space="0" w:color="auto"/>
            <w:bottom w:val="none" w:sz="0" w:space="0" w:color="auto"/>
            <w:right w:val="none" w:sz="0" w:space="0" w:color="auto"/>
          </w:divBdr>
        </w:div>
        <w:div w:id="1461068012">
          <w:marLeft w:val="0"/>
          <w:marRight w:val="0"/>
          <w:marTop w:val="0"/>
          <w:marBottom w:val="0"/>
          <w:divBdr>
            <w:top w:val="none" w:sz="0" w:space="0" w:color="auto"/>
            <w:left w:val="none" w:sz="0" w:space="0" w:color="auto"/>
            <w:bottom w:val="none" w:sz="0" w:space="0" w:color="auto"/>
            <w:right w:val="none" w:sz="0" w:space="0" w:color="auto"/>
          </w:divBdr>
        </w:div>
        <w:div w:id="502627606">
          <w:marLeft w:val="0"/>
          <w:marRight w:val="0"/>
          <w:marTop w:val="0"/>
          <w:marBottom w:val="0"/>
          <w:divBdr>
            <w:top w:val="none" w:sz="0" w:space="0" w:color="auto"/>
            <w:left w:val="none" w:sz="0" w:space="0" w:color="auto"/>
            <w:bottom w:val="none" w:sz="0" w:space="0" w:color="auto"/>
            <w:right w:val="none" w:sz="0" w:space="0" w:color="auto"/>
          </w:divBdr>
        </w:div>
        <w:div w:id="1335763513">
          <w:marLeft w:val="0"/>
          <w:marRight w:val="0"/>
          <w:marTop w:val="0"/>
          <w:marBottom w:val="0"/>
          <w:divBdr>
            <w:top w:val="none" w:sz="0" w:space="0" w:color="auto"/>
            <w:left w:val="none" w:sz="0" w:space="0" w:color="auto"/>
            <w:bottom w:val="none" w:sz="0" w:space="0" w:color="auto"/>
            <w:right w:val="none" w:sz="0" w:space="0" w:color="auto"/>
          </w:divBdr>
        </w:div>
        <w:div w:id="2064136749">
          <w:marLeft w:val="0"/>
          <w:marRight w:val="0"/>
          <w:marTop w:val="0"/>
          <w:marBottom w:val="0"/>
          <w:divBdr>
            <w:top w:val="none" w:sz="0" w:space="0" w:color="auto"/>
            <w:left w:val="none" w:sz="0" w:space="0" w:color="auto"/>
            <w:bottom w:val="none" w:sz="0" w:space="0" w:color="auto"/>
            <w:right w:val="none" w:sz="0" w:space="0" w:color="auto"/>
          </w:divBdr>
        </w:div>
      </w:divsChild>
    </w:div>
    <w:div w:id="182354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tcvip.org/docs/default-source/default-document-library/wireless-industry-agreement.pdf?sfvrsn=0" TargetMode="External"/><Relationship Id="rId2" Type="http://schemas.openxmlformats.org/officeDocument/2006/relationships/hyperlink" Target="http://wireless2.fcc.gov/UlsApp/AsrSearch/asrApplication.jsp?applKey=4130369" TargetMode="External"/><Relationship Id="rId1" Type="http://schemas.openxmlformats.org/officeDocument/2006/relationships/hyperlink" Target="http://wireless2.fcc.gov/UlsApp/AsrSearch/asrApplication.jsp?applKey=4130369" TargetMode="External"/><Relationship Id="rId6" Type="http://schemas.openxmlformats.org/officeDocument/2006/relationships/hyperlink" Target="https://transition.fcc.gov/Forms/Form854/854.pdf" TargetMode="External"/><Relationship Id="rId5" Type="http://schemas.openxmlformats.org/officeDocument/2006/relationships/hyperlink" Target="https://wireless2.fcc.gov/ASRManager/service/nationalNoticeReport.faces" TargetMode="External"/><Relationship Id="rId4" Type="http://schemas.openxmlformats.org/officeDocument/2006/relationships/hyperlink" Target="mailto:info@fortransomnd.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4265</Words>
  <Characters>23442</Characters>
  <Application>Microsoft Office Word</Application>
  <DocSecurity>0</DocSecurity>
  <Lines>343</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27775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2015-09-25T18:08:00Z</cp:lastPrinted>
  <dcterms:created xsi:type="dcterms:W3CDTF">2015-10-15T15:33:00Z</dcterms:created>
  <dcterms:modified xsi:type="dcterms:W3CDTF">2015-10-15T15:33:00Z</dcterms:modified>
  <cp:category> </cp:category>
  <cp:contentStatus> </cp:contentStatus>
</cp:coreProperties>
</file>