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28AA" w14:textId="77777777" w:rsidR="00F84BCA" w:rsidRPr="00ED5746" w:rsidRDefault="00F84BCA" w:rsidP="00E0263D">
      <w:pPr>
        <w:tabs>
          <w:tab w:val="left" w:pos="720"/>
        </w:tabs>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173C28AB" w14:textId="77777777" w:rsidR="00F84BCA" w:rsidRPr="00ED5746" w:rsidRDefault="00F84BCA" w:rsidP="00F84BCA">
      <w:pPr>
        <w:pStyle w:val="StyleBoldCentered"/>
      </w:pPr>
      <w:r w:rsidRPr="00ED5746">
        <w:t>F</w:t>
      </w:r>
      <w:r w:rsidRPr="00ED5746">
        <w:rPr>
          <w:caps w:val="0"/>
        </w:rPr>
        <w:t>ederal Communications Commission</w:t>
      </w:r>
    </w:p>
    <w:p w14:paraId="173C28AC" w14:textId="77777777" w:rsidR="00F84BCA" w:rsidRPr="00ED5746" w:rsidRDefault="00F84BCA" w:rsidP="00F84BCA">
      <w:pPr>
        <w:pStyle w:val="StyleBoldCentered"/>
      </w:pPr>
      <w:r w:rsidRPr="00ED5746">
        <w:rPr>
          <w:caps w:val="0"/>
        </w:rPr>
        <w:t>Washington, DC 20554</w:t>
      </w:r>
    </w:p>
    <w:p w14:paraId="173C28AD" w14:textId="77777777" w:rsidR="00F84BCA" w:rsidRPr="00ED5746" w:rsidRDefault="00F84BCA" w:rsidP="00F84BCA"/>
    <w:tbl>
      <w:tblPr>
        <w:tblW w:w="0" w:type="auto"/>
        <w:tblLayout w:type="fixed"/>
        <w:tblLook w:val="0000" w:firstRow="0" w:lastRow="0" w:firstColumn="0" w:lastColumn="0" w:noHBand="0" w:noVBand="0"/>
      </w:tblPr>
      <w:tblGrid>
        <w:gridCol w:w="4698"/>
        <w:gridCol w:w="630"/>
        <w:gridCol w:w="4248"/>
      </w:tblGrid>
      <w:tr w:rsidR="00ED5746" w:rsidRPr="00D84548" w14:paraId="173C28C0" w14:textId="77777777" w:rsidTr="003B739D">
        <w:tc>
          <w:tcPr>
            <w:tcW w:w="4698" w:type="dxa"/>
          </w:tcPr>
          <w:p w14:paraId="173C28AE" w14:textId="30B85F3F" w:rsidR="00ED5746" w:rsidRPr="00D84548" w:rsidRDefault="00ED5746" w:rsidP="00CF6B78">
            <w:pPr>
              <w:tabs>
                <w:tab w:val="center" w:pos="4680"/>
              </w:tabs>
              <w:suppressAutoHyphens/>
              <w:rPr>
                <w:spacing w:val="-2"/>
              </w:rPr>
            </w:pPr>
            <w:r w:rsidRPr="00ED5746">
              <w:rPr>
                <w:spacing w:val="-2"/>
              </w:rPr>
              <w:t>In the Matter of</w:t>
            </w:r>
          </w:p>
          <w:p w14:paraId="22869E28" w14:textId="77777777" w:rsidR="00FF7F6E" w:rsidRDefault="00FF7F6E" w:rsidP="00AA4B16">
            <w:pPr>
              <w:autoSpaceDE w:val="0"/>
              <w:autoSpaceDN w:val="0"/>
              <w:adjustRightInd w:val="0"/>
              <w:rPr>
                <w:szCs w:val="22"/>
              </w:rPr>
            </w:pPr>
          </w:p>
          <w:p w14:paraId="192B646D" w14:textId="77777777" w:rsidR="00FF7F6E" w:rsidRDefault="00FF7F6E" w:rsidP="00AA4B16">
            <w:pPr>
              <w:autoSpaceDE w:val="0"/>
              <w:autoSpaceDN w:val="0"/>
              <w:adjustRightInd w:val="0"/>
              <w:rPr>
                <w:szCs w:val="22"/>
              </w:rPr>
            </w:pPr>
            <w:r>
              <w:rPr>
                <w:szCs w:val="22"/>
              </w:rPr>
              <w:t>Intelsat License LLC</w:t>
            </w:r>
          </w:p>
          <w:p w14:paraId="173C28B0" w14:textId="7C6E5630" w:rsidR="00ED5746" w:rsidRPr="00D84548" w:rsidRDefault="00FF7F6E" w:rsidP="00FF7F6E">
            <w:pPr>
              <w:autoSpaceDE w:val="0"/>
              <w:autoSpaceDN w:val="0"/>
              <w:adjustRightInd w:val="0"/>
            </w:pPr>
            <w:r>
              <w:rPr>
                <w:szCs w:val="22"/>
              </w:rPr>
              <w:t>f/k/a Intelsat North America, LLC</w:t>
            </w:r>
          </w:p>
        </w:tc>
        <w:tc>
          <w:tcPr>
            <w:tcW w:w="630" w:type="dxa"/>
          </w:tcPr>
          <w:p w14:paraId="173C28B1" w14:textId="77777777" w:rsidR="00ED5746" w:rsidRPr="00D84548" w:rsidRDefault="00ED5746" w:rsidP="00CF6B78">
            <w:pPr>
              <w:tabs>
                <w:tab w:val="center" w:pos="4680"/>
              </w:tabs>
              <w:suppressAutoHyphens/>
              <w:rPr>
                <w:b/>
                <w:spacing w:val="-2"/>
              </w:rPr>
            </w:pPr>
            <w:r w:rsidRPr="00D84548">
              <w:rPr>
                <w:b/>
                <w:spacing w:val="-2"/>
              </w:rPr>
              <w:t>)</w:t>
            </w:r>
          </w:p>
          <w:p w14:paraId="173C28B2" w14:textId="77777777" w:rsidR="00ED5746" w:rsidRPr="00D23E19" w:rsidRDefault="00ED5746" w:rsidP="00CF6B78">
            <w:pPr>
              <w:tabs>
                <w:tab w:val="center" w:pos="4680"/>
              </w:tabs>
              <w:suppressAutoHyphens/>
              <w:rPr>
                <w:b/>
                <w:spacing w:val="-2"/>
              </w:rPr>
            </w:pPr>
            <w:r w:rsidRPr="00D84548">
              <w:rPr>
                <w:b/>
                <w:spacing w:val="-2"/>
              </w:rPr>
              <w:t>)</w:t>
            </w:r>
          </w:p>
          <w:p w14:paraId="173C28B3" w14:textId="77777777" w:rsidR="00ED5746" w:rsidRPr="00D23E19" w:rsidRDefault="00ED5746" w:rsidP="00CF6B78">
            <w:pPr>
              <w:tabs>
                <w:tab w:val="center" w:pos="4680"/>
              </w:tabs>
              <w:suppressAutoHyphens/>
              <w:rPr>
                <w:b/>
                <w:spacing w:val="-2"/>
              </w:rPr>
            </w:pPr>
            <w:r w:rsidRPr="00D84548">
              <w:rPr>
                <w:b/>
                <w:spacing w:val="-2"/>
              </w:rPr>
              <w:t>)</w:t>
            </w:r>
          </w:p>
          <w:p w14:paraId="173C28B4" w14:textId="77777777" w:rsidR="00ED5746" w:rsidRPr="00D23E19" w:rsidRDefault="00ED5746" w:rsidP="00CF6B78">
            <w:pPr>
              <w:tabs>
                <w:tab w:val="center" w:pos="4680"/>
              </w:tabs>
              <w:suppressAutoHyphens/>
              <w:rPr>
                <w:b/>
                <w:spacing w:val="-2"/>
              </w:rPr>
            </w:pPr>
            <w:r w:rsidRPr="00D84548">
              <w:rPr>
                <w:b/>
                <w:spacing w:val="-2"/>
              </w:rPr>
              <w:t>)</w:t>
            </w:r>
          </w:p>
          <w:p w14:paraId="173C28B5" w14:textId="77777777" w:rsidR="00ED5746" w:rsidRPr="00D23E19" w:rsidRDefault="00ED5746" w:rsidP="00CF6B78">
            <w:pPr>
              <w:tabs>
                <w:tab w:val="center" w:pos="4680"/>
              </w:tabs>
              <w:suppressAutoHyphens/>
              <w:rPr>
                <w:b/>
                <w:spacing w:val="-2"/>
              </w:rPr>
            </w:pPr>
            <w:r w:rsidRPr="00D84548">
              <w:rPr>
                <w:b/>
                <w:spacing w:val="-2"/>
              </w:rPr>
              <w:t>)</w:t>
            </w:r>
          </w:p>
          <w:p w14:paraId="173C28B6" w14:textId="77777777" w:rsidR="00ED5746" w:rsidRPr="00D23E19" w:rsidRDefault="00ED5746" w:rsidP="00CF6B78">
            <w:pPr>
              <w:tabs>
                <w:tab w:val="center" w:pos="4680"/>
              </w:tabs>
              <w:suppressAutoHyphens/>
              <w:rPr>
                <w:b/>
                <w:spacing w:val="-2"/>
              </w:rPr>
            </w:pPr>
            <w:r w:rsidRPr="00D84548">
              <w:rPr>
                <w:b/>
                <w:spacing w:val="-2"/>
              </w:rPr>
              <w:t>)</w:t>
            </w:r>
          </w:p>
          <w:p w14:paraId="173C28B7" w14:textId="77777777" w:rsidR="00ED5746" w:rsidRPr="00D23E19" w:rsidRDefault="00ED5746" w:rsidP="00CF6B78">
            <w:pPr>
              <w:tabs>
                <w:tab w:val="center" w:pos="4680"/>
              </w:tabs>
              <w:suppressAutoHyphens/>
              <w:rPr>
                <w:b/>
                <w:spacing w:val="-2"/>
              </w:rPr>
            </w:pPr>
            <w:r w:rsidRPr="00D84548">
              <w:rPr>
                <w:b/>
                <w:spacing w:val="-2"/>
              </w:rPr>
              <w:t>)</w:t>
            </w:r>
          </w:p>
          <w:p w14:paraId="173C28B8" w14:textId="77777777" w:rsidR="00ED5746" w:rsidRPr="00D23E19" w:rsidRDefault="00ED5746" w:rsidP="003B739D">
            <w:pPr>
              <w:tabs>
                <w:tab w:val="center" w:pos="4680"/>
              </w:tabs>
              <w:suppressAutoHyphens/>
              <w:rPr>
                <w:b/>
                <w:spacing w:val="-2"/>
              </w:rPr>
            </w:pPr>
          </w:p>
        </w:tc>
        <w:tc>
          <w:tcPr>
            <w:tcW w:w="4248" w:type="dxa"/>
          </w:tcPr>
          <w:p w14:paraId="173C28B9" w14:textId="77777777" w:rsidR="00E44AC6" w:rsidRDefault="00E44AC6" w:rsidP="00CF6B78">
            <w:pPr>
              <w:tabs>
                <w:tab w:val="center" w:pos="4680"/>
              </w:tabs>
              <w:suppressAutoHyphens/>
              <w:ind w:left="432"/>
              <w:rPr>
                <w:spacing w:val="-2"/>
                <w:szCs w:val="22"/>
              </w:rPr>
            </w:pPr>
          </w:p>
          <w:p w14:paraId="173C28BA" w14:textId="77777777" w:rsidR="00E44AC6" w:rsidRDefault="00E44AC6" w:rsidP="00CF6B78">
            <w:pPr>
              <w:tabs>
                <w:tab w:val="center" w:pos="4680"/>
              </w:tabs>
              <w:suppressAutoHyphens/>
              <w:ind w:left="432"/>
              <w:rPr>
                <w:spacing w:val="-2"/>
                <w:szCs w:val="22"/>
              </w:rPr>
            </w:pPr>
          </w:p>
          <w:p w14:paraId="173C28BB" w14:textId="7C012DD2" w:rsidR="00ED5746" w:rsidRPr="00D84548" w:rsidRDefault="00ED5746" w:rsidP="00CF6B78">
            <w:pPr>
              <w:tabs>
                <w:tab w:val="center" w:pos="4680"/>
              </w:tabs>
              <w:suppressAutoHyphens/>
              <w:ind w:left="432"/>
              <w:rPr>
                <w:spacing w:val="-2"/>
                <w:szCs w:val="22"/>
              </w:rPr>
            </w:pPr>
            <w:r w:rsidRPr="00D84548">
              <w:rPr>
                <w:spacing w:val="-2"/>
                <w:szCs w:val="22"/>
              </w:rPr>
              <w:t xml:space="preserve">File No.:  </w:t>
            </w:r>
            <w:r w:rsidR="00FF7F6E">
              <w:rPr>
                <w:spacing w:val="-2"/>
                <w:szCs w:val="22"/>
              </w:rPr>
              <w:t>EB-IHD-15-00018207</w:t>
            </w:r>
            <w:r w:rsidR="00FF7F6E">
              <w:rPr>
                <w:rStyle w:val="FootnoteReference"/>
                <w:spacing w:val="-2"/>
                <w:szCs w:val="22"/>
              </w:rPr>
              <w:footnoteReference w:id="2"/>
            </w:r>
          </w:p>
          <w:p w14:paraId="173C28BE" w14:textId="2FD335FC" w:rsidR="00ED5746" w:rsidRPr="00FF7F6E" w:rsidRDefault="00FF7F6E" w:rsidP="00FF7F6E">
            <w:pPr>
              <w:ind w:left="432"/>
              <w:rPr>
                <w:spacing w:val="-2"/>
                <w:szCs w:val="22"/>
              </w:rPr>
            </w:pPr>
            <w:r>
              <w:rPr>
                <w:spacing w:val="-2"/>
                <w:szCs w:val="22"/>
              </w:rPr>
              <w:t>Acct. No.:  201432080001</w:t>
            </w:r>
          </w:p>
          <w:p w14:paraId="173C28BF" w14:textId="78F4622E" w:rsidR="00ED5746" w:rsidRPr="00D84548" w:rsidRDefault="00ED5746" w:rsidP="003557EF">
            <w:pPr>
              <w:tabs>
                <w:tab w:val="center" w:pos="4680"/>
              </w:tabs>
              <w:suppressAutoHyphens/>
              <w:ind w:left="432"/>
              <w:rPr>
                <w:snapToGrid/>
                <w:spacing w:val="-2"/>
              </w:rPr>
            </w:pPr>
            <w:r w:rsidRPr="00D84548">
              <w:rPr>
                <w:szCs w:val="22"/>
              </w:rPr>
              <w:t xml:space="preserve">FRN:  </w:t>
            </w:r>
            <w:r w:rsidR="00FF7F6E">
              <w:rPr>
                <w:szCs w:val="22"/>
              </w:rPr>
              <w:t>0009308008</w:t>
            </w:r>
          </w:p>
        </w:tc>
      </w:tr>
    </w:tbl>
    <w:p w14:paraId="173C28C1" w14:textId="77777777" w:rsidR="00F84BCA" w:rsidRPr="00D84548" w:rsidRDefault="00F84BCA" w:rsidP="00AA4B16">
      <w:pPr>
        <w:jc w:val="center"/>
        <w:outlineLvl w:val="0"/>
        <w:rPr>
          <w:b/>
          <w:szCs w:val="22"/>
        </w:rPr>
      </w:pPr>
      <w:r w:rsidRPr="00D84548">
        <w:rPr>
          <w:b/>
          <w:szCs w:val="22"/>
        </w:rPr>
        <w:t>ORDER</w:t>
      </w:r>
    </w:p>
    <w:p w14:paraId="173C28C2" w14:textId="77777777" w:rsidR="00F84BCA" w:rsidRPr="00D84548" w:rsidRDefault="00F84BCA" w:rsidP="00AA4B16">
      <w:pPr>
        <w:tabs>
          <w:tab w:val="left" w:pos="-720"/>
        </w:tabs>
        <w:suppressAutoHyphens/>
        <w:spacing w:line="227" w:lineRule="auto"/>
        <w:rPr>
          <w:spacing w:val="-2"/>
        </w:rPr>
      </w:pPr>
    </w:p>
    <w:p w14:paraId="173C28C3" w14:textId="3FD2D5CA"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D50C4A">
        <w:rPr>
          <w:b/>
          <w:spacing w:val="-2"/>
        </w:rPr>
        <w:t>October 21</w:t>
      </w:r>
      <w:r w:rsidR="00031E72">
        <w:rPr>
          <w:b/>
          <w:spacing w:val="-2"/>
        </w:rPr>
        <w:t>, 2015</w:t>
      </w:r>
      <w:r w:rsidRPr="00D84548">
        <w:rPr>
          <w:b/>
          <w:spacing w:val="-2"/>
        </w:rPr>
        <w:tab/>
        <w:t xml:space="preserve">Released:  </w:t>
      </w:r>
      <w:r w:rsidR="00031E72">
        <w:rPr>
          <w:b/>
          <w:spacing w:val="-2"/>
        </w:rPr>
        <w:t>October 21, 2015</w:t>
      </w:r>
    </w:p>
    <w:p w14:paraId="173C28C4" w14:textId="77777777" w:rsidR="00F84BCA" w:rsidRPr="00D84548" w:rsidRDefault="00F84BCA" w:rsidP="00F84BCA"/>
    <w:p w14:paraId="173C28C5" w14:textId="6904230A" w:rsidR="00F84BCA" w:rsidRPr="00D84548" w:rsidRDefault="00D42D5D" w:rsidP="00F84BCA">
      <w:pPr>
        <w:rPr>
          <w:spacing w:val="-2"/>
        </w:rPr>
      </w:pPr>
      <w:r w:rsidRPr="00D84548">
        <w:rPr>
          <w:spacing w:val="-2"/>
          <w:szCs w:val="22"/>
        </w:rPr>
        <w:t xml:space="preserve">By the </w:t>
      </w:r>
      <w:r w:rsidR="00F84BCA" w:rsidRPr="00D84548">
        <w:rPr>
          <w:spacing w:val="-2"/>
          <w:szCs w:val="22"/>
        </w:rPr>
        <w:t>Chief, Enforcement Bureau:</w:t>
      </w:r>
    </w:p>
    <w:p w14:paraId="173C28C6" w14:textId="77777777" w:rsidR="00F84BCA" w:rsidRPr="00D84548" w:rsidRDefault="00F84BCA" w:rsidP="00F84BCA"/>
    <w:p w14:paraId="173C28C7" w14:textId="2BE04D6B" w:rsidR="00F84BCA" w:rsidRPr="00D84548" w:rsidRDefault="00B277A4" w:rsidP="00E0263D">
      <w:pPr>
        <w:pStyle w:val="ParaNum0"/>
        <w:rPr>
          <w:color w:val="000000"/>
        </w:rPr>
      </w:pPr>
      <w:r w:rsidRPr="00D84548">
        <w:t>T</w:t>
      </w:r>
      <w:r w:rsidR="00F84BCA" w:rsidRPr="00D84548">
        <w:t xml:space="preserve">he Enforcement Bureau (Bureau) </w:t>
      </w:r>
      <w:r w:rsidRPr="00D84548">
        <w:t>of the Federal Communications Commission has entered into a Consent Decree to resolve its investigation into whether</w:t>
      </w:r>
      <w:r w:rsidR="00E87831" w:rsidRPr="00D84548">
        <w:t xml:space="preserve"> </w:t>
      </w:r>
      <w:r w:rsidR="003557EF">
        <w:t xml:space="preserve">Intelsat License LLC, f/k/a Intelsat </w:t>
      </w:r>
      <w:r w:rsidR="00D36185">
        <w:t xml:space="preserve">North America, LLC (Intelsat) improperly allowed another entity to take its place in a </w:t>
      </w:r>
      <w:r w:rsidR="0042409F">
        <w:t xml:space="preserve">queue established for reviewing applications for satellite authorizations.  Because applications are reviewed on a first come first served basis, prohibiting the assignment of places in the queue helps prevent entities from </w:t>
      </w:r>
      <w:r w:rsidR="009A62C6">
        <w:t>engaging in speculation</w:t>
      </w:r>
      <w:r w:rsidR="0042409F">
        <w:t xml:space="preserve"> by filing applications for the purpose of selling their priority positions in the queue.</w:t>
      </w:r>
      <w:r w:rsidR="00E87831" w:rsidRPr="00D84548">
        <w:t xml:space="preserve"> </w:t>
      </w:r>
      <w:r w:rsidR="00F05812">
        <w:t xml:space="preserve"> </w:t>
      </w:r>
      <w:r w:rsidR="00852F69" w:rsidRPr="00D84548">
        <w:t>To settle this matter,</w:t>
      </w:r>
      <w:r w:rsidR="00F05812">
        <w:t xml:space="preserve"> Intelsat </w:t>
      </w:r>
      <w:r w:rsidR="00C10915" w:rsidRPr="00F47D85">
        <w:t>w</w:t>
      </w:r>
      <w:r w:rsidR="00F05812" w:rsidRPr="00F47D85">
        <w:t>ill implement a compliance plan and will pay a $</w:t>
      </w:r>
      <w:r w:rsidR="00F47D85" w:rsidRPr="00F47D85">
        <w:t>12</w:t>
      </w:r>
      <w:r w:rsidR="00F05812" w:rsidRPr="00F47D85">
        <w:t>,000 civil penalty.</w:t>
      </w:r>
      <w:r w:rsidR="00F84BCA" w:rsidRPr="00D84548">
        <w:t xml:space="preserve"> </w:t>
      </w:r>
    </w:p>
    <w:p w14:paraId="173C28C8" w14:textId="34D04CEB" w:rsidR="00B277A4" w:rsidRPr="00D84548" w:rsidRDefault="00F84BCA" w:rsidP="00DD6800">
      <w:pPr>
        <w:pStyle w:val="ParaNum0"/>
      </w:pPr>
      <w:r w:rsidRPr="00D84548">
        <w:t xml:space="preserve">After reviewing the terms of the Consent Decree and evaluating the facts before us, we find that the public interest would be served by adopting the Consent Decree and </w:t>
      </w:r>
      <w:r w:rsidR="009942A1" w:rsidRPr="00D84548">
        <w:t>resolving the</w:t>
      </w:r>
      <w:r w:rsidR="00B277A4" w:rsidRPr="00D84548">
        <w:t xml:space="preserve"> Notice of Apparent</w:t>
      </w:r>
      <w:r w:rsidR="00F05812">
        <w:t xml:space="preserve"> Liability for Forfeiture (NAL)</w:t>
      </w:r>
      <w:r w:rsidR="00B277A4" w:rsidRPr="00D84548">
        <w:t xml:space="preserve"> regarding </w:t>
      </w:r>
      <w:r w:rsidR="00F05812">
        <w:t>Intelsat’s</w:t>
      </w:r>
      <w:r w:rsidR="00B277A4" w:rsidRPr="00D84548">
        <w:t xml:space="preserve"> compliance with </w:t>
      </w:r>
      <w:r w:rsidR="00B03930">
        <w:t xml:space="preserve">the rule prohibiting an </w:t>
      </w:r>
      <w:r w:rsidR="00F05812">
        <w:t>applicant</w:t>
      </w:r>
      <w:r w:rsidR="00B03930">
        <w:t xml:space="preserve"> for a satellite authorization</w:t>
      </w:r>
      <w:r w:rsidR="00F05812">
        <w:t xml:space="preserve">’s assignment of its place in the queue </w:t>
      </w:r>
      <w:r w:rsidR="00B03930">
        <w:t>to another entity</w:t>
      </w:r>
      <w:r w:rsidR="00B277A4" w:rsidRPr="00D84548">
        <w:t>, Section</w:t>
      </w:r>
      <w:r w:rsidR="008E71C5">
        <w:t xml:space="preserve"> 25.158(c) </w:t>
      </w:r>
      <w:r w:rsidR="00B03930">
        <w:t xml:space="preserve">of the </w:t>
      </w:r>
      <w:r w:rsidR="00B277A4" w:rsidRPr="00D84548">
        <w:t>Rules.</w:t>
      </w:r>
      <w:r w:rsidR="00B277A4" w:rsidRPr="00D84548">
        <w:rPr>
          <w:rStyle w:val="FootnoteReference"/>
          <w:szCs w:val="22"/>
        </w:rPr>
        <w:footnoteReference w:id="3"/>
      </w:r>
    </w:p>
    <w:p w14:paraId="173C28C9" w14:textId="562CFD74" w:rsidR="00F84BCA" w:rsidRPr="00D84548" w:rsidRDefault="00357044" w:rsidP="00601267">
      <w:pPr>
        <w:pStyle w:val="ParaNum0"/>
      </w:pPr>
      <w:r>
        <w:t>In the absence of material new evidence relating to this matter, we do not s</w:t>
      </w:r>
      <w:r w:rsidR="008E71C5">
        <w:t>et for hearing the question of Intelsat</w:t>
      </w:r>
      <w:r>
        <w:t>’s basic qualifications to hold or obtain an</w:t>
      </w:r>
      <w:r w:rsidR="00F74D07">
        <w:t>y</w:t>
      </w:r>
      <w:r>
        <w:t xml:space="preserve"> Commission license or authorization.</w:t>
      </w:r>
      <w:r>
        <w:rPr>
          <w:rStyle w:val="FootnoteReference"/>
          <w:szCs w:val="22"/>
        </w:rPr>
        <w:footnoteReference w:id="4"/>
      </w:r>
    </w:p>
    <w:p w14:paraId="173C28CA" w14:textId="40D82A33" w:rsidR="00F84BCA" w:rsidRPr="00D84548" w:rsidRDefault="00F84BCA" w:rsidP="00601267">
      <w:pPr>
        <w:pStyle w:val="ParaNum0"/>
      </w:pPr>
      <w:r w:rsidRPr="00D84548">
        <w:t xml:space="preserve">Accordingly, </w:t>
      </w:r>
      <w:r w:rsidRPr="00D84548">
        <w:rPr>
          <w:b/>
        </w:rPr>
        <w:t xml:space="preserve">IT IS ORDERED </w:t>
      </w:r>
      <w:r w:rsidRPr="00D84548">
        <w:t>that, pursuant to Sections</w:t>
      </w:r>
      <w:r w:rsidR="00B75912" w:rsidRPr="00D84548">
        <w:t xml:space="preserve"> 4(i)</w:t>
      </w:r>
      <w:r w:rsidR="003A0A67" w:rsidRPr="00D84548">
        <w:t xml:space="preserve"> </w:t>
      </w:r>
      <w:r w:rsidRPr="00D84548">
        <w:t>and 503(b)</w:t>
      </w:r>
      <w:r w:rsidR="00782791" w:rsidRPr="00D84548">
        <w:t xml:space="preserve"> </w:t>
      </w:r>
      <w:r w:rsidR="009632A6" w:rsidRPr="00D84548">
        <w:t>of the Act</w:t>
      </w:r>
      <w:r w:rsidR="009632A6" w:rsidRPr="00D84548">
        <w:rPr>
          <w:rStyle w:val="FootnoteReference"/>
          <w:szCs w:val="22"/>
        </w:rPr>
        <w:footnoteReference w:id="5"/>
      </w:r>
      <w:r w:rsidRPr="00D84548">
        <w:t xml:space="preserve"> and the authority delegated by Sections 0.1</w:t>
      </w:r>
      <w:r w:rsidR="0051080A" w:rsidRPr="00D84548">
        <w:t>11 and 0.311 of the R</w:t>
      </w:r>
      <w:r w:rsidR="009632A6" w:rsidRPr="00D84548">
        <w:t>ules,</w:t>
      </w:r>
      <w:r w:rsidR="009632A6" w:rsidRPr="00D84548">
        <w:rPr>
          <w:rStyle w:val="FootnoteReference"/>
          <w:szCs w:val="22"/>
        </w:rPr>
        <w:footnoteReference w:id="6"/>
      </w:r>
      <w:r w:rsidRPr="00D84548">
        <w:t xml:space="preserve"> the attached Consent Decree </w:t>
      </w:r>
      <w:r w:rsidRPr="00D84548">
        <w:rPr>
          <w:b/>
        </w:rPr>
        <w:t>IS ADOPTED</w:t>
      </w:r>
      <w:r w:rsidR="00B87679" w:rsidRPr="00D84548">
        <w:rPr>
          <w:b/>
        </w:rPr>
        <w:t xml:space="preserve"> </w:t>
      </w:r>
      <w:r w:rsidR="00B87679" w:rsidRPr="00D84548">
        <w:t xml:space="preserve">and </w:t>
      </w:r>
      <w:r w:rsidR="00433E5E" w:rsidRPr="00D84548">
        <w:t>its terms incorporated by</w:t>
      </w:r>
      <w:r w:rsidR="00B87679" w:rsidRPr="00D84548">
        <w:t xml:space="preserve"> reference</w:t>
      </w:r>
      <w:r w:rsidRPr="00D84548">
        <w:t>.</w:t>
      </w:r>
    </w:p>
    <w:p w14:paraId="173C28CC" w14:textId="07BB2E71" w:rsidR="0094240B" w:rsidRPr="00601267" w:rsidRDefault="00F84BCA" w:rsidP="00601267">
      <w:pPr>
        <w:pStyle w:val="ParaNum0"/>
      </w:pPr>
      <w:r w:rsidRPr="00D84548">
        <w:rPr>
          <w:b/>
        </w:rPr>
        <w:t>IT IS FURTHER ORDERED</w:t>
      </w:r>
      <w:r w:rsidRPr="00D84548">
        <w:t xml:space="preserve"> that the above-captioned matter </w:t>
      </w:r>
      <w:r w:rsidRPr="00D84548">
        <w:rPr>
          <w:b/>
        </w:rPr>
        <w:t>IS TERMINATED</w:t>
      </w:r>
      <w:r w:rsidR="00782791" w:rsidRPr="00D84548">
        <w:rPr>
          <w:b/>
        </w:rPr>
        <w:t xml:space="preserve"> </w:t>
      </w:r>
      <w:r w:rsidR="00782791" w:rsidRPr="00D84548">
        <w:t xml:space="preserve">and the NAL </w:t>
      </w:r>
      <w:r w:rsidR="009632A6" w:rsidRPr="00D84548">
        <w:rPr>
          <w:b/>
        </w:rPr>
        <w:t>IS CANCE</w:t>
      </w:r>
      <w:r w:rsidR="00782791" w:rsidRPr="00D84548">
        <w:rPr>
          <w:b/>
        </w:rPr>
        <w:t>LED</w:t>
      </w:r>
      <w:r w:rsidRPr="00D84548">
        <w:t>.</w:t>
      </w:r>
    </w:p>
    <w:p w14:paraId="4536B52F" w14:textId="77777777" w:rsidR="004807CE" w:rsidRDefault="004807CE">
      <w:pPr>
        <w:widowControl/>
        <w:rPr>
          <w:b/>
        </w:rPr>
      </w:pPr>
      <w:r>
        <w:rPr>
          <w:b/>
        </w:rPr>
        <w:br w:type="page"/>
      </w:r>
    </w:p>
    <w:p w14:paraId="173C28CD" w14:textId="1174B454" w:rsidR="00F84BCA" w:rsidRPr="009A62C6" w:rsidRDefault="00F84BCA" w:rsidP="00DB6281">
      <w:pPr>
        <w:pStyle w:val="ParaNum0"/>
        <w:keepNext/>
        <w:widowControl/>
      </w:pPr>
      <w:r w:rsidRPr="00D84548">
        <w:rPr>
          <w:b/>
        </w:rPr>
        <w:lastRenderedPageBreak/>
        <w:t>IT IS FURTHER ORDERED</w:t>
      </w:r>
      <w:r w:rsidRPr="00D84548">
        <w:t xml:space="preserve"> that a copy of this Order and Consent Decree </w:t>
      </w:r>
      <w:r w:rsidR="00D84548" w:rsidRPr="00981F23">
        <w:rPr>
          <w:color w:val="000000" w:themeColor="text1"/>
        </w:rPr>
        <w:t xml:space="preserve">shall be sent by first class mail and certified mail, return receipt requested, to </w:t>
      </w:r>
      <w:r w:rsidR="008E71C5" w:rsidRPr="009A62C6">
        <w:rPr>
          <w:color w:val="000000" w:themeColor="text1"/>
        </w:rPr>
        <w:t>Jennifer D. Hindin, Esq.,Wiley Rein LLP, 1776 K Street, N.W., Washington, DC 20006</w:t>
      </w:r>
      <w:r w:rsidR="00480179">
        <w:rPr>
          <w:color w:val="000000" w:themeColor="text1"/>
        </w:rPr>
        <w:t xml:space="preserve">, and to Joshua Turner, </w:t>
      </w:r>
      <w:r w:rsidR="00480179" w:rsidRPr="009A62C6">
        <w:rPr>
          <w:color w:val="000000" w:themeColor="text1"/>
        </w:rPr>
        <w:t>Esq.,Wiley Rein LLP, 1776 K Street, N.W., Washington, DC 20006</w:t>
      </w:r>
      <w:r w:rsidR="00D84548" w:rsidRPr="009A62C6">
        <w:rPr>
          <w:color w:val="000000" w:themeColor="text1"/>
        </w:rPr>
        <w:t>.</w:t>
      </w:r>
    </w:p>
    <w:p w14:paraId="173C28CE" w14:textId="77777777" w:rsidR="00F84BCA" w:rsidRDefault="00F84BCA" w:rsidP="0042399D">
      <w:pPr>
        <w:pStyle w:val="ParaNum0"/>
        <w:keepNext/>
        <w:numPr>
          <w:ilvl w:val="0"/>
          <w:numId w:val="0"/>
        </w:numPr>
        <w:tabs>
          <w:tab w:val="left" w:pos="1440"/>
        </w:tabs>
        <w:spacing w:after="240"/>
        <w:ind w:left="720"/>
        <w:rPr>
          <w:b/>
        </w:rPr>
      </w:pPr>
    </w:p>
    <w:p w14:paraId="173C28CF" w14:textId="77777777"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173C28D0" w14:textId="77777777" w:rsidR="00F84BCA" w:rsidRPr="00EF505E" w:rsidRDefault="00F84BCA" w:rsidP="00F84BCA">
      <w:pPr>
        <w:rPr>
          <w:szCs w:val="22"/>
          <w:lang w:val="fr-FR"/>
        </w:rPr>
      </w:pPr>
    </w:p>
    <w:p w14:paraId="173C28D1" w14:textId="77777777" w:rsidR="00F84BCA" w:rsidRPr="00EF505E" w:rsidRDefault="00F84BCA" w:rsidP="00F84BCA">
      <w:pPr>
        <w:rPr>
          <w:szCs w:val="22"/>
          <w:lang w:val="fr-FR"/>
        </w:rPr>
      </w:pPr>
    </w:p>
    <w:p w14:paraId="173C28D2"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173C28D3" w14:textId="77777777" w:rsidR="00F84BCA" w:rsidRPr="00EF505E" w:rsidRDefault="00F84BCA" w:rsidP="00F84BCA">
      <w:pPr>
        <w:outlineLvl w:val="0"/>
        <w:rPr>
          <w:szCs w:val="22"/>
          <w:lang w:val="fr-FR"/>
        </w:rPr>
      </w:pPr>
    </w:p>
    <w:p w14:paraId="173C28D4" w14:textId="3433CFE7"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173C28D5" w14:textId="27094DF6"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F84BCA" w:rsidRPr="00A15CBD">
        <w:rPr>
          <w:szCs w:val="22"/>
        </w:rPr>
        <w:t>C</w:t>
      </w:r>
      <w:r w:rsidR="00F84BCA">
        <w:rPr>
          <w:szCs w:val="22"/>
        </w:rPr>
        <w:t>hief</w:t>
      </w:r>
    </w:p>
    <w:p w14:paraId="173C28D6" w14:textId="77777777" w:rsidR="00F84BCA" w:rsidRDefault="00F84BCA" w:rsidP="00D23E19">
      <w:pPr>
        <w:ind w:left="2880" w:firstLine="720"/>
        <w:outlineLvl w:val="0"/>
        <w:rPr>
          <w:szCs w:val="22"/>
        </w:rPr>
      </w:pPr>
      <w:r>
        <w:rPr>
          <w:szCs w:val="22"/>
        </w:rPr>
        <w:t>Enforcement Bureau</w:t>
      </w:r>
    </w:p>
    <w:p w14:paraId="07DC823F" w14:textId="77777777" w:rsidR="00DD6800" w:rsidRDefault="00DD6800" w:rsidP="00C127D6">
      <w:pPr>
        <w:widowControl/>
        <w:rPr>
          <w:rFonts w:ascii="Times New Roman Bold" w:hAnsi="Times New Roman Bold"/>
          <w:b/>
          <w:kern w:val="0"/>
          <w:szCs w:val="22"/>
        </w:rPr>
      </w:pPr>
    </w:p>
    <w:p w14:paraId="189DCDA4" w14:textId="77777777" w:rsidR="00DD6800" w:rsidRDefault="00DD6800" w:rsidP="00C127D6">
      <w:pPr>
        <w:widowControl/>
        <w:rPr>
          <w:rFonts w:ascii="Times New Roman Bold" w:hAnsi="Times New Roman Bold"/>
          <w:b/>
          <w:kern w:val="0"/>
          <w:szCs w:val="22"/>
        </w:rPr>
        <w:sectPr w:rsidR="00DD6800" w:rsidSect="00AA4B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docGrid w:linePitch="299"/>
        </w:sectPr>
      </w:pPr>
    </w:p>
    <w:p w14:paraId="689AEC0D" w14:textId="1652F70E" w:rsidR="00601267" w:rsidRPr="00843A5F" w:rsidRDefault="00601267" w:rsidP="00DD6800">
      <w:pPr>
        <w:widowControl/>
        <w:jc w:val="center"/>
        <w:rPr>
          <w:b/>
        </w:rPr>
      </w:pPr>
      <w:r w:rsidRPr="00843A5F">
        <w:rPr>
          <w:rFonts w:ascii="Times New Roman Bold" w:hAnsi="Times New Roman Bold"/>
          <w:b/>
          <w:kern w:val="0"/>
          <w:szCs w:val="22"/>
        </w:rPr>
        <w:lastRenderedPageBreak/>
        <w:t>Before</w:t>
      </w:r>
      <w:r w:rsidRPr="00843A5F">
        <w:rPr>
          <w:b/>
        </w:rPr>
        <w:t xml:space="preserve"> the</w:t>
      </w:r>
    </w:p>
    <w:p w14:paraId="1A5E9D05" w14:textId="77777777" w:rsidR="00601267" w:rsidRPr="00843A5F" w:rsidRDefault="00601267" w:rsidP="00601267">
      <w:pPr>
        <w:pStyle w:val="StyleBoldCentered"/>
      </w:pPr>
      <w:r w:rsidRPr="00843A5F">
        <w:t>F</w:t>
      </w:r>
      <w:r w:rsidRPr="00843A5F">
        <w:rPr>
          <w:caps w:val="0"/>
        </w:rPr>
        <w:t>ederal Communications Commission</w:t>
      </w:r>
    </w:p>
    <w:p w14:paraId="3ABA8AAE" w14:textId="77777777" w:rsidR="00601267" w:rsidRPr="00843A5F" w:rsidRDefault="00601267" w:rsidP="00601267">
      <w:pPr>
        <w:pStyle w:val="StyleBoldCentered"/>
      </w:pPr>
      <w:r w:rsidRPr="00843A5F">
        <w:rPr>
          <w:caps w:val="0"/>
        </w:rPr>
        <w:t>Washington, DC 20554</w:t>
      </w:r>
    </w:p>
    <w:p w14:paraId="21670217" w14:textId="77777777" w:rsidR="00601267" w:rsidRPr="00843A5F" w:rsidRDefault="00601267" w:rsidP="00601267"/>
    <w:tbl>
      <w:tblPr>
        <w:tblW w:w="9576" w:type="dxa"/>
        <w:tblLayout w:type="fixed"/>
        <w:tblLook w:val="0000" w:firstRow="0" w:lastRow="0" w:firstColumn="0" w:lastColumn="0" w:noHBand="0" w:noVBand="0"/>
      </w:tblPr>
      <w:tblGrid>
        <w:gridCol w:w="4698"/>
        <w:gridCol w:w="630"/>
        <w:gridCol w:w="4248"/>
      </w:tblGrid>
      <w:tr w:rsidR="00601267" w:rsidRPr="007C0B39" w14:paraId="20B06074" w14:textId="77777777" w:rsidTr="005E5BD0">
        <w:trPr>
          <w:trHeight w:val="2043"/>
        </w:trPr>
        <w:tc>
          <w:tcPr>
            <w:tcW w:w="4698" w:type="dxa"/>
          </w:tcPr>
          <w:p w14:paraId="07C7EDC6" w14:textId="77777777" w:rsidR="00601267" w:rsidRDefault="00601267" w:rsidP="005E5BD0">
            <w:pPr>
              <w:tabs>
                <w:tab w:val="center" w:pos="4680"/>
              </w:tabs>
              <w:suppressAutoHyphens/>
              <w:rPr>
                <w:spacing w:val="-2"/>
              </w:rPr>
            </w:pPr>
            <w:r w:rsidRPr="00843A5F">
              <w:rPr>
                <w:spacing w:val="-2"/>
              </w:rPr>
              <w:t>In the Matter of</w:t>
            </w:r>
          </w:p>
          <w:p w14:paraId="1BF96800" w14:textId="77777777" w:rsidR="00601267" w:rsidRDefault="00601267" w:rsidP="005E5BD0">
            <w:pPr>
              <w:tabs>
                <w:tab w:val="center" w:pos="4680"/>
              </w:tabs>
              <w:suppressAutoHyphens/>
              <w:rPr>
                <w:spacing w:val="-2"/>
              </w:rPr>
            </w:pPr>
          </w:p>
          <w:p w14:paraId="4A177BC6" w14:textId="77777777" w:rsidR="00601267" w:rsidRDefault="00601267" w:rsidP="005E5BD0">
            <w:pPr>
              <w:tabs>
                <w:tab w:val="center" w:pos="4680"/>
              </w:tabs>
              <w:suppressAutoHyphens/>
              <w:rPr>
                <w:spacing w:val="-2"/>
              </w:rPr>
            </w:pPr>
            <w:r>
              <w:rPr>
                <w:spacing w:val="-2"/>
              </w:rPr>
              <w:t>Intelsat License LLC</w:t>
            </w:r>
          </w:p>
          <w:p w14:paraId="01F4487B" w14:textId="44E14BEA" w:rsidR="00601267" w:rsidRPr="007C0B39" w:rsidRDefault="00DD6800" w:rsidP="00344707">
            <w:pPr>
              <w:pStyle w:val="ParaNum0"/>
              <w:numPr>
                <w:ilvl w:val="0"/>
                <w:numId w:val="0"/>
              </w:numPr>
              <w:rPr>
                <w:spacing w:val="-2"/>
              </w:rPr>
            </w:pPr>
            <w:r>
              <w:rPr>
                <w:spacing w:val="-2"/>
              </w:rPr>
              <w:t>f</w:t>
            </w:r>
            <w:r w:rsidR="00601267">
              <w:rPr>
                <w:spacing w:val="-2"/>
              </w:rPr>
              <w:t xml:space="preserve">/k/a Intelsat North America, </w:t>
            </w:r>
            <w:r w:rsidR="00601267" w:rsidRPr="00DD6800">
              <w:t>LLC</w:t>
            </w:r>
          </w:p>
        </w:tc>
        <w:tc>
          <w:tcPr>
            <w:tcW w:w="630" w:type="dxa"/>
          </w:tcPr>
          <w:p w14:paraId="138D393B" w14:textId="77777777" w:rsidR="00601267" w:rsidRPr="007C0B39" w:rsidRDefault="00601267" w:rsidP="005E5BD0">
            <w:pPr>
              <w:tabs>
                <w:tab w:val="center" w:pos="4680"/>
              </w:tabs>
              <w:suppressAutoHyphens/>
              <w:rPr>
                <w:b/>
                <w:spacing w:val="-2"/>
              </w:rPr>
            </w:pPr>
            <w:r w:rsidRPr="007C0B39">
              <w:rPr>
                <w:b/>
                <w:spacing w:val="-2"/>
              </w:rPr>
              <w:t>)</w:t>
            </w:r>
          </w:p>
          <w:p w14:paraId="2BD935CC" w14:textId="77777777" w:rsidR="00601267" w:rsidRPr="007C0B39" w:rsidRDefault="00601267" w:rsidP="005E5BD0">
            <w:pPr>
              <w:tabs>
                <w:tab w:val="center" w:pos="4680"/>
              </w:tabs>
              <w:suppressAutoHyphens/>
              <w:rPr>
                <w:b/>
                <w:spacing w:val="-2"/>
              </w:rPr>
            </w:pPr>
            <w:r w:rsidRPr="007C0B39">
              <w:rPr>
                <w:b/>
                <w:spacing w:val="-2"/>
              </w:rPr>
              <w:t>)</w:t>
            </w:r>
          </w:p>
          <w:p w14:paraId="46F1A7C7" w14:textId="77777777" w:rsidR="00601267" w:rsidRPr="007C0B39" w:rsidRDefault="00601267" w:rsidP="005E5BD0">
            <w:pPr>
              <w:tabs>
                <w:tab w:val="center" w:pos="4680"/>
              </w:tabs>
              <w:suppressAutoHyphens/>
              <w:rPr>
                <w:b/>
                <w:spacing w:val="-2"/>
              </w:rPr>
            </w:pPr>
            <w:r w:rsidRPr="007C0B39">
              <w:rPr>
                <w:b/>
                <w:spacing w:val="-2"/>
              </w:rPr>
              <w:t>)</w:t>
            </w:r>
          </w:p>
          <w:p w14:paraId="3FBE60DF" w14:textId="77777777" w:rsidR="00601267" w:rsidRPr="007C0B39" w:rsidRDefault="00601267" w:rsidP="005E5BD0">
            <w:pPr>
              <w:tabs>
                <w:tab w:val="center" w:pos="4680"/>
              </w:tabs>
              <w:suppressAutoHyphens/>
              <w:rPr>
                <w:b/>
                <w:spacing w:val="-2"/>
              </w:rPr>
            </w:pPr>
            <w:r w:rsidRPr="007C0B39">
              <w:rPr>
                <w:b/>
                <w:spacing w:val="-2"/>
              </w:rPr>
              <w:t>)</w:t>
            </w:r>
          </w:p>
          <w:p w14:paraId="05973437" w14:textId="77777777" w:rsidR="00601267" w:rsidRPr="007C0B39" w:rsidRDefault="00601267" w:rsidP="005E5BD0">
            <w:pPr>
              <w:tabs>
                <w:tab w:val="center" w:pos="4680"/>
              </w:tabs>
              <w:suppressAutoHyphens/>
              <w:rPr>
                <w:b/>
                <w:spacing w:val="-2"/>
              </w:rPr>
            </w:pPr>
            <w:r w:rsidRPr="007C0B39">
              <w:rPr>
                <w:b/>
                <w:spacing w:val="-2"/>
              </w:rPr>
              <w:t>)</w:t>
            </w:r>
          </w:p>
          <w:p w14:paraId="14BAD65C" w14:textId="77777777" w:rsidR="00601267" w:rsidRPr="007C0B39" w:rsidRDefault="00601267" w:rsidP="005E5BD0">
            <w:pPr>
              <w:tabs>
                <w:tab w:val="center" w:pos="4680"/>
              </w:tabs>
              <w:suppressAutoHyphens/>
              <w:rPr>
                <w:b/>
                <w:spacing w:val="-2"/>
              </w:rPr>
            </w:pPr>
            <w:r w:rsidRPr="007C0B39">
              <w:rPr>
                <w:b/>
                <w:spacing w:val="-2"/>
              </w:rPr>
              <w:t>)</w:t>
            </w:r>
          </w:p>
          <w:p w14:paraId="5EBE399F" w14:textId="77777777" w:rsidR="00601267" w:rsidRPr="007C0B39" w:rsidRDefault="00601267" w:rsidP="005E5BD0">
            <w:pPr>
              <w:tabs>
                <w:tab w:val="center" w:pos="4680"/>
              </w:tabs>
              <w:suppressAutoHyphens/>
              <w:rPr>
                <w:b/>
                <w:spacing w:val="-2"/>
              </w:rPr>
            </w:pPr>
            <w:r w:rsidRPr="007C0B39">
              <w:rPr>
                <w:b/>
                <w:spacing w:val="-2"/>
              </w:rPr>
              <w:t>)</w:t>
            </w:r>
          </w:p>
          <w:p w14:paraId="42B57D6D" w14:textId="77777777" w:rsidR="00601267" w:rsidRPr="007C0B39" w:rsidRDefault="00601267" w:rsidP="005E5BD0">
            <w:pPr>
              <w:tabs>
                <w:tab w:val="center" w:pos="4680"/>
              </w:tabs>
              <w:suppressAutoHyphens/>
              <w:rPr>
                <w:spacing w:val="-2"/>
              </w:rPr>
            </w:pPr>
          </w:p>
        </w:tc>
        <w:tc>
          <w:tcPr>
            <w:tcW w:w="4248" w:type="dxa"/>
          </w:tcPr>
          <w:p w14:paraId="47999151" w14:textId="77777777" w:rsidR="00601267" w:rsidRDefault="00601267" w:rsidP="005E5BD0">
            <w:pPr>
              <w:tabs>
                <w:tab w:val="center" w:pos="4680"/>
              </w:tabs>
              <w:suppressAutoHyphens/>
              <w:ind w:left="432"/>
              <w:rPr>
                <w:spacing w:val="-2"/>
                <w:szCs w:val="22"/>
              </w:rPr>
            </w:pPr>
          </w:p>
          <w:p w14:paraId="6968BEA5" w14:textId="77777777" w:rsidR="00601267" w:rsidRDefault="00601267" w:rsidP="005E5BD0">
            <w:pPr>
              <w:tabs>
                <w:tab w:val="center" w:pos="4680"/>
              </w:tabs>
              <w:suppressAutoHyphens/>
              <w:ind w:left="432"/>
              <w:rPr>
                <w:spacing w:val="-2"/>
                <w:szCs w:val="22"/>
              </w:rPr>
            </w:pPr>
          </w:p>
          <w:p w14:paraId="7266A132" w14:textId="77777777" w:rsidR="00601267" w:rsidRPr="007C0B39" w:rsidRDefault="00601267" w:rsidP="005E5BD0">
            <w:pPr>
              <w:tabs>
                <w:tab w:val="center" w:pos="4680"/>
              </w:tabs>
              <w:suppressAutoHyphens/>
              <w:ind w:left="432"/>
              <w:rPr>
                <w:spacing w:val="-2"/>
                <w:szCs w:val="22"/>
              </w:rPr>
            </w:pPr>
            <w:r w:rsidRPr="007C0B39">
              <w:rPr>
                <w:spacing w:val="-2"/>
                <w:szCs w:val="22"/>
              </w:rPr>
              <w:t xml:space="preserve">File No.:  </w:t>
            </w:r>
            <w:r>
              <w:rPr>
                <w:spacing w:val="-2"/>
                <w:szCs w:val="22"/>
              </w:rPr>
              <w:t>EB-IHD-15-00018207</w:t>
            </w:r>
            <w:r>
              <w:rPr>
                <w:rStyle w:val="FootnoteReference"/>
                <w:spacing w:val="-2"/>
                <w:szCs w:val="22"/>
              </w:rPr>
              <w:footnoteReference w:id="7"/>
            </w:r>
          </w:p>
          <w:p w14:paraId="6642F286" w14:textId="77777777" w:rsidR="00601267" w:rsidRPr="008805CE" w:rsidRDefault="00601267" w:rsidP="005E5BD0">
            <w:pPr>
              <w:ind w:left="432"/>
              <w:rPr>
                <w:spacing w:val="-2"/>
                <w:szCs w:val="22"/>
              </w:rPr>
            </w:pPr>
            <w:r>
              <w:rPr>
                <w:spacing w:val="-2"/>
                <w:szCs w:val="22"/>
              </w:rPr>
              <w:t>NAL/</w:t>
            </w:r>
            <w:r w:rsidRPr="007C0B39">
              <w:rPr>
                <w:spacing w:val="-2"/>
                <w:szCs w:val="22"/>
              </w:rPr>
              <w:t xml:space="preserve">Acct. No.:  </w:t>
            </w:r>
            <w:r>
              <w:rPr>
                <w:spacing w:val="-2"/>
                <w:szCs w:val="22"/>
              </w:rPr>
              <w:t>201432080001</w:t>
            </w:r>
          </w:p>
          <w:p w14:paraId="315EE628" w14:textId="77777777" w:rsidR="00601267" w:rsidRPr="007C0B39" w:rsidRDefault="00601267" w:rsidP="005E5BD0">
            <w:pPr>
              <w:tabs>
                <w:tab w:val="center" w:pos="4680"/>
              </w:tabs>
              <w:suppressAutoHyphens/>
              <w:ind w:left="432"/>
              <w:rPr>
                <w:spacing w:val="-2"/>
              </w:rPr>
            </w:pPr>
            <w:r w:rsidRPr="007C0B39">
              <w:rPr>
                <w:szCs w:val="22"/>
              </w:rPr>
              <w:t xml:space="preserve">FRN:  </w:t>
            </w:r>
            <w:r>
              <w:rPr>
                <w:spacing w:val="-2"/>
                <w:szCs w:val="22"/>
              </w:rPr>
              <w:t>0009308008</w:t>
            </w:r>
          </w:p>
        </w:tc>
      </w:tr>
    </w:tbl>
    <w:p w14:paraId="29710667" w14:textId="77777777" w:rsidR="00601267" w:rsidRPr="007C0B39" w:rsidRDefault="00601267" w:rsidP="00601267">
      <w:pPr>
        <w:pStyle w:val="StyleBoldCentered"/>
      </w:pPr>
      <w:r w:rsidRPr="007C0B39">
        <w:t>CONSENT DECREE</w:t>
      </w:r>
    </w:p>
    <w:p w14:paraId="700F6319" w14:textId="77777777" w:rsidR="00601267" w:rsidRPr="007C0B39" w:rsidRDefault="00601267" w:rsidP="00601267">
      <w:pPr>
        <w:pStyle w:val="StyleBoldCentered"/>
      </w:pPr>
    </w:p>
    <w:p w14:paraId="1959B371" w14:textId="77777777" w:rsidR="00601267" w:rsidRPr="007C0B39" w:rsidRDefault="00601267" w:rsidP="00E0263D">
      <w:pPr>
        <w:pStyle w:val="ParaNum0"/>
        <w:numPr>
          <w:ilvl w:val="0"/>
          <w:numId w:val="17"/>
        </w:numPr>
        <w:tabs>
          <w:tab w:val="clear" w:pos="1080"/>
          <w:tab w:val="num" w:pos="1440"/>
        </w:tabs>
      </w:pPr>
      <w:r w:rsidRPr="007C0B39">
        <w:t>The Enforcement Bureau of the Federal Communications Commission and</w:t>
      </w:r>
      <w:r>
        <w:t xml:space="preserve"> Intelsat License LLC, f/k/a Intelsat North America, LLC</w:t>
      </w:r>
      <w:r w:rsidRPr="007C0B39">
        <w:t xml:space="preserve">, by their authorized representatives, hereby enter into this Consent Decree for the purpose of terminating the Enforcement Bureau’s investigation into whether </w:t>
      </w:r>
      <w:r>
        <w:t>Intelsat</w:t>
      </w:r>
      <w:r w:rsidRPr="007C0B39">
        <w:t xml:space="preserve"> violated </w:t>
      </w:r>
      <w:r>
        <w:t>Section 25.158(c) of the Commission’s rules in connection with its transfer of its place in the queue for GSO-like satellite license applicants, and its interactions with the Commission thereafter.</w:t>
      </w:r>
    </w:p>
    <w:p w14:paraId="2145A52F" w14:textId="77777777" w:rsidR="00601267" w:rsidRPr="007C0B39" w:rsidRDefault="00601267" w:rsidP="00601267">
      <w:pPr>
        <w:pStyle w:val="Heading1"/>
      </w:pPr>
      <w:r w:rsidRPr="007C0B39">
        <w:t>DEFINITIONS</w:t>
      </w:r>
    </w:p>
    <w:p w14:paraId="07DEB938" w14:textId="77777777" w:rsidR="00601267" w:rsidRPr="007C0B39" w:rsidRDefault="00601267" w:rsidP="00DD6800">
      <w:pPr>
        <w:pStyle w:val="ParaNum0"/>
      </w:pPr>
      <w:r w:rsidRPr="007C0B39">
        <w:t>For the purposes of this Consent Decree, the following definitions shall apply:</w:t>
      </w:r>
    </w:p>
    <w:p w14:paraId="06745537" w14:textId="77777777" w:rsidR="00601267" w:rsidRPr="007C0B39" w:rsidRDefault="00601267" w:rsidP="00DB6281">
      <w:pPr>
        <w:numPr>
          <w:ilvl w:val="0"/>
          <w:numId w:val="4"/>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8"/>
      </w:r>
    </w:p>
    <w:p w14:paraId="37F5D77A" w14:textId="77777777" w:rsidR="00601267" w:rsidRPr="007C0B39" w:rsidRDefault="00601267" w:rsidP="00DB6281">
      <w:pPr>
        <w:numPr>
          <w:ilvl w:val="0"/>
          <w:numId w:val="4"/>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6D583B82" w14:textId="77777777" w:rsidR="00601267" w:rsidRPr="007C0B39" w:rsidRDefault="00601267" w:rsidP="00DB6281">
      <w:pPr>
        <w:numPr>
          <w:ilvl w:val="0"/>
          <w:numId w:val="4"/>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6CEFE269" w14:textId="77777777" w:rsidR="00601267" w:rsidRPr="007C0B39" w:rsidRDefault="00601267" w:rsidP="00DB6281">
      <w:pPr>
        <w:numPr>
          <w:ilvl w:val="0"/>
          <w:numId w:val="4"/>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49CDBD78" w14:textId="77777777" w:rsidR="00601267" w:rsidRPr="007C0B39" w:rsidRDefault="00601267" w:rsidP="00DB6281">
      <w:pPr>
        <w:numPr>
          <w:ilvl w:val="0"/>
          <w:numId w:val="4"/>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Intelsat</w:t>
      </w:r>
      <w:r w:rsidRPr="007C0B39">
        <w:rPr>
          <w:szCs w:val="22"/>
        </w:rPr>
        <w:t xml:space="preserve"> is subject by virtue of its business activities, including but not limited to the </w:t>
      </w:r>
      <w:r>
        <w:rPr>
          <w:szCs w:val="22"/>
        </w:rPr>
        <w:t>Satellite Queue Transfer</w:t>
      </w:r>
      <w:r w:rsidRPr="007C0B39">
        <w:rPr>
          <w:szCs w:val="22"/>
        </w:rPr>
        <w:t xml:space="preserve"> Rule.</w:t>
      </w:r>
    </w:p>
    <w:p w14:paraId="74EA9103" w14:textId="77777777" w:rsidR="00601267" w:rsidRPr="007C0B39" w:rsidRDefault="00601267" w:rsidP="00DB6281">
      <w:pPr>
        <w:numPr>
          <w:ilvl w:val="0"/>
          <w:numId w:val="4"/>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paragraph</w:t>
      </w:r>
      <w:r>
        <w:rPr>
          <w:szCs w:val="22"/>
        </w:rPr>
        <w:t xml:space="preserve"> 13.</w:t>
      </w:r>
    </w:p>
    <w:p w14:paraId="65CA19EC" w14:textId="77777777" w:rsidR="00601267" w:rsidRPr="007C0B39" w:rsidRDefault="00601267" w:rsidP="00DB6281">
      <w:pPr>
        <w:numPr>
          <w:ilvl w:val="0"/>
          <w:numId w:val="4"/>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mea</w:t>
      </w:r>
      <w:r>
        <w:rPr>
          <w:szCs w:val="22"/>
        </w:rPr>
        <w:t>ns all employees and agents of Intelsat</w:t>
      </w:r>
      <w:r w:rsidRPr="007C0B39">
        <w:rPr>
          <w:szCs w:val="22"/>
        </w:rPr>
        <w:t xml:space="preserve"> who perform, or supervise, oversee, or manage the performance of, duties that relate to </w:t>
      </w:r>
      <w:r>
        <w:rPr>
          <w:szCs w:val="22"/>
        </w:rPr>
        <w:t>Intelsat</w:t>
      </w:r>
      <w:r w:rsidRPr="007C0B39">
        <w:rPr>
          <w:szCs w:val="22"/>
        </w:rPr>
        <w:t xml:space="preserve">’s responsibilities under the </w:t>
      </w:r>
      <w:r>
        <w:rPr>
          <w:szCs w:val="22"/>
        </w:rPr>
        <w:t>Satellite Queue Transfer</w:t>
      </w:r>
      <w:r w:rsidRPr="007C0B39">
        <w:rPr>
          <w:szCs w:val="22"/>
        </w:rPr>
        <w:t xml:space="preserve"> Rule.</w:t>
      </w:r>
    </w:p>
    <w:p w14:paraId="15515A10" w14:textId="77777777" w:rsidR="00601267" w:rsidRPr="00314A69" w:rsidRDefault="00601267" w:rsidP="00DB6281">
      <w:pPr>
        <w:numPr>
          <w:ilvl w:val="0"/>
          <w:numId w:val="4"/>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Pr>
          <w:szCs w:val="22"/>
        </w:rPr>
        <w:t>Intelsat</w:t>
      </w:r>
      <w:r w:rsidRPr="007C0B39">
        <w:rPr>
          <w:szCs w:val="22"/>
        </w:rPr>
        <w:t xml:space="preserve"> have signed the Consent Decree.</w:t>
      </w:r>
    </w:p>
    <w:p w14:paraId="6CF8DDCB" w14:textId="77777777" w:rsidR="00601267" w:rsidRDefault="00601267" w:rsidP="00DB6281">
      <w:pPr>
        <w:numPr>
          <w:ilvl w:val="0"/>
          <w:numId w:val="4"/>
        </w:numPr>
        <w:tabs>
          <w:tab w:val="clear" w:pos="1224"/>
        </w:tabs>
        <w:spacing w:after="120"/>
        <w:ind w:left="1890"/>
        <w:rPr>
          <w:szCs w:val="22"/>
        </w:rPr>
      </w:pPr>
      <w:r>
        <w:rPr>
          <w:szCs w:val="22"/>
        </w:rPr>
        <w:t>“Intelsat” or “Company</w:t>
      </w:r>
      <w:r w:rsidRPr="007C0B39">
        <w:rPr>
          <w:szCs w:val="22"/>
        </w:rPr>
        <w:t xml:space="preserve">” means </w:t>
      </w:r>
      <w:r>
        <w:rPr>
          <w:szCs w:val="22"/>
        </w:rPr>
        <w:t>Intelsat License LLC, f/k/a Intelsat North America, LLC</w:t>
      </w:r>
      <w:r w:rsidRPr="007C0B39">
        <w:rPr>
          <w:szCs w:val="22"/>
        </w:rPr>
        <w:t xml:space="preserve"> and its affiliates, subsidiaries, predecessors-in-interest, and successors-in-interest.</w:t>
      </w:r>
    </w:p>
    <w:p w14:paraId="2261A79D" w14:textId="77777777" w:rsidR="00601267" w:rsidRPr="007C0B39" w:rsidRDefault="00601267" w:rsidP="00DB6281">
      <w:pPr>
        <w:widowControl/>
        <w:numPr>
          <w:ilvl w:val="0"/>
          <w:numId w:val="4"/>
        </w:numPr>
        <w:tabs>
          <w:tab w:val="clear" w:pos="1224"/>
        </w:tabs>
        <w:spacing w:after="120"/>
        <w:ind w:left="1886"/>
        <w:rPr>
          <w:szCs w:val="22"/>
        </w:rPr>
      </w:pPr>
      <w:r w:rsidRPr="007C0B39">
        <w:rPr>
          <w:szCs w:val="22"/>
        </w:rPr>
        <w:t xml:space="preserve"> “</w:t>
      </w:r>
      <w:r w:rsidRPr="007C0B39">
        <w:t>Investigation</w:t>
      </w:r>
      <w:r w:rsidRPr="007C0B39">
        <w:rPr>
          <w:szCs w:val="22"/>
        </w:rPr>
        <w:t>” means the investigation commenced by the Bureau in</w:t>
      </w:r>
      <w:r>
        <w:rPr>
          <w:szCs w:val="22"/>
        </w:rPr>
        <w:t xml:space="preserve"> File No. EB-IHD-15-00018207 (formerly EB-11-IH-1376) r</w:t>
      </w:r>
      <w:r w:rsidRPr="007C0B39">
        <w:rPr>
          <w:szCs w:val="22"/>
        </w:rPr>
        <w:t>egarding whether</w:t>
      </w:r>
      <w:r>
        <w:rPr>
          <w:szCs w:val="22"/>
        </w:rPr>
        <w:t xml:space="preserve"> Intelsat</w:t>
      </w:r>
      <w:r w:rsidRPr="007C0B39">
        <w:rPr>
          <w:szCs w:val="22"/>
        </w:rPr>
        <w:t xml:space="preserve"> violated the </w:t>
      </w:r>
      <w:r>
        <w:rPr>
          <w:szCs w:val="22"/>
        </w:rPr>
        <w:t xml:space="preserve">Satellite Queue Transfer </w:t>
      </w:r>
      <w:r w:rsidRPr="007C0B39">
        <w:rPr>
          <w:szCs w:val="22"/>
        </w:rPr>
        <w:t>Rule.</w:t>
      </w:r>
    </w:p>
    <w:p w14:paraId="1767F70C" w14:textId="77777777" w:rsidR="00601267" w:rsidRPr="007C0B39" w:rsidRDefault="00601267" w:rsidP="00DB6281">
      <w:pPr>
        <w:numPr>
          <w:ilvl w:val="0"/>
          <w:numId w:val="4"/>
        </w:numPr>
        <w:tabs>
          <w:tab w:val="clear" w:pos="1224"/>
        </w:tabs>
        <w:spacing w:after="120"/>
        <w:ind w:left="1890"/>
        <w:rPr>
          <w:szCs w:val="22"/>
        </w:rPr>
      </w:pPr>
      <w:r>
        <w:rPr>
          <w:szCs w:val="22"/>
        </w:rPr>
        <w:t xml:space="preserve"> “NAL” means the Notice of Apparent Liability for Forfeiture issued to Intelsat on December 12, 2013, proposing a $112,500 forfeiture for apparent violations of the Satellite Queue Transfer Rule.</w:t>
      </w:r>
    </w:p>
    <w:p w14:paraId="0A7D4601" w14:textId="77777777" w:rsidR="00601267" w:rsidRPr="007C0B39" w:rsidRDefault="00601267" w:rsidP="00DB6281">
      <w:pPr>
        <w:numPr>
          <w:ilvl w:val="0"/>
          <w:numId w:val="4"/>
        </w:numPr>
        <w:tabs>
          <w:tab w:val="clear" w:pos="1224"/>
        </w:tabs>
        <w:spacing w:after="120"/>
        <w:ind w:left="1890"/>
        <w:rPr>
          <w:szCs w:val="22"/>
        </w:rPr>
      </w:pPr>
      <w:r w:rsidRPr="007C0B39">
        <w:rPr>
          <w:szCs w:val="22"/>
        </w:rPr>
        <w:t xml:space="preserve"> “</w:t>
      </w:r>
      <w:r w:rsidRPr="007C0B39">
        <w:t>Operating</w:t>
      </w:r>
      <w:r w:rsidRPr="007C0B39">
        <w:rPr>
          <w:szCs w:val="22"/>
        </w:rPr>
        <w:t xml:space="preserve"> Procedures” means the standard internal operating procedures and compliance policies established by</w:t>
      </w:r>
      <w:r>
        <w:rPr>
          <w:szCs w:val="22"/>
        </w:rPr>
        <w:t xml:space="preserve"> Intelsat</w:t>
      </w:r>
      <w:r w:rsidRPr="007C0B39">
        <w:rPr>
          <w:szCs w:val="22"/>
        </w:rPr>
        <w:t xml:space="preserve"> to implement the Compliance Plan.</w:t>
      </w:r>
    </w:p>
    <w:p w14:paraId="02F34226" w14:textId="77777777" w:rsidR="00601267" w:rsidRPr="007C0B39" w:rsidRDefault="00601267" w:rsidP="00DB6281">
      <w:pPr>
        <w:numPr>
          <w:ilvl w:val="0"/>
          <w:numId w:val="4"/>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Intelsat</w:t>
      </w:r>
      <w:r w:rsidRPr="007C0B39">
        <w:rPr>
          <w:szCs w:val="22"/>
        </w:rPr>
        <w:t xml:space="preserve"> and the Bureau, each of which is a “Party.”</w:t>
      </w:r>
    </w:p>
    <w:p w14:paraId="493D5E9B" w14:textId="77777777" w:rsidR="00601267" w:rsidRDefault="00601267" w:rsidP="00DB6281">
      <w:pPr>
        <w:numPr>
          <w:ilvl w:val="0"/>
          <w:numId w:val="4"/>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r w:rsidRPr="00314A69">
        <w:rPr>
          <w:szCs w:val="22"/>
        </w:rPr>
        <w:t xml:space="preserve"> </w:t>
      </w:r>
    </w:p>
    <w:p w14:paraId="52633FFE" w14:textId="77777777" w:rsidR="00601267" w:rsidRPr="00314A69" w:rsidRDefault="00601267" w:rsidP="00DB6281">
      <w:pPr>
        <w:numPr>
          <w:ilvl w:val="0"/>
          <w:numId w:val="4"/>
        </w:numPr>
        <w:tabs>
          <w:tab w:val="clear" w:pos="1224"/>
        </w:tabs>
        <w:spacing w:after="120"/>
        <w:ind w:left="1890"/>
        <w:rPr>
          <w:szCs w:val="22"/>
        </w:rPr>
      </w:pPr>
      <w:r w:rsidRPr="007C0B39">
        <w:rPr>
          <w:szCs w:val="22"/>
        </w:rPr>
        <w:t>“</w:t>
      </w:r>
      <w:r>
        <w:rPr>
          <w:szCs w:val="22"/>
        </w:rPr>
        <w:t>Satellite Queue Transfer</w:t>
      </w:r>
      <w:r w:rsidRPr="007C0B39">
        <w:rPr>
          <w:szCs w:val="22"/>
        </w:rPr>
        <w:t xml:space="preserve"> Rule” means </w:t>
      </w:r>
      <w:r>
        <w:rPr>
          <w:szCs w:val="22"/>
        </w:rPr>
        <w:t>Rule 25.158(c), which prohibits the transfer or assignment of a place in the queue established to process applications for GSO-like satellite licenses on a first-come, first-served basis.</w:t>
      </w:r>
    </w:p>
    <w:p w14:paraId="449AE264" w14:textId="77777777" w:rsidR="00601267" w:rsidRPr="007C0B39" w:rsidRDefault="00601267" w:rsidP="00601267">
      <w:pPr>
        <w:pStyle w:val="Heading1"/>
        <w:rPr>
          <w:szCs w:val="22"/>
        </w:rPr>
      </w:pPr>
      <w:r w:rsidRPr="007C0B39">
        <w:t>BACKGROUND</w:t>
      </w:r>
    </w:p>
    <w:p w14:paraId="04EBFE7B" w14:textId="77777777" w:rsidR="00601267" w:rsidRDefault="00601267" w:rsidP="00601267">
      <w:pPr>
        <w:pStyle w:val="ParaNum0"/>
      </w:pPr>
      <w:r>
        <w:t>Under Section 25.158 of the Rules, applications for GSO-like satellite system licenses are placed in a processing queue in the order in which they are filed.</w:t>
      </w:r>
      <w:r>
        <w:rPr>
          <w:rStyle w:val="FootnoteReference"/>
        </w:rPr>
        <w:footnoteReference w:id="9"/>
      </w:r>
      <w:r>
        <w:t xml:space="preserve">  The Commission, through the International Bureau, then evaluates these applications in order, and grants them if they will not cause harmful interference to previously licensed satellites.  To prevent speculation and misuse of this process, Section 25.158(c) of the Rules provides that an applicant is “not allowed to transfer, assign, or otherwise permit any other entity to assume its place in any queue.”</w:t>
      </w:r>
      <w:r>
        <w:rPr>
          <w:rStyle w:val="FootnoteReference"/>
        </w:rPr>
        <w:footnoteReference w:id="10"/>
      </w:r>
      <w:r>
        <w:t xml:space="preserve">   This prohibition helps ensure that companies do not enter the queue in order to sell priority positions to legitimate applicants.</w:t>
      </w:r>
      <w:r>
        <w:rPr>
          <w:rStyle w:val="FootnoteReference"/>
        </w:rPr>
        <w:footnoteReference w:id="11"/>
      </w:r>
      <w:r>
        <w:t xml:space="preserve"> </w:t>
      </w:r>
    </w:p>
    <w:p w14:paraId="6C8E7A97" w14:textId="77777777" w:rsidR="00601267" w:rsidRDefault="00601267" w:rsidP="00601267">
      <w:pPr>
        <w:pStyle w:val="ParaNum0"/>
      </w:pPr>
      <w:r>
        <w:t>In 2009, Intelsat applied for a license to operate a new satellite in the Ka-band.  Later that year, Intelsat entered into an option agreement with another company, now known as ViaSat,</w:t>
      </w:r>
      <w:r>
        <w:rPr>
          <w:rStyle w:val="FootnoteReference"/>
        </w:rPr>
        <w:footnoteReference w:id="12"/>
      </w:r>
      <w:r>
        <w:t xml:space="preserve"> giving it an exclusive option to acquire Intelsat’s rights to operate a Ka-band satellite in the location for which Intelsat had applied for the license.  ViaSat agreed to pay Intelsat a sum of money upon the exercise of the option.  In February 2010, ViaSat exercised the option and applied for a license in that location.  On March 2, 2010, Intelsat amended its application to remove itself from the queue, and ViaSat then became first in the queue.  </w:t>
      </w:r>
    </w:p>
    <w:p w14:paraId="3101DEC1" w14:textId="77777777" w:rsidR="00601267" w:rsidRDefault="00601267" w:rsidP="00601267">
      <w:pPr>
        <w:pStyle w:val="ParaNum0"/>
      </w:pPr>
      <w:r>
        <w:t xml:space="preserve">Based on a referral from the International Bureau, the Enforcement Bureau commenced the Investigation in 2011.  After extensive discussions with the Commission, Intelsat and ViaSat unwound their agreement.  On October 18, 2012, Intelsat re-entered the queue, and on December 13, 2012, ViaSat removed itself.  On December 12, 2013, the Commission issued the </w:t>
      </w:r>
      <w:r w:rsidRPr="00FC0B81">
        <w:rPr>
          <w:i/>
        </w:rPr>
        <w:t>NAL</w:t>
      </w:r>
      <w:r>
        <w:t>, which found that Intelsat had apparently allowed the other company to assume its place in the queue, in violation of Section 25.158(c) of the Rules.</w:t>
      </w:r>
      <w:r>
        <w:rPr>
          <w:rStyle w:val="FootnoteReference"/>
        </w:rPr>
        <w:footnoteReference w:id="13"/>
      </w:r>
    </w:p>
    <w:p w14:paraId="2FCB5B2B" w14:textId="77777777" w:rsidR="00601267" w:rsidRPr="001C233C" w:rsidRDefault="00601267" w:rsidP="00601267">
      <w:pPr>
        <w:pStyle w:val="ParaNum0"/>
      </w:pPr>
      <w:r w:rsidRPr="001C233C">
        <w:t xml:space="preserve">After the </w:t>
      </w:r>
      <w:r w:rsidRPr="001C233C">
        <w:rPr>
          <w:i/>
        </w:rPr>
        <w:t>NAL</w:t>
      </w:r>
      <w:r w:rsidRPr="001C233C">
        <w:t xml:space="preserve"> was issued, Intelsat </w:t>
      </w:r>
      <w:r>
        <w:t xml:space="preserve">was granted an authorization from the Commission to operate the Ka-band satellite for which it had originally applied.  Intelsat then surrendered its authorization in accordance with Commission procedures, and the authorization for a satellite to operate at the same location was granted to ViaSat in accordance with the Rules. </w:t>
      </w:r>
    </w:p>
    <w:p w14:paraId="27755E49" w14:textId="77777777" w:rsidR="00601267" w:rsidRPr="007C0B39" w:rsidRDefault="00601267" w:rsidP="00601267">
      <w:pPr>
        <w:pStyle w:val="Heading1"/>
      </w:pPr>
      <w:bookmarkStart w:id="1" w:name="FN[FN18]"/>
      <w:bookmarkEnd w:id="1"/>
      <w:r w:rsidRPr="007C0B39">
        <w:t>TERMS OF AGREEMENT</w:t>
      </w:r>
    </w:p>
    <w:p w14:paraId="5CAECBF1" w14:textId="77777777" w:rsidR="00601267" w:rsidRPr="007C0B39" w:rsidRDefault="00601267" w:rsidP="00601267">
      <w:pPr>
        <w:pStyle w:val="ParaNum0"/>
        <w:rPr>
          <w:szCs w:val="22"/>
        </w:rPr>
      </w:pPr>
      <w:r w:rsidRPr="007C0B39">
        <w:rPr>
          <w:b/>
          <w:szCs w:val="22"/>
          <w:u w:val="single"/>
        </w:rPr>
        <w:t>Adopting Order</w:t>
      </w:r>
      <w:r w:rsidRPr="007C0B39">
        <w:rPr>
          <w:szCs w:val="22"/>
        </w:rPr>
        <w:t>.  The provisions of this Consent Decree shall be incorporated by the Bureau in an Adopting Order.</w:t>
      </w:r>
    </w:p>
    <w:p w14:paraId="38D2C9F2" w14:textId="77777777" w:rsidR="00601267" w:rsidRPr="007C0B39" w:rsidRDefault="00601267" w:rsidP="00601267">
      <w:pPr>
        <w:pStyle w:val="ParaNum0"/>
        <w:rPr>
          <w:szCs w:val="22"/>
        </w:rPr>
      </w:pPr>
      <w:r w:rsidRPr="007C0B39">
        <w:rPr>
          <w:b/>
          <w:szCs w:val="22"/>
          <w:u w:val="single"/>
        </w:rPr>
        <w:t>Jurisdiction</w:t>
      </w:r>
      <w:r w:rsidRPr="007C0B39">
        <w:rPr>
          <w:szCs w:val="22"/>
        </w:rPr>
        <w:t xml:space="preserve">.  </w:t>
      </w:r>
      <w:r>
        <w:rPr>
          <w:szCs w:val="22"/>
        </w:rPr>
        <w:t>Intelsat</w:t>
      </w:r>
      <w:r w:rsidRPr="007C0B39">
        <w:rPr>
          <w:szCs w:val="22"/>
        </w:rPr>
        <w:t xml:space="preserve"> agrees that the Bureau has jurisdiction over it and the matters contained in this Consent Decree and has the </w:t>
      </w:r>
      <w:r w:rsidRPr="00ED419F">
        <w:t>authority</w:t>
      </w:r>
      <w:r w:rsidRPr="007C0B39">
        <w:rPr>
          <w:szCs w:val="22"/>
        </w:rPr>
        <w:t xml:space="preserve"> to enter into and adopt this Consent Decree.</w:t>
      </w:r>
    </w:p>
    <w:p w14:paraId="099A2A40" w14:textId="77777777" w:rsidR="00601267" w:rsidRPr="007C0B39" w:rsidRDefault="00601267" w:rsidP="00601267">
      <w:pPr>
        <w:pStyle w:val="ParaNum0"/>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7A538AD9" w14:textId="77777777" w:rsidR="00601267" w:rsidRPr="00C566EC" w:rsidRDefault="00601267" w:rsidP="00601267">
      <w:pPr>
        <w:pStyle w:val="ParaNum0"/>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 </w:t>
      </w:r>
      <w:r>
        <w:rPr>
          <w:szCs w:val="22"/>
        </w:rPr>
        <w:t>Intelsat</w:t>
      </w:r>
      <w:r w:rsidRPr="007C0B39">
        <w:rPr>
          <w:szCs w:val="22"/>
        </w:rPr>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Pr>
          <w:szCs w:val="22"/>
        </w:rPr>
        <w:t>Intelsat</w:t>
      </w:r>
      <w:r w:rsidRPr="007C0B39">
        <w:rPr>
          <w:szCs w:val="22"/>
        </w:rPr>
        <w:t xml:space="preserve"> concerning the matters that were the subject of the Investigation.  </w:t>
      </w:r>
      <w:r>
        <w:t>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Intelsat’s basic qualifications to be a Commission licensee or hold Commission licenses or authorizations.</w:t>
      </w:r>
      <w:r>
        <w:rPr>
          <w:rStyle w:val="FootnoteReference"/>
        </w:rPr>
        <w:footnoteReference w:id="14"/>
      </w:r>
    </w:p>
    <w:p w14:paraId="7202B079" w14:textId="77777777" w:rsidR="00601267" w:rsidRPr="007C0B39" w:rsidRDefault="00601267" w:rsidP="00601267">
      <w:pPr>
        <w:pStyle w:val="ParaNum0"/>
      </w:pPr>
      <w:r w:rsidRPr="007C0B39">
        <w:rPr>
          <w:b/>
          <w:u w:val="single"/>
        </w:rPr>
        <w:t>Admission of Liability</w:t>
      </w:r>
      <w:r w:rsidRPr="007C0B39">
        <w:t xml:space="preserve">.  </w:t>
      </w:r>
      <w:r>
        <w:t>Intelsat admits, solely for the purposes of this Consent Decree and for Commission civil enforcement purposes, and in express reliance on the provisions of paragraph 10 herein, that its March 2, 2010 amendment (which was withdrawn on October 18, 2012), was in furtherance of an agreement to transfer, assign, or otherwise permit assumption of a place in an application filing queue, actions prohibited by Section 25.158(c), as the Commission interpreted the rule in the NAL.</w:t>
      </w:r>
    </w:p>
    <w:p w14:paraId="6C3905B8" w14:textId="77777777" w:rsidR="00601267" w:rsidRPr="00EC0DC5" w:rsidRDefault="00601267" w:rsidP="00601267">
      <w:pPr>
        <w:pStyle w:val="ParaNum0"/>
        <w:rPr>
          <w:szCs w:val="22"/>
        </w:rPr>
      </w:pPr>
      <w:bookmarkStart w:id="2" w:name="_Ref379202869"/>
      <w:r w:rsidRPr="00EC0DC5">
        <w:rPr>
          <w:b/>
          <w:szCs w:val="22"/>
          <w:u w:val="single"/>
        </w:rPr>
        <w:t>Compliance Officer</w:t>
      </w:r>
      <w:r w:rsidRPr="00EC0DC5">
        <w:rPr>
          <w:szCs w:val="22"/>
        </w:rPr>
        <w:t xml:space="preserve">.  Within thirty (30) </w:t>
      </w:r>
      <w:r w:rsidRPr="007C0B39">
        <w:t>calendar</w:t>
      </w:r>
      <w:r w:rsidRPr="00EC0DC5">
        <w:rPr>
          <w:szCs w:val="22"/>
        </w:rPr>
        <w:t xml:space="preserve"> days after the Effective Date, </w:t>
      </w:r>
      <w:r>
        <w:rPr>
          <w:szCs w:val="22"/>
        </w:rPr>
        <w:t>Intelsat</w:t>
      </w:r>
      <w:r w:rsidRPr="00EC0DC5">
        <w:rPr>
          <w:szCs w:val="22"/>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zCs w:val="22"/>
        </w:rPr>
        <w:t>Intelsat</w:t>
      </w:r>
      <w:r w:rsidRPr="007C0B39">
        <w:t xml:space="preserve"> </w:t>
      </w:r>
      <w:r w:rsidRPr="00EC0DC5">
        <w:rPr>
          <w:szCs w:val="22"/>
        </w:rPr>
        <w:t xml:space="preserve">complies with the terms and conditions of the Compliance Plan and this Consent Decree.   In </w:t>
      </w:r>
      <w:r w:rsidRPr="00ED419F">
        <w:t>addition</w:t>
      </w:r>
      <w:r w:rsidRPr="00EC0DC5">
        <w:rPr>
          <w:szCs w:val="22"/>
        </w:rPr>
        <w:t xml:space="preserve"> to the general knowledge of the Communications Laws necessary to discharge his or her duties under this Consent Decree, the Compliance Officer shall have specific knowledge of the </w:t>
      </w:r>
      <w:r>
        <w:rPr>
          <w:szCs w:val="22"/>
        </w:rPr>
        <w:t>Satellite Queue Transfer</w:t>
      </w:r>
      <w:r w:rsidRPr="00EC0DC5">
        <w:rPr>
          <w:szCs w:val="22"/>
        </w:rPr>
        <w:t xml:space="preserve"> Rule prior to assuming his/her duties.</w:t>
      </w:r>
      <w:bookmarkEnd w:id="2"/>
    </w:p>
    <w:p w14:paraId="629D561C" w14:textId="77777777" w:rsidR="00601267" w:rsidRPr="00E6586E" w:rsidRDefault="00601267" w:rsidP="00601267">
      <w:pPr>
        <w:pStyle w:val="ParaNum0"/>
        <w:rPr>
          <w:szCs w:val="22"/>
        </w:rPr>
      </w:pPr>
      <w:bookmarkStart w:id="3" w:name="_Ref357521857"/>
      <w:r w:rsidRPr="007C0B39">
        <w:rPr>
          <w:b/>
          <w:szCs w:val="22"/>
          <w:u w:val="single"/>
        </w:rPr>
        <w:t>Compliance Plan</w:t>
      </w:r>
      <w:r w:rsidRPr="007C0B39">
        <w:rPr>
          <w:szCs w:val="22"/>
        </w:rPr>
        <w:t xml:space="preserve">.  For purposes of settling the matters set forth herein, </w:t>
      </w:r>
      <w:r>
        <w:rPr>
          <w:szCs w:val="22"/>
        </w:rPr>
        <w:t>Intelsat</w:t>
      </w:r>
      <w:r w:rsidRPr="007C0B39">
        <w:rPr>
          <w:szCs w:val="22"/>
        </w:rPr>
        <w:t xml:space="preserve"> agrees that it shall, within sixty (60) calendar days after the Effective Date, develop and implement a Compliance Plan designed to ensure future compliance with the </w:t>
      </w:r>
      <w:r>
        <w:rPr>
          <w:szCs w:val="22"/>
        </w:rPr>
        <w:t>Satellite Queue Transfer Rule</w:t>
      </w:r>
      <w:r w:rsidRPr="007C0B39">
        <w:rPr>
          <w:szCs w:val="22"/>
        </w:rPr>
        <w:t xml:space="preserve"> and with the terms and conditions of this Consent Decree.  </w:t>
      </w:r>
      <w:r>
        <w:rPr>
          <w:szCs w:val="22"/>
        </w:rPr>
        <w:t>Intelsat</w:t>
      </w:r>
      <w:r w:rsidRPr="007C0B39">
        <w:rPr>
          <w:szCs w:val="22"/>
        </w:rPr>
        <w:t xml:space="preserve"> will implement, at a minimum, the following procedures:</w:t>
      </w:r>
      <w:bookmarkEnd w:id="3"/>
    </w:p>
    <w:p w14:paraId="48FD4A29" w14:textId="77777777" w:rsidR="00601267" w:rsidRPr="007C0B39" w:rsidRDefault="00601267" w:rsidP="00DB6281">
      <w:pPr>
        <w:widowControl/>
        <w:numPr>
          <w:ilvl w:val="0"/>
          <w:numId w:val="5"/>
        </w:numPr>
        <w:tabs>
          <w:tab w:val="clear" w:pos="1656"/>
        </w:tabs>
        <w:spacing w:after="120"/>
        <w:ind w:left="1886"/>
        <w:rPr>
          <w:szCs w:val="22"/>
        </w:rPr>
      </w:pPr>
      <w:r w:rsidRPr="007C0B39">
        <w:rPr>
          <w:b/>
          <w:szCs w:val="22"/>
          <w:u w:val="single"/>
        </w:rPr>
        <w:t>Operating Procedures</w:t>
      </w:r>
      <w:r>
        <w:rPr>
          <w:szCs w:val="22"/>
        </w:rPr>
        <w:t>.  Within thirty (3</w:t>
      </w:r>
      <w:r w:rsidRPr="007C0B39">
        <w:rPr>
          <w:szCs w:val="22"/>
        </w:rPr>
        <w:t xml:space="preserve">0) calendar days after the Effective Date, </w:t>
      </w:r>
      <w:r>
        <w:rPr>
          <w:szCs w:val="22"/>
        </w:rPr>
        <w:t xml:space="preserve">Intelsat </w:t>
      </w:r>
      <w:r w:rsidRPr="007C0B39">
        <w:rPr>
          <w:szCs w:val="22"/>
        </w:rPr>
        <w:t xml:space="preserve">shall establish Operating Procedures that all Covered Employees must follow to help ensure </w:t>
      </w:r>
      <w:r>
        <w:rPr>
          <w:szCs w:val="22"/>
        </w:rPr>
        <w:t>Intelsat</w:t>
      </w:r>
      <w:r w:rsidRPr="007C0B39">
        <w:rPr>
          <w:szCs w:val="22"/>
        </w:rPr>
        <w:t>’s c</w:t>
      </w:r>
      <w:r>
        <w:rPr>
          <w:szCs w:val="22"/>
        </w:rPr>
        <w:t>ompliance with the Satellite Queue Transfer</w:t>
      </w:r>
      <w:r w:rsidRPr="007C0B39">
        <w:rPr>
          <w:szCs w:val="22"/>
        </w:rPr>
        <w:t xml:space="preserve"> Rule.  </w:t>
      </w:r>
      <w:r>
        <w:rPr>
          <w:szCs w:val="22"/>
        </w:rPr>
        <w:t>Intelsat</w:t>
      </w:r>
      <w:r w:rsidRPr="007C0B39">
        <w:rPr>
          <w:szCs w:val="22"/>
        </w:rPr>
        <w:t>’s Operating Procedures shall include internal procedures and policies specifically designed to ensure that</w:t>
      </w:r>
      <w:r>
        <w:rPr>
          <w:szCs w:val="22"/>
        </w:rPr>
        <w:t xml:space="preserve"> employees know that arrangements such as the one between Intelsat and ViaSat that prompted the Investigation violate Section 25.158(c) of the Rules as interpreted by the Commission; and that a similar arrangement will not occur in the future.</w:t>
      </w:r>
      <w:r w:rsidRPr="007C0B39">
        <w:rPr>
          <w:szCs w:val="22"/>
        </w:rPr>
        <w:t xml:space="preserve">  </w:t>
      </w:r>
      <w:r>
        <w:rPr>
          <w:szCs w:val="22"/>
        </w:rPr>
        <w:t>Intelsat</w:t>
      </w:r>
      <w:r w:rsidRPr="007C0B39">
        <w:t xml:space="preserve"> </w:t>
      </w:r>
      <w:r w:rsidRPr="007C0B39">
        <w:rPr>
          <w:szCs w:val="22"/>
        </w:rPr>
        <w:t xml:space="preserve">shall also develop a Compliance Checklist that describes the steps that a Covered Employee must follow to ensure compliance with the </w:t>
      </w:r>
      <w:r>
        <w:rPr>
          <w:szCs w:val="22"/>
        </w:rPr>
        <w:t>Satellite Queue Transfer</w:t>
      </w:r>
      <w:r w:rsidRPr="007C0B39">
        <w:rPr>
          <w:szCs w:val="22"/>
        </w:rPr>
        <w:t xml:space="preserve"> Rule.</w:t>
      </w:r>
    </w:p>
    <w:p w14:paraId="3812E681" w14:textId="77777777" w:rsidR="00601267" w:rsidRPr="007C0B39" w:rsidRDefault="00601267" w:rsidP="00DB6281">
      <w:pPr>
        <w:widowControl/>
        <w:numPr>
          <w:ilvl w:val="0"/>
          <w:numId w:val="5"/>
        </w:numPr>
        <w:tabs>
          <w:tab w:val="clear" w:pos="1656"/>
        </w:tabs>
        <w:spacing w:after="120"/>
        <w:ind w:left="1886"/>
        <w:rPr>
          <w:szCs w:val="22"/>
        </w:rPr>
      </w:pPr>
      <w:r w:rsidRPr="007C0B39">
        <w:rPr>
          <w:b/>
          <w:szCs w:val="22"/>
          <w:u w:val="single"/>
        </w:rPr>
        <w:t>Compliance Manual</w:t>
      </w:r>
      <w:r w:rsidRPr="007C0B39">
        <w:rPr>
          <w:szCs w:val="22"/>
        </w:rPr>
        <w:t xml:space="preserve">.  Within sixty (60) calendar days after the Effective Date, the Compliance Officer shall develop and distribute a Compliance Manual to all Covered Employees.  The Compliance Manual shall explain the </w:t>
      </w:r>
      <w:r>
        <w:rPr>
          <w:szCs w:val="22"/>
        </w:rPr>
        <w:t>Satellite Queue Transfer</w:t>
      </w:r>
      <w:r w:rsidRPr="007C0B39">
        <w:rPr>
          <w:szCs w:val="22"/>
        </w:rPr>
        <w:t xml:space="preserve"> Rule and set forth the Operating Procedures that Covered Employees shall follow to help ensure </w:t>
      </w:r>
      <w:r>
        <w:t>Intelsat</w:t>
      </w:r>
      <w:r w:rsidRPr="007C0B39">
        <w:rPr>
          <w:szCs w:val="22"/>
        </w:rPr>
        <w:t xml:space="preserve">’s compliance with the </w:t>
      </w:r>
      <w:r>
        <w:rPr>
          <w:szCs w:val="22"/>
        </w:rPr>
        <w:t>Satellite Queue Transfer</w:t>
      </w:r>
      <w:r w:rsidRPr="007C0B39">
        <w:rPr>
          <w:szCs w:val="22"/>
        </w:rPr>
        <w:t xml:space="preserve"> Rule.  </w:t>
      </w:r>
      <w:r>
        <w:rPr>
          <w:szCs w:val="22"/>
        </w:rPr>
        <w:t>Intelsat</w:t>
      </w:r>
      <w:r w:rsidRPr="007C0B39">
        <w:rPr>
          <w:szCs w:val="22"/>
        </w:rPr>
        <w:t xml:space="preserve"> shall periodically review and revise the Compliance Manual as necessary to ensure that the information set forth therein remains current and accurate.  </w:t>
      </w:r>
      <w:r>
        <w:rPr>
          <w:szCs w:val="22"/>
        </w:rPr>
        <w:t>Intelsat</w:t>
      </w:r>
      <w:r w:rsidRPr="007C0B39">
        <w:rPr>
          <w:szCs w:val="22"/>
        </w:rPr>
        <w:t xml:space="preserve"> shall distribute any revisions to the Compliance Manual promptly to all Covered Employees.</w:t>
      </w:r>
    </w:p>
    <w:p w14:paraId="4821B403" w14:textId="77777777" w:rsidR="00601267" w:rsidRPr="007C0B39" w:rsidRDefault="00601267" w:rsidP="00DB6281">
      <w:pPr>
        <w:widowControl/>
        <w:numPr>
          <w:ilvl w:val="0"/>
          <w:numId w:val="5"/>
        </w:numPr>
        <w:tabs>
          <w:tab w:val="clear" w:pos="1656"/>
        </w:tabs>
        <w:spacing w:after="120"/>
        <w:ind w:left="1886"/>
      </w:pPr>
      <w:r w:rsidRPr="007C0B39">
        <w:rPr>
          <w:b/>
          <w:szCs w:val="22"/>
          <w:u w:val="single"/>
        </w:rPr>
        <w:t>Compliance Training Program</w:t>
      </w:r>
      <w:r w:rsidRPr="007C0B39">
        <w:rPr>
          <w:szCs w:val="22"/>
        </w:rPr>
        <w:t xml:space="preserve">.  </w:t>
      </w:r>
      <w:r>
        <w:t>Intelsat</w:t>
      </w:r>
      <w:r w:rsidRPr="007C0B39">
        <w:rPr>
          <w:szCs w:val="22"/>
        </w:rPr>
        <w:t xml:space="preserve"> shall establish and implement a Compliance Training Program on compliance with the </w:t>
      </w:r>
      <w:r>
        <w:rPr>
          <w:szCs w:val="22"/>
        </w:rPr>
        <w:t xml:space="preserve">Satellite Queue Transfer </w:t>
      </w:r>
      <w:r w:rsidRPr="007C0B39">
        <w:rPr>
          <w:szCs w:val="22"/>
        </w:rPr>
        <w:t xml:space="preserve">Rule and the Operating Procedures.  As part of the Compliance Training Program, Covered Employees shall be advised of </w:t>
      </w:r>
      <w:r>
        <w:rPr>
          <w:szCs w:val="22"/>
        </w:rPr>
        <w:t>Intelsat</w:t>
      </w:r>
      <w:r w:rsidRPr="007C0B39">
        <w:rPr>
          <w:szCs w:val="22"/>
        </w:rPr>
        <w:t xml:space="preserve">’s obligation to report any noncompliance with the </w:t>
      </w:r>
      <w:r>
        <w:rPr>
          <w:szCs w:val="22"/>
        </w:rPr>
        <w:t>Satellite Queue Transfer</w:t>
      </w:r>
      <w:r w:rsidRPr="007C0B39">
        <w:rPr>
          <w:szCs w:val="22"/>
        </w:rPr>
        <w:t xml:space="preserve"> Rule under paragraph </w:t>
      </w:r>
      <w:r>
        <w:rPr>
          <w:szCs w:val="22"/>
        </w:rPr>
        <w:t>14</w:t>
      </w:r>
      <w:r w:rsidRPr="007C0B39">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rPr>
          <w:szCs w:val="22"/>
        </w:rPr>
        <w:t>Intelsat</w:t>
      </w:r>
      <w:r w:rsidRPr="007C0B39">
        <w:rPr>
          <w:szCs w:val="22"/>
        </w:rPr>
        <w:t xml:space="preserve"> shall repeat compliance training on an annual basis, and shall periodically review and revise the Compliance Training Program as necessary to ensure that it remains current and complete and to enhance its effectiveness.</w:t>
      </w:r>
    </w:p>
    <w:p w14:paraId="5003A610" w14:textId="77777777" w:rsidR="00601267" w:rsidRPr="007C0B39" w:rsidRDefault="00601267" w:rsidP="00601267">
      <w:pPr>
        <w:pStyle w:val="ParaNum0"/>
      </w:pPr>
      <w:bookmarkStart w:id="4" w:name="_Ref321323028"/>
      <w:r w:rsidRPr="007C0B39">
        <w:rPr>
          <w:b/>
          <w:u w:val="single"/>
        </w:rPr>
        <w:t>Reporting Noncompliance</w:t>
      </w:r>
      <w:r w:rsidRPr="007C0B39">
        <w:t xml:space="preserve">.  </w:t>
      </w:r>
      <w:r>
        <w:t>Intelsat</w:t>
      </w:r>
      <w:r w:rsidRPr="007C0B39">
        <w:t xml:space="preserve"> shall report any noncompliance with the </w:t>
      </w:r>
      <w:r>
        <w:t>Satellite Queue Transfer</w:t>
      </w:r>
      <w:r w:rsidRPr="007C0B39">
        <w:t xml:space="preserve"> Rule and with the terms and conditions of this Consent Decree within fifteen (15) calendar days after discovery of such noncompliance.  Such reports shall include a detailed explanation of:  (i) each instance of noncompliance; (ii) the steps that </w:t>
      </w:r>
      <w:r>
        <w:t>Intelsat</w:t>
      </w:r>
      <w:r w:rsidRPr="007C0B39">
        <w:t xml:space="preserve"> has taken or will take to remedy such noncompliance; (iii) the schedule on which such remedial actions will be taken; and (iv) the steps that the </w:t>
      </w:r>
      <w:r>
        <w:t>Intelsat</w:t>
      </w:r>
      <w:r w:rsidRPr="007C0B39">
        <w:t xml:space="preserve"> has taken or will take to prevent the recurrence of any such noncompliance.  All reports of noncompliance shall be submitted to</w:t>
      </w:r>
      <w:r>
        <w:t xml:space="preserve"> Chief, Investigations and Hearings Division, Enforcement Bureau, Federal Communications Commission, 445 12th Street, SW, Washington, D.C. 20554, with a </w:t>
      </w:r>
      <w:r w:rsidRPr="007C0B39">
        <w:t xml:space="preserve">copy submitted electronically to </w:t>
      </w:r>
      <w:r>
        <w:t xml:space="preserve">Jeffrey J. Gee at </w:t>
      </w:r>
      <w:r w:rsidRPr="005B3754">
        <w:t>Jeffrey.Gee@fcc.gov</w:t>
      </w:r>
      <w:r>
        <w:t xml:space="preserve">, Kalun Lee at </w:t>
      </w:r>
      <w:r w:rsidRPr="005B3754">
        <w:t>Kalun.Lee@fcc.gov</w:t>
      </w:r>
      <w:r>
        <w:t>, and Valerie Hill at Valerie.Hill@fcc.gov</w:t>
      </w:r>
      <w:r w:rsidRPr="007C0B39">
        <w:t>.</w:t>
      </w:r>
      <w:bookmarkEnd w:id="4"/>
    </w:p>
    <w:p w14:paraId="37069EE3" w14:textId="77777777" w:rsidR="00601267" w:rsidRPr="007C0B39" w:rsidRDefault="00601267" w:rsidP="00601267">
      <w:pPr>
        <w:pStyle w:val="ParaNum0"/>
        <w:rPr>
          <w:caps/>
        </w:rPr>
      </w:pPr>
      <w:bookmarkStart w:id="5" w:name="_Ref379202892"/>
      <w:r w:rsidRPr="007C0B39">
        <w:rPr>
          <w:b/>
          <w:u w:val="single"/>
        </w:rPr>
        <w:t>Compliance Reports</w:t>
      </w:r>
      <w:r w:rsidRPr="007C0B39">
        <w:t xml:space="preserve">.  </w:t>
      </w:r>
      <w:r>
        <w:t>Intelsat</w:t>
      </w:r>
      <w:r w:rsidRPr="007C0B39">
        <w:t xml:space="preserve"> shall file compliance reports with the Commission ninety (90) calendar days after the Effective Date, twelve (12) months after the Effective Date, twenty-four (24) months after the Effective Date, and thirty-six (36) months after the Effective Date.</w:t>
      </w:r>
      <w:bookmarkEnd w:id="5"/>
      <w:r w:rsidRPr="007C0B39">
        <w:t xml:space="preserve">  </w:t>
      </w:r>
    </w:p>
    <w:p w14:paraId="140A3399" w14:textId="77777777" w:rsidR="00601267" w:rsidRPr="007C0B39" w:rsidRDefault="00601267" w:rsidP="00DB6281">
      <w:pPr>
        <w:widowControl/>
        <w:numPr>
          <w:ilvl w:val="0"/>
          <w:numId w:val="6"/>
        </w:numPr>
        <w:tabs>
          <w:tab w:val="clear" w:pos="1782"/>
        </w:tabs>
        <w:spacing w:after="120"/>
        <w:ind w:left="1886"/>
        <w:rPr>
          <w:szCs w:val="22"/>
        </w:rPr>
      </w:pPr>
      <w:r w:rsidRPr="007C0B39">
        <w:rPr>
          <w:szCs w:val="22"/>
        </w:rPr>
        <w:t xml:space="preserve">Each Compliance Report shall include a detailed description of </w:t>
      </w:r>
      <w:r>
        <w:t>Intelsat</w:t>
      </w:r>
      <w:r w:rsidRPr="007C0B39">
        <w:rPr>
          <w:szCs w:val="22"/>
        </w:rPr>
        <w:t xml:space="preserve">’s efforts during the relevant period to comply with the terms and conditions of this Consent Decree and the </w:t>
      </w:r>
      <w:r>
        <w:rPr>
          <w:szCs w:val="22"/>
        </w:rPr>
        <w:t>Satellite Queue Transfer</w:t>
      </w:r>
      <w:r w:rsidRPr="007C0B39">
        <w:rPr>
          <w:szCs w:val="22"/>
        </w:rPr>
        <w:t xml:space="preserve"> Rule.  In addition, each Compliance Report shall include a certification by the Compliance Officer, as an agent of and on behalf of </w:t>
      </w:r>
      <w:r>
        <w:t>Intelsat</w:t>
      </w:r>
      <w:r w:rsidRPr="007C0B39">
        <w:rPr>
          <w:szCs w:val="22"/>
        </w:rPr>
        <w:t xml:space="preserve">, stating that the Compliance Officer has personal knowledge that </w:t>
      </w:r>
      <w:r>
        <w:rPr>
          <w:szCs w:val="22"/>
        </w:rPr>
        <w:t>Intelsat</w:t>
      </w:r>
      <w:r w:rsidRPr="007C0B39">
        <w:t>:</w:t>
      </w:r>
      <w:r w:rsidRPr="007C0B39">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t>14</w:t>
      </w:r>
      <w:r w:rsidRPr="007C0B39">
        <w:rPr>
          <w:b/>
          <w:szCs w:val="22"/>
        </w:rPr>
        <w:t xml:space="preserve"> </w:t>
      </w:r>
      <w:r w:rsidRPr="007C0B39">
        <w:rPr>
          <w:szCs w:val="22"/>
        </w:rPr>
        <w:t>of this Consent Decree.</w:t>
      </w:r>
    </w:p>
    <w:p w14:paraId="666A32D8" w14:textId="77777777" w:rsidR="00601267" w:rsidRPr="007C0B39" w:rsidRDefault="00601267" w:rsidP="00DB6281">
      <w:pPr>
        <w:widowControl/>
        <w:numPr>
          <w:ilvl w:val="0"/>
          <w:numId w:val="6"/>
        </w:numPr>
        <w:tabs>
          <w:tab w:val="clear" w:pos="1782"/>
        </w:tabs>
        <w:spacing w:after="12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15"/>
      </w:r>
    </w:p>
    <w:p w14:paraId="132D8680" w14:textId="77777777" w:rsidR="00601267" w:rsidRPr="007C0B39" w:rsidRDefault="00601267" w:rsidP="00DB6281">
      <w:pPr>
        <w:widowControl/>
        <w:numPr>
          <w:ilvl w:val="0"/>
          <w:numId w:val="6"/>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Pr>
          <w:szCs w:val="22"/>
        </w:rPr>
        <w:t>Intelsat</w:t>
      </w:r>
      <w:r w:rsidRPr="007C0B39">
        <w:rPr>
          <w:szCs w:val="22"/>
        </w:rPr>
        <w:t xml:space="preserve">, shall provide the Commission with a detailed explanation of the reason(s) why and describe fully:  (i) each instance of noncompliance; (ii) the steps that </w:t>
      </w:r>
      <w:r>
        <w:t>Intelsat</w:t>
      </w:r>
      <w:r w:rsidRPr="007C0B39">
        <w:rPr>
          <w:szCs w:val="22"/>
        </w:rPr>
        <w:t xml:space="preserve"> has taken or will take to remedy such noncompliance, including the schedule on which proposed remedial actions will be taken; and (iii) the steps that </w:t>
      </w:r>
      <w:r>
        <w:t>Intelsat</w:t>
      </w:r>
      <w:r w:rsidRPr="007C0B39">
        <w:rPr>
          <w:szCs w:val="22"/>
        </w:rPr>
        <w:t xml:space="preserve"> has taken or will take to prevent the recurrence of any such noncompliance, including the schedule on which such preventive action will be taken.</w:t>
      </w:r>
    </w:p>
    <w:p w14:paraId="548DA3E8" w14:textId="77777777" w:rsidR="00601267" w:rsidRPr="004F73B1" w:rsidRDefault="00601267" w:rsidP="00DB6281">
      <w:pPr>
        <w:widowControl/>
        <w:numPr>
          <w:ilvl w:val="0"/>
          <w:numId w:val="6"/>
        </w:numPr>
        <w:tabs>
          <w:tab w:val="clear" w:pos="1782"/>
        </w:tabs>
        <w:spacing w:after="120"/>
        <w:ind w:left="1886" w:hanging="446"/>
        <w:rPr>
          <w:szCs w:val="22"/>
        </w:rPr>
      </w:pPr>
      <w:r w:rsidRPr="007C0B39">
        <w:rPr>
          <w:szCs w:val="22"/>
        </w:rPr>
        <w:t>All Compliance Reports shall be submitted</w:t>
      </w:r>
      <w:r w:rsidRPr="004F73B1">
        <w:rPr>
          <w:szCs w:val="22"/>
        </w:rPr>
        <w:t xml:space="preserve"> </w:t>
      </w:r>
      <w:r w:rsidRPr="006908C2">
        <w:rPr>
          <w:szCs w:val="22"/>
        </w:rPr>
        <w:t>to Chief, Investigations and Hearings Division, Enforcement Bureau, Federal Communications Commission, 445 12th Street, SW, Washington, D.C. 20554, with a copy submitted electronically to Jeffrey</w:t>
      </w:r>
      <w:r>
        <w:rPr>
          <w:szCs w:val="22"/>
        </w:rPr>
        <w:t xml:space="preserve"> J.</w:t>
      </w:r>
      <w:r w:rsidRPr="006908C2">
        <w:rPr>
          <w:szCs w:val="22"/>
        </w:rPr>
        <w:t xml:space="preserve"> Gee at Jeffrey.Gee@fcc.gov, Kalun Lee at Kalun.Lee@fcc.gov, and Valerie Hill at Valerie.Hill@fcc.gov.</w:t>
      </w:r>
    </w:p>
    <w:p w14:paraId="58D5D917" w14:textId="77777777" w:rsidR="00601267" w:rsidRPr="000C7B8E" w:rsidRDefault="00601267" w:rsidP="00601267">
      <w:pPr>
        <w:pStyle w:val="ParaNum0"/>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paragraphs </w:t>
      </w:r>
      <w:r>
        <w:rPr>
          <w:szCs w:val="22"/>
        </w:rPr>
        <w:t>12</w:t>
      </w:r>
      <w:r w:rsidRPr="007C0B39">
        <w:rPr>
          <w:szCs w:val="22"/>
        </w:rPr>
        <w:t xml:space="preserve"> through</w:t>
      </w:r>
      <w:r>
        <w:rPr>
          <w:szCs w:val="22"/>
        </w:rPr>
        <w:t xml:space="preserve"> 15 </w:t>
      </w:r>
      <w:r w:rsidRPr="007C0B39">
        <w:rPr>
          <w:szCs w:val="22"/>
        </w:rPr>
        <w:t>of this Consent Decree shall expire thirty-six (36) months after the Effective Date.</w:t>
      </w:r>
    </w:p>
    <w:p w14:paraId="1EF63115" w14:textId="77777777" w:rsidR="00601267" w:rsidRPr="007C0B39" w:rsidRDefault="00601267" w:rsidP="00601267">
      <w:pPr>
        <w:pStyle w:val="ParaNum0"/>
      </w:pPr>
      <w:bookmarkStart w:id="6" w:name="_Ref357521957"/>
      <w:r w:rsidRPr="000C7B8E">
        <w:rPr>
          <w:b/>
          <w:u w:val="single"/>
        </w:rPr>
        <w:t>Civil Penalty</w:t>
      </w:r>
      <w:r w:rsidRPr="000C7B8E">
        <w:t>.</w:t>
      </w:r>
      <w:r w:rsidRPr="007C0B39">
        <w:t xml:space="preserve">  </w:t>
      </w:r>
      <w:r>
        <w:t>Intelsat</w:t>
      </w:r>
      <w:r w:rsidRPr="007C0B39">
        <w:t xml:space="preserve"> will pay a civil penalty to the United States Treasury in the amount of</w:t>
      </w:r>
      <w:r>
        <w:t xml:space="preserve"> twelve thousand dollars ($12,000) within thirty (30) calendar days of the Effective Date.</w:t>
      </w:r>
      <w:r>
        <w:rPr>
          <w:i/>
          <w:szCs w:val="22"/>
        </w:rPr>
        <w:t xml:space="preserve">  </w:t>
      </w:r>
      <w:r>
        <w:rPr>
          <w:szCs w:val="22"/>
        </w:rPr>
        <w:t>Intelsat</w:t>
      </w:r>
      <w:r w:rsidRPr="000C7B8E">
        <w:rPr>
          <w:szCs w:val="22"/>
        </w:rPr>
        <w:t xml:space="preserve"> </w:t>
      </w:r>
      <w:r w:rsidRPr="007C0B39">
        <w:t xml:space="preserve">shall send electronic notification of payment to </w:t>
      </w:r>
      <w:r>
        <w:t xml:space="preserve">Jeffrey J. Gee at </w:t>
      </w:r>
      <w:r w:rsidRPr="00905AE7">
        <w:t>Jeffrey.Gee@fcc.gov</w:t>
      </w:r>
      <w:r>
        <w:t xml:space="preserve">, Kalun Lee at </w:t>
      </w:r>
      <w:r w:rsidRPr="00905AE7">
        <w:t>Kalun.Lee@fcc.gov</w:t>
      </w:r>
      <w:r>
        <w:t>, and Valerie Hill at Valerie.Hill@fcc.gov</w:t>
      </w:r>
      <w:r w:rsidRPr="007C0B39">
        <w:t xml:space="preserve"> on the date said payment is made.</w:t>
      </w:r>
      <w:bookmarkEnd w:id="6"/>
      <w:r w:rsidRPr="007C0B39">
        <w:t xml:space="preserve">  </w:t>
      </w:r>
      <w:r w:rsidRPr="000C7B8E">
        <w:rPr>
          <w:szCs w:val="22"/>
        </w:rPr>
        <w:t xml:space="preserve">The </w:t>
      </w:r>
      <w:r w:rsidRPr="007C0B39">
        <w:t xml:space="preserve">payment </w:t>
      </w:r>
      <w:r w:rsidRPr="000C7B8E">
        <w:rPr>
          <w:szCs w:val="22"/>
        </w:rPr>
        <w:t xml:space="preserve">must be made by check or similar instrument, wire transfer, or credit card, and must include the </w:t>
      </w:r>
      <w:r>
        <w:rPr>
          <w:szCs w:val="22"/>
        </w:rPr>
        <w:t>NAL/</w:t>
      </w:r>
      <w:r w:rsidRPr="000C7B8E">
        <w:rPr>
          <w:szCs w:val="22"/>
        </w:rPr>
        <w:t>Account Number and FRN referenced above</w:t>
      </w:r>
      <w:r>
        <w:rPr>
          <w:szCs w:val="22"/>
        </w:rPr>
        <w:t>.</w:t>
      </w:r>
      <w:r w:rsidRPr="000C7B8E">
        <w:rPr>
          <w:szCs w:val="22"/>
        </w:rPr>
        <w:t xml:space="preserve">  Regardless of the form of payment, a completed FCC Form 159 (Remittance Advice) must be submitted.</w:t>
      </w:r>
      <w:r w:rsidRPr="007C0B39">
        <w:rPr>
          <w:rStyle w:val="FootnoteReference"/>
          <w:szCs w:val="22"/>
        </w:rPr>
        <w:footnoteReference w:id="16"/>
      </w:r>
      <w:r w:rsidRPr="000C7B8E">
        <w:rPr>
          <w:szCs w:val="22"/>
        </w:rPr>
        <w:t xml:space="preserve">  When completing the FCC Form 159, enter the </w:t>
      </w:r>
      <w:r>
        <w:rPr>
          <w:szCs w:val="22"/>
        </w:rPr>
        <w:t>NAL/</w:t>
      </w:r>
      <w:r w:rsidRPr="000C7B8E">
        <w:rPr>
          <w:szCs w:val="22"/>
        </w:rPr>
        <w:t>Account Number in block number 23A (call sign/other ID) and enter the letters “FORF” in block number 24A (payment type code).  Below are additional instructions that should be followed based on the form of payment selected:</w:t>
      </w:r>
    </w:p>
    <w:p w14:paraId="65C5B16B" w14:textId="77777777" w:rsidR="00601267" w:rsidRPr="007C0B39" w:rsidRDefault="00601267" w:rsidP="00DB6281">
      <w:pPr>
        <w:pStyle w:val="ParaNum0"/>
        <w:numPr>
          <w:ilvl w:val="0"/>
          <w:numId w:val="7"/>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6C3437F3" w14:textId="77777777" w:rsidR="00601267" w:rsidRPr="007C0B39" w:rsidRDefault="00601267" w:rsidP="00DB6281">
      <w:pPr>
        <w:pStyle w:val="ParaNum0"/>
        <w:numPr>
          <w:ilvl w:val="0"/>
          <w:numId w:val="7"/>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2A535C91" w14:textId="77777777" w:rsidR="00601267" w:rsidRPr="007C0B39" w:rsidRDefault="00601267" w:rsidP="00DB6281">
      <w:pPr>
        <w:pStyle w:val="ParaNum0"/>
        <w:widowControl/>
        <w:numPr>
          <w:ilvl w:val="0"/>
          <w:numId w:val="7"/>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B12E0BE" w14:textId="77777777" w:rsidR="00601267" w:rsidRPr="006575D7" w:rsidRDefault="00601267" w:rsidP="00601267">
      <w:pPr>
        <w:spacing w:after="120"/>
        <w:rPr>
          <w:rFonts w:eastAsia="MS Mincho"/>
        </w:rPr>
      </w:pPr>
      <w:r w:rsidRPr="007C0B39">
        <w:rPr>
          <w:rFonts w:eastAsia="MS Mincho"/>
        </w:rPr>
        <w:t>Questions regarding payment procedures should be addressed to the Financial Operations Group Help Desk by phone, 1-877-480-3201, or by e-mail, ARINQUIRIES@fcc.gov.</w:t>
      </w:r>
    </w:p>
    <w:p w14:paraId="7E44D075" w14:textId="77777777" w:rsidR="00601267" w:rsidRPr="007C0B39" w:rsidRDefault="00601267" w:rsidP="00601267">
      <w:pPr>
        <w:pStyle w:val="ParaNum0"/>
      </w:pPr>
      <w:r w:rsidRPr="007C0B39">
        <w:rPr>
          <w:b/>
          <w:u w:val="single"/>
        </w:rPr>
        <w:t>Waivers</w:t>
      </w:r>
      <w:r w:rsidRPr="007C0B39">
        <w:t xml:space="preserve">.  As of the Effective Date, </w:t>
      </w:r>
      <w:r>
        <w:t>Intelsat</w:t>
      </w:r>
      <w:r w:rsidRPr="007C0B39">
        <w:t xml:space="preserve"> waives any and all rights it may have to seek administrative or judicial reconsideration, review, appeal or stay, or to otherwise challenge or contest the validity of this Consent Decree and the Adopting Order.  </w:t>
      </w:r>
      <w:r>
        <w:t>Intelsat</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Intelsat</w:t>
      </w:r>
      <w:r w:rsidRPr="007C0B39">
        <w:t xml:space="preserve"> nor the Commission shall contest the validity of the Consent Decree or the Adopting Order, and </w:t>
      </w:r>
      <w:r>
        <w:t xml:space="preserve">Intelsat </w:t>
      </w:r>
      <w:r w:rsidRPr="007C0B39">
        <w:t xml:space="preserve">shall waive any statutory right to a trial </w:t>
      </w:r>
      <w:r w:rsidRPr="007C0B39">
        <w:rPr>
          <w:i/>
        </w:rPr>
        <w:t>de novo</w:t>
      </w:r>
      <w:r w:rsidRPr="007C0B39">
        <w:t xml:space="preserve">.  </w:t>
      </w:r>
      <w:r>
        <w:t>Intelsat</w:t>
      </w:r>
      <w:r w:rsidRPr="007C0B39">
        <w:t xml:space="preserve"> hereby agrees to waive any claims it may otherwise have under the Equal Access to Justice Act</w:t>
      </w:r>
      <w:r w:rsidRPr="007C0B39">
        <w:rPr>
          <w:rStyle w:val="FootnoteReference"/>
          <w:szCs w:val="22"/>
        </w:rPr>
        <w:footnoteReference w:id="17"/>
      </w:r>
      <w:r w:rsidRPr="007C0B39">
        <w:t xml:space="preserve"> relating to the matters addressed in this Consent Decree.</w:t>
      </w:r>
    </w:p>
    <w:p w14:paraId="30FE06E0" w14:textId="77777777" w:rsidR="00601267" w:rsidRPr="007C0B39" w:rsidRDefault="00601267" w:rsidP="00601267">
      <w:pPr>
        <w:pStyle w:val="ParaNum0"/>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1C5A8848" w14:textId="77777777" w:rsidR="00601267" w:rsidRPr="007C0B39" w:rsidRDefault="00601267" w:rsidP="00601267">
      <w:pPr>
        <w:pStyle w:val="ParaNum0"/>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582B01E1" w14:textId="77777777" w:rsidR="00601267" w:rsidRPr="007C0B39" w:rsidRDefault="00601267" w:rsidP="00601267">
      <w:pPr>
        <w:pStyle w:val="ParaNum0"/>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rPr>
          <w:szCs w:val="22"/>
        </w:rPr>
        <w:t>Intelsat</w:t>
      </w:r>
      <w:r w:rsidRPr="007C0B39">
        <w:rPr>
          <w:szCs w:val="22"/>
        </w:rPr>
        <w:t xml:space="preserve"> </w:t>
      </w:r>
      <w:r w:rsidRPr="007C0B39">
        <w:t>does not expressly consent) that provision will be superseded by such Rule or Order.</w:t>
      </w:r>
    </w:p>
    <w:p w14:paraId="04F3F8C5" w14:textId="77777777" w:rsidR="00601267" w:rsidRPr="007C0B39" w:rsidRDefault="00601267" w:rsidP="00601267">
      <w:pPr>
        <w:pStyle w:val="ParaNum0"/>
      </w:pPr>
      <w:r w:rsidRPr="007C0B39">
        <w:rPr>
          <w:b/>
          <w:u w:val="single"/>
        </w:rPr>
        <w:t>Successors and Assigns</w:t>
      </w:r>
      <w:r w:rsidRPr="007C0B39">
        <w:t xml:space="preserve">.  </w:t>
      </w:r>
      <w:r>
        <w:t>Intelsat</w:t>
      </w:r>
      <w:r w:rsidRPr="007C0B39">
        <w:rPr>
          <w:szCs w:val="22"/>
        </w:rPr>
        <w:t xml:space="preserve"> </w:t>
      </w:r>
      <w:r w:rsidRPr="007C0B39">
        <w:t>agrees that the provisions of this Consent Decree shall be binding on its successors, assigns, and transferees.</w:t>
      </w:r>
    </w:p>
    <w:p w14:paraId="1E9B63DA" w14:textId="77777777" w:rsidR="00601267" w:rsidRPr="007C0B39" w:rsidRDefault="00601267" w:rsidP="00601267">
      <w:pPr>
        <w:pStyle w:val="ParaNum0"/>
        <w:rPr>
          <w:szCs w:val="22"/>
        </w:rPr>
      </w:pPr>
      <w:r w:rsidRPr="007C0B39">
        <w:rPr>
          <w:b/>
          <w:szCs w:val="22"/>
          <w:u w:val="single"/>
        </w:rPr>
        <w:t>Final Settlement</w:t>
      </w:r>
      <w:r w:rsidRPr="007C0B39">
        <w:rPr>
          <w:szCs w:val="22"/>
        </w:rPr>
        <w:t>.  The Parties agree and acknowledge that this Consent Decree shall constitute a final settlement between the Parties with</w:t>
      </w:r>
      <w:r>
        <w:rPr>
          <w:szCs w:val="22"/>
        </w:rPr>
        <w:t xml:space="preserve"> respect to the Investigation.</w:t>
      </w:r>
      <w:r w:rsidRPr="0004267E">
        <w:rPr>
          <w:szCs w:val="22"/>
        </w:rPr>
        <w:t xml:space="preserve">  </w:t>
      </w:r>
    </w:p>
    <w:p w14:paraId="4A526435" w14:textId="77777777" w:rsidR="00601267" w:rsidRPr="007C0B39" w:rsidRDefault="00601267" w:rsidP="00601267">
      <w:pPr>
        <w:pStyle w:val="ParaNum0"/>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55DB2011" w14:textId="77777777" w:rsidR="00601267" w:rsidRPr="007C0B39" w:rsidRDefault="00601267" w:rsidP="00601267">
      <w:pPr>
        <w:pStyle w:val="ParaNum0"/>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526A0BB5" w14:textId="77777777" w:rsidR="00601267" w:rsidRPr="007C0B39" w:rsidRDefault="00601267" w:rsidP="00601267">
      <w:pPr>
        <w:pStyle w:val="ParaNum0"/>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49500F4C" w14:textId="77777777" w:rsidR="00601267" w:rsidRPr="007C0B39" w:rsidRDefault="00601267" w:rsidP="00601267">
      <w:pPr>
        <w:pStyle w:val="ParaNum0"/>
        <w:keepNext/>
        <w:widowControl/>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1F67A9B5" w14:textId="77777777" w:rsidR="00601267" w:rsidRPr="007C0B39" w:rsidRDefault="00601267" w:rsidP="00601267">
      <w:pPr>
        <w:keepNext/>
        <w:keepLines/>
      </w:pPr>
    </w:p>
    <w:p w14:paraId="66E64916" w14:textId="77777777" w:rsidR="00601267" w:rsidRPr="007C0B39" w:rsidRDefault="00601267" w:rsidP="00601267">
      <w:pPr>
        <w:keepNext/>
        <w:keepLines/>
      </w:pPr>
    </w:p>
    <w:p w14:paraId="2B8EC402" w14:textId="77777777" w:rsidR="00601267" w:rsidRPr="007C0B39" w:rsidRDefault="00601267" w:rsidP="00601267">
      <w:pPr>
        <w:keepNext/>
        <w:keepLines/>
      </w:pPr>
      <w:r w:rsidRPr="007C0B39">
        <w:t>________________________________</w:t>
      </w:r>
    </w:p>
    <w:p w14:paraId="1F025399" w14:textId="77777777" w:rsidR="00601267" w:rsidRPr="007C0B39" w:rsidRDefault="00601267" w:rsidP="00601267">
      <w:pPr>
        <w:keepNext/>
        <w:keepLines/>
      </w:pPr>
      <w:r>
        <w:t>Travis LeBlanc</w:t>
      </w:r>
    </w:p>
    <w:p w14:paraId="374DEA60" w14:textId="77777777" w:rsidR="00601267" w:rsidRPr="007C0B39" w:rsidRDefault="00601267" w:rsidP="00601267">
      <w:pPr>
        <w:keepNext/>
        <w:keepLines/>
      </w:pPr>
      <w:r>
        <w:t>Chief</w:t>
      </w:r>
    </w:p>
    <w:p w14:paraId="43253DE4" w14:textId="77777777" w:rsidR="00601267" w:rsidRPr="007C0B39" w:rsidRDefault="00601267" w:rsidP="00601267">
      <w:pPr>
        <w:keepNext/>
        <w:keepLines/>
      </w:pPr>
      <w:r w:rsidRPr="007C0B39">
        <w:t>Enforcement Bureau</w:t>
      </w:r>
    </w:p>
    <w:p w14:paraId="06C42594" w14:textId="77777777" w:rsidR="00601267" w:rsidRPr="007C0B39" w:rsidRDefault="00601267" w:rsidP="00601267">
      <w:pPr>
        <w:keepNext/>
        <w:keepLines/>
      </w:pPr>
    </w:p>
    <w:p w14:paraId="2DE258C3" w14:textId="77777777" w:rsidR="00601267" w:rsidRPr="007C0B39" w:rsidRDefault="00601267" w:rsidP="00601267">
      <w:pPr>
        <w:keepNext/>
        <w:keepLines/>
      </w:pPr>
    </w:p>
    <w:p w14:paraId="5F73FAF1" w14:textId="77777777" w:rsidR="00601267" w:rsidRPr="007C0B39" w:rsidRDefault="00601267" w:rsidP="00601267">
      <w:pPr>
        <w:keepNext/>
        <w:keepLines/>
      </w:pPr>
      <w:r w:rsidRPr="007C0B39">
        <w:t>________________________________</w:t>
      </w:r>
    </w:p>
    <w:p w14:paraId="7F6EE20A" w14:textId="77777777" w:rsidR="00601267" w:rsidRPr="007C0B39" w:rsidRDefault="00601267" w:rsidP="00601267">
      <w:pPr>
        <w:keepNext/>
        <w:keepLines/>
      </w:pPr>
      <w:r w:rsidRPr="007C0B39">
        <w:t>Date</w:t>
      </w:r>
    </w:p>
    <w:p w14:paraId="5BE28873" w14:textId="77777777" w:rsidR="00601267" w:rsidRPr="007C0B39" w:rsidRDefault="00601267" w:rsidP="00601267">
      <w:pPr>
        <w:keepNext/>
        <w:keepLines/>
      </w:pPr>
    </w:p>
    <w:p w14:paraId="1C99967F" w14:textId="77777777" w:rsidR="00601267" w:rsidRPr="007C0B39" w:rsidRDefault="00601267" w:rsidP="00601267">
      <w:pPr>
        <w:keepLines/>
      </w:pPr>
    </w:p>
    <w:p w14:paraId="4B2F3D22" w14:textId="77777777" w:rsidR="00601267" w:rsidRPr="007C0B39" w:rsidRDefault="00601267" w:rsidP="00601267">
      <w:pPr>
        <w:keepLines/>
      </w:pPr>
    </w:p>
    <w:p w14:paraId="6E4927A0" w14:textId="77777777" w:rsidR="00601267" w:rsidRPr="007C0B39" w:rsidRDefault="00601267" w:rsidP="00601267">
      <w:pPr>
        <w:keepLines/>
      </w:pPr>
      <w:r w:rsidRPr="007C0B39">
        <w:t>________________________________</w:t>
      </w:r>
    </w:p>
    <w:p w14:paraId="07822302" w14:textId="77777777" w:rsidR="00601267" w:rsidRPr="00F50CC6" w:rsidRDefault="00601267" w:rsidP="00601267">
      <w:pPr>
        <w:keepLines/>
      </w:pPr>
      <w:r w:rsidRPr="00F50CC6">
        <w:t>Michelle Bryan</w:t>
      </w:r>
    </w:p>
    <w:p w14:paraId="2685BD33" w14:textId="77777777" w:rsidR="00601267" w:rsidRPr="007C0B39" w:rsidRDefault="00601267" w:rsidP="00601267">
      <w:pPr>
        <w:keepLines/>
      </w:pPr>
      <w:r w:rsidRPr="00F50CC6">
        <w:t>Secretary</w:t>
      </w:r>
      <w:r w:rsidRPr="007C0B39">
        <w:t xml:space="preserve"> </w:t>
      </w:r>
    </w:p>
    <w:p w14:paraId="73B80D37" w14:textId="77777777" w:rsidR="00601267" w:rsidRDefault="00601267" w:rsidP="00601267">
      <w:pPr>
        <w:keepLines/>
      </w:pPr>
      <w:r>
        <w:t>Intelsat License LLC</w:t>
      </w:r>
    </w:p>
    <w:p w14:paraId="76DFDFF4" w14:textId="77777777" w:rsidR="00601267" w:rsidRPr="007C0B39" w:rsidRDefault="00601267" w:rsidP="00601267">
      <w:pPr>
        <w:keepLines/>
      </w:pPr>
    </w:p>
    <w:p w14:paraId="059F7FEA" w14:textId="77777777" w:rsidR="00601267" w:rsidRPr="007C0B39" w:rsidRDefault="00601267" w:rsidP="00601267">
      <w:pPr>
        <w:keepLines/>
      </w:pPr>
    </w:p>
    <w:p w14:paraId="52FAF99E" w14:textId="77777777" w:rsidR="00601267" w:rsidRPr="007C0B39" w:rsidRDefault="00601267" w:rsidP="00601267">
      <w:pPr>
        <w:keepLines/>
      </w:pPr>
      <w:r w:rsidRPr="007C0B39">
        <w:t>________________________________</w:t>
      </w:r>
    </w:p>
    <w:p w14:paraId="0146F26D" w14:textId="77777777" w:rsidR="00601267" w:rsidRPr="002C00E8" w:rsidRDefault="00601267" w:rsidP="00601267">
      <w:pPr>
        <w:keepLines/>
      </w:pPr>
      <w:r w:rsidRPr="007C0B39">
        <w:t>Date</w:t>
      </w:r>
    </w:p>
    <w:p w14:paraId="5D776A54" w14:textId="77777777" w:rsidR="00412FC5" w:rsidRPr="008C4282" w:rsidRDefault="00412FC5" w:rsidP="00CF77B7">
      <w:pPr>
        <w:rPr>
          <w:szCs w:val="22"/>
        </w:rPr>
      </w:pPr>
    </w:p>
    <w:sectPr w:rsidR="00412FC5" w:rsidRPr="008C4282" w:rsidSect="00AA4B16">
      <w:endnotePr>
        <w:numFmt w:val="decimal"/>
      </w:endnotePr>
      <w:pgSz w:w="12240" w:h="15840"/>
      <w:pgMar w:top="1095"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2830D" w14:textId="77777777" w:rsidR="007A100A" w:rsidRDefault="007A100A">
      <w:pPr>
        <w:spacing w:line="20" w:lineRule="exact"/>
      </w:pPr>
    </w:p>
  </w:endnote>
  <w:endnote w:type="continuationSeparator" w:id="0">
    <w:p w14:paraId="00276C90" w14:textId="77777777" w:rsidR="007A100A" w:rsidRDefault="007A100A">
      <w:r>
        <w:t xml:space="preserve"> </w:t>
      </w:r>
    </w:p>
  </w:endnote>
  <w:endnote w:type="continuationNotice" w:id="1">
    <w:p w14:paraId="5CD5772A" w14:textId="77777777" w:rsidR="007A100A" w:rsidRDefault="007A10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28E2"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173C28E3"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28E4" w14:textId="77777777"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2E208C">
      <w:rPr>
        <w:noProof/>
      </w:rPr>
      <w:t>1</w:t>
    </w:r>
    <w:r w:rsidRPr="007B3BDA">
      <w:fldChar w:fldCharType="end"/>
    </w:r>
  </w:p>
  <w:p w14:paraId="173C28E5" w14:textId="77777777" w:rsidR="00676723" w:rsidRPr="007B3BDA" w:rsidRDefault="0067672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28EA" w14:textId="77777777" w:rsidR="00676723" w:rsidRDefault="006767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3531" w14:textId="77777777" w:rsidR="007A100A" w:rsidRDefault="007A100A">
      <w:pPr>
        <w:rPr>
          <w:noProof/>
        </w:rPr>
      </w:pPr>
      <w:r>
        <w:rPr>
          <w:noProof/>
        </w:rPr>
        <w:separator/>
      </w:r>
    </w:p>
  </w:footnote>
  <w:footnote w:type="continuationSeparator" w:id="0">
    <w:p w14:paraId="67D484B3" w14:textId="77777777" w:rsidR="007A100A" w:rsidRDefault="007A100A">
      <w:pPr>
        <w:rPr>
          <w:sz w:val="20"/>
        </w:rPr>
      </w:pPr>
      <w:r>
        <w:rPr>
          <w:sz w:val="20"/>
        </w:rPr>
        <w:t xml:space="preserve">(Continued from previous page)  </w:t>
      </w:r>
      <w:r>
        <w:rPr>
          <w:sz w:val="20"/>
        </w:rPr>
        <w:separator/>
      </w:r>
    </w:p>
  </w:footnote>
  <w:footnote w:type="continuationNotice" w:id="1">
    <w:p w14:paraId="4726AB83" w14:textId="77777777" w:rsidR="007A100A" w:rsidRDefault="007A100A">
      <w:pPr>
        <w:rPr>
          <w:sz w:val="20"/>
        </w:rPr>
      </w:pPr>
      <w:r>
        <w:rPr>
          <w:sz w:val="20"/>
        </w:rPr>
        <w:t>(continued….)</w:t>
      </w:r>
    </w:p>
  </w:footnote>
  <w:footnote w:id="2">
    <w:p w14:paraId="6E4E4937" w14:textId="29232661" w:rsidR="00FF7F6E" w:rsidRDefault="00FF7F6E">
      <w:pPr>
        <w:pStyle w:val="FootnoteText"/>
      </w:pPr>
      <w:r>
        <w:rPr>
          <w:rStyle w:val="FootnoteReference"/>
        </w:rPr>
        <w:footnoteRef/>
      </w:r>
      <w:r>
        <w:t xml:space="preserve"> </w:t>
      </w:r>
      <w:r w:rsidR="003557EF">
        <w:t>This case was formerly assigned File No. EB-11-IH-1376.</w:t>
      </w:r>
    </w:p>
  </w:footnote>
  <w:footnote w:id="3">
    <w:p w14:paraId="173C28EE" w14:textId="4083A1CF" w:rsidR="00B277A4" w:rsidRPr="00D84548" w:rsidRDefault="00B277A4">
      <w:pPr>
        <w:pStyle w:val="FootnoteText"/>
      </w:pPr>
      <w:r w:rsidRPr="00D84548">
        <w:rPr>
          <w:rStyle w:val="FootnoteReference"/>
        </w:rPr>
        <w:footnoteRef/>
      </w:r>
      <w:r w:rsidRPr="00D84548">
        <w:t xml:space="preserve"> </w:t>
      </w:r>
      <w:r w:rsidR="008E71C5">
        <w:rPr>
          <w:szCs w:val="22"/>
        </w:rPr>
        <w:t>47 C.F.R. § 25.158(c)</w:t>
      </w:r>
      <w:r w:rsidRPr="00D84548">
        <w:rPr>
          <w:szCs w:val="22"/>
        </w:rPr>
        <w:t>.</w:t>
      </w:r>
    </w:p>
  </w:footnote>
  <w:footnote w:id="4">
    <w:p w14:paraId="173C28EF" w14:textId="77777777" w:rsidR="00357044" w:rsidRPr="00F74D07" w:rsidRDefault="00357044">
      <w:pPr>
        <w:pStyle w:val="FootnoteText"/>
      </w:pPr>
      <w:r>
        <w:rPr>
          <w:rStyle w:val="FootnoteReference"/>
        </w:rPr>
        <w:footnoteRef/>
      </w:r>
      <w:r>
        <w:t xml:space="preserve"> </w:t>
      </w:r>
      <w:r>
        <w:rPr>
          <w:i/>
        </w:rPr>
        <w:t xml:space="preserve">See </w:t>
      </w:r>
      <w:r>
        <w:t xml:space="preserve">47 C.F.R. </w:t>
      </w:r>
      <w:r w:rsidR="00F74D07">
        <w:t>§ 1.93(b).</w:t>
      </w:r>
    </w:p>
  </w:footnote>
  <w:footnote w:id="5">
    <w:p w14:paraId="173C28F0" w14:textId="6405289A" w:rsidR="009632A6" w:rsidRPr="00D84548" w:rsidRDefault="009632A6">
      <w:pPr>
        <w:pStyle w:val="FootnoteText"/>
      </w:pPr>
      <w:r w:rsidRPr="00D84548">
        <w:rPr>
          <w:rStyle w:val="FootnoteReference"/>
        </w:rPr>
        <w:footnoteRef/>
      </w:r>
      <w:r w:rsidRPr="00D84548">
        <w:t xml:space="preserve"> </w:t>
      </w:r>
      <w:r w:rsidRPr="00D84548">
        <w:rPr>
          <w:szCs w:val="22"/>
        </w:rPr>
        <w:t>47 U.S.C. §§ 154(i),</w:t>
      </w:r>
      <w:r w:rsidR="00B5414A" w:rsidRPr="00D84548">
        <w:rPr>
          <w:szCs w:val="22"/>
        </w:rPr>
        <w:t xml:space="preserve"> 503(b)</w:t>
      </w:r>
      <w:r w:rsidRPr="00D84548">
        <w:rPr>
          <w:szCs w:val="22"/>
        </w:rPr>
        <w:t>.</w:t>
      </w:r>
    </w:p>
  </w:footnote>
  <w:footnote w:id="6">
    <w:p w14:paraId="173C28F1" w14:textId="77777777" w:rsidR="009632A6" w:rsidRDefault="009632A6">
      <w:pPr>
        <w:pStyle w:val="FootnoteText"/>
      </w:pPr>
      <w:r w:rsidRPr="00D84548">
        <w:rPr>
          <w:rStyle w:val="FootnoteReference"/>
        </w:rPr>
        <w:footnoteRef/>
      </w:r>
      <w:r w:rsidRPr="00D84548">
        <w:t xml:space="preserve"> </w:t>
      </w:r>
      <w:r w:rsidRPr="00D84548">
        <w:rPr>
          <w:szCs w:val="22"/>
        </w:rPr>
        <w:t>47 C.F.R §§ 0.111, 0.311.</w:t>
      </w:r>
    </w:p>
  </w:footnote>
  <w:footnote w:id="7">
    <w:p w14:paraId="19CEF2C7" w14:textId="77777777" w:rsidR="00601267" w:rsidRDefault="00601267" w:rsidP="00601267">
      <w:pPr>
        <w:pStyle w:val="FootnoteText"/>
      </w:pPr>
      <w:r>
        <w:rPr>
          <w:rStyle w:val="FootnoteReference"/>
        </w:rPr>
        <w:footnoteRef/>
      </w:r>
      <w:r>
        <w:t xml:space="preserve"> This case was formerly assigned File No. EB-11-IH-1376.</w:t>
      </w:r>
    </w:p>
  </w:footnote>
  <w:footnote w:id="8">
    <w:p w14:paraId="33447218" w14:textId="77777777" w:rsidR="00601267" w:rsidRDefault="00601267" w:rsidP="0060126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9">
    <w:p w14:paraId="63D9D1BB" w14:textId="77777777" w:rsidR="00601267" w:rsidRDefault="00601267" w:rsidP="00601267">
      <w:pPr>
        <w:pStyle w:val="FootnoteText"/>
      </w:pPr>
      <w:r>
        <w:rPr>
          <w:rStyle w:val="FootnoteReference"/>
        </w:rPr>
        <w:footnoteRef/>
      </w:r>
      <w:r>
        <w:t xml:space="preserve"> 47 C.F.R. § 25.158(b).</w:t>
      </w:r>
    </w:p>
  </w:footnote>
  <w:footnote w:id="10">
    <w:p w14:paraId="364FCE4F" w14:textId="77777777" w:rsidR="00601267" w:rsidRDefault="00601267" w:rsidP="00601267">
      <w:pPr>
        <w:pStyle w:val="FootnoteText"/>
      </w:pPr>
      <w:r>
        <w:rPr>
          <w:rStyle w:val="FootnoteReference"/>
        </w:rPr>
        <w:footnoteRef/>
      </w:r>
      <w:r>
        <w:t xml:space="preserve"> 47 C.F.R. § 25.158(c).</w:t>
      </w:r>
    </w:p>
  </w:footnote>
  <w:footnote w:id="11">
    <w:p w14:paraId="2EAA86EA" w14:textId="77777777" w:rsidR="00601267" w:rsidRPr="00316DF9" w:rsidRDefault="00601267" w:rsidP="00601267">
      <w:pPr>
        <w:pStyle w:val="FootnoteText"/>
      </w:pPr>
      <w:r>
        <w:rPr>
          <w:rStyle w:val="FootnoteReference"/>
        </w:rPr>
        <w:footnoteRef/>
      </w:r>
      <w:r>
        <w:t xml:space="preserve"> </w:t>
      </w:r>
      <w:r>
        <w:rPr>
          <w:i/>
        </w:rPr>
        <w:t>See Amendment of the Commission’s Space Station Licensing Rules and Policies</w:t>
      </w:r>
      <w:r>
        <w:t xml:space="preserve">, First Report and Order and Further Notice of Proposed Rulemaking, 18 FCC Rcd 10760, 10851, para. 242 (2003); </w:t>
      </w:r>
      <w:r>
        <w:rPr>
          <w:i/>
        </w:rPr>
        <w:t>see also</w:t>
      </w:r>
      <w:r>
        <w:t xml:space="preserve"> </w:t>
      </w:r>
      <w:r>
        <w:rPr>
          <w:i/>
        </w:rPr>
        <w:t>Application of DirecTV Enterprises, LLC to Amend Its Pending Application for a 17/24 GHz BSS Authorization at the 107° Orbital Location</w:t>
      </w:r>
      <w:r>
        <w:t>, Memorandum Opinion and Order, 24 FCC Rcd 9408, 9412, para. 9 (Int. Bur. 2009).</w:t>
      </w:r>
    </w:p>
  </w:footnote>
  <w:footnote w:id="12">
    <w:p w14:paraId="5F068D28" w14:textId="77777777" w:rsidR="00601267" w:rsidRPr="00D63475" w:rsidRDefault="00601267" w:rsidP="00601267">
      <w:pPr>
        <w:pStyle w:val="FootnoteText"/>
        <w:rPr>
          <w:highlight w:val="yellow"/>
        </w:rPr>
      </w:pPr>
      <w:r w:rsidRPr="001C233C">
        <w:rPr>
          <w:rStyle w:val="FootnoteReference"/>
        </w:rPr>
        <w:footnoteRef/>
      </w:r>
      <w:r w:rsidRPr="001C233C">
        <w:t xml:space="preserve"> </w:t>
      </w:r>
      <w:r>
        <w:t>Intelsat originally entered the option agreement with WildBlue Communications, Inc. (WildBlue).  Prior to exercising the option agreement, ViaSat acquired WildBlue.</w:t>
      </w:r>
    </w:p>
  </w:footnote>
  <w:footnote w:id="13">
    <w:p w14:paraId="196222AE" w14:textId="77777777" w:rsidR="00601267" w:rsidRPr="00523781" w:rsidRDefault="00601267" w:rsidP="00601267">
      <w:pPr>
        <w:pStyle w:val="FootnoteText"/>
      </w:pPr>
      <w:r w:rsidRPr="00FB0A4D">
        <w:rPr>
          <w:rStyle w:val="FootnoteReference"/>
        </w:rPr>
        <w:footnoteRef/>
      </w:r>
      <w:r w:rsidRPr="00FB0A4D">
        <w:t xml:space="preserve"> </w:t>
      </w:r>
      <w:r>
        <w:rPr>
          <w:i/>
        </w:rPr>
        <w:t>See</w:t>
      </w:r>
      <w:r>
        <w:t xml:space="preserve"> </w:t>
      </w:r>
      <w:r>
        <w:rPr>
          <w:i/>
        </w:rPr>
        <w:t>Intelsat License LLC</w:t>
      </w:r>
      <w:r>
        <w:t xml:space="preserve">, 28 FCC Rcd 17183, 17187 para. 13 (2013).  The </w:t>
      </w:r>
      <w:r w:rsidRPr="003F464A">
        <w:rPr>
          <w:i/>
        </w:rPr>
        <w:t>NAL</w:t>
      </w:r>
      <w:r>
        <w:t xml:space="preserve"> also found Intelsat apparently liable for violating Section 1.65(a) of the Rules, which requires that applicants maintain the completeness and accuracy of pending applications, by failing to inform the Commission about two substantial changes to its application.  </w:t>
      </w:r>
      <w:r>
        <w:rPr>
          <w:i/>
        </w:rPr>
        <w:t xml:space="preserve">See id. </w:t>
      </w:r>
      <w:r>
        <w:t xml:space="preserve">at 17188-89, paras. 15-19. The Commission declined to assess a penalty for this violation because it was outside the statute of limitations.  </w:t>
      </w:r>
      <w:r>
        <w:rPr>
          <w:i/>
        </w:rPr>
        <w:t>See id.</w:t>
      </w:r>
      <w:r>
        <w:t xml:space="preserve"> at 17190, para. 23.</w:t>
      </w:r>
    </w:p>
  </w:footnote>
  <w:footnote w:id="14">
    <w:p w14:paraId="64D93D4F" w14:textId="77777777" w:rsidR="00601267" w:rsidRDefault="00601267" w:rsidP="00601267">
      <w:pPr>
        <w:pStyle w:val="FootnoteText"/>
      </w:pPr>
      <w:r>
        <w:rPr>
          <w:rStyle w:val="FootnoteReference"/>
        </w:rPr>
        <w:footnoteRef/>
      </w:r>
      <w:r>
        <w:t xml:space="preserve"> </w:t>
      </w:r>
      <w:r w:rsidRPr="00C566EC">
        <w:rPr>
          <w:i/>
        </w:rPr>
        <w:t>See</w:t>
      </w:r>
      <w:r>
        <w:t xml:space="preserve"> 47 C.F.R. 1.93(b).</w:t>
      </w:r>
    </w:p>
  </w:footnote>
  <w:footnote w:id="15">
    <w:p w14:paraId="7D11E034" w14:textId="77777777" w:rsidR="00601267" w:rsidRDefault="00601267" w:rsidP="00601267">
      <w:pPr>
        <w:pStyle w:val="FootnoteText"/>
      </w:pPr>
      <w:r w:rsidRPr="00A07FCB">
        <w:rPr>
          <w:rStyle w:val="FootnoteReference"/>
        </w:rPr>
        <w:footnoteRef/>
      </w:r>
      <w:r w:rsidRPr="00A07FCB">
        <w:t xml:space="preserve"> 47 C.F.R. § 1.16.</w:t>
      </w:r>
    </w:p>
  </w:footnote>
  <w:footnote w:id="16">
    <w:p w14:paraId="31D3294C" w14:textId="77777777" w:rsidR="00601267" w:rsidRPr="00042447" w:rsidRDefault="00601267" w:rsidP="00601267">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17">
    <w:p w14:paraId="0CE40C93" w14:textId="77777777" w:rsidR="00601267" w:rsidRDefault="00601267" w:rsidP="0060126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5C0C" w14:textId="77777777" w:rsidR="004469FD" w:rsidRDefault="00446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28E0" w14:textId="236A29AC" w:rsidR="00B277A4" w:rsidRPr="00AA4B16" w:rsidRDefault="00B277A4" w:rsidP="00AA4B16">
    <w:pPr>
      <w:pStyle w:val="Header"/>
      <w:pBdr>
        <w:bottom w:val="single" w:sz="12" w:space="1" w:color="auto"/>
      </w:pBdr>
      <w:rPr>
        <w:b w:val="0"/>
      </w:rPr>
    </w:pPr>
    <w:r w:rsidRPr="00AA4B16">
      <w:tab/>
    </w:r>
    <w:r>
      <w:t>Federal Communications Commission</w:t>
    </w:r>
    <w:r>
      <w:tab/>
    </w:r>
    <w:r w:rsidRPr="00031E72">
      <w:rPr>
        <w:spacing w:val="-2"/>
      </w:rPr>
      <w:t xml:space="preserve">DA </w:t>
    </w:r>
    <w:r w:rsidR="00031E72" w:rsidRPr="00031E72">
      <w:rPr>
        <w:spacing w:val="-2"/>
      </w:rPr>
      <w:t>15-1192</w:t>
    </w:r>
  </w:p>
  <w:p w14:paraId="173C28E1" w14:textId="77777777" w:rsidR="00676723" w:rsidRPr="00B277A4" w:rsidRDefault="00676723" w:rsidP="00B27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28E7" w14:textId="77777777" w:rsidR="00032EB3" w:rsidRPr="00D42D5D" w:rsidRDefault="00D42D5D" w:rsidP="00032EB3">
    <w:pPr>
      <w:pStyle w:val="Header"/>
    </w:pPr>
    <w:r>
      <w:t>9-10-14 draft</w:t>
    </w:r>
    <w:r w:rsidR="00676723">
      <w:tab/>
    </w:r>
    <w:r w:rsidR="00032EB3">
      <w:t>Federa</w:t>
    </w:r>
    <w:r w:rsidR="00CF77B7">
      <w:t>l Communications Commission</w:t>
    </w:r>
    <w:r w:rsidR="00CF77B7">
      <w:tab/>
      <w:t>DA</w:t>
    </w:r>
    <w:r>
      <w:t xml:space="preserve"> [</w:t>
    </w:r>
    <w:r w:rsidRPr="00D42D5D">
      <w:rPr>
        <w:i/>
      </w:rPr>
      <w:t>or</w:t>
    </w:r>
    <w:r>
      <w:t xml:space="preserve"> FCC]</w:t>
    </w:r>
    <w:r w:rsidR="00CF77B7">
      <w:t xml:space="preserve"> </w:t>
    </w:r>
    <w:r w:rsidR="00CF77B7" w:rsidRPr="00CF77B7">
      <w:rPr>
        <w:highlight w:val="yellow"/>
      </w:rPr>
      <w:t>YR-XXX</w:t>
    </w:r>
  </w:p>
  <w:p w14:paraId="173C28E8" w14:textId="77777777" w:rsidR="00676723" w:rsidRDefault="00032EB3" w:rsidP="007A247C">
    <w:pPr>
      <w:pStyle w:val="Header"/>
    </w:pPr>
    <w:r>
      <w:rPr>
        <w:b w:val="0"/>
        <w:noProof/>
        <w:snapToGrid/>
      </w:rPr>
      <w:drawing>
        <wp:inline distT="0" distB="0" distL="0" distR="0" wp14:anchorId="173C28EB" wp14:editId="173C28EC">
          <wp:extent cx="595249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9050"/>
                  </a:xfrm>
                  <a:prstGeom prst="rect">
                    <a:avLst/>
                  </a:prstGeom>
                  <a:noFill/>
                </pic:spPr>
              </pic:pic>
            </a:graphicData>
          </a:graphic>
        </wp:inline>
      </w:drawing>
    </w:r>
    <w:r>
      <w:br/>
    </w:r>
  </w:p>
  <w:p w14:paraId="173C28E9" w14:textId="77777777" w:rsidR="002E4C64" w:rsidRDefault="002E4C64" w:rsidP="007A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0">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9"/>
  </w:num>
  <w:num w:numId="2">
    <w:abstractNumId w:val="5"/>
  </w:num>
  <w:num w:numId="3">
    <w:abstractNumId w:val="8"/>
  </w:num>
  <w:num w:numId="4">
    <w:abstractNumId w:val="2"/>
  </w:num>
  <w:num w:numId="5">
    <w:abstractNumId w:val="10"/>
  </w:num>
  <w:num w:numId="6">
    <w:abstractNumId w:val="1"/>
  </w:num>
  <w:num w:numId="7">
    <w:abstractNumId w:val="6"/>
  </w:num>
  <w:num w:numId="8">
    <w:abstractNumId w:val="3"/>
  </w:num>
  <w:num w:numId="9">
    <w:abstractNumId w:val="7"/>
  </w:num>
  <w:num w:numId="10">
    <w:abstractNumId w:val="4"/>
  </w:num>
  <w:num w:numId="11">
    <w:abstractNumId w:val="0"/>
  </w:num>
  <w:num w:numId="12">
    <w:abstractNumId w:val="9"/>
    <w:lvlOverride w:ilvl="0">
      <w:startOverride w:val="1"/>
    </w:lvlOverride>
  </w:num>
  <w:num w:numId="13">
    <w:abstractNumId w:val="9"/>
    <w:lvlOverride w:ilvl="0">
      <w:startOverride w:val="1"/>
    </w:lvlOverride>
  </w:num>
  <w:num w:numId="14">
    <w:abstractNumId w:val="9"/>
  </w:num>
  <w:num w:numId="15">
    <w:abstractNumId w:val="9"/>
  </w:num>
  <w:num w:numId="16">
    <w:abstractNumId w:val="9"/>
  </w:num>
  <w:num w:numId="17">
    <w:abstractNumId w:val="9"/>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1E72"/>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FF2"/>
    <w:rsid w:val="00096D8C"/>
    <w:rsid w:val="000A1DBA"/>
    <w:rsid w:val="000A69D0"/>
    <w:rsid w:val="000A747B"/>
    <w:rsid w:val="000A78D2"/>
    <w:rsid w:val="000B076B"/>
    <w:rsid w:val="000B4C5A"/>
    <w:rsid w:val="000C0B65"/>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16FEB"/>
    <w:rsid w:val="00122BD5"/>
    <w:rsid w:val="00122F40"/>
    <w:rsid w:val="00123544"/>
    <w:rsid w:val="00123DC5"/>
    <w:rsid w:val="001251A4"/>
    <w:rsid w:val="0012535E"/>
    <w:rsid w:val="00130E75"/>
    <w:rsid w:val="00131135"/>
    <w:rsid w:val="0013481A"/>
    <w:rsid w:val="0013545C"/>
    <w:rsid w:val="00150039"/>
    <w:rsid w:val="00151AF8"/>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202B90"/>
    <w:rsid w:val="0020707F"/>
    <w:rsid w:val="0021043C"/>
    <w:rsid w:val="0021060B"/>
    <w:rsid w:val="00211D92"/>
    <w:rsid w:val="00211EE2"/>
    <w:rsid w:val="00221D7C"/>
    <w:rsid w:val="00223374"/>
    <w:rsid w:val="00231522"/>
    <w:rsid w:val="002352DC"/>
    <w:rsid w:val="00237F53"/>
    <w:rsid w:val="00240F56"/>
    <w:rsid w:val="00243018"/>
    <w:rsid w:val="002551FD"/>
    <w:rsid w:val="002626EB"/>
    <w:rsid w:val="002645F4"/>
    <w:rsid w:val="00273B9A"/>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208C"/>
    <w:rsid w:val="002E4C64"/>
    <w:rsid w:val="002E5543"/>
    <w:rsid w:val="002F0F20"/>
    <w:rsid w:val="002F7BE9"/>
    <w:rsid w:val="0030082F"/>
    <w:rsid w:val="003016ED"/>
    <w:rsid w:val="00302BBF"/>
    <w:rsid w:val="00320448"/>
    <w:rsid w:val="00320BE0"/>
    <w:rsid w:val="00327A56"/>
    <w:rsid w:val="00331532"/>
    <w:rsid w:val="003317A6"/>
    <w:rsid w:val="00334F59"/>
    <w:rsid w:val="00340918"/>
    <w:rsid w:val="00343749"/>
    <w:rsid w:val="00343B8B"/>
    <w:rsid w:val="00344707"/>
    <w:rsid w:val="003447A3"/>
    <w:rsid w:val="003504B7"/>
    <w:rsid w:val="00351188"/>
    <w:rsid w:val="00351C94"/>
    <w:rsid w:val="00352167"/>
    <w:rsid w:val="00355126"/>
    <w:rsid w:val="003557EF"/>
    <w:rsid w:val="00357044"/>
    <w:rsid w:val="00357963"/>
    <w:rsid w:val="00357FDE"/>
    <w:rsid w:val="00361141"/>
    <w:rsid w:val="003628A3"/>
    <w:rsid w:val="00367050"/>
    <w:rsid w:val="00367F93"/>
    <w:rsid w:val="0038137F"/>
    <w:rsid w:val="003820CD"/>
    <w:rsid w:val="00383733"/>
    <w:rsid w:val="003869A9"/>
    <w:rsid w:val="00386C09"/>
    <w:rsid w:val="00387DC6"/>
    <w:rsid w:val="00393892"/>
    <w:rsid w:val="00395BCD"/>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C6DEB"/>
    <w:rsid w:val="003D49D5"/>
    <w:rsid w:val="003F1126"/>
    <w:rsid w:val="003F171C"/>
    <w:rsid w:val="004008FF"/>
    <w:rsid w:val="00400BCE"/>
    <w:rsid w:val="00404B01"/>
    <w:rsid w:val="0041095B"/>
    <w:rsid w:val="00412FC5"/>
    <w:rsid w:val="00414A07"/>
    <w:rsid w:val="00414BD8"/>
    <w:rsid w:val="00414F00"/>
    <w:rsid w:val="004172DB"/>
    <w:rsid w:val="00422276"/>
    <w:rsid w:val="0042399D"/>
    <w:rsid w:val="0042409F"/>
    <w:rsid w:val="004242F1"/>
    <w:rsid w:val="00433E5E"/>
    <w:rsid w:val="00434575"/>
    <w:rsid w:val="004348F7"/>
    <w:rsid w:val="004359DD"/>
    <w:rsid w:val="00435FB8"/>
    <w:rsid w:val="004409D9"/>
    <w:rsid w:val="00445A00"/>
    <w:rsid w:val="004469FD"/>
    <w:rsid w:val="004479E5"/>
    <w:rsid w:val="00450242"/>
    <w:rsid w:val="00451B0F"/>
    <w:rsid w:val="00452FFD"/>
    <w:rsid w:val="00463506"/>
    <w:rsid w:val="0046402A"/>
    <w:rsid w:val="004655CB"/>
    <w:rsid w:val="00465FD1"/>
    <w:rsid w:val="00471DDB"/>
    <w:rsid w:val="004737E2"/>
    <w:rsid w:val="00480179"/>
    <w:rsid w:val="004807CE"/>
    <w:rsid w:val="00484691"/>
    <w:rsid w:val="00486ADC"/>
    <w:rsid w:val="00490FA1"/>
    <w:rsid w:val="00491CAC"/>
    <w:rsid w:val="00492284"/>
    <w:rsid w:val="0049610C"/>
    <w:rsid w:val="004A1DD7"/>
    <w:rsid w:val="004A25AB"/>
    <w:rsid w:val="004A296D"/>
    <w:rsid w:val="004A4478"/>
    <w:rsid w:val="004B1B93"/>
    <w:rsid w:val="004B441D"/>
    <w:rsid w:val="004B5795"/>
    <w:rsid w:val="004B5871"/>
    <w:rsid w:val="004C2EE3"/>
    <w:rsid w:val="004C693C"/>
    <w:rsid w:val="004C6AC5"/>
    <w:rsid w:val="004C7120"/>
    <w:rsid w:val="004C7963"/>
    <w:rsid w:val="004D14D2"/>
    <w:rsid w:val="004D1DB2"/>
    <w:rsid w:val="004E2022"/>
    <w:rsid w:val="004E347E"/>
    <w:rsid w:val="004E4A22"/>
    <w:rsid w:val="004E5936"/>
    <w:rsid w:val="004F3A1A"/>
    <w:rsid w:val="004F4B62"/>
    <w:rsid w:val="004F5449"/>
    <w:rsid w:val="004F5E64"/>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7899"/>
    <w:rsid w:val="005F3A0D"/>
    <w:rsid w:val="005F54A4"/>
    <w:rsid w:val="005F558B"/>
    <w:rsid w:val="005F615D"/>
    <w:rsid w:val="00601267"/>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3094A"/>
    <w:rsid w:val="006313E2"/>
    <w:rsid w:val="006520A5"/>
    <w:rsid w:val="006554F4"/>
    <w:rsid w:val="00655B79"/>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D015E"/>
    <w:rsid w:val="006D2DF3"/>
    <w:rsid w:val="006D6923"/>
    <w:rsid w:val="006E2904"/>
    <w:rsid w:val="006E4326"/>
    <w:rsid w:val="006E4A96"/>
    <w:rsid w:val="006E6CFC"/>
    <w:rsid w:val="006F35AB"/>
    <w:rsid w:val="006F6AE9"/>
    <w:rsid w:val="006F7393"/>
    <w:rsid w:val="0070224F"/>
    <w:rsid w:val="0070289F"/>
    <w:rsid w:val="0070589D"/>
    <w:rsid w:val="007115F7"/>
    <w:rsid w:val="00714014"/>
    <w:rsid w:val="0071473B"/>
    <w:rsid w:val="00722CD3"/>
    <w:rsid w:val="00725C20"/>
    <w:rsid w:val="0072645F"/>
    <w:rsid w:val="007279D7"/>
    <w:rsid w:val="00733B04"/>
    <w:rsid w:val="00736852"/>
    <w:rsid w:val="007447A7"/>
    <w:rsid w:val="0074605C"/>
    <w:rsid w:val="007511CA"/>
    <w:rsid w:val="0075516F"/>
    <w:rsid w:val="00756178"/>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00A"/>
    <w:rsid w:val="007A1E6D"/>
    <w:rsid w:val="007A247C"/>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4998"/>
    <w:rsid w:val="008472AC"/>
    <w:rsid w:val="00850DBC"/>
    <w:rsid w:val="008511B9"/>
    <w:rsid w:val="00852F69"/>
    <w:rsid w:val="00860B3E"/>
    <w:rsid w:val="008644A6"/>
    <w:rsid w:val="0086518D"/>
    <w:rsid w:val="00867B1A"/>
    <w:rsid w:val="00880BA8"/>
    <w:rsid w:val="00881DA6"/>
    <w:rsid w:val="00883302"/>
    <w:rsid w:val="00890101"/>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E71C5"/>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A40C2"/>
    <w:rsid w:val="009A4C16"/>
    <w:rsid w:val="009A62C6"/>
    <w:rsid w:val="009A7EE4"/>
    <w:rsid w:val="009B5A50"/>
    <w:rsid w:val="009D332B"/>
    <w:rsid w:val="009D66D5"/>
    <w:rsid w:val="009E2677"/>
    <w:rsid w:val="009E4E15"/>
    <w:rsid w:val="009E58C9"/>
    <w:rsid w:val="009E5BD6"/>
    <w:rsid w:val="009F04D5"/>
    <w:rsid w:val="009F286B"/>
    <w:rsid w:val="009F3A92"/>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51B"/>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3930"/>
    <w:rsid w:val="00B07321"/>
    <w:rsid w:val="00B07E5C"/>
    <w:rsid w:val="00B10576"/>
    <w:rsid w:val="00B13350"/>
    <w:rsid w:val="00B141B4"/>
    <w:rsid w:val="00B14FAF"/>
    <w:rsid w:val="00B15877"/>
    <w:rsid w:val="00B1792B"/>
    <w:rsid w:val="00B211FD"/>
    <w:rsid w:val="00B239D9"/>
    <w:rsid w:val="00B277A4"/>
    <w:rsid w:val="00B302CB"/>
    <w:rsid w:val="00B32157"/>
    <w:rsid w:val="00B44A4F"/>
    <w:rsid w:val="00B47311"/>
    <w:rsid w:val="00B508D0"/>
    <w:rsid w:val="00B517BE"/>
    <w:rsid w:val="00B5414A"/>
    <w:rsid w:val="00B64EC5"/>
    <w:rsid w:val="00B65EF8"/>
    <w:rsid w:val="00B66445"/>
    <w:rsid w:val="00B66F5A"/>
    <w:rsid w:val="00B67077"/>
    <w:rsid w:val="00B75912"/>
    <w:rsid w:val="00B761CF"/>
    <w:rsid w:val="00B80DF6"/>
    <w:rsid w:val="00B811F7"/>
    <w:rsid w:val="00B816A7"/>
    <w:rsid w:val="00B84E6C"/>
    <w:rsid w:val="00B860D7"/>
    <w:rsid w:val="00B87679"/>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56B5"/>
    <w:rsid w:val="00BE73DC"/>
    <w:rsid w:val="00BE7722"/>
    <w:rsid w:val="00BF0234"/>
    <w:rsid w:val="00BF1EEC"/>
    <w:rsid w:val="00C02FA9"/>
    <w:rsid w:val="00C04D36"/>
    <w:rsid w:val="00C06E84"/>
    <w:rsid w:val="00C10915"/>
    <w:rsid w:val="00C10ADD"/>
    <w:rsid w:val="00C127D6"/>
    <w:rsid w:val="00C218DC"/>
    <w:rsid w:val="00C22589"/>
    <w:rsid w:val="00C26F5F"/>
    <w:rsid w:val="00C34006"/>
    <w:rsid w:val="00C4174C"/>
    <w:rsid w:val="00C426B1"/>
    <w:rsid w:val="00C447D2"/>
    <w:rsid w:val="00C473A8"/>
    <w:rsid w:val="00C47A0C"/>
    <w:rsid w:val="00C518D0"/>
    <w:rsid w:val="00C523B9"/>
    <w:rsid w:val="00C52CF8"/>
    <w:rsid w:val="00C55383"/>
    <w:rsid w:val="00C6071D"/>
    <w:rsid w:val="00C612AC"/>
    <w:rsid w:val="00C67932"/>
    <w:rsid w:val="00C700F9"/>
    <w:rsid w:val="00C713BD"/>
    <w:rsid w:val="00C7579F"/>
    <w:rsid w:val="00C76BB9"/>
    <w:rsid w:val="00C85DCF"/>
    <w:rsid w:val="00C90D6A"/>
    <w:rsid w:val="00C9246B"/>
    <w:rsid w:val="00C92F97"/>
    <w:rsid w:val="00C93A14"/>
    <w:rsid w:val="00C9537D"/>
    <w:rsid w:val="00C95D80"/>
    <w:rsid w:val="00CA21C0"/>
    <w:rsid w:val="00CA247E"/>
    <w:rsid w:val="00CA7078"/>
    <w:rsid w:val="00CB260B"/>
    <w:rsid w:val="00CB51FE"/>
    <w:rsid w:val="00CC2691"/>
    <w:rsid w:val="00CC28B3"/>
    <w:rsid w:val="00CC532C"/>
    <w:rsid w:val="00CC596B"/>
    <w:rsid w:val="00CC72B6"/>
    <w:rsid w:val="00CC746A"/>
    <w:rsid w:val="00CD0180"/>
    <w:rsid w:val="00CD2C9B"/>
    <w:rsid w:val="00CD45F8"/>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6185"/>
    <w:rsid w:val="00D377A5"/>
    <w:rsid w:val="00D42D5D"/>
    <w:rsid w:val="00D44790"/>
    <w:rsid w:val="00D50C4A"/>
    <w:rsid w:val="00D52151"/>
    <w:rsid w:val="00D52555"/>
    <w:rsid w:val="00D55448"/>
    <w:rsid w:val="00D5619D"/>
    <w:rsid w:val="00D56630"/>
    <w:rsid w:val="00D630D3"/>
    <w:rsid w:val="00D67F84"/>
    <w:rsid w:val="00D704AA"/>
    <w:rsid w:val="00D70822"/>
    <w:rsid w:val="00D71CDA"/>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B6281"/>
    <w:rsid w:val="00DC10A1"/>
    <w:rsid w:val="00DC1BFB"/>
    <w:rsid w:val="00DC5271"/>
    <w:rsid w:val="00DC5DD8"/>
    <w:rsid w:val="00DC655F"/>
    <w:rsid w:val="00DC6E68"/>
    <w:rsid w:val="00DC6EB4"/>
    <w:rsid w:val="00DD0B59"/>
    <w:rsid w:val="00DD1CEE"/>
    <w:rsid w:val="00DD6800"/>
    <w:rsid w:val="00DD6824"/>
    <w:rsid w:val="00DD7967"/>
    <w:rsid w:val="00DD7DE0"/>
    <w:rsid w:val="00DD7EBD"/>
    <w:rsid w:val="00DE0C2F"/>
    <w:rsid w:val="00DE31E5"/>
    <w:rsid w:val="00DE704A"/>
    <w:rsid w:val="00DE7126"/>
    <w:rsid w:val="00DF05A3"/>
    <w:rsid w:val="00DF1C0C"/>
    <w:rsid w:val="00DF4504"/>
    <w:rsid w:val="00DF47DF"/>
    <w:rsid w:val="00DF5AF8"/>
    <w:rsid w:val="00DF5C09"/>
    <w:rsid w:val="00DF62B6"/>
    <w:rsid w:val="00DF7138"/>
    <w:rsid w:val="00E0263D"/>
    <w:rsid w:val="00E03633"/>
    <w:rsid w:val="00E037E1"/>
    <w:rsid w:val="00E069F9"/>
    <w:rsid w:val="00E07225"/>
    <w:rsid w:val="00E141AE"/>
    <w:rsid w:val="00E211FE"/>
    <w:rsid w:val="00E32005"/>
    <w:rsid w:val="00E3204A"/>
    <w:rsid w:val="00E3378C"/>
    <w:rsid w:val="00E35272"/>
    <w:rsid w:val="00E41B30"/>
    <w:rsid w:val="00E421F8"/>
    <w:rsid w:val="00E440DF"/>
    <w:rsid w:val="00E44AC6"/>
    <w:rsid w:val="00E465A8"/>
    <w:rsid w:val="00E52DC7"/>
    <w:rsid w:val="00E5409F"/>
    <w:rsid w:val="00E54C87"/>
    <w:rsid w:val="00E70486"/>
    <w:rsid w:val="00E73616"/>
    <w:rsid w:val="00E76A80"/>
    <w:rsid w:val="00E76AE5"/>
    <w:rsid w:val="00E828C5"/>
    <w:rsid w:val="00E843BC"/>
    <w:rsid w:val="00E87831"/>
    <w:rsid w:val="00E93679"/>
    <w:rsid w:val="00E94865"/>
    <w:rsid w:val="00E95C94"/>
    <w:rsid w:val="00EA1A3D"/>
    <w:rsid w:val="00EA21F8"/>
    <w:rsid w:val="00EA296C"/>
    <w:rsid w:val="00EB0F91"/>
    <w:rsid w:val="00EB1673"/>
    <w:rsid w:val="00EB2E40"/>
    <w:rsid w:val="00EB356C"/>
    <w:rsid w:val="00EB6225"/>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7F44"/>
    <w:rsid w:val="00F021FA"/>
    <w:rsid w:val="00F038E2"/>
    <w:rsid w:val="00F05812"/>
    <w:rsid w:val="00F125D4"/>
    <w:rsid w:val="00F162E3"/>
    <w:rsid w:val="00F240C3"/>
    <w:rsid w:val="00F24FF8"/>
    <w:rsid w:val="00F360F9"/>
    <w:rsid w:val="00F361E6"/>
    <w:rsid w:val="00F3638F"/>
    <w:rsid w:val="00F3676D"/>
    <w:rsid w:val="00F442BB"/>
    <w:rsid w:val="00F44F3A"/>
    <w:rsid w:val="00F47D85"/>
    <w:rsid w:val="00F62E97"/>
    <w:rsid w:val="00F64209"/>
    <w:rsid w:val="00F6525C"/>
    <w:rsid w:val="00F65CE9"/>
    <w:rsid w:val="00F70E6D"/>
    <w:rsid w:val="00F71F68"/>
    <w:rsid w:val="00F723E4"/>
    <w:rsid w:val="00F74D07"/>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605D"/>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3C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8C"/>
    <w:pPr>
      <w:widowControl w:val="0"/>
    </w:pPr>
    <w:rPr>
      <w:snapToGrid w:val="0"/>
      <w:kern w:val="28"/>
      <w:sz w:val="22"/>
    </w:rPr>
  </w:style>
  <w:style w:type="paragraph" w:styleId="Heading1">
    <w:name w:val="heading 1"/>
    <w:basedOn w:val="Normal"/>
    <w:next w:val="ParaNum0"/>
    <w:link w:val="Heading1Char"/>
    <w:qFormat/>
    <w:rsid w:val="002E208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2E208C"/>
    <w:pPr>
      <w:keepNext/>
      <w:numPr>
        <w:ilvl w:val="1"/>
        <w:numId w:val="2"/>
      </w:numPr>
      <w:spacing w:after="120"/>
      <w:outlineLvl w:val="1"/>
    </w:pPr>
    <w:rPr>
      <w:b/>
    </w:rPr>
  </w:style>
  <w:style w:type="paragraph" w:styleId="Heading3">
    <w:name w:val="heading 3"/>
    <w:basedOn w:val="Normal"/>
    <w:next w:val="ParaNum0"/>
    <w:qFormat/>
    <w:rsid w:val="002E208C"/>
    <w:pPr>
      <w:keepNext/>
      <w:numPr>
        <w:ilvl w:val="2"/>
        <w:numId w:val="2"/>
      </w:numPr>
      <w:tabs>
        <w:tab w:val="left" w:pos="2160"/>
      </w:tabs>
      <w:spacing w:after="120"/>
      <w:outlineLvl w:val="2"/>
    </w:pPr>
    <w:rPr>
      <w:b/>
    </w:rPr>
  </w:style>
  <w:style w:type="paragraph" w:styleId="Heading4">
    <w:name w:val="heading 4"/>
    <w:basedOn w:val="Normal"/>
    <w:next w:val="ParaNum0"/>
    <w:qFormat/>
    <w:rsid w:val="002E208C"/>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2E208C"/>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2E208C"/>
    <w:pPr>
      <w:numPr>
        <w:ilvl w:val="5"/>
        <w:numId w:val="2"/>
      </w:numPr>
      <w:tabs>
        <w:tab w:val="left" w:pos="4320"/>
      </w:tabs>
      <w:spacing w:after="120"/>
      <w:outlineLvl w:val="5"/>
    </w:pPr>
    <w:rPr>
      <w:b/>
    </w:rPr>
  </w:style>
  <w:style w:type="paragraph" w:styleId="Heading7">
    <w:name w:val="heading 7"/>
    <w:basedOn w:val="Normal"/>
    <w:next w:val="ParaNum0"/>
    <w:qFormat/>
    <w:rsid w:val="002E208C"/>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2E208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2E208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20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08C"/>
  </w:style>
  <w:style w:type="paragraph" w:customStyle="1" w:styleId="ParaNum0">
    <w:name w:val="ParaNum"/>
    <w:basedOn w:val="Normal"/>
    <w:link w:val="ParaNumChar"/>
    <w:rsid w:val="002E208C"/>
    <w:pPr>
      <w:numPr>
        <w:numId w:val="1"/>
      </w:numPr>
      <w:tabs>
        <w:tab w:val="clear" w:pos="1080"/>
        <w:tab w:val="num" w:pos="1440"/>
      </w:tabs>
      <w:spacing w:after="120"/>
    </w:pPr>
  </w:style>
  <w:style w:type="paragraph" w:styleId="EndnoteText">
    <w:name w:val="endnote text"/>
    <w:basedOn w:val="Normal"/>
    <w:semiHidden/>
    <w:rsid w:val="002E208C"/>
    <w:rPr>
      <w:sz w:val="20"/>
    </w:rPr>
  </w:style>
  <w:style w:type="character" w:styleId="EndnoteReference">
    <w:name w:val="endnote reference"/>
    <w:semiHidden/>
    <w:rsid w:val="002E208C"/>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2E208C"/>
    <w:pPr>
      <w:spacing w:after="120"/>
    </w:pPr>
  </w:style>
  <w:style w:type="character" w:styleId="FootnoteReference">
    <w:name w:val="footnote reference"/>
    <w:aliases w:val="Style 4,Style 12,(NECG) Footnote Reference,Appel note de bas de p,Style 124,Style 13,o,fr,Style 3,FR,Style 17,Footnote Reference/,Style 6"/>
    <w:rsid w:val="002E208C"/>
    <w:rPr>
      <w:rFonts w:ascii="Times New Roman" w:hAnsi="Times New Roman"/>
      <w:dstrike w:val="0"/>
      <w:color w:val="auto"/>
      <w:sz w:val="20"/>
      <w:vertAlign w:val="superscript"/>
    </w:rPr>
  </w:style>
  <w:style w:type="paragraph" w:styleId="TOC1">
    <w:name w:val="toc 1"/>
    <w:basedOn w:val="Normal"/>
    <w:next w:val="Normal"/>
    <w:semiHidden/>
    <w:rsid w:val="002E20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208C"/>
    <w:pPr>
      <w:tabs>
        <w:tab w:val="left" w:pos="720"/>
        <w:tab w:val="right" w:leader="dot" w:pos="9360"/>
      </w:tabs>
      <w:suppressAutoHyphens/>
      <w:ind w:left="720" w:right="720" w:hanging="360"/>
    </w:pPr>
    <w:rPr>
      <w:noProof/>
    </w:rPr>
  </w:style>
  <w:style w:type="paragraph" w:styleId="TOC3">
    <w:name w:val="toc 3"/>
    <w:basedOn w:val="Normal"/>
    <w:next w:val="Normal"/>
    <w:semiHidden/>
    <w:rsid w:val="002E20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20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20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20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20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20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20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208C"/>
    <w:pPr>
      <w:tabs>
        <w:tab w:val="right" w:pos="9360"/>
      </w:tabs>
      <w:suppressAutoHyphens/>
    </w:pPr>
  </w:style>
  <w:style w:type="character" w:customStyle="1" w:styleId="EquationCaption">
    <w:name w:val="_Equation Caption"/>
    <w:rsid w:val="002E208C"/>
  </w:style>
  <w:style w:type="paragraph" w:styleId="Header">
    <w:name w:val="header"/>
    <w:basedOn w:val="Normal"/>
    <w:link w:val="HeaderChar"/>
    <w:autoRedefine/>
    <w:rsid w:val="002E208C"/>
    <w:pPr>
      <w:tabs>
        <w:tab w:val="center" w:pos="4680"/>
        <w:tab w:val="right" w:pos="9360"/>
      </w:tabs>
    </w:pPr>
    <w:rPr>
      <w:b/>
    </w:rPr>
  </w:style>
  <w:style w:type="paragraph" w:styleId="Footer">
    <w:name w:val="footer"/>
    <w:basedOn w:val="Normal"/>
    <w:rsid w:val="002E208C"/>
    <w:pPr>
      <w:tabs>
        <w:tab w:val="center" w:pos="4320"/>
        <w:tab w:val="right" w:pos="8640"/>
      </w:tabs>
    </w:pPr>
  </w:style>
  <w:style w:type="character" w:styleId="PageNumber">
    <w:name w:val="page number"/>
    <w:basedOn w:val="DefaultParagraphFont"/>
    <w:rsid w:val="002E208C"/>
  </w:style>
  <w:style w:type="paragraph" w:styleId="BlockText">
    <w:name w:val="Block Text"/>
    <w:basedOn w:val="Normal"/>
    <w:rsid w:val="002E208C"/>
    <w:pPr>
      <w:spacing w:after="240"/>
      <w:ind w:left="1440" w:right="1440"/>
    </w:pPr>
  </w:style>
  <w:style w:type="paragraph" w:customStyle="1" w:styleId="Paratitle">
    <w:name w:val="Para title"/>
    <w:basedOn w:val="Normal"/>
    <w:rsid w:val="002E208C"/>
    <w:pPr>
      <w:tabs>
        <w:tab w:val="center" w:pos="9270"/>
      </w:tabs>
      <w:spacing w:after="240"/>
    </w:pPr>
    <w:rPr>
      <w:spacing w:val="-2"/>
    </w:rPr>
  </w:style>
  <w:style w:type="paragraph" w:customStyle="1" w:styleId="Bullet">
    <w:name w:val="Bullet"/>
    <w:basedOn w:val="Normal"/>
    <w:rsid w:val="002E208C"/>
    <w:pPr>
      <w:tabs>
        <w:tab w:val="left" w:pos="2160"/>
      </w:tabs>
      <w:spacing w:after="220"/>
      <w:ind w:left="2160" w:hanging="720"/>
    </w:pPr>
  </w:style>
  <w:style w:type="paragraph" w:customStyle="1" w:styleId="TableFormat">
    <w:name w:val="TableFormat"/>
    <w:basedOn w:val="Bullet"/>
    <w:rsid w:val="002E208C"/>
    <w:pPr>
      <w:tabs>
        <w:tab w:val="clear" w:pos="2160"/>
        <w:tab w:val="left" w:pos="5040"/>
      </w:tabs>
      <w:ind w:left="5040" w:hanging="3600"/>
    </w:pPr>
  </w:style>
  <w:style w:type="paragraph" w:customStyle="1" w:styleId="TOCTitle">
    <w:name w:val="TOC Title"/>
    <w:basedOn w:val="Normal"/>
    <w:rsid w:val="002E20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208C"/>
    <w:pPr>
      <w:jc w:val="center"/>
    </w:pPr>
    <w:rPr>
      <w:rFonts w:ascii="Times New Roman Bold" w:hAnsi="Times New Roman Bold"/>
      <w:b/>
      <w:bCs/>
      <w:caps/>
      <w:szCs w:val="22"/>
    </w:rPr>
  </w:style>
  <w:style w:type="character" w:styleId="Hyperlink">
    <w:name w:val="Hyperlink"/>
    <w:rsid w:val="002E208C"/>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AB351B"/>
    <w:rPr>
      <w:snapToGrid w:val="0"/>
      <w:kern w:val="28"/>
      <w:sz w:val="22"/>
    </w:rPr>
  </w:style>
  <w:style w:type="character" w:customStyle="1" w:styleId="Heading1Char">
    <w:name w:val="Heading 1 Char"/>
    <w:basedOn w:val="DefaultParagraphFont"/>
    <w:link w:val="Heading1"/>
    <w:locked/>
    <w:rsid w:val="00601267"/>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8C"/>
    <w:pPr>
      <w:widowControl w:val="0"/>
    </w:pPr>
    <w:rPr>
      <w:snapToGrid w:val="0"/>
      <w:kern w:val="28"/>
      <w:sz w:val="22"/>
    </w:rPr>
  </w:style>
  <w:style w:type="paragraph" w:styleId="Heading1">
    <w:name w:val="heading 1"/>
    <w:basedOn w:val="Normal"/>
    <w:next w:val="ParaNum0"/>
    <w:link w:val="Heading1Char"/>
    <w:qFormat/>
    <w:rsid w:val="002E208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2E208C"/>
    <w:pPr>
      <w:keepNext/>
      <w:numPr>
        <w:ilvl w:val="1"/>
        <w:numId w:val="2"/>
      </w:numPr>
      <w:spacing w:after="120"/>
      <w:outlineLvl w:val="1"/>
    </w:pPr>
    <w:rPr>
      <w:b/>
    </w:rPr>
  </w:style>
  <w:style w:type="paragraph" w:styleId="Heading3">
    <w:name w:val="heading 3"/>
    <w:basedOn w:val="Normal"/>
    <w:next w:val="ParaNum0"/>
    <w:qFormat/>
    <w:rsid w:val="002E208C"/>
    <w:pPr>
      <w:keepNext/>
      <w:numPr>
        <w:ilvl w:val="2"/>
        <w:numId w:val="2"/>
      </w:numPr>
      <w:tabs>
        <w:tab w:val="left" w:pos="2160"/>
      </w:tabs>
      <w:spacing w:after="120"/>
      <w:outlineLvl w:val="2"/>
    </w:pPr>
    <w:rPr>
      <w:b/>
    </w:rPr>
  </w:style>
  <w:style w:type="paragraph" w:styleId="Heading4">
    <w:name w:val="heading 4"/>
    <w:basedOn w:val="Normal"/>
    <w:next w:val="ParaNum0"/>
    <w:qFormat/>
    <w:rsid w:val="002E208C"/>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2E208C"/>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2E208C"/>
    <w:pPr>
      <w:numPr>
        <w:ilvl w:val="5"/>
        <w:numId w:val="2"/>
      </w:numPr>
      <w:tabs>
        <w:tab w:val="left" w:pos="4320"/>
      </w:tabs>
      <w:spacing w:after="120"/>
      <w:outlineLvl w:val="5"/>
    </w:pPr>
    <w:rPr>
      <w:b/>
    </w:rPr>
  </w:style>
  <w:style w:type="paragraph" w:styleId="Heading7">
    <w:name w:val="heading 7"/>
    <w:basedOn w:val="Normal"/>
    <w:next w:val="ParaNum0"/>
    <w:qFormat/>
    <w:rsid w:val="002E208C"/>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2E208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2E208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20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08C"/>
  </w:style>
  <w:style w:type="paragraph" w:customStyle="1" w:styleId="ParaNum0">
    <w:name w:val="ParaNum"/>
    <w:basedOn w:val="Normal"/>
    <w:link w:val="ParaNumChar"/>
    <w:rsid w:val="002E208C"/>
    <w:pPr>
      <w:numPr>
        <w:numId w:val="1"/>
      </w:numPr>
      <w:tabs>
        <w:tab w:val="clear" w:pos="1080"/>
        <w:tab w:val="num" w:pos="1440"/>
      </w:tabs>
      <w:spacing w:after="120"/>
    </w:pPr>
  </w:style>
  <w:style w:type="paragraph" w:styleId="EndnoteText">
    <w:name w:val="endnote text"/>
    <w:basedOn w:val="Normal"/>
    <w:semiHidden/>
    <w:rsid w:val="002E208C"/>
    <w:rPr>
      <w:sz w:val="20"/>
    </w:rPr>
  </w:style>
  <w:style w:type="character" w:styleId="EndnoteReference">
    <w:name w:val="endnote reference"/>
    <w:semiHidden/>
    <w:rsid w:val="002E208C"/>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2E208C"/>
    <w:pPr>
      <w:spacing w:after="120"/>
    </w:pPr>
  </w:style>
  <w:style w:type="character" w:styleId="FootnoteReference">
    <w:name w:val="footnote reference"/>
    <w:aliases w:val="Style 4,Style 12,(NECG) Footnote Reference,Appel note de bas de p,Style 124,Style 13,o,fr,Style 3,FR,Style 17,Footnote Reference/,Style 6"/>
    <w:rsid w:val="002E208C"/>
    <w:rPr>
      <w:rFonts w:ascii="Times New Roman" w:hAnsi="Times New Roman"/>
      <w:dstrike w:val="0"/>
      <w:color w:val="auto"/>
      <w:sz w:val="20"/>
      <w:vertAlign w:val="superscript"/>
    </w:rPr>
  </w:style>
  <w:style w:type="paragraph" w:styleId="TOC1">
    <w:name w:val="toc 1"/>
    <w:basedOn w:val="Normal"/>
    <w:next w:val="Normal"/>
    <w:semiHidden/>
    <w:rsid w:val="002E20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208C"/>
    <w:pPr>
      <w:tabs>
        <w:tab w:val="left" w:pos="720"/>
        <w:tab w:val="right" w:leader="dot" w:pos="9360"/>
      </w:tabs>
      <w:suppressAutoHyphens/>
      <w:ind w:left="720" w:right="720" w:hanging="360"/>
    </w:pPr>
    <w:rPr>
      <w:noProof/>
    </w:rPr>
  </w:style>
  <w:style w:type="paragraph" w:styleId="TOC3">
    <w:name w:val="toc 3"/>
    <w:basedOn w:val="Normal"/>
    <w:next w:val="Normal"/>
    <w:semiHidden/>
    <w:rsid w:val="002E20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20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20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20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20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20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20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208C"/>
    <w:pPr>
      <w:tabs>
        <w:tab w:val="right" w:pos="9360"/>
      </w:tabs>
      <w:suppressAutoHyphens/>
    </w:pPr>
  </w:style>
  <w:style w:type="character" w:customStyle="1" w:styleId="EquationCaption">
    <w:name w:val="_Equation Caption"/>
    <w:rsid w:val="002E208C"/>
  </w:style>
  <w:style w:type="paragraph" w:styleId="Header">
    <w:name w:val="header"/>
    <w:basedOn w:val="Normal"/>
    <w:link w:val="HeaderChar"/>
    <w:autoRedefine/>
    <w:rsid w:val="002E208C"/>
    <w:pPr>
      <w:tabs>
        <w:tab w:val="center" w:pos="4680"/>
        <w:tab w:val="right" w:pos="9360"/>
      </w:tabs>
    </w:pPr>
    <w:rPr>
      <w:b/>
    </w:rPr>
  </w:style>
  <w:style w:type="paragraph" w:styleId="Footer">
    <w:name w:val="footer"/>
    <w:basedOn w:val="Normal"/>
    <w:rsid w:val="002E208C"/>
    <w:pPr>
      <w:tabs>
        <w:tab w:val="center" w:pos="4320"/>
        <w:tab w:val="right" w:pos="8640"/>
      </w:tabs>
    </w:pPr>
  </w:style>
  <w:style w:type="character" w:styleId="PageNumber">
    <w:name w:val="page number"/>
    <w:basedOn w:val="DefaultParagraphFont"/>
    <w:rsid w:val="002E208C"/>
  </w:style>
  <w:style w:type="paragraph" w:styleId="BlockText">
    <w:name w:val="Block Text"/>
    <w:basedOn w:val="Normal"/>
    <w:rsid w:val="002E208C"/>
    <w:pPr>
      <w:spacing w:after="240"/>
      <w:ind w:left="1440" w:right="1440"/>
    </w:pPr>
  </w:style>
  <w:style w:type="paragraph" w:customStyle="1" w:styleId="Paratitle">
    <w:name w:val="Para title"/>
    <w:basedOn w:val="Normal"/>
    <w:rsid w:val="002E208C"/>
    <w:pPr>
      <w:tabs>
        <w:tab w:val="center" w:pos="9270"/>
      </w:tabs>
      <w:spacing w:after="240"/>
    </w:pPr>
    <w:rPr>
      <w:spacing w:val="-2"/>
    </w:rPr>
  </w:style>
  <w:style w:type="paragraph" w:customStyle="1" w:styleId="Bullet">
    <w:name w:val="Bullet"/>
    <w:basedOn w:val="Normal"/>
    <w:rsid w:val="002E208C"/>
    <w:pPr>
      <w:tabs>
        <w:tab w:val="left" w:pos="2160"/>
      </w:tabs>
      <w:spacing w:after="220"/>
      <w:ind w:left="2160" w:hanging="720"/>
    </w:pPr>
  </w:style>
  <w:style w:type="paragraph" w:customStyle="1" w:styleId="TableFormat">
    <w:name w:val="TableFormat"/>
    <w:basedOn w:val="Bullet"/>
    <w:rsid w:val="002E208C"/>
    <w:pPr>
      <w:tabs>
        <w:tab w:val="clear" w:pos="2160"/>
        <w:tab w:val="left" w:pos="5040"/>
      </w:tabs>
      <w:ind w:left="5040" w:hanging="3600"/>
    </w:pPr>
  </w:style>
  <w:style w:type="paragraph" w:customStyle="1" w:styleId="TOCTitle">
    <w:name w:val="TOC Title"/>
    <w:basedOn w:val="Normal"/>
    <w:rsid w:val="002E20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208C"/>
    <w:pPr>
      <w:jc w:val="center"/>
    </w:pPr>
    <w:rPr>
      <w:rFonts w:ascii="Times New Roman Bold" w:hAnsi="Times New Roman Bold"/>
      <w:b/>
      <w:bCs/>
      <w:caps/>
      <w:szCs w:val="22"/>
    </w:rPr>
  </w:style>
  <w:style w:type="character" w:styleId="Hyperlink">
    <w:name w:val="Hyperlink"/>
    <w:rsid w:val="002E208C"/>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AB351B"/>
    <w:rPr>
      <w:snapToGrid w:val="0"/>
      <w:kern w:val="28"/>
      <w:sz w:val="22"/>
    </w:rPr>
  </w:style>
  <w:style w:type="character" w:customStyle="1" w:styleId="Heading1Char">
    <w:name w:val="Heading 1 Char"/>
    <w:basedOn w:val="DefaultParagraphFont"/>
    <w:link w:val="Heading1"/>
    <w:locked/>
    <w:rsid w:val="00601267"/>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3456</Words>
  <Characters>19238</Characters>
  <Application>Microsoft Office Word</Application>
  <DocSecurity>0</DocSecurity>
  <PresentationFormat>[Compatibility Mode]</PresentationFormat>
  <Lines>351</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22701</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2015-10-21T15:53:00Z</dcterms:created>
  <dcterms:modified xsi:type="dcterms:W3CDTF">2015-10-21T15:53:00Z</dcterms:modified>
  <cp:category> </cp:category>
  <cp:contentStatus> </cp:contentStatus>
</cp:coreProperties>
</file>