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6BAB5" w14:textId="77777777" w:rsidR="004C7C5C" w:rsidRDefault="004C7C5C" w:rsidP="002659F3">
      <w:pPr>
        <w:widowControl/>
        <w:jc w:val="center"/>
        <w:rPr>
          <w:b/>
          <w:kern w:val="0"/>
          <w:szCs w:val="22"/>
        </w:rPr>
      </w:pPr>
      <w:bookmarkStart w:id="0" w:name="_GoBack"/>
      <w:bookmarkEnd w:id="0"/>
    </w:p>
    <w:p w14:paraId="1246BAB6" w14:textId="77777777" w:rsidR="00E273E3" w:rsidRPr="00790B4B" w:rsidRDefault="00E273E3" w:rsidP="002659F3">
      <w:pPr>
        <w:widowControl/>
        <w:jc w:val="center"/>
        <w:rPr>
          <w:b/>
        </w:rPr>
      </w:pPr>
      <w:r w:rsidRPr="00790B4B">
        <w:rPr>
          <w:b/>
          <w:kern w:val="0"/>
          <w:szCs w:val="22"/>
        </w:rPr>
        <w:t>Before</w:t>
      </w:r>
      <w:r w:rsidRPr="00790B4B">
        <w:rPr>
          <w:b/>
        </w:rPr>
        <w:t xml:space="preserve"> the</w:t>
      </w:r>
    </w:p>
    <w:p w14:paraId="1246BAB7"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1246BAB8"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1246BAB9"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1246BACA" w14:textId="77777777">
        <w:tc>
          <w:tcPr>
            <w:tcW w:w="4698" w:type="dxa"/>
          </w:tcPr>
          <w:p w14:paraId="1246BABA" w14:textId="77777777" w:rsidR="00E273E3" w:rsidRPr="00790B4B" w:rsidRDefault="00E273E3" w:rsidP="002659F3">
            <w:pPr>
              <w:widowControl/>
              <w:suppressAutoHyphens/>
              <w:rPr>
                <w:spacing w:val="-2"/>
              </w:rPr>
            </w:pPr>
            <w:r w:rsidRPr="00790B4B">
              <w:rPr>
                <w:spacing w:val="-2"/>
              </w:rPr>
              <w:t>In the Matter of</w:t>
            </w:r>
          </w:p>
          <w:p w14:paraId="1246BABB" w14:textId="77777777" w:rsidR="00E273E3" w:rsidRPr="00790B4B" w:rsidRDefault="00E273E3" w:rsidP="002659F3">
            <w:pPr>
              <w:widowControl/>
              <w:suppressAutoHyphens/>
              <w:rPr>
                <w:spacing w:val="-2"/>
              </w:rPr>
            </w:pPr>
          </w:p>
          <w:p w14:paraId="1246BABC" w14:textId="77777777" w:rsidR="00E273E3" w:rsidRDefault="0026064F" w:rsidP="0026064F">
            <w:pPr>
              <w:widowControl/>
              <w:suppressAutoHyphens/>
              <w:rPr>
                <w:spacing w:val="-2"/>
              </w:rPr>
            </w:pPr>
            <w:r>
              <w:rPr>
                <w:spacing w:val="-2"/>
              </w:rPr>
              <w:t>M.J. Phillips Communications, Inc.</w:t>
            </w:r>
            <w:r>
              <w:rPr>
                <w:spacing w:val="-2"/>
              </w:rPr>
              <w:br/>
            </w:r>
          </w:p>
          <w:p w14:paraId="1246BABD" w14:textId="77777777" w:rsidR="0026064F" w:rsidRPr="00344C0B" w:rsidRDefault="0026064F" w:rsidP="0026064F">
            <w:pPr>
              <w:widowControl/>
              <w:suppressAutoHyphens/>
              <w:rPr>
                <w:spacing w:val="-2"/>
              </w:rPr>
            </w:pPr>
            <w:r>
              <w:rPr>
                <w:spacing w:val="-2"/>
              </w:rPr>
              <w:t>Licensee of Station WHB714</w:t>
            </w:r>
            <w:r>
              <w:rPr>
                <w:spacing w:val="-2"/>
              </w:rPr>
              <w:br/>
              <w:t>West Seneca, New York</w:t>
            </w:r>
          </w:p>
        </w:tc>
        <w:tc>
          <w:tcPr>
            <w:tcW w:w="630" w:type="dxa"/>
          </w:tcPr>
          <w:p w14:paraId="1246BABE" w14:textId="77777777" w:rsidR="00E273E3" w:rsidRPr="00344C0B" w:rsidRDefault="00E273E3" w:rsidP="002659F3">
            <w:pPr>
              <w:widowControl/>
              <w:suppressAutoHyphens/>
              <w:rPr>
                <w:spacing w:val="-2"/>
              </w:rPr>
            </w:pPr>
            <w:r w:rsidRPr="00344C0B">
              <w:rPr>
                <w:spacing w:val="-2"/>
              </w:rPr>
              <w:t>)</w:t>
            </w:r>
          </w:p>
          <w:p w14:paraId="1246BABF" w14:textId="77777777" w:rsidR="00E273E3" w:rsidRPr="00344C0B" w:rsidRDefault="00E273E3" w:rsidP="002659F3">
            <w:pPr>
              <w:widowControl/>
              <w:suppressAutoHyphens/>
              <w:rPr>
                <w:spacing w:val="-2"/>
              </w:rPr>
            </w:pPr>
            <w:r w:rsidRPr="00344C0B">
              <w:rPr>
                <w:spacing w:val="-2"/>
              </w:rPr>
              <w:t>)</w:t>
            </w:r>
          </w:p>
          <w:p w14:paraId="1246BAC0" w14:textId="77777777" w:rsidR="00E273E3" w:rsidRPr="00344C0B" w:rsidRDefault="00E273E3" w:rsidP="002659F3">
            <w:pPr>
              <w:widowControl/>
              <w:suppressAutoHyphens/>
              <w:rPr>
                <w:spacing w:val="-2"/>
              </w:rPr>
            </w:pPr>
            <w:r w:rsidRPr="00344C0B">
              <w:rPr>
                <w:spacing w:val="-2"/>
              </w:rPr>
              <w:t>)</w:t>
            </w:r>
          </w:p>
          <w:p w14:paraId="1246BAC1" w14:textId="77777777" w:rsidR="0026064F" w:rsidRDefault="0026064F" w:rsidP="002659F3">
            <w:pPr>
              <w:widowControl/>
              <w:suppressAutoHyphens/>
              <w:rPr>
                <w:spacing w:val="-2"/>
              </w:rPr>
            </w:pPr>
            <w:r w:rsidRPr="00344C0B">
              <w:rPr>
                <w:spacing w:val="-2"/>
              </w:rPr>
              <w:t>)</w:t>
            </w:r>
          </w:p>
          <w:p w14:paraId="1246BAC2" w14:textId="77777777" w:rsidR="00E273E3" w:rsidRPr="00344C0B" w:rsidRDefault="00E273E3" w:rsidP="002659F3">
            <w:pPr>
              <w:widowControl/>
              <w:suppressAutoHyphens/>
              <w:rPr>
                <w:spacing w:val="-2"/>
              </w:rPr>
            </w:pPr>
            <w:r w:rsidRPr="00344C0B">
              <w:rPr>
                <w:spacing w:val="-2"/>
              </w:rPr>
              <w:t>)</w:t>
            </w:r>
          </w:p>
          <w:p w14:paraId="1246BAC3" w14:textId="77777777" w:rsidR="00E273E3" w:rsidRPr="00344C0B" w:rsidRDefault="00E273E3" w:rsidP="002659F3">
            <w:pPr>
              <w:widowControl/>
              <w:suppressAutoHyphens/>
              <w:rPr>
                <w:spacing w:val="-2"/>
              </w:rPr>
            </w:pPr>
            <w:r w:rsidRPr="00344C0B">
              <w:rPr>
                <w:spacing w:val="-2"/>
              </w:rPr>
              <w:t>)</w:t>
            </w:r>
          </w:p>
        </w:tc>
        <w:tc>
          <w:tcPr>
            <w:tcW w:w="4248" w:type="dxa"/>
          </w:tcPr>
          <w:p w14:paraId="1246BAC4" w14:textId="77777777" w:rsidR="00E273E3" w:rsidRPr="00344C0B" w:rsidRDefault="00E273E3" w:rsidP="002659F3">
            <w:pPr>
              <w:widowControl/>
              <w:suppressAutoHyphens/>
              <w:rPr>
                <w:spacing w:val="-2"/>
              </w:rPr>
            </w:pPr>
          </w:p>
          <w:p w14:paraId="1246BAC5" w14:textId="77777777" w:rsidR="00E273E3" w:rsidRPr="00344C0B" w:rsidRDefault="00E273E3" w:rsidP="002659F3">
            <w:pPr>
              <w:widowControl/>
              <w:suppressAutoHyphens/>
              <w:rPr>
                <w:spacing w:val="-2"/>
              </w:rPr>
            </w:pPr>
          </w:p>
          <w:p w14:paraId="1246BAC6" w14:textId="77777777" w:rsidR="00E273E3" w:rsidRPr="0007571D" w:rsidRDefault="00E273E3" w:rsidP="00EE05DB">
            <w:pPr>
              <w:widowControl/>
              <w:suppressAutoHyphens/>
              <w:ind w:left="432"/>
              <w:rPr>
                <w:spacing w:val="-2"/>
              </w:rPr>
            </w:pPr>
            <w:r w:rsidRPr="00344C0B">
              <w:rPr>
                <w:spacing w:val="-2"/>
              </w:rPr>
              <w:t>File No.:  EB-</w:t>
            </w:r>
            <w:r w:rsidR="0026064F">
              <w:rPr>
                <w:spacing w:val="-2"/>
              </w:rPr>
              <w:t>FIELDNER</w:t>
            </w:r>
            <w:r w:rsidRPr="00344C0B">
              <w:rPr>
                <w:spacing w:val="-2"/>
              </w:rPr>
              <w:t>-</w:t>
            </w:r>
            <w:r w:rsidR="0026064F">
              <w:rPr>
                <w:spacing w:val="-2"/>
              </w:rPr>
              <w:t>13</w:t>
            </w:r>
            <w:r w:rsidRPr="00344C0B">
              <w:rPr>
                <w:spacing w:val="-2"/>
              </w:rPr>
              <w:t>-</w:t>
            </w:r>
            <w:r w:rsidR="0026064F">
              <w:rPr>
                <w:spacing w:val="-2"/>
              </w:rPr>
              <w:t>00011961</w:t>
            </w:r>
          </w:p>
          <w:p w14:paraId="1246BAC7" w14:textId="77777777" w:rsidR="00E273E3" w:rsidRPr="0007571D" w:rsidRDefault="00E273E3" w:rsidP="00EE05DB">
            <w:pPr>
              <w:widowControl/>
              <w:suppressAutoHyphens/>
              <w:ind w:left="432"/>
              <w:rPr>
                <w:spacing w:val="-2"/>
              </w:rPr>
            </w:pPr>
            <w:r w:rsidRPr="00344C0B">
              <w:rPr>
                <w:spacing w:val="-2"/>
              </w:rPr>
              <w:t xml:space="preserve">NAL/Acct. No.:  </w:t>
            </w:r>
            <w:r w:rsidR="0026064F">
              <w:rPr>
                <w:spacing w:val="-2"/>
              </w:rPr>
              <w:t>201432400012</w:t>
            </w:r>
          </w:p>
          <w:p w14:paraId="1246BAC8" w14:textId="77777777" w:rsidR="00E273E3" w:rsidRDefault="00E273E3" w:rsidP="0026064F">
            <w:pPr>
              <w:widowControl/>
              <w:suppressAutoHyphens/>
              <w:ind w:left="432"/>
              <w:rPr>
                <w:spacing w:val="-2"/>
              </w:rPr>
            </w:pPr>
            <w:r w:rsidRPr="00344C0B">
              <w:rPr>
                <w:spacing w:val="-2"/>
              </w:rPr>
              <w:t xml:space="preserve">FRN:  </w:t>
            </w:r>
            <w:r w:rsidR="0026064F">
              <w:rPr>
                <w:spacing w:val="-2"/>
              </w:rPr>
              <w:t>0007293087</w:t>
            </w:r>
          </w:p>
          <w:p w14:paraId="1246BAC9" w14:textId="77777777" w:rsidR="0026064F" w:rsidRPr="0007571D" w:rsidRDefault="0026064F" w:rsidP="0026064F">
            <w:pPr>
              <w:widowControl/>
              <w:suppressAutoHyphens/>
              <w:ind w:left="432"/>
              <w:rPr>
                <w:spacing w:val="-2"/>
              </w:rPr>
            </w:pPr>
            <w:r>
              <w:rPr>
                <w:spacing w:val="-2"/>
              </w:rPr>
              <w:t>Facility ID No.: 39517</w:t>
            </w:r>
          </w:p>
        </w:tc>
      </w:tr>
    </w:tbl>
    <w:p w14:paraId="1246BACB" w14:textId="77777777" w:rsidR="00E273E3" w:rsidRPr="00344C0B" w:rsidRDefault="00E273E3" w:rsidP="002659F3">
      <w:pPr>
        <w:widowControl/>
      </w:pPr>
    </w:p>
    <w:p w14:paraId="1246BACC" w14:textId="77777777" w:rsidR="00E273E3" w:rsidRPr="00344C0B" w:rsidRDefault="00E273E3" w:rsidP="002659F3">
      <w:pPr>
        <w:pStyle w:val="StyleBoldCentered"/>
        <w:widowControl/>
        <w:spacing w:after="220"/>
      </w:pPr>
      <w:r w:rsidRPr="00344C0B">
        <w:t>forfeiture ORDER</w:t>
      </w:r>
    </w:p>
    <w:p w14:paraId="1246BACD" w14:textId="6738EC22" w:rsidR="00E273E3" w:rsidRPr="0007571D" w:rsidRDefault="00E273E3" w:rsidP="00226191">
      <w:pPr>
        <w:widowControl/>
        <w:tabs>
          <w:tab w:val="right" w:pos="9360"/>
        </w:tabs>
        <w:suppressAutoHyphens/>
        <w:rPr>
          <w:spacing w:val="-2"/>
        </w:rPr>
      </w:pPr>
      <w:r w:rsidRPr="00344C0B">
        <w:rPr>
          <w:b/>
          <w:spacing w:val="-2"/>
        </w:rPr>
        <w:t xml:space="preserve">Adopted:  </w:t>
      </w:r>
      <w:r w:rsidR="00CB7613">
        <w:rPr>
          <w:b/>
          <w:spacing w:val="-2"/>
        </w:rPr>
        <w:t>October 22, 2015</w:t>
      </w:r>
      <w:r w:rsidR="006D2212" w:rsidRPr="0007571D">
        <w:rPr>
          <w:b/>
          <w:spacing w:val="-2"/>
        </w:rPr>
        <w:tab/>
        <w:t xml:space="preserve">Released:  </w:t>
      </w:r>
      <w:r w:rsidR="00CB7613">
        <w:rPr>
          <w:b/>
          <w:spacing w:val="-2"/>
        </w:rPr>
        <w:t>October 22, 2015</w:t>
      </w:r>
    </w:p>
    <w:p w14:paraId="1246BACE" w14:textId="77777777" w:rsidR="00E273E3" w:rsidRPr="00344C0B" w:rsidRDefault="00E273E3" w:rsidP="00EE05DB">
      <w:pPr>
        <w:widowControl/>
        <w:jc w:val="center"/>
      </w:pPr>
    </w:p>
    <w:p w14:paraId="1246BACF" w14:textId="77777777" w:rsidR="00E273E3" w:rsidRPr="00344C0B" w:rsidRDefault="00E273E3" w:rsidP="002659F3">
      <w:pPr>
        <w:widowControl/>
        <w:rPr>
          <w:spacing w:val="-2"/>
        </w:rPr>
      </w:pPr>
      <w:r w:rsidRPr="00344C0B">
        <w:t xml:space="preserve">By the </w:t>
      </w:r>
      <w:r w:rsidR="0026064F">
        <w:t>Regional Director, Northeast Region, Enforcement Bureau</w:t>
      </w:r>
      <w:r w:rsidRPr="0007571D">
        <w:rPr>
          <w:spacing w:val="-2"/>
        </w:rPr>
        <w:t>:</w:t>
      </w:r>
    </w:p>
    <w:p w14:paraId="1246BAD0" w14:textId="77777777" w:rsidR="00E273E3" w:rsidRPr="00344C0B" w:rsidRDefault="00E273E3" w:rsidP="002659F3">
      <w:pPr>
        <w:widowControl/>
        <w:rPr>
          <w:spacing w:val="-2"/>
        </w:rPr>
      </w:pPr>
    </w:p>
    <w:p w14:paraId="1246BAD1" w14:textId="77777777" w:rsidR="00E273E3" w:rsidRPr="00344C0B" w:rsidRDefault="00E273E3" w:rsidP="00226191">
      <w:pPr>
        <w:pStyle w:val="Heading1"/>
      </w:pPr>
      <w:bookmarkStart w:id="1" w:name="_Toc379288998"/>
      <w:bookmarkStart w:id="2" w:name="_Toc379365499"/>
      <w:r w:rsidRPr="00344C0B">
        <w:t>INTRODUCTION</w:t>
      </w:r>
      <w:bookmarkEnd w:id="1"/>
      <w:bookmarkEnd w:id="2"/>
    </w:p>
    <w:p w14:paraId="1246BAD2" w14:textId="35044247" w:rsidR="00B95147" w:rsidRDefault="00E273E3" w:rsidP="00C37DEA">
      <w:pPr>
        <w:pStyle w:val="ParaNum"/>
      </w:pPr>
      <w:r w:rsidRPr="00344C0B">
        <w:t>We impose a penalty of $</w:t>
      </w:r>
      <w:r w:rsidR="0026064F">
        <w:t>6,400</w:t>
      </w:r>
      <w:r w:rsidRPr="0007571D">
        <w:t xml:space="preserve"> against </w:t>
      </w:r>
      <w:r w:rsidR="0026064F">
        <w:t xml:space="preserve">M.J. Phillips Communications, Inc. (Phillips) for operating its studio-transmitter link (STL) from an unauthorized location in West Seneca, New York. Unauthorized operations undermine the Commission’s radio licensing system and potentially interfere with licensed communications. </w:t>
      </w:r>
      <w:r w:rsidR="00B95147">
        <w:t xml:space="preserve">Phillips acknowledged that it operated the STL station from an unauthorized location and continued to operate the STL station in this manner even after being warned by the Commission twice in writing that such action violated the law.  </w:t>
      </w:r>
    </w:p>
    <w:p w14:paraId="1246BAD3" w14:textId="13B04A9A" w:rsidR="00E273E3" w:rsidRPr="00344C0B" w:rsidRDefault="00B95147" w:rsidP="009909F1">
      <w:pPr>
        <w:pStyle w:val="ParaNum"/>
      </w:pPr>
      <w:r>
        <w:t xml:space="preserve">Phillips requests that the penalty be cancelled or substantially reduced because it claims the alleged violation was performed inadvertently and the burden of the penalty would be difficult to </w:t>
      </w:r>
      <w:r w:rsidR="009909F1">
        <w:t>pay</w:t>
      </w:r>
      <w:r>
        <w:t xml:space="preserve"> because the station only receives modest revenues. </w:t>
      </w:r>
      <w:r w:rsidR="007E5FD2">
        <w:t xml:space="preserve">We reject these arguments.  </w:t>
      </w:r>
      <w:r>
        <w:t xml:space="preserve">Inadvertent mistakes </w:t>
      </w:r>
      <w:r w:rsidR="009909F1">
        <w:t xml:space="preserve">do not serve as a basis to reduce a forfeiture. Additionally, the financial information </w:t>
      </w:r>
      <w:r w:rsidR="007E5FD2">
        <w:t>submitted by</w:t>
      </w:r>
      <w:r w:rsidR="009909F1">
        <w:t xml:space="preserve"> Phillips does not support its inability to pay</w:t>
      </w:r>
      <w:r w:rsidR="007E5FD2">
        <w:t xml:space="preserve"> claim</w:t>
      </w:r>
      <w:r w:rsidR="009909F1">
        <w:t xml:space="preserve">. </w:t>
      </w:r>
      <w:r w:rsidR="0078649E" w:rsidRPr="009909F1">
        <w:rPr>
          <w:szCs w:val="22"/>
        </w:rPr>
        <w:t xml:space="preserve">After reviewing </w:t>
      </w:r>
      <w:r w:rsidR="009909F1">
        <w:t>Phillips’s</w:t>
      </w:r>
      <w:r w:rsidR="0078649E" w:rsidRPr="0007571D">
        <w:t xml:space="preserve"> </w:t>
      </w:r>
      <w:r w:rsidR="0078649E" w:rsidRPr="009909F1">
        <w:rPr>
          <w:szCs w:val="22"/>
        </w:rPr>
        <w:t xml:space="preserve">response to the </w:t>
      </w:r>
      <w:r w:rsidR="006E3BFF">
        <w:rPr>
          <w:szCs w:val="22"/>
        </w:rPr>
        <w:t>Notice of Apparent Liability and Order (</w:t>
      </w:r>
      <w:r w:rsidR="0078649E" w:rsidRPr="009909F1">
        <w:rPr>
          <w:i/>
          <w:szCs w:val="22"/>
        </w:rPr>
        <w:t>NAL</w:t>
      </w:r>
      <w:r w:rsidR="006E3BFF">
        <w:rPr>
          <w:szCs w:val="22"/>
        </w:rPr>
        <w:t>)</w:t>
      </w:r>
      <w:r w:rsidR="0078649E" w:rsidRPr="009909F1">
        <w:rPr>
          <w:szCs w:val="22"/>
        </w:rPr>
        <w:t>,</w:t>
      </w:r>
      <w:r w:rsidR="006E3BFF">
        <w:rPr>
          <w:rStyle w:val="FootnoteReference"/>
          <w:szCs w:val="22"/>
        </w:rPr>
        <w:footnoteReference w:id="2"/>
      </w:r>
      <w:r w:rsidR="0078649E" w:rsidRPr="009909F1">
        <w:rPr>
          <w:szCs w:val="22"/>
        </w:rPr>
        <w:t xml:space="preserve"> we find no reason to cancel, withdraw, or reduce the proposed </w:t>
      </w:r>
      <w:r w:rsidR="00CA60E2" w:rsidRPr="009909F1">
        <w:rPr>
          <w:szCs w:val="22"/>
        </w:rPr>
        <w:t>penalty</w:t>
      </w:r>
      <w:r w:rsidR="0078649E" w:rsidRPr="009909F1">
        <w:rPr>
          <w:szCs w:val="22"/>
        </w:rPr>
        <w:t>, and</w:t>
      </w:r>
      <w:r w:rsidR="00CA60E2" w:rsidRPr="009909F1">
        <w:rPr>
          <w:szCs w:val="22"/>
        </w:rPr>
        <w:t xml:space="preserve"> we</w:t>
      </w:r>
      <w:r w:rsidR="0078649E" w:rsidRPr="009909F1">
        <w:rPr>
          <w:szCs w:val="22"/>
        </w:rPr>
        <w:t xml:space="preserve"> therefore assess the $</w:t>
      </w:r>
      <w:r w:rsidR="009909F1">
        <w:t>6,400</w:t>
      </w:r>
      <w:r w:rsidR="0078649E" w:rsidRPr="009909F1">
        <w:rPr>
          <w:szCs w:val="22"/>
        </w:rPr>
        <w:t xml:space="preserve"> forfeiture </w:t>
      </w:r>
      <w:r w:rsidR="008D1BE7" w:rsidRPr="009909F1">
        <w:rPr>
          <w:szCs w:val="22"/>
        </w:rPr>
        <w:t xml:space="preserve">the </w:t>
      </w:r>
      <w:r w:rsidR="009909F1">
        <w:rPr>
          <w:szCs w:val="22"/>
        </w:rPr>
        <w:t xml:space="preserve">Enforcement </w:t>
      </w:r>
      <w:r w:rsidR="008D1BE7" w:rsidRPr="009909F1">
        <w:rPr>
          <w:szCs w:val="22"/>
        </w:rPr>
        <w:t>Bureau</w:t>
      </w:r>
      <w:r w:rsidR="007E5FD2">
        <w:rPr>
          <w:szCs w:val="22"/>
        </w:rPr>
        <w:t xml:space="preserve"> (Bureau)</w:t>
      </w:r>
      <w:r w:rsidR="0078649E" w:rsidRPr="009909F1">
        <w:rPr>
          <w:szCs w:val="22"/>
        </w:rPr>
        <w:t xml:space="preserve"> previously proposed.</w:t>
      </w:r>
      <w:r w:rsidR="00A204BA" w:rsidRPr="00344C0B">
        <w:t xml:space="preserve"> </w:t>
      </w:r>
      <w:r w:rsidR="00E273E3" w:rsidRPr="00344C0B">
        <w:t xml:space="preserve">     </w:t>
      </w:r>
    </w:p>
    <w:p w14:paraId="1246BAD4" w14:textId="77777777" w:rsidR="00E273E3" w:rsidRPr="00344C0B" w:rsidRDefault="00E273E3" w:rsidP="00226191">
      <w:pPr>
        <w:pStyle w:val="Heading1"/>
      </w:pPr>
      <w:bookmarkStart w:id="3" w:name="_Toc379288999"/>
      <w:bookmarkStart w:id="4" w:name="_Toc379365500"/>
      <w:r w:rsidRPr="00344C0B">
        <w:t>BACKGROUND</w:t>
      </w:r>
      <w:bookmarkEnd w:id="3"/>
      <w:bookmarkEnd w:id="4"/>
    </w:p>
    <w:p w14:paraId="1246BAD5" w14:textId="74740A88" w:rsidR="003211A2" w:rsidRPr="00E71B93" w:rsidRDefault="003211A2" w:rsidP="00510914">
      <w:pPr>
        <w:pStyle w:val="ParaNum"/>
        <w:rPr>
          <w:snapToGrid/>
        </w:rPr>
      </w:pPr>
      <w:r w:rsidRPr="00E71B93">
        <w:rPr>
          <w:snapToGrid/>
        </w:rPr>
        <w:t>On March 6 and March 7, 2013, agents from the Bureau’s Philadelphia Office (Philadelphia Office) conducted an inspection of Station WHB714 in response to a complaint of unauthorized operation.</w:t>
      </w:r>
      <w:r>
        <w:rPr>
          <w:rStyle w:val="FootnoteReference"/>
          <w:snapToGrid/>
        </w:rPr>
        <w:footnoteReference w:id="3"/>
      </w:r>
      <w:r w:rsidRPr="00E71B93">
        <w:rPr>
          <w:snapToGrid/>
        </w:rPr>
        <w:t xml:space="preserve"> </w:t>
      </w:r>
      <w:r w:rsidR="007E5FD2">
        <w:rPr>
          <w:snapToGrid/>
        </w:rPr>
        <w:t xml:space="preserve">Using </w:t>
      </w:r>
      <w:r w:rsidRPr="00E71B93">
        <w:rPr>
          <w:snapToGrid/>
        </w:rPr>
        <w:t>mobile direction finding techniques</w:t>
      </w:r>
      <w:r w:rsidR="007E5FD2">
        <w:rPr>
          <w:snapToGrid/>
        </w:rPr>
        <w:t>, agents were able to determine</w:t>
      </w:r>
      <w:r w:rsidRPr="00E71B93">
        <w:rPr>
          <w:snapToGrid/>
        </w:rPr>
        <w:t xml:space="preserve"> that Station WHB714 was operating from 976-B Union Road, West Seneca, New York (Union Road Site).</w:t>
      </w:r>
      <w:r>
        <w:rPr>
          <w:rStyle w:val="FootnoteReference"/>
          <w:snapToGrid/>
        </w:rPr>
        <w:footnoteReference w:id="4"/>
      </w:r>
      <w:r w:rsidRPr="00E71B93">
        <w:rPr>
          <w:snapToGrid/>
        </w:rPr>
        <w:t xml:space="preserve"> </w:t>
      </w:r>
      <w:r w:rsidR="007E5FD2">
        <w:rPr>
          <w:snapToGrid/>
        </w:rPr>
        <w:t>However, a</w:t>
      </w:r>
      <w:r w:rsidRPr="00E71B93">
        <w:rPr>
          <w:snapToGrid/>
        </w:rPr>
        <w:t xml:space="preserve">ccording to its authorization, the licensed location for Station WHB714 is 1223 Main Street, Niagara Falls, New York (Main Street Site), </w:t>
      </w:r>
      <w:r w:rsidR="007E5FD2">
        <w:rPr>
          <w:snapToGrid/>
        </w:rPr>
        <w:t xml:space="preserve">which is </w:t>
      </w:r>
      <w:r w:rsidRPr="00E71B93">
        <w:rPr>
          <w:snapToGrid/>
        </w:rPr>
        <w:t xml:space="preserve">24.3 </w:t>
      </w:r>
      <w:r w:rsidR="006E5193">
        <w:rPr>
          <w:snapToGrid/>
        </w:rPr>
        <w:t>miles from the Union Road Site.</w:t>
      </w:r>
      <w:r w:rsidR="006E5193">
        <w:rPr>
          <w:rStyle w:val="FootnoteReference"/>
          <w:snapToGrid/>
        </w:rPr>
        <w:footnoteReference w:id="5"/>
      </w:r>
      <w:r w:rsidRPr="00E71B93">
        <w:rPr>
          <w:snapToGrid/>
        </w:rPr>
        <w:t xml:space="preserve"> Agents </w:t>
      </w:r>
      <w:r w:rsidR="007E5FD2">
        <w:rPr>
          <w:snapToGrid/>
        </w:rPr>
        <w:t>additionally</w:t>
      </w:r>
      <w:r w:rsidR="007E5FD2" w:rsidRPr="00E71B93">
        <w:rPr>
          <w:snapToGrid/>
        </w:rPr>
        <w:t xml:space="preserve"> </w:t>
      </w:r>
      <w:r w:rsidRPr="00E71B93">
        <w:rPr>
          <w:snapToGrid/>
        </w:rPr>
        <w:t xml:space="preserve">discovered that Station WHB714 was operating on frequency 947.0 MHz, instead of its </w:t>
      </w:r>
      <w:r w:rsidRPr="00E71B93">
        <w:rPr>
          <w:snapToGrid/>
        </w:rPr>
        <w:lastRenderedPageBreak/>
        <w:t>authorized frequency of 947.5 MHz.</w:t>
      </w:r>
      <w:r w:rsidR="006E5193">
        <w:rPr>
          <w:rStyle w:val="FootnoteReference"/>
          <w:snapToGrid/>
        </w:rPr>
        <w:footnoteReference w:id="6"/>
      </w:r>
      <w:r w:rsidRPr="00E71B93">
        <w:rPr>
          <w:snapToGrid/>
        </w:rPr>
        <w:t xml:space="preserve"> On March 25, 2013, the Philadelphia Office issued a Notice of Violation (First NOV) to Phillips for operating Station WHB714 at an unauthorized location and on an unauthorized frequency.</w:t>
      </w:r>
      <w:r w:rsidR="006E5193">
        <w:rPr>
          <w:rStyle w:val="FootnoteReference"/>
          <w:snapToGrid/>
        </w:rPr>
        <w:footnoteReference w:id="7"/>
      </w:r>
      <w:r w:rsidRPr="00E71B93">
        <w:rPr>
          <w:snapToGrid/>
        </w:rPr>
        <w:t xml:space="preserve"> </w:t>
      </w:r>
      <w:r w:rsidR="007E5FD2">
        <w:rPr>
          <w:snapToGrid/>
        </w:rPr>
        <w:t>Phillips responded to the</w:t>
      </w:r>
      <w:r w:rsidRPr="00E71B93">
        <w:rPr>
          <w:snapToGrid/>
        </w:rPr>
        <w:t xml:space="preserve"> First NOV</w:t>
      </w:r>
      <w:r w:rsidR="007E5FD2">
        <w:rPr>
          <w:snapToGrid/>
        </w:rPr>
        <w:t xml:space="preserve"> and</w:t>
      </w:r>
      <w:r w:rsidRPr="00E71B93">
        <w:rPr>
          <w:snapToGrid/>
        </w:rPr>
        <w:t xml:space="preserve"> acknowledged that it was operating Station WHB714 from an unauthorized location and on an unau</w:t>
      </w:r>
      <w:r w:rsidR="00A4446E">
        <w:rPr>
          <w:snapToGrid/>
        </w:rPr>
        <w:t>thorized frequency.</w:t>
      </w:r>
      <w:r w:rsidR="00A4446E">
        <w:rPr>
          <w:rStyle w:val="FootnoteReference"/>
          <w:snapToGrid/>
        </w:rPr>
        <w:footnoteReference w:id="8"/>
      </w:r>
      <w:r w:rsidRPr="00E71B93">
        <w:rPr>
          <w:snapToGrid/>
        </w:rPr>
        <w:t xml:space="preserve"> Phillips stated that it had retuned Station WHB714 to operate on its authorized frequency and was in the process of applying for authority to operate Station WH</w:t>
      </w:r>
      <w:r w:rsidR="00A4446E">
        <w:rPr>
          <w:snapToGrid/>
        </w:rPr>
        <w:t>B714 from the Union Road Site.</w:t>
      </w:r>
      <w:r w:rsidR="00A4446E">
        <w:rPr>
          <w:rStyle w:val="FootnoteReference"/>
          <w:snapToGrid/>
        </w:rPr>
        <w:footnoteReference w:id="9"/>
      </w:r>
    </w:p>
    <w:p w14:paraId="1246BAD6" w14:textId="22C4F9F2" w:rsidR="003211A2" w:rsidRPr="00E71B93" w:rsidRDefault="003211A2" w:rsidP="00510914">
      <w:pPr>
        <w:pStyle w:val="ParaNum"/>
        <w:rPr>
          <w:snapToGrid/>
        </w:rPr>
      </w:pPr>
      <w:r w:rsidRPr="00E71B93">
        <w:rPr>
          <w:snapToGrid/>
        </w:rPr>
        <w:t xml:space="preserve">On October 24, 2013, agents from the Philadelphia Office </w:t>
      </w:r>
      <w:r w:rsidR="007E5FD2">
        <w:rPr>
          <w:snapToGrid/>
        </w:rPr>
        <w:t>again inspected</w:t>
      </w:r>
      <w:r w:rsidRPr="00E71B93">
        <w:rPr>
          <w:snapToGrid/>
        </w:rPr>
        <w:t xml:space="preserve"> Station WHB714 and found that it was still operating from th</w:t>
      </w:r>
      <w:r w:rsidR="00A4446E">
        <w:rPr>
          <w:snapToGrid/>
        </w:rPr>
        <w:t>e unauthorized Union Road Site.</w:t>
      </w:r>
      <w:r w:rsidR="00A4446E">
        <w:rPr>
          <w:rStyle w:val="FootnoteReference"/>
          <w:snapToGrid/>
        </w:rPr>
        <w:footnoteReference w:id="10"/>
      </w:r>
      <w:r w:rsidRPr="00E71B93">
        <w:rPr>
          <w:snapToGrid/>
        </w:rPr>
        <w:t xml:space="preserve"> During the</w:t>
      </w:r>
      <w:r w:rsidR="00A4446E">
        <w:rPr>
          <w:snapToGrid/>
        </w:rPr>
        <w:t xml:space="preserve"> second</w:t>
      </w:r>
      <w:r w:rsidRPr="00E71B93">
        <w:rPr>
          <w:snapToGrid/>
        </w:rPr>
        <w:t xml:space="preserve"> inspection, Phillips was unable to provide the agents with any evidence that it had sought authorization from the Commission to operate Station WHB714 from the Union Road Site.</w:t>
      </w:r>
      <w:r w:rsidR="00A4446E">
        <w:rPr>
          <w:rStyle w:val="FootnoteReference"/>
          <w:snapToGrid/>
        </w:rPr>
        <w:footnoteReference w:id="11"/>
      </w:r>
      <w:r w:rsidR="00A4446E">
        <w:rPr>
          <w:snapToGrid/>
        </w:rPr>
        <w:t xml:space="preserve"> </w:t>
      </w:r>
      <w:r w:rsidRPr="00E71B93">
        <w:rPr>
          <w:snapToGrid/>
        </w:rPr>
        <w:t xml:space="preserve">On November 27, 2013, the Philadelphia Office issued a second Notice of Violation </w:t>
      </w:r>
      <w:r w:rsidR="006E3BFF">
        <w:rPr>
          <w:snapToGrid/>
        </w:rPr>
        <w:t xml:space="preserve">(Second NOV) </w:t>
      </w:r>
      <w:r w:rsidRPr="00E71B93">
        <w:rPr>
          <w:snapToGrid/>
        </w:rPr>
        <w:t>to Phillips for operating Station WHB</w:t>
      </w:r>
      <w:r w:rsidR="00A4446E">
        <w:rPr>
          <w:snapToGrid/>
        </w:rPr>
        <w:t>714 at an unauthorized location.</w:t>
      </w:r>
      <w:r w:rsidR="00A4446E">
        <w:rPr>
          <w:rStyle w:val="FootnoteReference"/>
          <w:snapToGrid/>
        </w:rPr>
        <w:footnoteReference w:id="12"/>
      </w:r>
      <w:r w:rsidR="00A4446E">
        <w:rPr>
          <w:snapToGrid/>
        </w:rPr>
        <w:t xml:space="preserve"> </w:t>
      </w:r>
      <w:r w:rsidRPr="00E71B93">
        <w:rPr>
          <w:snapToGrid/>
        </w:rPr>
        <w:t xml:space="preserve"> </w:t>
      </w:r>
      <w:r w:rsidR="00CD4A8B">
        <w:rPr>
          <w:snapToGrid/>
        </w:rPr>
        <w:t xml:space="preserve"> Phillips responded, acknowledging the violation and </w:t>
      </w:r>
      <w:r w:rsidRPr="00E71B93">
        <w:rPr>
          <w:snapToGrid/>
        </w:rPr>
        <w:t>stating that its counsel failed to file the necessary application for authority to oper</w:t>
      </w:r>
      <w:r w:rsidR="00CD4A8B">
        <w:rPr>
          <w:snapToGrid/>
        </w:rPr>
        <w:t>ate from the Union Road Site.</w:t>
      </w:r>
      <w:r w:rsidR="00CD4A8B">
        <w:rPr>
          <w:rStyle w:val="FootnoteReference"/>
          <w:snapToGrid/>
        </w:rPr>
        <w:footnoteReference w:id="13"/>
      </w:r>
    </w:p>
    <w:p w14:paraId="1246BAD7" w14:textId="1F0F1A01" w:rsidR="003211A2" w:rsidRDefault="003211A2" w:rsidP="00510914">
      <w:pPr>
        <w:pStyle w:val="ParaNum"/>
      </w:pPr>
      <w:r w:rsidRPr="00E71B93">
        <w:rPr>
          <w:snapToGrid/>
        </w:rPr>
        <w:t xml:space="preserve">On August 28, 2014, the Enforcement Bureau issued the </w:t>
      </w:r>
      <w:r w:rsidRPr="00510914">
        <w:rPr>
          <w:i/>
          <w:snapToGrid/>
        </w:rPr>
        <w:t>NAL</w:t>
      </w:r>
      <w:r w:rsidR="00F42536">
        <w:rPr>
          <w:snapToGrid/>
        </w:rPr>
        <w:t>,</w:t>
      </w:r>
      <w:r w:rsidRPr="00E71B93">
        <w:rPr>
          <w:snapToGrid/>
        </w:rPr>
        <w:t xml:space="preserve"> proposing a $6,400 forfeiture against Phillips for apparently willfully and repeatedly violating Section 301 of the Communications Act of 1934, as amended (Act),</w:t>
      </w:r>
      <w:r w:rsidR="00F42536">
        <w:rPr>
          <w:rStyle w:val="FootnoteReference"/>
          <w:snapToGrid/>
        </w:rPr>
        <w:footnoteReference w:id="14"/>
      </w:r>
      <w:r w:rsidRPr="00E71B93">
        <w:rPr>
          <w:snapToGrid/>
        </w:rPr>
        <w:t xml:space="preserve"> and Section 1.903(a) of</w:t>
      </w:r>
      <w:r w:rsidR="00154124">
        <w:rPr>
          <w:snapToGrid/>
        </w:rPr>
        <w:t xml:space="preserve"> the Commission’s rules (Rules)</w:t>
      </w:r>
      <w:r w:rsidR="00F42536">
        <w:rPr>
          <w:rStyle w:val="FootnoteReference"/>
          <w:snapToGrid/>
        </w:rPr>
        <w:footnoteReference w:id="15"/>
      </w:r>
      <w:r w:rsidRPr="00E71B93">
        <w:rPr>
          <w:snapToGrid/>
        </w:rPr>
        <w:t xml:space="preserve"> by operating Station WHB714 from a location other than its licensed location without </w:t>
      </w:r>
      <w:r w:rsidR="00236C37">
        <w:rPr>
          <w:snapToGrid/>
        </w:rPr>
        <w:t>prior Commission authorization.</w:t>
      </w:r>
      <w:r w:rsidR="00154124">
        <w:rPr>
          <w:rStyle w:val="FootnoteReference"/>
        </w:rPr>
        <w:footnoteReference w:id="16"/>
      </w:r>
    </w:p>
    <w:p w14:paraId="1246BAD8" w14:textId="66013483" w:rsidR="003211A2" w:rsidRPr="00E71B93" w:rsidRDefault="003211A2" w:rsidP="00510914">
      <w:pPr>
        <w:pStyle w:val="ParaNum"/>
        <w:rPr>
          <w:snapToGrid/>
        </w:rPr>
      </w:pPr>
      <w:r>
        <w:t xml:space="preserve">On October 17, 2014, Phillips a response to the </w:t>
      </w:r>
      <w:r w:rsidRPr="00510914">
        <w:rPr>
          <w:i/>
        </w:rPr>
        <w:t>NAL</w:t>
      </w:r>
      <w:r w:rsidR="00F42536">
        <w:rPr>
          <w:i/>
        </w:rPr>
        <w:t xml:space="preserve"> </w:t>
      </w:r>
      <w:r w:rsidR="00F42536">
        <w:t>(NAL Response)</w:t>
      </w:r>
      <w:r>
        <w:t>, requesting that the forfeiture be cancelled or reduced.</w:t>
      </w:r>
      <w:r w:rsidR="00236C37">
        <w:rPr>
          <w:rStyle w:val="FootnoteReference"/>
        </w:rPr>
        <w:footnoteReference w:id="17"/>
      </w:r>
      <w:r>
        <w:t xml:space="preserve"> </w:t>
      </w:r>
      <w:r w:rsidRPr="00E71B93">
        <w:rPr>
          <w:snapToGrid/>
        </w:rPr>
        <w:t xml:space="preserve">In its NAL </w:t>
      </w:r>
      <w:r w:rsidR="00F42536">
        <w:rPr>
          <w:snapToGrid/>
        </w:rPr>
        <w:t>R</w:t>
      </w:r>
      <w:r w:rsidRPr="00E71B93">
        <w:rPr>
          <w:snapToGrid/>
        </w:rPr>
        <w:t>esponse, Phillips admits that it operated Station WHB714 from an unauthorized location, but it contends that the unauthorized operation was inadvertent, which should serve as a mitigating factor towards cancelling or reducing the forfeiture.</w:t>
      </w:r>
      <w:r w:rsidR="00CF708B">
        <w:rPr>
          <w:rStyle w:val="FootnoteReference"/>
          <w:snapToGrid/>
        </w:rPr>
        <w:footnoteReference w:id="18"/>
      </w:r>
      <w:r w:rsidRPr="00E71B93">
        <w:rPr>
          <w:snapToGrid/>
        </w:rPr>
        <w:t xml:space="preserve"> </w:t>
      </w:r>
      <w:r w:rsidR="00F42536">
        <w:rPr>
          <w:snapToGrid/>
        </w:rPr>
        <w:t xml:space="preserve">Phillips </w:t>
      </w:r>
      <w:r w:rsidR="00F42536">
        <w:rPr>
          <w:snapToGrid/>
        </w:rPr>
        <w:lastRenderedPageBreak/>
        <w:t>a</w:t>
      </w:r>
      <w:r w:rsidRPr="00E71B93">
        <w:rPr>
          <w:snapToGrid/>
        </w:rPr>
        <w:t>dditionally</w:t>
      </w:r>
      <w:r w:rsidR="00F42536">
        <w:rPr>
          <w:snapToGrid/>
        </w:rPr>
        <w:t xml:space="preserve"> argues</w:t>
      </w:r>
      <w:r w:rsidRPr="00E71B93">
        <w:rPr>
          <w:snapToGrid/>
        </w:rPr>
        <w:t xml:space="preserve"> that </w:t>
      </w:r>
      <w:r w:rsidR="00F210E1">
        <w:rPr>
          <w:snapToGrid/>
        </w:rPr>
        <w:t>it is unable to pay the proposed forfeiture amount because</w:t>
      </w:r>
      <w:r w:rsidRPr="00E71B93">
        <w:rPr>
          <w:snapToGrid/>
        </w:rPr>
        <w:t xml:space="preserve"> its “limited facilities and coverage in a very competitive market make it impossible for Phillips to generate the revenue needed to have a financially successful operation.</w:t>
      </w:r>
      <w:r>
        <w:t>”</w:t>
      </w:r>
      <w:r w:rsidR="00CF708B">
        <w:rPr>
          <w:rStyle w:val="FootnoteReference"/>
        </w:rPr>
        <w:footnoteReference w:id="19"/>
      </w:r>
    </w:p>
    <w:p w14:paraId="1246BAD9" w14:textId="77777777" w:rsidR="003211A2" w:rsidRPr="00344C0B" w:rsidRDefault="003211A2" w:rsidP="003211A2">
      <w:pPr>
        <w:pStyle w:val="Heading1"/>
      </w:pPr>
      <w:bookmarkStart w:id="5" w:name="_Toc379289000"/>
      <w:bookmarkStart w:id="6" w:name="_Toc379365501"/>
      <w:r w:rsidRPr="00344C0B">
        <w:t>DISCUSSION</w:t>
      </w:r>
      <w:bookmarkEnd w:id="5"/>
      <w:bookmarkEnd w:id="6"/>
    </w:p>
    <w:p w14:paraId="1246BADA" w14:textId="4269C4CF" w:rsidR="003211A2" w:rsidRPr="00B65B18" w:rsidRDefault="003211A2" w:rsidP="009827C2">
      <w:pPr>
        <w:pStyle w:val="ParaNum"/>
      </w:pPr>
      <w:r w:rsidRPr="00344C0B">
        <w:t>The Bureau proposed a forfeiture in this case in accordance with Section 503(b) of th</w:t>
      </w:r>
      <w:r>
        <w:t xml:space="preserve">e </w:t>
      </w:r>
      <w:r w:rsidRPr="00344C0B">
        <w:t>Act,</w:t>
      </w:r>
      <w:r w:rsidRPr="0007571D">
        <w:rPr>
          <w:rStyle w:val="FootnoteReference"/>
        </w:rPr>
        <w:footnoteReference w:id="20"/>
      </w:r>
      <w:r w:rsidRPr="0007571D">
        <w:t xml:space="preserve"> Section 1.80 of the </w:t>
      </w:r>
      <w:r>
        <w:t>Rules</w:t>
      </w:r>
      <w:r w:rsidRPr="0007571D">
        <w:t>,</w:t>
      </w:r>
      <w:r w:rsidRPr="0007571D">
        <w:rPr>
          <w:vertAlign w:val="superscript"/>
        </w:rPr>
        <w:footnoteReference w:id="21"/>
      </w:r>
      <w:r w:rsidRPr="0007571D">
        <w:t xml:space="preserve"> and the Commissi</w:t>
      </w:r>
      <w:r w:rsidRPr="00344C0B">
        <w:t xml:space="preserve">on’s </w:t>
      </w:r>
      <w:r w:rsidRPr="00344C0B">
        <w:rPr>
          <w:i/>
        </w:rPr>
        <w:t xml:space="preserve">Forfeiture Policy </w:t>
      </w:r>
      <w:r w:rsidRPr="00344C0B">
        <w:rPr>
          <w:rFonts w:eastAsia="MS Mincho"/>
          <w:i/>
          <w:szCs w:val="22"/>
        </w:rPr>
        <w:t>Statement</w:t>
      </w:r>
      <w:r w:rsidRPr="00344C0B">
        <w:t>.</w:t>
      </w:r>
      <w:r w:rsidRPr="0007571D">
        <w:rPr>
          <w:rStyle w:val="FootnoteReference"/>
          <w:szCs w:val="22"/>
        </w:rPr>
        <w:footnoteReference w:id="22"/>
      </w:r>
      <w:r w:rsidRPr="0007571D">
        <w:t xml:space="preserve">  </w:t>
      </w:r>
      <w:r w:rsidRPr="00344C0B">
        <w:t xml:space="preserve">When we assess forfeitures, Section 503(b)(2)(E) requires that we take into account the “nature, circumstances, extent, and gravity of the violation and, with respect to the violator, the degree of culpability, any history of prior offenses, ability to pay, and </w:t>
      </w:r>
      <w:r w:rsidRPr="00510914">
        <w:rPr>
          <w:snapToGrid/>
        </w:rPr>
        <w:t>such</w:t>
      </w:r>
      <w:r w:rsidRPr="00344C0B">
        <w:t xml:space="preserve"> other matters as justice may require.”</w:t>
      </w:r>
      <w:r w:rsidRPr="0007571D">
        <w:rPr>
          <w:vertAlign w:val="superscript"/>
        </w:rPr>
        <w:footnoteReference w:id="23"/>
      </w:r>
      <w:r w:rsidRPr="0007571D">
        <w:t xml:space="preserve">  </w:t>
      </w:r>
      <w:r w:rsidRPr="00344C0B">
        <w:rPr>
          <w:szCs w:val="22"/>
        </w:rPr>
        <w:t xml:space="preserve">As discussed below, we have fully considered </w:t>
      </w:r>
      <w:r>
        <w:t>Phillips’</w:t>
      </w:r>
      <w:r w:rsidRPr="0007571D">
        <w:t xml:space="preserve"> </w:t>
      </w:r>
      <w:r w:rsidRPr="00344C0B">
        <w:rPr>
          <w:szCs w:val="22"/>
        </w:rPr>
        <w:t xml:space="preserve">response to the </w:t>
      </w:r>
      <w:r w:rsidRPr="00344C0B">
        <w:rPr>
          <w:i/>
          <w:szCs w:val="22"/>
        </w:rPr>
        <w:t>NAL</w:t>
      </w:r>
      <w:r>
        <w:rPr>
          <w:szCs w:val="22"/>
        </w:rPr>
        <w:t xml:space="preserve">, </w:t>
      </w:r>
      <w:r w:rsidRPr="00344C0B">
        <w:rPr>
          <w:szCs w:val="22"/>
        </w:rPr>
        <w:t>but we find none of the</w:t>
      </w:r>
      <w:r w:rsidR="00F210E1">
        <w:rPr>
          <w:szCs w:val="22"/>
        </w:rPr>
        <w:t xml:space="preserve"> arguments</w:t>
      </w:r>
      <w:r w:rsidRPr="00344C0B">
        <w:rPr>
          <w:szCs w:val="22"/>
        </w:rPr>
        <w:t xml:space="preserve"> persuasive.  We therefore affirm the $</w:t>
      </w:r>
      <w:r>
        <w:rPr>
          <w:szCs w:val="22"/>
        </w:rPr>
        <w:t>6,400</w:t>
      </w:r>
      <w:r w:rsidRPr="0007571D">
        <w:rPr>
          <w:szCs w:val="22"/>
        </w:rPr>
        <w:t xml:space="preserve"> forfeiture proposed in the </w:t>
      </w:r>
      <w:r w:rsidRPr="0007571D">
        <w:rPr>
          <w:i/>
          <w:szCs w:val="22"/>
        </w:rPr>
        <w:t>NAL.</w:t>
      </w:r>
    </w:p>
    <w:p w14:paraId="1246BADD" w14:textId="164B1B48" w:rsidR="003211A2" w:rsidRDefault="00F210E1" w:rsidP="003211A2">
      <w:pPr>
        <w:pStyle w:val="Heading2"/>
      </w:pPr>
      <w:r>
        <w:t>Ph</w:t>
      </w:r>
      <w:r w:rsidR="00686E85">
        <w:t>illips</w:t>
      </w:r>
      <w:r w:rsidR="00DC18A1">
        <w:t>’ Violation Does Not Warrant</w:t>
      </w:r>
      <w:r w:rsidR="003211A2">
        <w:t xml:space="preserve"> Forfeiture Reduction or Cancellation</w:t>
      </w:r>
      <w:r w:rsidR="00DC18A1">
        <w:t xml:space="preserve"> </w:t>
      </w:r>
    </w:p>
    <w:p w14:paraId="753EF9E9" w14:textId="647CEADA" w:rsidR="00F210E1" w:rsidRPr="00F210E1" w:rsidRDefault="00F210E1" w:rsidP="009827C2">
      <w:pPr>
        <w:pStyle w:val="ParaNum"/>
      </w:pPr>
      <w:r w:rsidRPr="003424D2">
        <w:rPr>
          <w:szCs w:val="22"/>
        </w:rPr>
        <w:t>Phillips</w:t>
      </w:r>
      <w:r>
        <w:rPr>
          <w:szCs w:val="22"/>
        </w:rPr>
        <w:t xml:space="preserve"> does not contest our finding</w:t>
      </w:r>
      <w:r w:rsidRPr="003424D2">
        <w:rPr>
          <w:szCs w:val="22"/>
        </w:rPr>
        <w:t xml:space="preserve"> that it</w:t>
      </w:r>
      <w:r w:rsidR="004C2320">
        <w:rPr>
          <w:szCs w:val="22"/>
        </w:rPr>
        <w:t xml:space="preserve"> willfully and repeatedly</w:t>
      </w:r>
      <w:r w:rsidRPr="003424D2">
        <w:rPr>
          <w:szCs w:val="22"/>
        </w:rPr>
        <w:t xml:space="preserve"> operated Station WHB714 from an unauthorized location</w:t>
      </w:r>
      <w:r>
        <w:rPr>
          <w:szCs w:val="22"/>
        </w:rPr>
        <w:t xml:space="preserve"> </w:t>
      </w:r>
      <w:r w:rsidRPr="003424D2">
        <w:rPr>
          <w:szCs w:val="22"/>
        </w:rPr>
        <w:t>in violation of its license and in violation of Section 301 of the Act and Section 1.903(a) of the Rules</w:t>
      </w:r>
      <w:r w:rsidR="004C2320">
        <w:rPr>
          <w:szCs w:val="22"/>
        </w:rPr>
        <w:t>.</w:t>
      </w:r>
      <w:r>
        <w:rPr>
          <w:rStyle w:val="FootnoteReference"/>
          <w:szCs w:val="22"/>
        </w:rPr>
        <w:footnoteReference w:id="24"/>
      </w:r>
      <w:r w:rsidR="004C2320">
        <w:rPr>
          <w:szCs w:val="22"/>
        </w:rPr>
        <w:t xml:space="preserve"> </w:t>
      </w:r>
      <w:r>
        <w:rPr>
          <w:szCs w:val="22"/>
        </w:rPr>
        <w:t>As defined by Section 312(f) (1) of the Act, “willful” is the “conscious and deliberate commission or omission of any act, irrespective of any intent to violate” the law.</w:t>
      </w:r>
      <w:r>
        <w:rPr>
          <w:rStyle w:val="FootnoteReference"/>
          <w:szCs w:val="22"/>
        </w:rPr>
        <w:footnoteReference w:id="25"/>
      </w:r>
      <w:r>
        <w:rPr>
          <w:szCs w:val="22"/>
        </w:rPr>
        <w:t xml:space="preserve"> “Repeated” means the commission or omission of such act more than once or for more than one day.</w:t>
      </w:r>
      <w:r>
        <w:rPr>
          <w:rStyle w:val="FootnoteReference"/>
          <w:szCs w:val="22"/>
        </w:rPr>
        <w:footnoteReference w:id="26"/>
      </w:r>
      <w:r>
        <w:rPr>
          <w:szCs w:val="22"/>
        </w:rPr>
        <w:t xml:space="preserve">  </w:t>
      </w:r>
    </w:p>
    <w:p w14:paraId="31F655C5" w14:textId="2B4281FA" w:rsidR="00F210E1" w:rsidRPr="003424D2" w:rsidRDefault="004C2320" w:rsidP="009827C2">
      <w:pPr>
        <w:pStyle w:val="ParaNum"/>
      </w:pPr>
      <w:r>
        <w:t xml:space="preserve">Rather, </w:t>
      </w:r>
      <w:r w:rsidR="00F210E1" w:rsidRPr="003424D2">
        <w:t>Phillips request</w:t>
      </w:r>
      <w:r>
        <w:t>s</w:t>
      </w:r>
      <w:r w:rsidR="00F210E1" w:rsidRPr="003424D2">
        <w:t xml:space="preserve"> that the forfeiture be cancelled or substantially reduced because the violation was performed.</w:t>
      </w:r>
      <w:r w:rsidR="00F210E1">
        <w:rPr>
          <w:rStyle w:val="FootnoteReference"/>
          <w:szCs w:val="22"/>
        </w:rPr>
        <w:footnoteReference w:id="27"/>
      </w:r>
      <w:r w:rsidR="00F210E1" w:rsidRPr="003424D2">
        <w:t xml:space="preserve"> Although </w:t>
      </w:r>
      <w:r w:rsidR="00F210E1" w:rsidRPr="00F210E1">
        <w:rPr>
          <w:szCs w:val="22"/>
        </w:rPr>
        <w:t>Phillips</w:t>
      </w:r>
      <w:r w:rsidR="00F210E1" w:rsidRPr="003424D2">
        <w:t xml:space="preserve"> </w:t>
      </w:r>
      <w:r w:rsidR="00F210E1" w:rsidRPr="00510914">
        <w:rPr>
          <w:snapToGrid/>
        </w:rPr>
        <w:t>acknowledged</w:t>
      </w:r>
      <w:r w:rsidR="00F210E1" w:rsidRPr="003424D2">
        <w:t xml:space="preserve"> that it was operating Station WHB714 at an unauthorized location, it continue</w:t>
      </w:r>
      <w:r w:rsidR="00F210E1">
        <w:t>d to do so until the time of its response to the Second NOV and still has not submitted a statement, signed under penalty of perjury, stating that its STL station is now operated in compliance with the Commission’s rules and consistent with its license.</w:t>
      </w:r>
      <w:r w:rsidR="00F210E1">
        <w:rPr>
          <w:rStyle w:val="FootnoteReference"/>
          <w:szCs w:val="22"/>
        </w:rPr>
        <w:footnoteReference w:id="28"/>
      </w:r>
      <w:r w:rsidR="00F210E1">
        <w:t xml:space="preserve"> </w:t>
      </w:r>
    </w:p>
    <w:p w14:paraId="1246BADE" w14:textId="225C17A3" w:rsidR="003211A2" w:rsidRPr="008D5868" w:rsidRDefault="003211A2" w:rsidP="009827C2">
      <w:pPr>
        <w:pStyle w:val="ParaNum"/>
      </w:pPr>
      <w:r>
        <w:t xml:space="preserve">Phillips contends that because the </w:t>
      </w:r>
      <w:r w:rsidRPr="00510914">
        <w:rPr>
          <w:snapToGrid/>
        </w:rPr>
        <w:t>violation</w:t>
      </w:r>
      <w:r>
        <w:t xml:space="preserve"> occurred inadvertently, the penalty should be cancelled or substantially reduced.</w:t>
      </w:r>
      <w:r w:rsidR="00E71A57">
        <w:rPr>
          <w:rStyle w:val="FootnoteReference"/>
        </w:rPr>
        <w:footnoteReference w:id="29"/>
      </w:r>
      <w:r w:rsidR="00E71A57">
        <w:t xml:space="preserve"> </w:t>
      </w:r>
      <w:r>
        <w:t>We have repeatedly held that “[i]nadvertent mistakes are not mitigating circumstances that can serve to justify a forfeiture reduction.”</w:t>
      </w:r>
      <w:r w:rsidR="00E71A57">
        <w:rPr>
          <w:rStyle w:val="FootnoteReference"/>
        </w:rPr>
        <w:footnoteReference w:id="30"/>
      </w:r>
      <w:r>
        <w:t xml:space="preserve"> TPhillips </w:t>
      </w:r>
      <w:r w:rsidR="002967B9">
        <w:t xml:space="preserve">admits that it </w:t>
      </w:r>
      <w:r>
        <w:t xml:space="preserve">failed to comply after being warned by the Commission in writing </w:t>
      </w:r>
      <w:r w:rsidR="002C19EF">
        <w:t>that it</w:t>
      </w:r>
      <w:r>
        <w:t xml:space="preserve"> was operating Station WHB714 in violation of the law over the course of the March 25, 2013 through November 27, 2013</w:t>
      </w:r>
      <w:r w:rsidR="002C19EF">
        <w:t>.</w:t>
      </w:r>
      <w:r w:rsidR="002C19EF">
        <w:rPr>
          <w:rStyle w:val="FootnoteReference"/>
        </w:rPr>
        <w:footnoteReference w:id="31"/>
      </w:r>
      <w:r>
        <w:t xml:space="preserve"> This extensive period of time should have afforded Phillips enough time to come within compliance, but no record exists of any showing that Phillips ever came into compliance with the Act or the Rules. </w:t>
      </w:r>
      <w:r w:rsidR="002967B9">
        <w:t xml:space="preserve">Accordingly, we find no basis to reduce or cancel the forfeiture. </w:t>
      </w:r>
    </w:p>
    <w:p w14:paraId="1246BADF" w14:textId="420387AE" w:rsidR="003211A2" w:rsidRDefault="003211A2" w:rsidP="003211A2">
      <w:pPr>
        <w:pStyle w:val="Heading2"/>
      </w:pPr>
      <w:r>
        <w:t xml:space="preserve">Phillips Did Not Demonstrate an Inability to Pay Warranting Forfeiture Cancellation or Reduction </w:t>
      </w:r>
    </w:p>
    <w:p w14:paraId="1246BAE2" w14:textId="2D1EA110" w:rsidR="003211A2" w:rsidRPr="00C60BA6" w:rsidRDefault="003211A2" w:rsidP="00510914">
      <w:pPr>
        <w:pStyle w:val="ParaNum"/>
        <w:numPr>
          <w:ilvl w:val="0"/>
          <w:numId w:val="0"/>
        </w:numPr>
      </w:pPr>
      <w:r>
        <w:t>Phillips requests that the forfeiture amount be substantially reduced or cancelled because the station only receives modest revenues.</w:t>
      </w:r>
      <w:r w:rsidR="009E3373">
        <w:rPr>
          <w:rStyle w:val="FootnoteReference"/>
        </w:rPr>
        <w:footnoteReference w:id="32"/>
      </w:r>
      <w:r>
        <w:t xml:space="preserve"> We have reviewed the financial documents submitted by Phillips and find that they do not justify a cancellation or reduction of the forfeiture based on an inability to pay. With regards to an inability to pay claim, the Commission has determined that in general, gross income or revenues are the best indicator of an ability to pay a forfeiture.</w:t>
      </w:r>
      <w:r w:rsidR="009E3373">
        <w:rPr>
          <w:rStyle w:val="FootnoteReference"/>
        </w:rPr>
        <w:footnoteReference w:id="33"/>
      </w:r>
      <w:r w:rsidR="005A1AAC">
        <w:t xml:space="preserve"> </w:t>
      </w:r>
      <w:r>
        <w:t>While the Commission has looked to other indicators to determine ability to pay a forfeiture, that review has been limited only to cases where a licensee is experiences severe financial distress.</w:t>
      </w:r>
      <w:r w:rsidR="005A1AAC">
        <w:rPr>
          <w:rStyle w:val="FootnoteReference"/>
        </w:rPr>
        <w:footnoteReference w:id="34"/>
      </w:r>
      <w:r>
        <w:t xml:space="preserve"> Phillips has failed to demonstrate that it is experiencing a level of financial distress that would qualify it for the exception t</w:t>
      </w:r>
      <w:r w:rsidR="00845115">
        <w:t xml:space="preserve">o the gross revenues </w:t>
      </w:r>
      <w:r w:rsidR="003F5BA5">
        <w:t>inability to pay analysis</w:t>
      </w:r>
      <w:r w:rsidR="00845115">
        <w:t>.</w:t>
      </w:r>
      <w:r>
        <w:t xml:space="preserve"> Based upon our review of Phillips’ financial documents, we decline to reduce the forfeiture amount on an inability to pay basis. Therefore after consideration of the records and all of the factors listed above, we find the forfeiture amount of $6,400 is warranted. </w:t>
      </w:r>
      <w:bookmarkStart w:id="7" w:name="SR;716"/>
      <w:bookmarkStart w:id="8" w:name="SR;717"/>
      <w:bookmarkEnd w:id="7"/>
      <w:bookmarkEnd w:id="8"/>
    </w:p>
    <w:p w14:paraId="1246BAE3" w14:textId="77777777" w:rsidR="003343CA" w:rsidRPr="00344C0B" w:rsidRDefault="003343CA" w:rsidP="003343CA">
      <w:pPr>
        <w:pStyle w:val="Heading1"/>
      </w:pPr>
      <w:r w:rsidRPr="00344C0B">
        <w:t>ORDERING CLAUSES</w:t>
      </w:r>
    </w:p>
    <w:p w14:paraId="1246BAE4" w14:textId="77777777" w:rsidR="003343CA" w:rsidRPr="009A2403" w:rsidRDefault="003343CA" w:rsidP="009827C2">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35"/>
      </w:r>
      <w:r w:rsidRPr="0007571D">
        <w:t xml:space="preserve"> and Section 1.80 of the Rules,</w:t>
      </w:r>
      <w:r w:rsidRPr="0007571D">
        <w:rPr>
          <w:rStyle w:val="FootnoteReference"/>
        </w:rPr>
        <w:footnoteReference w:id="36"/>
      </w:r>
      <w:r w:rsidRPr="0007571D">
        <w:t xml:space="preserve"> </w:t>
      </w:r>
      <w:r w:rsidR="00845115">
        <w:t>Phillips</w:t>
      </w:r>
      <w:r w:rsidRPr="0007571D">
        <w:t xml:space="preserve"> </w:t>
      </w:r>
      <w:r w:rsidRPr="0007571D">
        <w:rPr>
          <w:b/>
        </w:rPr>
        <w:t>IS LIABLE FOR A MONETARY FORFEITURE</w:t>
      </w:r>
      <w:r w:rsidRPr="009A2403">
        <w:t xml:space="preserve"> in the amount of </w:t>
      </w:r>
      <w:r w:rsidR="00845115">
        <w:t>six thousand four hundred</w:t>
      </w:r>
      <w:r w:rsidRPr="0007571D">
        <w:t xml:space="preserve"> dollars ($</w:t>
      </w:r>
      <w:r w:rsidR="00845115">
        <w:t>6,400</w:t>
      </w:r>
      <w:r w:rsidRPr="0007571D">
        <w:t xml:space="preserve">) for willfully </w:t>
      </w:r>
      <w:r w:rsidR="00F23F1E">
        <w:t xml:space="preserve">and repeatedly </w:t>
      </w:r>
      <w:r w:rsidR="00845115">
        <w:t>violating Section 301</w:t>
      </w:r>
      <w:r w:rsidRPr="0007571D">
        <w:t xml:space="preserve"> of the Act and Section </w:t>
      </w:r>
      <w:r w:rsidR="00845115">
        <w:t>1.903(a)</w:t>
      </w:r>
      <w:r w:rsidRPr="0007571D">
        <w:t xml:space="preserve"> of the R</w:t>
      </w:r>
      <w:r w:rsidRPr="009A2403">
        <w:t>ules.</w:t>
      </w:r>
    </w:p>
    <w:p w14:paraId="1246BAE5" w14:textId="77777777" w:rsidR="003343CA" w:rsidRPr="00344C0B" w:rsidRDefault="003343CA" w:rsidP="009827C2">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37"/>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38"/>
      </w:r>
      <w:r w:rsidRPr="0007571D">
        <w:t xml:space="preserve">  </w:t>
      </w:r>
    </w:p>
    <w:p w14:paraId="1246BAE6" w14:textId="77777777" w:rsidR="003343CA" w:rsidRPr="00344C0B" w:rsidRDefault="00F23F1E">
      <w:pPr>
        <w:pStyle w:val="ParaNum"/>
      </w:pPr>
      <w:r w:rsidRPr="00F210E1">
        <w:t>Payment</w:t>
      </w:r>
      <w:r>
        <w:rPr>
          <w:szCs w:val="22"/>
        </w:rPr>
        <w:t xml:space="preserve"> of the forfeiture </w:t>
      </w:r>
      <w:r w:rsidRPr="006D73F2">
        <w:rPr>
          <w:szCs w:val="22"/>
        </w:rPr>
        <w:t xml:space="preserve">must be made by check or similar instrument, wire transfer, or credit card, and must include the NAL/Account Number and FRN referenced </w:t>
      </w:r>
      <w:r>
        <w:rPr>
          <w:szCs w:val="22"/>
        </w:rPr>
        <w:t>above</w:t>
      </w:r>
      <w:r w:rsidR="00845115">
        <w:rPr>
          <w:szCs w:val="22"/>
        </w:rPr>
        <w:t>.  Phillips</w:t>
      </w:r>
      <w:r w:rsidRPr="006D73F2">
        <w:rPr>
          <w:szCs w:val="22"/>
        </w:rPr>
        <w:t xml:space="preserve"> shall send electronic notification </w:t>
      </w:r>
      <w:r>
        <w:rPr>
          <w:szCs w:val="22"/>
        </w:rPr>
        <w:t xml:space="preserve">of </w:t>
      </w:r>
      <w:r w:rsidRPr="006D73F2">
        <w:rPr>
          <w:szCs w:val="22"/>
        </w:rPr>
        <w:t xml:space="preserve">payment to </w:t>
      </w:r>
      <w:r w:rsidR="00845115">
        <w:rPr>
          <w:szCs w:val="22"/>
        </w:rPr>
        <w:t>NER-Response</w:t>
      </w:r>
      <w:r w:rsidRPr="006D73F2">
        <w:rPr>
          <w:szCs w:val="22"/>
        </w:rPr>
        <w:t>@fcc.gov 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39"/>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1246BAE7" w14:textId="77777777" w:rsidR="003343CA" w:rsidRPr="00344C0B" w:rsidRDefault="003343CA" w:rsidP="00C138D9">
      <w:pPr>
        <w:pStyle w:val="par1"/>
        <w:numPr>
          <w:ilvl w:val="0"/>
          <w:numId w:val="39"/>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1246BAE8" w14:textId="77777777" w:rsidR="003343CA" w:rsidRPr="00344C0B" w:rsidRDefault="003343CA" w:rsidP="00C138D9">
      <w:pPr>
        <w:pStyle w:val="par1"/>
        <w:numPr>
          <w:ilvl w:val="0"/>
          <w:numId w:val="39"/>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1246BAE9" w14:textId="77777777" w:rsidR="003343CA" w:rsidRPr="00344C0B" w:rsidRDefault="003343CA" w:rsidP="00C138D9">
      <w:pPr>
        <w:pStyle w:val="par1"/>
        <w:widowControl/>
        <w:numPr>
          <w:ilvl w:val="0"/>
          <w:numId w:val="39"/>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246BAEA" w14:textId="77777777" w:rsidR="00F23F1E" w:rsidRPr="00816F70" w:rsidRDefault="00F23F1E" w:rsidP="009827C2">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40"/>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1246BAEB" w14:textId="5D7870D2" w:rsidR="003343CA" w:rsidRPr="0007571D" w:rsidRDefault="003343CA" w:rsidP="009827C2">
      <w:pPr>
        <w:pStyle w:val="ParaNum"/>
      </w:pPr>
      <w:r w:rsidRPr="00344C0B">
        <w:rPr>
          <w:b/>
        </w:rPr>
        <w:t>IT IS FURTHER ORDERED</w:t>
      </w:r>
      <w:r w:rsidRPr="00344C0B">
        <w:t xml:space="preserve"> that a copy of this Forfeiture Order </w:t>
      </w:r>
      <w:r w:rsidR="00F23F1E" w:rsidRPr="004749BE">
        <w:t>shall be sent by first class mail and certified mail, return receip</w:t>
      </w:r>
      <w:r w:rsidR="009A3D13">
        <w:t>t requested, to M.J. Phillips Communications, Inc</w:t>
      </w:r>
      <w:r w:rsidR="009A3D13" w:rsidRPr="00901B88">
        <w:t>.</w:t>
      </w:r>
      <w:r w:rsidR="00F23F1E" w:rsidRPr="00901B88">
        <w:t xml:space="preserve">, </w:t>
      </w:r>
      <w:r w:rsidR="005A510D" w:rsidRPr="00510914">
        <w:t>9976-B Union Road, West Seneca, NY</w:t>
      </w:r>
      <w:r w:rsidR="00F23F1E" w:rsidRPr="00901B88">
        <w:t>,</w:t>
      </w:r>
      <w:r w:rsidR="009A3D13" w:rsidRPr="00901B88">
        <w:t xml:space="preserve"> and to James R. Cooke, Esq., 2821</w:t>
      </w:r>
      <w:r w:rsidR="009A3D13">
        <w:t xml:space="preserve"> Beechwood Circle, Arlington, VA 22207</w:t>
      </w:r>
      <w:r w:rsidR="00F23F1E" w:rsidRPr="004749BE">
        <w:t>.</w:t>
      </w:r>
    </w:p>
    <w:p w14:paraId="1246BAEC" w14:textId="77777777" w:rsidR="003343CA" w:rsidRPr="00344C0B" w:rsidRDefault="003343CA" w:rsidP="003343CA"/>
    <w:p w14:paraId="1246BAED" w14:textId="77777777" w:rsidR="003343CA" w:rsidRPr="00344C0B" w:rsidRDefault="003343CA" w:rsidP="003343CA"/>
    <w:p w14:paraId="1246BAEE" w14:textId="77777777" w:rsidR="003343CA" w:rsidRPr="00344C0B" w:rsidRDefault="003343CA" w:rsidP="0007571D">
      <w:pPr>
        <w:ind w:left="4410"/>
      </w:pPr>
      <w:r w:rsidRPr="00344C0B">
        <w:t>FEDERAL COMMUNICATIONS COMMISSION</w:t>
      </w:r>
    </w:p>
    <w:p w14:paraId="1246BAEF" w14:textId="77777777" w:rsidR="003343CA" w:rsidRPr="00344C0B" w:rsidRDefault="003343CA" w:rsidP="0007571D">
      <w:pPr>
        <w:ind w:left="4410"/>
      </w:pPr>
    </w:p>
    <w:p w14:paraId="1246BAF0" w14:textId="77777777" w:rsidR="003343CA" w:rsidRPr="00344C0B" w:rsidRDefault="003343CA" w:rsidP="0007571D">
      <w:pPr>
        <w:ind w:left="4410"/>
      </w:pPr>
    </w:p>
    <w:p w14:paraId="1246BAF1" w14:textId="77777777" w:rsidR="003343CA" w:rsidRPr="00344C0B" w:rsidRDefault="003343CA" w:rsidP="0007571D">
      <w:pPr>
        <w:ind w:left="4410"/>
      </w:pPr>
    </w:p>
    <w:p w14:paraId="1246BAF2" w14:textId="77777777" w:rsidR="003343CA" w:rsidRPr="00344C0B" w:rsidRDefault="003343CA" w:rsidP="0007571D">
      <w:pPr>
        <w:ind w:left="4410"/>
      </w:pPr>
    </w:p>
    <w:p w14:paraId="1246BAF3" w14:textId="77777777" w:rsidR="009B0223" w:rsidRDefault="009A3D13" w:rsidP="009B0223">
      <w:pPr>
        <w:ind w:left="4410"/>
        <w:rPr>
          <w:szCs w:val="22"/>
        </w:rPr>
      </w:pPr>
      <w:r>
        <w:rPr>
          <w:szCs w:val="22"/>
        </w:rPr>
        <w:t>G. Michael Moffitt</w:t>
      </w:r>
    </w:p>
    <w:p w14:paraId="1246BAF4" w14:textId="77777777" w:rsidR="009A3D13" w:rsidRDefault="009A3D13" w:rsidP="009B0223">
      <w:pPr>
        <w:ind w:left="4410"/>
        <w:rPr>
          <w:szCs w:val="22"/>
        </w:rPr>
      </w:pPr>
      <w:r>
        <w:rPr>
          <w:szCs w:val="22"/>
        </w:rPr>
        <w:t>Regional Director</w:t>
      </w:r>
    </w:p>
    <w:p w14:paraId="1246BAF5" w14:textId="77777777" w:rsidR="009A3D13" w:rsidRDefault="009A3D13" w:rsidP="009B0223">
      <w:pPr>
        <w:ind w:left="4410"/>
        <w:rPr>
          <w:szCs w:val="22"/>
        </w:rPr>
      </w:pPr>
      <w:r>
        <w:rPr>
          <w:szCs w:val="22"/>
        </w:rPr>
        <w:t>Northeast Region</w:t>
      </w:r>
    </w:p>
    <w:p w14:paraId="1246BAF6" w14:textId="77777777" w:rsidR="009A3D13" w:rsidRPr="006D73F2" w:rsidRDefault="009A3D13" w:rsidP="009B0223">
      <w:pPr>
        <w:ind w:left="4410"/>
        <w:rPr>
          <w:szCs w:val="22"/>
        </w:rPr>
      </w:pPr>
      <w:r>
        <w:rPr>
          <w:szCs w:val="22"/>
        </w:rPr>
        <w:t>Enforcement Bureau</w:t>
      </w:r>
    </w:p>
    <w:p w14:paraId="1246BAF7" w14:textId="77777777" w:rsidR="00E273E3" w:rsidRDefault="00E273E3" w:rsidP="003343CA">
      <w:pPr>
        <w:pStyle w:val="ParaNum"/>
        <w:numPr>
          <w:ilvl w:val="0"/>
          <w:numId w:val="0"/>
        </w:numPr>
        <w:ind w:left="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D03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6BAFB" w14:textId="77777777" w:rsidR="00335814" w:rsidRDefault="00335814">
      <w:pPr>
        <w:spacing w:line="20" w:lineRule="exact"/>
      </w:pPr>
    </w:p>
  </w:endnote>
  <w:endnote w:type="continuationSeparator" w:id="0">
    <w:p w14:paraId="1246BAFC" w14:textId="77777777" w:rsidR="00335814" w:rsidRDefault="00335814">
      <w:r>
        <w:t xml:space="preserve"> </w:t>
      </w:r>
    </w:p>
  </w:endnote>
  <w:endnote w:type="continuationNotice" w:id="1">
    <w:p w14:paraId="1246BAFD" w14:textId="77777777" w:rsidR="00335814" w:rsidRDefault="003358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BAFF"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1246BB00"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BB01"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355EDB">
      <w:rPr>
        <w:noProof/>
      </w:rPr>
      <w:t>2</w:t>
    </w:r>
    <w:r>
      <w:rPr>
        <w:noProof/>
      </w:rPr>
      <w:fldChar w:fldCharType="end"/>
    </w:r>
  </w:p>
  <w:p w14:paraId="1246BB02"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E81D" w14:textId="77777777" w:rsidR="00286875" w:rsidRDefault="0028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BAF8" w14:textId="77777777" w:rsidR="00335814" w:rsidRDefault="00335814">
      <w:r>
        <w:separator/>
      </w:r>
    </w:p>
  </w:footnote>
  <w:footnote w:type="continuationSeparator" w:id="0">
    <w:p w14:paraId="1246BAF9" w14:textId="77777777" w:rsidR="00335814" w:rsidRDefault="00335814">
      <w:pPr>
        <w:rPr>
          <w:sz w:val="20"/>
        </w:rPr>
      </w:pPr>
      <w:r>
        <w:rPr>
          <w:sz w:val="20"/>
        </w:rPr>
        <w:t xml:space="preserve">(Continued from previous page)  </w:t>
      </w:r>
      <w:r>
        <w:rPr>
          <w:sz w:val="20"/>
        </w:rPr>
        <w:separator/>
      </w:r>
    </w:p>
  </w:footnote>
  <w:footnote w:type="continuationNotice" w:id="1">
    <w:p w14:paraId="1246BAFA" w14:textId="77777777" w:rsidR="00335814" w:rsidRDefault="00335814">
      <w:pPr>
        <w:rPr>
          <w:sz w:val="20"/>
        </w:rPr>
      </w:pPr>
      <w:r>
        <w:rPr>
          <w:sz w:val="20"/>
        </w:rPr>
        <w:t>(continued….)</w:t>
      </w:r>
    </w:p>
  </w:footnote>
  <w:footnote w:id="2">
    <w:p w14:paraId="146CC0FB" w14:textId="1022579C" w:rsidR="006E3BFF" w:rsidRDefault="006E3BFF">
      <w:pPr>
        <w:pStyle w:val="FootnoteText"/>
      </w:pPr>
      <w:r>
        <w:rPr>
          <w:rStyle w:val="FootnoteReference"/>
        </w:rPr>
        <w:footnoteRef/>
      </w:r>
      <w:r>
        <w:t xml:space="preserve"> </w:t>
      </w:r>
      <w:r w:rsidR="00F42536">
        <w:rPr>
          <w:i/>
        </w:rPr>
        <w:t>M.J. Philips Commc’ns, Inc.</w:t>
      </w:r>
      <w:r w:rsidR="00F42536">
        <w:t>, Notice of Apparent Liability for Forfeiture and Order, 29 FCC Rcd 10138 (Enf. Bur. 2014) (</w:t>
      </w:r>
      <w:r w:rsidR="00F42536">
        <w:rPr>
          <w:i/>
        </w:rPr>
        <w:t>NAL</w:t>
      </w:r>
      <w:r w:rsidR="00F42536">
        <w:t>).</w:t>
      </w:r>
    </w:p>
  </w:footnote>
  <w:footnote w:id="3">
    <w:p w14:paraId="1246BB0A" w14:textId="2F7DEA5C" w:rsidR="003211A2" w:rsidRPr="003211A2" w:rsidRDefault="003211A2" w:rsidP="003211A2">
      <w:pPr>
        <w:pStyle w:val="FootnoteText"/>
        <w:spacing w:before="240"/>
      </w:pPr>
      <w:r>
        <w:rPr>
          <w:rStyle w:val="FootnoteReference"/>
        </w:rPr>
        <w:footnoteRef/>
      </w:r>
      <w:r>
        <w:t xml:space="preserve"> </w:t>
      </w:r>
      <w:r w:rsidR="00F42536">
        <w:rPr>
          <w:i/>
        </w:rPr>
        <w:t>NAL</w:t>
      </w:r>
      <w:r w:rsidR="00F42536">
        <w:t>,</w:t>
      </w:r>
      <w:r w:rsidR="00F42536">
        <w:rPr>
          <w:i/>
        </w:rPr>
        <w:t xml:space="preserve"> </w:t>
      </w:r>
      <w:r>
        <w:t xml:space="preserve">29 FCC Rcd </w:t>
      </w:r>
      <w:r w:rsidR="00F42536">
        <w:t xml:space="preserve">at </w:t>
      </w:r>
      <w:r>
        <w:t>10138</w:t>
      </w:r>
      <w:r w:rsidR="007E5FD2">
        <w:t>,</w:t>
      </w:r>
      <w:r>
        <w:t xml:space="preserve"> para. 3.  The </w:t>
      </w:r>
      <w:r>
        <w:rPr>
          <w:i/>
        </w:rPr>
        <w:t>NAL</w:t>
      </w:r>
      <w:r>
        <w:t xml:space="preserve"> includes a more complete discussion of the facts and history of this case and is incorporated herein by reference. </w:t>
      </w:r>
    </w:p>
  </w:footnote>
  <w:footnote w:id="4">
    <w:p w14:paraId="1246BB0B" w14:textId="77777777" w:rsidR="003211A2" w:rsidRPr="003211A2" w:rsidRDefault="003211A2">
      <w:pPr>
        <w:pStyle w:val="FootnoteText"/>
      </w:pPr>
      <w:r>
        <w:rPr>
          <w:rStyle w:val="FootnoteReference"/>
        </w:rPr>
        <w:footnoteRef/>
      </w:r>
      <w:r>
        <w:t xml:space="preserve"> </w:t>
      </w:r>
      <w:r>
        <w:rPr>
          <w:i/>
        </w:rPr>
        <w:t>Id</w:t>
      </w:r>
      <w:r>
        <w:t xml:space="preserve">. </w:t>
      </w:r>
    </w:p>
  </w:footnote>
  <w:footnote w:id="5">
    <w:p w14:paraId="1246BB0C" w14:textId="0A33AE7B" w:rsidR="006E5193" w:rsidRPr="006E5193" w:rsidRDefault="006E5193">
      <w:pPr>
        <w:pStyle w:val="FootnoteText"/>
        <w:rPr>
          <w:i/>
        </w:rPr>
      </w:pPr>
      <w:r>
        <w:rPr>
          <w:rStyle w:val="FootnoteReference"/>
        </w:rPr>
        <w:footnoteRef/>
      </w:r>
      <w:r>
        <w:t xml:space="preserve"> </w:t>
      </w:r>
      <w:r>
        <w:rPr>
          <w:i/>
        </w:rPr>
        <w:t xml:space="preserve">See </w:t>
      </w:r>
      <w:r w:rsidR="007E5FD2">
        <w:rPr>
          <w:i/>
        </w:rPr>
        <w:t xml:space="preserve">id. </w:t>
      </w:r>
      <w:r w:rsidR="00154124">
        <w:t>at</w:t>
      </w:r>
      <w:r>
        <w:t xml:space="preserve"> 10139</w:t>
      </w:r>
      <w:r w:rsidR="007E5FD2">
        <w:t xml:space="preserve"> n.4, para.</w:t>
      </w:r>
      <w:r>
        <w:t xml:space="preserve"> </w:t>
      </w:r>
      <w:r w:rsidR="007E5FD2">
        <w:t>2</w:t>
      </w:r>
      <w:r>
        <w:t>.</w:t>
      </w:r>
    </w:p>
  </w:footnote>
  <w:footnote w:id="6">
    <w:p w14:paraId="1246BB0D" w14:textId="1ABE594A" w:rsidR="006E5193" w:rsidRDefault="006E5193">
      <w:pPr>
        <w:pStyle w:val="FootnoteText"/>
      </w:pPr>
      <w:r>
        <w:rPr>
          <w:rStyle w:val="FootnoteReference"/>
        </w:rPr>
        <w:footnoteRef/>
      </w:r>
      <w:r>
        <w:t xml:space="preserve"> </w:t>
      </w:r>
      <w:r w:rsidR="00901B88">
        <w:rPr>
          <w:i/>
        </w:rPr>
        <w:t>Id.</w:t>
      </w:r>
      <w:r>
        <w:t xml:space="preserve"> </w:t>
      </w:r>
      <w:r w:rsidR="00154124">
        <w:t>at</w:t>
      </w:r>
      <w:r>
        <w:t xml:space="preserve"> 10139</w:t>
      </w:r>
      <w:r w:rsidR="006E3BFF">
        <w:t>,</w:t>
      </w:r>
      <w:r>
        <w:t xml:space="preserve"> para. 3.</w:t>
      </w:r>
      <w:r w:rsidR="00154124">
        <w:t xml:space="preserve"> </w:t>
      </w:r>
    </w:p>
  </w:footnote>
  <w:footnote w:id="7">
    <w:p w14:paraId="1246BB0E" w14:textId="5B3AE609" w:rsidR="006E5193" w:rsidRPr="006E5193" w:rsidRDefault="006E5193">
      <w:pPr>
        <w:pStyle w:val="FootnoteText"/>
      </w:pPr>
      <w:r>
        <w:rPr>
          <w:rStyle w:val="FootnoteReference"/>
        </w:rPr>
        <w:footnoteRef/>
      </w:r>
      <w:r>
        <w:t xml:space="preserve"> </w:t>
      </w:r>
      <w:r>
        <w:rPr>
          <w:i/>
        </w:rPr>
        <w:t>M.J. Phillips Commc’ns, Inc.</w:t>
      </w:r>
      <w:r>
        <w:t>, Notice of Violation, V201332400021 (Enf. Bur. Mar. 25, 2013) (on file in EB-FIELDNER-13-00007256)</w:t>
      </w:r>
      <w:r w:rsidR="00A4446E">
        <w:t>.</w:t>
      </w:r>
    </w:p>
  </w:footnote>
  <w:footnote w:id="8">
    <w:p w14:paraId="1246BB0F" w14:textId="6624F892" w:rsidR="00A4446E" w:rsidRDefault="00A4446E">
      <w:pPr>
        <w:pStyle w:val="FootnoteText"/>
      </w:pPr>
      <w:r>
        <w:rPr>
          <w:rStyle w:val="FootnoteReference"/>
        </w:rPr>
        <w:footnoteRef/>
      </w:r>
      <w:r>
        <w:t xml:space="preserve"> </w:t>
      </w:r>
      <w:r w:rsidR="00154124">
        <w:t xml:space="preserve"> </w:t>
      </w:r>
      <w:r>
        <w:t>Letter from James R. Cooke, Counsel to M.J. Phillips Communications, Inc. to District Director, Philadelphia Office, Northeast Re</w:t>
      </w:r>
      <w:r w:rsidR="00CD4A8B">
        <w:t>gion, Enforcement Bureau (May 2, 2013</w:t>
      </w:r>
      <w:r>
        <w:t>) (on file in EB-FIELDNER-13-00</w:t>
      </w:r>
      <w:r w:rsidR="00CD4A8B">
        <w:t>007256</w:t>
      </w:r>
      <w:r>
        <w:t>)</w:t>
      </w:r>
      <w:r w:rsidR="006E3BFF">
        <w:t xml:space="preserve">; </w:t>
      </w:r>
      <w:r w:rsidR="006E3BFF">
        <w:rPr>
          <w:i/>
        </w:rPr>
        <w:t>NAL</w:t>
      </w:r>
      <w:r w:rsidR="006E3BFF">
        <w:t>, 29 FCC Rcd at 10139, para. 3</w:t>
      </w:r>
      <w:r>
        <w:t xml:space="preserve">. </w:t>
      </w:r>
    </w:p>
  </w:footnote>
  <w:footnote w:id="9">
    <w:p w14:paraId="1246BB10" w14:textId="3374B1F9" w:rsidR="00A4446E" w:rsidRPr="00A4446E" w:rsidRDefault="00A4446E">
      <w:pPr>
        <w:pStyle w:val="FootnoteText"/>
      </w:pPr>
      <w:r>
        <w:rPr>
          <w:rStyle w:val="FootnoteReference"/>
        </w:rPr>
        <w:footnoteRef/>
      </w:r>
      <w:r w:rsidR="00901B88">
        <w:t xml:space="preserve"> Letter from James R. Cooke, Counsel to M.J. Phillips Communications, Inc. to District Director, Philadelphia Office, Northeast Region, Enforcement Bureau (May 2, 2013) (on file in EB-FIELDNER-13-00007256); </w:t>
      </w:r>
      <w:r w:rsidR="00901B88">
        <w:rPr>
          <w:i/>
        </w:rPr>
        <w:t>NAL</w:t>
      </w:r>
      <w:r w:rsidR="00901B88">
        <w:t>, 29 FCC Rcd at 10139, para. 3.</w:t>
      </w:r>
    </w:p>
  </w:footnote>
  <w:footnote w:id="10">
    <w:p w14:paraId="1246BB11" w14:textId="0C0FE7AB" w:rsidR="00A4446E" w:rsidRDefault="00A4446E">
      <w:pPr>
        <w:pStyle w:val="FootnoteText"/>
      </w:pPr>
      <w:r>
        <w:rPr>
          <w:rStyle w:val="FootnoteReference"/>
        </w:rPr>
        <w:footnoteRef/>
      </w:r>
      <w:r>
        <w:t xml:space="preserve"> </w:t>
      </w:r>
      <w:r>
        <w:rPr>
          <w:i/>
        </w:rPr>
        <w:t xml:space="preserve">See </w:t>
      </w:r>
      <w:r w:rsidR="00154124">
        <w:rPr>
          <w:i/>
        </w:rPr>
        <w:t>NAL</w:t>
      </w:r>
      <w:r>
        <w:rPr>
          <w:i/>
        </w:rPr>
        <w:t>,</w:t>
      </w:r>
      <w:r>
        <w:t xml:space="preserve"> 29 FCC Rcd </w:t>
      </w:r>
      <w:r w:rsidR="00154124">
        <w:t>at</w:t>
      </w:r>
      <w:r>
        <w:t xml:space="preserve"> 10139</w:t>
      </w:r>
      <w:r w:rsidR="00DC48DB">
        <w:t>, para. 4</w:t>
      </w:r>
      <w:r>
        <w:t xml:space="preserve">. </w:t>
      </w:r>
    </w:p>
  </w:footnote>
  <w:footnote w:id="11">
    <w:p w14:paraId="1246BB12" w14:textId="1595E986" w:rsidR="00A4446E" w:rsidRDefault="00A4446E">
      <w:pPr>
        <w:pStyle w:val="FootnoteText"/>
      </w:pPr>
      <w:r>
        <w:rPr>
          <w:rStyle w:val="FootnoteReference"/>
        </w:rPr>
        <w:footnoteRef/>
      </w:r>
      <w:r>
        <w:t xml:space="preserve"> </w:t>
      </w:r>
      <w:r w:rsidR="00154124">
        <w:rPr>
          <w:i/>
        </w:rPr>
        <w:t>NAL</w:t>
      </w:r>
      <w:r>
        <w:t xml:space="preserve">, </w:t>
      </w:r>
      <w:r w:rsidR="00154124">
        <w:t>29 FCC Rcd at</w:t>
      </w:r>
      <w:r>
        <w:t xml:space="preserve"> 10139</w:t>
      </w:r>
      <w:r w:rsidR="00901B88">
        <w:t>,</w:t>
      </w:r>
      <w:r>
        <w:t xml:space="preserve"> para. 4. </w:t>
      </w:r>
    </w:p>
  </w:footnote>
  <w:footnote w:id="12">
    <w:p w14:paraId="1246BB13" w14:textId="33875967" w:rsidR="00A4446E" w:rsidRDefault="00A4446E">
      <w:pPr>
        <w:pStyle w:val="FootnoteText"/>
      </w:pPr>
      <w:r>
        <w:rPr>
          <w:rStyle w:val="FootnoteReference"/>
        </w:rPr>
        <w:footnoteRef/>
      </w:r>
      <w:r>
        <w:t xml:space="preserve"> </w:t>
      </w:r>
      <w:r>
        <w:rPr>
          <w:i/>
        </w:rPr>
        <w:t>M.J. Phillips Commc’ns, Inc.</w:t>
      </w:r>
      <w:r>
        <w:t>, Notice of Violation, V201</w:t>
      </w:r>
      <w:r w:rsidR="00CD4A8B">
        <w:t>432400005</w:t>
      </w:r>
      <w:r>
        <w:t xml:space="preserve"> (Enf. Bur. </w:t>
      </w:r>
      <w:r w:rsidR="00CD4A8B">
        <w:t>Nov</w:t>
      </w:r>
      <w:r>
        <w:t xml:space="preserve">. </w:t>
      </w:r>
      <w:r w:rsidR="00CD4A8B">
        <w:t>27</w:t>
      </w:r>
      <w:r>
        <w:t>, 2013)</w:t>
      </w:r>
      <w:r w:rsidR="00CD4A8B">
        <w:t xml:space="preserve"> (on file in EB-FIELDNER-13-00011961)</w:t>
      </w:r>
      <w:r>
        <w:t>.</w:t>
      </w:r>
    </w:p>
  </w:footnote>
  <w:footnote w:id="13">
    <w:p w14:paraId="1246BB14" w14:textId="1C677121" w:rsidR="00CD4A8B" w:rsidRDefault="00CD4A8B">
      <w:pPr>
        <w:pStyle w:val="FootnoteText"/>
      </w:pPr>
      <w:r>
        <w:rPr>
          <w:rStyle w:val="FootnoteReference"/>
        </w:rPr>
        <w:footnoteRef/>
      </w:r>
      <w:r>
        <w:t xml:space="preserve"> Letter from James R. Cooke, Counsel to M.J. Phillips Communications, Inc. to District Director, Philadelphia Office, Northeast Region, Enforcement Bureau (Jan. 3, 2014) (on file in EB-FIELDNER-13-00011961)</w:t>
      </w:r>
      <w:r w:rsidR="006E3BFF">
        <w:t xml:space="preserve"> (</w:t>
      </w:r>
      <w:r w:rsidR="006E3BFF" w:rsidRPr="00510914">
        <w:t>Second NOV Response</w:t>
      </w:r>
      <w:r w:rsidR="006E3BFF">
        <w:t>)</w:t>
      </w:r>
      <w:r>
        <w:t>.</w:t>
      </w:r>
    </w:p>
  </w:footnote>
  <w:footnote w:id="14">
    <w:p w14:paraId="5A41D5B0" w14:textId="145218F0" w:rsidR="00F42536" w:rsidRDefault="00F42536">
      <w:pPr>
        <w:pStyle w:val="FootnoteText"/>
      </w:pPr>
      <w:r>
        <w:rPr>
          <w:rStyle w:val="FootnoteReference"/>
        </w:rPr>
        <w:footnoteRef/>
      </w:r>
      <w:r>
        <w:t xml:space="preserve"> 47 U.S.C. § 301.</w:t>
      </w:r>
    </w:p>
  </w:footnote>
  <w:footnote w:id="15">
    <w:p w14:paraId="21655ECC" w14:textId="5F4D26C4" w:rsidR="00F42536" w:rsidRDefault="00F42536">
      <w:pPr>
        <w:pStyle w:val="FootnoteText"/>
      </w:pPr>
      <w:r>
        <w:rPr>
          <w:rStyle w:val="FootnoteReference"/>
        </w:rPr>
        <w:footnoteRef/>
      </w:r>
      <w:r>
        <w:t xml:space="preserve"> 47 C.F.R. § 1.903(a).  </w:t>
      </w:r>
    </w:p>
  </w:footnote>
  <w:footnote w:id="16">
    <w:p w14:paraId="1246BB15" w14:textId="6A7D8993" w:rsidR="00154124" w:rsidRPr="00154124" w:rsidRDefault="00154124">
      <w:pPr>
        <w:pStyle w:val="FootnoteText"/>
      </w:pPr>
      <w:r>
        <w:rPr>
          <w:rStyle w:val="FootnoteReference"/>
        </w:rPr>
        <w:footnoteRef/>
      </w:r>
      <w:r>
        <w:t xml:space="preserve"> </w:t>
      </w:r>
      <w:r>
        <w:rPr>
          <w:i/>
        </w:rPr>
        <w:t>NAL</w:t>
      </w:r>
      <w:r>
        <w:t>, 29 FCC Rcd at 10138, para. 2</w:t>
      </w:r>
      <w:r w:rsidR="00F42536">
        <w:t>.</w:t>
      </w:r>
    </w:p>
  </w:footnote>
  <w:footnote w:id="17">
    <w:p w14:paraId="1246BB16" w14:textId="4B7C257D" w:rsidR="00236C37" w:rsidRPr="00CF708B" w:rsidRDefault="00236C37">
      <w:pPr>
        <w:pStyle w:val="FootnoteText"/>
      </w:pPr>
      <w:r>
        <w:rPr>
          <w:rStyle w:val="FootnoteReference"/>
        </w:rPr>
        <w:footnoteRef/>
      </w:r>
      <w:r>
        <w:t xml:space="preserve"> M.J. Phillips Communications, Inc., Response to Notice of Apparent Liability for Forfeiture and Order</w:t>
      </w:r>
      <w:r w:rsidR="00901B88">
        <w:t>,</w:t>
      </w:r>
      <w:r>
        <w:t xml:space="preserve"> at </w:t>
      </w:r>
      <w:r w:rsidR="00CF708B">
        <w:t>3</w:t>
      </w:r>
      <w:r>
        <w:t xml:space="preserve"> (October 20, 2014) (on file in EB-FIELDNER-13-00011961</w:t>
      </w:r>
      <w:r w:rsidR="00CF708B">
        <w:t>) (</w:t>
      </w:r>
      <w:r w:rsidR="00CF708B" w:rsidRPr="00510914">
        <w:t>NAL Response</w:t>
      </w:r>
      <w:r w:rsidR="00CF708B">
        <w:rPr>
          <w:i/>
        </w:rPr>
        <w:t>)</w:t>
      </w:r>
      <w:r w:rsidR="00CF708B">
        <w:t xml:space="preserve">. </w:t>
      </w:r>
    </w:p>
  </w:footnote>
  <w:footnote w:id="18">
    <w:p w14:paraId="1246BB17" w14:textId="77777777" w:rsidR="00CF708B" w:rsidRPr="00CF708B" w:rsidRDefault="00CF708B">
      <w:pPr>
        <w:pStyle w:val="FootnoteText"/>
      </w:pPr>
      <w:r>
        <w:rPr>
          <w:rStyle w:val="FootnoteReference"/>
        </w:rPr>
        <w:footnoteRef/>
      </w:r>
      <w:r>
        <w:t xml:space="preserve"> </w:t>
      </w:r>
      <w:r>
        <w:rPr>
          <w:i/>
        </w:rPr>
        <w:t>Id</w:t>
      </w:r>
      <w:r>
        <w:t>. at 2.</w:t>
      </w:r>
    </w:p>
  </w:footnote>
  <w:footnote w:id="19">
    <w:p w14:paraId="1246BB18" w14:textId="77777777" w:rsidR="00CF708B" w:rsidRPr="00CF708B" w:rsidRDefault="00CF708B">
      <w:pPr>
        <w:pStyle w:val="FootnoteText"/>
      </w:pPr>
      <w:r>
        <w:rPr>
          <w:rStyle w:val="FootnoteReference"/>
        </w:rPr>
        <w:footnoteRef/>
      </w:r>
      <w:r>
        <w:t xml:space="preserve"> </w:t>
      </w:r>
      <w:r>
        <w:rPr>
          <w:i/>
        </w:rPr>
        <w:t>Id</w:t>
      </w:r>
      <w:r>
        <w:t xml:space="preserve">. </w:t>
      </w:r>
    </w:p>
  </w:footnote>
  <w:footnote w:id="20">
    <w:p w14:paraId="1246BB19" w14:textId="77777777" w:rsidR="003211A2" w:rsidRPr="00344C0B" w:rsidRDefault="003211A2" w:rsidP="003211A2">
      <w:pPr>
        <w:pStyle w:val="FootnoteText"/>
      </w:pPr>
      <w:r w:rsidRPr="00344C0B">
        <w:rPr>
          <w:rStyle w:val="FootnoteReference"/>
        </w:rPr>
        <w:footnoteRef/>
      </w:r>
      <w:r w:rsidRPr="00344C0B">
        <w:t xml:space="preserve"> </w:t>
      </w:r>
      <w:r w:rsidRPr="00344C0B">
        <w:rPr>
          <w:color w:val="000000"/>
        </w:rPr>
        <w:t>47 U.S.C. § 503(b).</w:t>
      </w:r>
    </w:p>
  </w:footnote>
  <w:footnote w:id="21">
    <w:p w14:paraId="1246BB1A" w14:textId="77777777" w:rsidR="003211A2" w:rsidRPr="00344C0B" w:rsidRDefault="003211A2" w:rsidP="003211A2">
      <w:pPr>
        <w:pStyle w:val="FootnoteText"/>
      </w:pPr>
      <w:r w:rsidRPr="00344C0B">
        <w:rPr>
          <w:rStyle w:val="FootnoteReference"/>
        </w:rPr>
        <w:footnoteRef/>
      </w:r>
      <w:r w:rsidRPr="00344C0B">
        <w:t xml:space="preserve"> 47 C.F.R. § 1.80.</w:t>
      </w:r>
    </w:p>
  </w:footnote>
  <w:footnote w:id="22">
    <w:p w14:paraId="1246BB1B" w14:textId="77777777" w:rsidR="003211A2" w:rsidRPr="00344C0B" w:rsidRDefault="003211A2" w:rsidP="003211A2">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23">
    <w:p w14:paraId="1246BB1C" w14:textId="77777777" w:rsidR="003211A2" w:rsidRPr="00344C0B" w:rsidRDefault="003211A2" w:rsidP="003211A2">
      <w:pPr>
        <w:pStyle w:val="FootnoteText"/>
      </w:pPr>
      <w:r w:rsidRPr="00344C0B">
        <w:rPr>
          <w:rStyle w:val="FootnoteReference"/>
        </w:rPr>
        <w:footnoteRef/>
      </w:r>
      <w:r w:rsidRPr="00344C0B">
        <w:t xml:space="preserve"> 47 U.S.C. § 503(b)(2)(E).</w:t>
      </w:r>
    </w:p>
  </w:footnote>
  <w:footnote w:id="24">
    <w:p w14:paraId="0C065091" w14:textId="77777777" w:rsidR="00F210E1" w:rsidRPr="00A80EDF" w:rsidRDefault="00F210E1" w:rsidP="00F210E1">
      <w:pPr>
        <w:pStyle w:val="FootnoteText"/>
      </w:pPr>
      <w:r>
        <w:rPr>
          <w:rStyle w:val="FootnoteReference"/>
        </w:rPr>
        <w:footnoteRef/>
      </w:r>
      <w:r>
        <w:t xml:space="preserve"> </w:t>
      </w:r>
      <w:r w:rsidRPr="0055679E">
        <w:t>NAL Response</w:t>
      </w:r>
      <w:r>
        <w:t xml:space="preserve"> at 2. </w:t>
      </w:r>
    </w:p>
  </w:footnote>
  <w:footnote w:id="25">
    <w:p w14:paraId="5B66816D" w14:textId="77777777" w:rsidR="00F210E1" w:rsidRDefault="00F210E1" w:rsidP="00F210E1">
      <w:pPr>
        <w:pStyle w:val="FootnoteText"/>
      </w:pPr>
      <w:r>
        <w:rPr>
          <w:rStyle w:val="FootnoteReference"/>
        </w:rPr>
        <w:footnoteRef/>
      </w:r>
      <w:r>
        <w:t xml:space="preserve"> 47 U.S.C. </w:t>
      </w:r>
      <w:r w:rsidRPr="00344C0B">
        <w:t>§</w:t>
      </w:r>
      <w:r>
        <w:t xml:space="preserve"> 312(f)(1).</w:t>
      </w:r>
    </w:p>
  </w:footnote>
  <w:footnote w:id="26">
    <w:p w14:paraId="0680235E" w14:textId="77777777" w:rsidR="00F210E1" w:rsidRDefault="00F210E1" w:rsidP="00F210E1">
      <w:pPr>
        <w:pStyle w:val="FootnoteText"/>
      </w:pPr>
      <w:r>
        <w:rPr>
          <w:rStyle w:val="FootnoteReference"/>
        </w:rPr>
        <w:footnoteRef/>
      </w:r>
      <w:r>
        <w:t xml:space="preserve"> Section 312(f)(2) of the Act, 47 U.S.C. </w:t>
      </w:r>
      <w:r w:rsidRPr="00344C0B">
        <w:t>§</w:t>
      </w:r>
      <w:r>
        <w:t xml:space="preserve">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Pr>
          <w:i/>
        </w:rPr>
        <w:t>See Callais Cablevision, Inc</w:t>
      </w:r>
      <w:r>
        <w:t xml:space="preserve">., 16 FCC Rcd at 1362, para. 9.  </w:t>
      </w:r>
    </w:p>
  </w:footnote>
  <w:footnote w:id="27">
    <w:p w14:paraId="59579C4E" w14:textId="77777777" w:rsidR="00F210E1" w:rsidRPr="00984A43" w:rsidRDefault="00F210E1" w:rsidP="00F210E1">
      <w:pPr>
        <w:pStyle w:val="FootnoteText"/>
      </w:pPr>
      <w:r>
        <w:rPr>
          <w:rStyle w:val="FootnoteReference"/>
        </w:rPr>
        <w:footnoteRef/>
      </w:r>
      <w:r>
        <w:t xml:space="preserve"> </w:t>
      </w:r>
      <w:r w:rsidRPr="0055679E">
        <w:t>NAL Response</w:t>
      </w:r>
      <w:r>
        <w:t xml:space="preserve"> at 2-3. </w:t>
      </w:r>
    </w:p>
  </w:footnote>
  <w:footnote w:id="28">
    <w:p w14:paraId="1114313C" w14:textId="77777777" w:rsidR="00F210E1" w:rsidRPr="00984A43" w:rsidRDefault="00F210E1" w:rsidP="00F210E1">
      <w:pPr>
        <w:pStyle w:val="FootnoteText"/>
      </w:pPr>
      <w:r>
        <w:rPr>
          <w:rStyle w:val="FootnoteReference"/>
        </w:rPr>
        <w:footnoteRef/>
      </w:r>
      <w:r>
        <w:t xml:space="preserve"> </w:t>
      </w:r>
      <w:r w:rsidRPr="0055679E">
        <w:t>Second NOV Response</w:t>
      </w:r>
      <w:r>
        <w:t>;</w:t>
      </w:r>
      <w:r>
        <w:rPr>
          <w:i/>
        </w:rPr>
        <w:t xml:space="preserve"> NAL</w:t>
      </w:r>
      <w:r>
        <w:t>, 29 FCC Rcd at 101388</w:t>
      </w:r>
    </w:p>
  </w:footnote>
  <w:footnote w:id="29">
    <w:p w14:paraId="1246BB23" w14:textId="77777777" w:rsidR="00E71A57" w:rsidRPr="00E71A57" w:rsidRDefault="00E71A57">
      <w:pPr>
        <w:pStyle w:val="FootnoteText"/>
      </w:pPr>
      <w:r>
        <w:rPr>
          <w:rStyle w:val="FootnoteReference"/>
        </w:rPr>
        <w:footnoteRef/>
      </w:r>
      <w:r>
        <w:t xml:space="preserve"> </w:t>
      </w:r>
      <w:r w:rsidRPr="00510914">
        <w:t>NAL Response</w:t>
      </w:r>
      <w:r>
        <w:t xml:space="preserve"> at 2-3. </w:t>
      </w:r>
    </w:p>
  </w:footnote>
  <w:footnote w:id="30">
    <w:p w14:paraId="1246BB24" w14:textId="0F69BE9D" w:rsidR="00E71A57" w:rsidRPr="00E71A57" w:rsidRDefault="00E71A57">
      <w:pPr>
        <w:pStyle w:val="FootnoteText"/>
      </w:pPr>
      <w:r>
        <w:rPr>
          <w:rStyle w:val="FootnoteReference"/>
        </w:rPr>
        <w:footnoteRef/>
      </w:r>
      <w:r>
        <w:t xml:space="preserve"> </w:t>
      </w:r>
      <w:r>
        <w:rPr>
          <w:i/>
        </w:rPr>
        <w:t>See Sound Commc’ns, LLC</w:t>
      </w:r>
      <w:r>
        <w:t xml:space="preserve">, </w:t>
      </w:r>
      <w:r w:rsidR="008E1624">
        <w:t xml:space="preserve">Forfeiture Order, 30 FCC Rcd 6252, 6254 para. 6 (Enf. Bur. 2015) (citing </w:t>
      </w:r>
      <w:r w:rsidR="008E1624">
        <w:rPr>
          <w:i/>
        </w:rPr>
        <w:t>W. Slope</w:t>
      </w:r>
      <w:r w:rsidR="00A14A72">
        <w:rPr>
          <w:i/>
        </w:rPr>
        <w:br/>
      </w:r>
      <w:r w:rsidR="008E1624">
        <w:rPr>
          <w:i/>
        </w:rPr>
        <w:t xml:space="preserve"> Commc’ns, Inc.</w:t>
      </w:r>
      <w:r w:rsidR="008E1624">
        <w:t>, Forfeiture Order, 29 FCC Rcd 10470, 10471 para. 6 (Enf. Bur. 2014))</w:t>
      </w:r>
      <w:r w:rsidR="00901B88">
        <w:t>;</w:t>
      </w:r>
      <w:r w:rsidR="008E1624">
        <w:t xml:space="preserve"> </w:t>
      </w:r>
      <w:r w:rsidR="00901B88">
        <w:rPr>
          <w:i/>
        </w:rPr>
        <w:t>s</w:t>
      </w:r>
      <w:r w:rsidR="002C19EF">
        <w:rPr>
          <w:i/>
        </w:rPr>
        <w:t>ee also Steckline</w:t>
      </w:r>
      <w:r w:rsidR="00A14A72">
        <w:rPr>
          <w:i/>
        </w:rPr>
        <w:t xml:space="preserve"> </w:t>
      </w:r>
      <w:r w:rsidR="002C19EF">
        <w:rPr>
          <w:i/>
        </w:rPr>
        <w:t>Commc’ns, Inc.</w:t>
      </w:r>
      <w:r w:rsidR="002C19EF">
        <w:t>, Forfeiture Order, 29 FCC Rcd 1082, 1084, para. 5 (Enf. Bur. 2014) (“[I]nadvertent mistakes neither excuse a rule violation nor mitigate a forfeiture liability.”)</w:t>
      </w:r>
      <w:r w:rsidR="008E1624">
        <w:t xml:space="preserve"> </w:t>
      </w:r>
    </w:p>
  </w:footnote>
  <w:footnote w:id="31">
    <w:p w14:paraId="1246BB25" w14:textId="7D7EF72E" w:rsidR="002C19EF" w:rsidRPr="00A14A72" w:rsidRDefault="002C19EF">
      <w:pPr>
        <w:pStyle w:val="FootnoteText"/>
      </w:pPr>
      <w:r>
        <w:rPr>
          <w:rStyle w:val="FootnoteReference"/>
        </w:rPr>
        <w:footnoteRef/>
      </w:r>
      <w:r>
        <w:t xml:space="preserve"> </w:t>
      </w:r>
      <w:r w:rsidR="002967B9">
        <w:t xml:space="preserve">NAL Response at 2; </w:t>
      </w:r>
      <w:r w:rsidR="002967B9">
        <w:rPr>
          <w:i/>
        </w:rPr>
        <w:t xml:space="preserve">see also </w:t>
      </w:r>
      <w:r w:rsidR="00A14A72">
        <w:rPr>
          <w:i/>
        </w:rPr>
        <w:t>NAL</w:t>
      </w:r>
      <w:r w:rsidR="00A14A72">
        <w:t>, 29</w:t>
      </w:r>
      <w:r w:rsidR="009E3373">
        <w:t xml:space="preserve"> FCC Rcd at 10139, para</w:t>
      </w:r>
      <w:r w:rsidR="002967B9">
        <w:t>s</w:t>
      </w:r>
      <w:r w:rsidR="009E3373">
        <w:t xml:space="preserve">. </w:t>
      </w:r>
      <w:r w:rsidR="002967B9">
        <w:t>3-</w:t>
      </w:r>
      <w:r w:rsidR="009E3373">
        <w:t xml:space="preserve">4. </w:t>
      </w:r>
    </w:p>
  </w:footnote>
  <w:footnote w:id="32">
    <w:p w14:paraId="1246BB26" w14:textId="77777777" w:rsidR="009E3373" w:rsidRPr="009E3373" w:rsidRDefault="009E3373">
      <w:pPr>
        <w:pStyle w:val="FootnoteText"/>
      </w:pPr>
      <w:r>
        <w:rPr>
          <w:rStyle w:val="FootnoteReference"/>
        </w:rPr>
        <w:footnoteRef/>
      </w:r>
      <w:r>
        <w:t xml:space="preserve"> </w:t>
      </w:r>
      <w:r w:rsidRPr="00510914">
        <w:t>NAL Response</w:t>
      </w:r>
      <w:r>
        <w:t xml:space="preserve"> at 2.</w:t>
      </w:r>
    </w:p>
  </w:footnote>
  <w:footnote w:id="33">
    <w:p w14:paraId="1246BB27" w14:textId="77777777" w:rsidR="009E3373" w:rsidRPr="005A1AAC" w:rsidRDefault="009E3373">
      <w:pPr>
        <w:pStyle w:val="FootnoteText"/>
      </w:pPr>
      <w:r>
        <w:rPr>
          <w:rStyle w:val="FootnoteReference"/>
        </w:rPr>
        <w:footnoteRef/>
      </w:r>
      <w:r w:rsidR="003F5BA5">
        <w:t xml:space="preserve"> </w:t>
      </w:r>
      <w:r w:rsidR="003F5BA5" w:rsidRPr="003F5BA5">
        <w:rPr>
          <w:i/>
        </w:rPr>
        <w:t>J &amp; J Broad., Inc.</w:t>
      </w:r>
      <w:r w:rsidR="003F5BA5">
        <w:t xml:space="preserve">, Forfeiture Order, 30 FCC Rcd 7050, 7053, para. 9 (Enf. Bur. 2015); </w:t>
      </w:r>
      <w:r w:rsidR="005A1AAC">
        <w:rPr>
          <w:i/>
        </w:rPr>
        <w:t>W. Slope Commc’ns, LLC</w:t>
      </w:r>
      <w:r w:rsidR="005A1AAC">
        <w:t xml:space="preserve">, Forfeiture Order, 29 FCC Rcd 10470, 10472, para. 8 (Enf. Bur. 2014); </w:t>
      </w:r>
      <w:r w:rsidR="005A1AAC">
        <w:rPr>
          <w:i/>
        </w:rPr>
        <w:t xml:space="preserve">Martin Broad., Inc., </w:t>
      </w:r>
      <w:r w:rsidR="005A1AAC">
        <w:t>Forfeiture Order, 28 FCC Rcd 1923, 1925, para. 5 (Enf. Bur. 2013).</w:t>
      </w:r>
    </w:p>
  </w:footnote>
  <w:footnote w:id="34">
    <w:p w14:paraId="1246BB28" w14:textId="77777777" w:rsidR="005A1AAC" w:rsidRPr="003F5BA5" w:rsidRDefault="005A1AAC">
      <w:pPr>
        <w:pStyle w:val="FootnoteText"/>
      </w:pPr>
      <w:r>
        <w:rPr>
          <w:rStyle w:val="FootnoteReference"/>
        </w:rPr>
        <w:footnoteRef/>
      </w:r>
      <w:r>
        <w:t xml:space="preserve"> </w:t>
      </w:r>
      <w:r w:rsidR="003F5BA5">
        <w:rPr>
          <w:i/>
        </w:rPr>
        <w:t>Id</w:t>
      </w:r>
      <w:r w:rsidR="003F5BA5">
        <w:t xml:space="preserve">.; </w:t>
      </w:r>
      <w:r w:rsidR="003F5BA5">
        <w:rPr>
          <w:i/>
        </w:rPr>
        <w:t>W. Slope Commc’ns, LLC</w:t>
      </w:r>
      <w:r w:rsidR="003F5BA5">
        <w:t xml:space="preserve">, 29 FCC Rcd at 10472, para. 8; </w:t>
      </w:r>
      <w:r w:rsidR="003F5BA5">
        <w:rPr>
          <w:i/>
        </w:rPr>
        <w:t xml:space="preserve">Martin Broad., Inc., </w:t>
      </w:r>
      <w:r w:rsidR="003F5BA5">
        <w:t xml:space="preserve">28 FCC Rcd at 1925, para. 5. </w:t>
      </w:r>
    </w:p>
  </w:footnote>
  <w:footnote w:id="35">
    <w:p w14:paraId="1246BB29" w14:textId="77777777" w:rsidR="003343CA" w:rsidRPr="00344C0B" w:rsidRDefault="003343CA" w:rsidP="003343CA">
      <w:pPr>
        <w:pStyle w:val="FootnoteText"/>
      </w:pPr>
      <w:r w:rsidRPr="00344C0B">
        <w:rPr>
          <w:rStyle w:val="FootnoteReference"/>
        </w:rPr>
        <w:footnoteRef/>
      </w:r>
      <w:r w:rsidRPr="00344C0B">
        <w:t xml:space="preserve"> 47 U.S.C. § 503(b).</w:t>
      </w:r>
    </w:p>
  </w:footnote>
  <w:footnote w:id="36">
    <w:p w14:paraId="1246BB2A" w14:textId="77777777" w:rsidR="003343CA" w:rsidRPr="00344C0B" w:rsidRDefault="003343CA" w:rsidP="003343CA">
      <w:pPr>
        <w:pStyle w:val="FootnoteText"/>
      </w:pPr>
      <w:r w:rsidRPr="00344C0B">
        <w:rPr>
          <w:rStyle w:val="FootnoteReference"/>
        </w:rPr>
        <w:footnoteRef/>
      </w:r>
      <w:r w:rsidRPr="00344C0B">
        <w:t xml:space="preserve"> 47 C.F.R. § 1.80.</w:t>
      </w:r>
    </w:p>
  </w:footnote>
  <w:footnote w:id="37">
    <w:p w14:paraId="1246BB2B" w14:textId="77777777" w:rsidR="003343CA" w:rsidRPr="00344C0B" w:rsidRDefault="003343CA" w:rsidP="003343CA">
      <w:pPr>
        <w:pStyle w:val="FootnoteText"/>
      </w:pPr>
      <w:r w:rsidRPr="00344C0B">
        <w:rPr>
          <w:rStyle w:val="FootnoteReference"/>
        </w:rPr>
        <w:footnoteRef/>
      </w:r>
      <w:r w:rsidRPr="00344C0B">
        <w:t xml:space="preserve"> </w:t>
      </w:r>
      <w:r w:rsidRPr="00344C0B">
        <w:rPr>
          <w:i/>
        </w:rPr>
        <w:t>Id.</w:t>
      </w:r>
    </w:p>
  </w:footnote>
  <w:footnote w:id="38">
    <w:p w14:paraId="1246BB2C" w14:textId="77777777" w:rsidR="003343CA" w:rsidRPr="00344C0B" w:rsidRDefault="003343CA" w:rsidP="003343CA">
      <w:pPr>
        <w:pStyle w:val="FootnoteText"/>
      </w:pPr>
      <w:r w:rsidRPr="00344C0B">
        <w:rPr>
          <w:rStyle w:val="FootnoteReference"/>
        </w:rPr>
        <w:footnoteRef/>
      </w:r>
      <w:r w:rsidRPr="00344C0B">
        <w:t xml:space="preserve"> 47 U.S.C. § 504(a).</w:t>
      </w:r>
    </w:p>
  </w:footnote>
  <w:footnote w:id="39">
    <w:p w14:paraId="1246BB2D" w14:textId="77777777"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40">
    <w:p w14:paraId="1246BB2E" w14:textId="77777777"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D803" w14:textId="77777777" w:rsidR="00286875" w:rsidRDefault="00286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BAFE" w14:textId="7D276DFA"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1246BB06" wp14:editId="1246BB0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12E6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720405">
      <w:rPr>
        <w:spacing w:val="-2"/>
      </w:rPr>
      <w:t>DA 15-1200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BB04" w14:textId="69DD16B3" w:rsidR="00CC3E7E" w:rsidRDefault="00CC3E7E" w:rsidP="00CC3E7E">
    <w:pPr>
      <w:pStyle w:val="Header"/>
    </w:pPr>
  </w:p>
  <w:p w14:paraId="1246BB05" w14:textId="0833C621"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1246BB08" wp14:editId="1246BB0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44CE06"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6064F">
      <w:rPr>
        <w:spacing w:val="-2"/>
      </w:rPr>
      <w:t xml:space="preserve">DA </w:t>
    </w:r>
    <w:r w:rsidR="00720405">
      <w:rPr>
        <w:spacing w:val="-2"/>
      </w:rPr>
      <w:t>15-1200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64B4"/>
    <w:rsid w:val="00031AE8"/>
    <w:rsid w:val="00036D58"/>
    <w:rsid w:val="00043C9B"/>
    <w:rsid w:val="00046801"/>
    <w:rsid w:val="000604EB"/>
    <w:rsid w:val="00062C44"/>
    <w:rsid w:val="000649FE"/>
    <w:rsid w:val="00071E3F"/>
    <w:rsid w:val="00072D7D"/>
    <w:rsid w:val="00074717"/>
    <w:rsid w:val="0007571D"/>
    <w:rsid w:val="00080535"/>
    <w:rsid w:val="000853AD"/>
    <w:rsid w:val="00086824"/>
    <w:rsid w:val="00091AE4"/>
    <w:rsid w:val="00092506"/>
    <w:rsid w:val="000962DF"/>
    <w:rsid w:val="00097F82"/>
    <w:rsid w:val="000A3E68"/>
    <w:rsid w:val="000A4776"/>
    <w:rsid w:val="000B14C3"/>
    <w:rsid w:val="000B1C2B"/>
    <w:rsid w:val="000B29ED"/>
    <w:rsid w:val="000B7657"/>
    <w:rsid w:val="000C092B"/>
    <w:rsid w:val="000C6050"/>
    <w:rsid w:val="000D03AE"/>
    <w:rsid w:val="000D1391"/>
    <w:rsid w:val="000E1951"/>
    <w:rsid w:val="000E2707"/>
    <w:rsid w:val="000F1155"/>
    <w:rsid w:val="00100646"/>
    <w:rsid w:val="00105A35"/>
    <w:rsid w:val="001067B6"/>
    <w:rsid w:val="0011337B"/>
    <w:rsid w:val="0011687C"/>
    <w:rsid w:val="001205FE"/>
    <w:rsid w:val="0012427E"/>
    <w:rsid w:val="00126C88"/>
    <w:rsid w:val="00135F7F"/>
    <w:rsid w:val="00136476"/>
    <w:rsid w:val="00140ABB"/>
    <w:rsid w:val="001426F0"/>
    <w:rsid w:val="00145E08"/>
    <w:rsid w:val="001532B1"/>
    <w:rsid w:val="00153904"/>
    <w:rsid w:val="00153CE0"/>
    <w:rsid w:val="00154124"/>
    <w:rsid w:val="00154A5C"/>
    <w:rsid w:val="00162161"/>
    <w:rsid w:val="00164D9B"/>
    <w:rsid w:val="001715BD"/>
    <w:rsid w:val="00172581"/>
    <w:rsid w:val="001740BB"/>
    <w:rsid w:val="00180026"/>
    <w:rsid w:val="001819AF"/>
    <w:rsid w:val="00196E93"/>
    <w:rsid w:val="001A29EF"/>
    <w:rsid w:val="001A2F40"/>
    <w:rsid w:val="001A69BA"/>
    <w:rsid w:val="001A79FB"/>
    <w:rsid w:val="001B048F"/>
    <w:rsid w:val="001C3156"/>
    <w:rsid w:val="001C3B35"/>
    <w:rsid w:val="001C42B3"/>
    <w:rsid w:val="001D1CEF"/>
    <w:rsid w:val="001E135C"/>
    <w:rsid w:val="001E1906"/>
    <w:rsid w:val="001E401B"/>
    <w:rsid w:val="001F2B76"/>
    <w:rsid w:val="001F5AA4"/>
    <w:rsid w:val="001F7EE0"/>
    <w:rsid w:val="002037C2"/>
    <w:rsid w:val="0021315C"/>
    <w:rsid w:val="002146E2"/>
    <w:rsid w:val="00223173"/>
    <w:rsid w:val="00225854"/>
    <w:rsid w:val="00226191"/>
    <w:rsid w:val="0022665A"/>
    <w:rsid w:val="00234E12"/>
    <w:rsid w:val="00236820"/>
    <w:rsid w:val="00236C37"/>
    <w:rsid w:val="00246222"/>
    <w:rsid w:val="00250EDF"/>
    <w:rsid w:val="002523B2"/>
    <w:rsid w:val="00252799"/>
    <w:rsid w:val="00256904"/>
    <w:rsid w:val="00256B42"/>
    <w:rsid w:val="0026064F"/>
    <w:rsid w:val="002659F3"/>
    <w:rsid w:val="00265FC9"/>
    <w:rsid w:val="00270CD1"/>
    <w:rsid w:val="002710C5"/>
    <w:rsid w:val="002718D7"/>
    <w:rsid w:val="00283E59"/>
    <w:rsid w:val="00286875"/>
    <w:rsid w:val="00287564"/>
    <w:rsid w:val="0029277B"/>
    <w:rsid w:val="00293ACC"/>
    <w:rsid w:val="002966A1"/>
    <w:rsid w:val="002967B9"/>
    <w:rsid w:val="00297424"/>
    <w:rsid w:val="002A1963"/>
    <w:rsid w:val="002B17E2"/>
    <w:rsid w:val="002B7493"/>
    <w:rsid w:val="002C079C"/>
    <w:rsid w:val="002C12AD"/>
    <w:rsid w:val="002C19EF"/>
    <w:rsid w:val="002C66A2"/>
    <w:rsid w:val="002D3A88"/>
    <w:rsid w:val="002D4CD9"/>
    <w:rsid w:val="002D6A81"/>
    <w:rsid w:val="002D74C4"/>
    <w:rsid w:val="002E046E"/>
    <w:rsid w:val="002E1671"/>
    <w:rsid w:val="002E43B6"/>
    <w:rsid w:val="002E6027"/>
    <w:rsid w:val="002F2ACB"/>
    <w:rsid w:val="00306C34"/>
    <w:rsid w:val="00306C50"/>
    <w:rsid w:val="0032053D"/>
    <w:rsid w:val="003211A2"/>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3E9D"/>
    <w:rsid w:val="00355EDB"/>
    <w:rsid w:val="003563C1"/>
    <w:rsid w:val="00361B43"/>
    <w:rsid w:val="003623B1"/>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5B63"/>
    <w:rsid w:val="003D5BD6"/>
    <w:rsid w:val="003E36EC"/>
    <w:rsid w:val="003E4BA1"/>
    <w:rsid w:val="003E5CB1"/>
    <w:rsid w:val="003E7003"/>
    <w:rsid w:val="003F2F66"/>
    <w:rsid w:val="003F5BA5"/>
    <w:rsid w:val="004016AD"/>
    <w:rsid w:val="00403291"/>
    <w:rsid w:val="00403B86"/>
    <w:rsid w:val="00416F51"/>
    <w:rsid w:val="004200CE"/>
    <w:rsid w:val="0042056B"/>
    <w:rsid w:val="00431572"/>
    <w:rsid w:val="00436A9E"/>
    <w:rsid w:val="00441CED"/>
    <w:rsid w:val="00452C14"/>
    <w:rsid w:val="00454EFD"/>
    <w:rsid w:val="00457AE7"/>
    <w:rsid w:val="00466CC6"/>
    <w:rsid w:val="004736A1"/>
    <w:rsid w:val="00493B9B"/>
    <w:rsid w:val="00493EB0"/>
    <w:rsid w:val="004C0831"/>
    <w:rsid w:val="004C1903"/>
    <w:rsid w:val="004C2320"/>
    <w:rsid w:val="004C3EDB"/>
    <w:rsid w:val="004C4957"/>
    <w:rsid w:val="004C7C5C"/>
    <w:rsid w:val="004E218D"/>
    <w:rsid w:val="004E4FD9"/>
    <w:rsid w:val="004E5D01"/>
    <w:rsid w:val="004F0990"/>
    <w:rsid w:val="00505616"/>
    <w:rsid w:val="00510914"/>
    <w:rsid w:val="00512A5C"/>
    <w:rsid w:val="00514466"/>
    <w:rsid w:val="00514B5F"/>
    <w:rsid w:val="005214C9"/>
    <w:rsid w:val="00522727"/>
    <w:rsid w:val="00526086"/>
    <w:rsid w:val="00526174"/>
    <w:rsid w:val="00535D18"/>
    <w:rsid w:val="00537EE6"/>
    <w:rsid w:val="005415C8"/>
    <w:rsid w:val="0054220C"/>
    <w:rsid w:val="005440C1"/>
    <w:rsid w:val="00545EF8"/>
    <w:rsid w:val="00547654"/>
    <w:rsid w:val="00552923"/>
    <w:rsid w:val="00557BF1"/>
    <w:rsid w:val="00560703"/>
    <w:rsid w:val="0056704D"/>
    <w:rsid w:val="00567C95"/>
    <w:rsid w:val="00567D8D"/>
    <w:rsid w:val="0059732E"/>
    <w:rsid w:val="005A1AAC"/>
    <w:rsid w:val="005A510D"/>
    <w:rsid w:val="005A72DD"/>
    <w:rsid w:val="005B3158"/>
    <w:rsid w:val="005B4CEA"/>
    <w:rsid w:val="005B67ED"/>
    <w:rsid w:val="005C2A5A"/>
    <w:rsid w:val="005C30D4"/>
    <w:rsid w:val="005D250F"/>
    <w:rsid w:val="005D364B"/>
    <w:rsid w:val="005D4F7D"/>
    <w:rsid w:val="005E3D9F"/>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6968"/>
    <w:rsid w:val="00686E85"/>
    <w:rsid w:val="006877E7"/>
    <w:rsid w:val="0069788E"/>
    <w:rsid w:val="006A6FD0"/>
    <w:rsid w:val="006B080E"/>
    <w:rsid w:val="006B685D"/>
    <w:rsid w:val="006D2212"/>
    <w:rsid w:val="006D550A"/>
    <w:rsid w:val="006D7FF3"/>
    <w:rsid w:val="006E3B0D"/>
    <w:rsid w:val="006E3BFF"/>
    <w:rsid w:val="006E5193"/>
    <w:rsid w:val="006E6868"/>
    <w:rsid w:val="006E728E"/>
    <w:rsid w:val="00704843"/>
    <w:rsid w:val="007112FE"/>
    <w:rsid w:val="007115F7"/>
    <w:rsid w:val="00714FD7"/>
    <w:rsid w:val="00715666"/>
    <w:rsid w:val="00720405"/>
    <w:rsid w:val="0072776E"/>
    <w:rsid w:val="00731211"/>
    <w:rsid w:val="007325C3"/>
    <w:rsid w:val="0073326F"/>
    <w:rsid w:val="00743885"/>
    <w:rsid w:val="00743CDB"/>
    <w:rsid w:val="00745AB4"/>
    <w:rsid w:val="007470E1"/>
    <w:rsid w:val="007479D6"/>
    <w:rsid w:val="00752D0E"/>
    <w:rsid w:val="00755564"/>
    <w:rsid w:val="00757E63"/>
    <w:rsid w:val="00765619"/>
    <w:rsid w:val="0077103F"/>
    <w:rsid w:val="00781BFC"/>
    <w:rsid w:val="00782257"/>
    <w:rsid w:val="00785772"/>
    <w:rsid w:val="0078649E"/>
    <w:rsid w:val="00787DBC"/>
    <w:rsid w:val="00790B4B"/>
    <w:rsid w:val="00791577"/>
    <w:rsid w:val="00792AD9"/>
    <w:rsid w:val="007A2AF2"/>
    <w:rsid w:val="007A400F"/>
    <w:rsid w:val="007B1B20"/>
    <w:rsid w:val="007B25BE"/>
    <w:rsid w:val="007C197B"/>
    <w:rsid w:val="007C3802"/>
    <w:rsid w:val="007C3FB4"/>
    <w:rsid w:val="007C416C"/>
    <w:rsid w:val="007D5BA0"/>
    <w:rsid w:val="007E10B6"/>
    <w:rsid w:val="007E39BB"/>
    <w:rsid w:val="007E5FD2"/>
    <w:rsid w:val="007F29BF"/>
    <w:rsid w:val="007F3C22"/>
    <w:rsid w:val="0080144D"/>
    <w:rsid w:val="00804AA7"/>
    <w:rsid w:val="00806AEF"/>
    <w:rsid w:val="00813F43"/>
    <w:rsid w:val="00817123"/>
    <w:rsid w:val="008218CC"/>
    <w:rsid w:val="00823395"/>
    <w:rsid w:val="00836DF6"/>
    <w:rsid w:val="00845115"/>
    <w:rsid w:val="00854197"/>
    <w:rsid w:val="00862B6D"/>
    <w:rsid w:val="008635E6"/>
    <w:rsid w:val="008666BC"/>
    <w:rsid w:val="00867A33"/>
    <w:rsid w:val="008742A5"/>
    <w:rsid w:val="00874CFC"/>
    <w:rsid w:val="00890DC3"/>
    <w:rsid w:val="008A0B16"/>
    <w:rsid w:val="008A1A2C"/>
    <w:rsid w:val="008B1964"/>
    <w:rsid w:val="008D1BE7"/>
    <w:rsid w:val="008D6AFE"/>
    <w:rsid w:val="008E0D87"/>
    <w:rsid w:val="008E1624"/>
    <w:rsid w:val="008F0EAD"/>
    <w:rsid w:val="008F0F79"/>
    <w:rsid w:val="009012DC"/>
    <w:rsid w:val="00901B88"/>
    <w:rsid w:val="00901EA9"/>
    <w:rsid w:val="00910008"/>
    <w:rsid w:val="00913674"/>
    <w:rsid w:val="009150E9"/>
    <w:rsid w:val="00920FB9"/>
    <w:rsid w:val="00922BC7"/>
    <w:rsid w:val="00924198"/>
    <w:rsid w:val="009244F0"/>
    <w:rsid w:val="00932FF9"/>
    <w:rsid w:val="0093638C"/>
    <w:rsid w:val="00937A4E"/>
    <w:rsid w:val="00955661"/>
    <w:rsid w:val="00957948"/>
    <w:rsid w:val="00966093"/>
    <w:rsid w:val="009708B5"/>
    <w:rsid w:val="009714F0"/>
    <w:rsid w:val="00974A8A"/>
    <w:rsid w:val="0097633D"/>
    <w:rsid w:val="00980AA0"/>
    <w:rsid w:val="00981A39"/>
    <w:rsid w:val="009827C2"/>
    <w:rsid w:val="009847FB"/>
    <w:rsid w:val="00984A43"/>
    <w:rsid w:val="00985084"/>
    <w:rsid w:val="00990196"/>
    <w:rsid w:val="009909F1"/>
    <w:rsid w:val="00992A29"/>
    <w:rsid w:val="009A09C6"/>
    <w:rsid w:val="009A2403"/>
    <w:rsid w:val="009A323D"/>
    <w:rsid w:val="009A3AE5"/>
    <w:rsid w:val="009A3D13"/>
    <w:rsid w:val="009A4C09"/>
    <w:rsid w:val="009B0223"/>
    <w:rsid w:val="009B1061"/>
    <w:rsid w:val="009B2C59"/>
    <w:rsid w:val="009B3E58"/>
    <w:rsid w:val="009B6F55"/>
    <w:rsid w:val="009C2411"/>
    <w:rsid w:val="009C3321"/>
    <w:rsid w:val="009C46AB"/>
    <w:rsid w:val="009C6AD9"/>
    <w:rsid w:val="009D0C63"/>
    <w:rsid w:val="009D5355"/>
    <w:rsid w:val="009E3373"/>
    <w:rsid w:val="009E44EE"/>
    <w:rsid w:val="009E708F"/>
    <w:rsid w:val="00A002F4"/>
    <w:rsid w:val="00A00AE0"/>
    <w:rsid w:val="00A01D1A"/>
    <w:rsid w:val="00A020A9"/>
    <w:rsid w:val="00A02148"/>
    <w:rsid w:val="00A047AF"/>
    <w:rsid w:val="00A0567A"/>
    <w:rsid w:val="00A10460"/>
    <w:rsid w:val="00A14A72"/>
    <w:rsid w:val="00A14E35"/>
    <w:rsid w:val="00A174D4"/>
    <w:rsid w:val="00A204BA"/>
    <w:rsid w:val="00A20570"/>
    <w:rsid w:val="00A223C9"/>
    <w:rsid w:val="00A230E1"/>
    <w:rsid w:val="00A24336"/>
    <w:rsid w:val="00A24CD1"/>
    <w:rsid w:val="00A26C54"/>
    <w:rsid w:val="00A3796D"/>
    <w:rsid w:val="00A41565"/>
    <w:rsid w:val="00A42341"/>
    <w:rsid w:val="00A4446E"/>
    <w:rsid w:val="00A45420"/>
    <w:rsid w:val="00A52CEE"/>
    <w:rsid w:val="00A80EDF"/>
    <w:rsid w:val="00A95983"/>
    <w:rsid w:val="00AA19E7"/>
    <w:rsid w:val="00AA1C42"/>
    <w:rsid w:val="00AA614F"/>
    <w:rsid w:val="00AB2A81"/>
    <w:rsid w:val="00AB3FF0"/>
    <w:rsid w:val="00AC08EF"/>
    <w:rsid w:val="00AC0A30"/>
    <w:rsid w:val="00AC7682"/>
    <w:rsid w:val="00AC7905"/>
    <w:rsid w:val="00AD35D3"/>
    <w:rsid w:val="00AD525D"/>
    <w:rsid w:val="00AE4E71"/>
    <w:rsid w:val="00AE6CDF"/>
    <w:rsid w:val="00AF2483"/>
    <w:rsid w:val="00AF6122"/>
    <w:rsid w:val="00B046DF"/>
    <w:rsid w:val="00B0601B"/>
    <w:rsid w:val="00B102D9"/>
    <w:rsid w:val="00B106C6"/>
    <w:rsid w:val="00B20811"/>
    <w:rsid w:val="00B21753"/>
    <w:rsid w:val="00B246DD"/>
    <w:rsid w:val="00B26603"/>
    <w:rsid w:val="00B307A4"/>
    <w:rsid w:val="00B35BD7"/>
    <w:rsid w:val="00B5182F"/>
    <w:rsid w:val="00B52F5E"/>
    <w:rsid w:val="00B661C1"/>
    <w:rsid w:val="00B70A0B"/>
    <w:rsid w:val="00B7385F"/>
    <w:rsid w:val="00B84DAA"/>
    <w:rsid w:val="00B86B94"/>
    <w:rsid w:val="00B95147"/>
    <w:rsid w:val="00BA0DEA"/>
    <w:rsid w:val="00BB18C9"/>
    <w:rsid w:val="00BB2B10"/>
    <w:rsid w:val="00BB4888"/>
    <w:rsid w:val="00BB6D6F"/>
    <w:rsid w:val="00BC3C88"/>
    <w:rsid w:val="00BC3FB6"/>
    <w:rsid w:val="00BD1C0D"/>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575E"/>
    <w:rsid w:val="00C710A4"/>
    <w:rsid w:val="00C7583B"/>
    <w:rsid w:val="00C7593B"/>
    <w:rsid w:val="00C771F0"/>
    <w:rsid w:val="00C80AB7"/>
    <w:rsid w:val="00C81248"/>
    <w:rsid w:val="00C81DFC"/>
    <w:rsid w:val="00C82A24"/>
    <w:rsid w:val="00C835A2"/>
    <w:rsid w:val="00C855E5"/>
    <w:rsid w:val="00C90207"/>
    <w:rsid w:val="00C9559E"/>
    <w:rsid w:val="00C9673A"/>
    <w:rsid w:val="00C9782D"/>
    <w:rsid w:val="00C97F25"/>
    <w:rsid w:val="00CA60E2"/>
    <w:rsid w:val="00CA74A0"/>
    <w:rsid w:val="00CB6E37"/>
    <w:rsid w:val="00CB7613"/>
    <w:rsid w:val="00CC3E7E"/>
    <w:rsid w:val="00CC48B6"/>
    <w:rsid w:val="00CC660D"/>
    <w:rsid w:val="00CC6B2D"/>
    <w:rsid w:val="00CD01AA"/>
    <w:rsid w:val="00CD4A8B"/>
    <w:rsid w:val="00CD7A1B"/>
    <w:rsid w:val="00CE57A9"/>
    <w:rsid w:val="00CF0BCD"/>
    <w:rsid w:val="00CF2340"/>
    <w:rsid w:val="00CF537E"/>
    <w:rsid w:val="00CF6B67"/>
    <w:rsid w:val="00CF708B"/>
    <w:rsid w:val="00D137D5"/>
    <w:rsid w:val="00D15C2F"/>
    <w:rsid w:val="00D23943"/>
    <w:rsid w:val="00D249F3"/>
    <w:rsid w:val="00D417DA"/>
    <w:rsid w:val="00D55192"/>
    <w:rsid w:val="00D70FC6"/>
    <w:rsid w:val="00D75D1C"/>
    <w:rsid w:val="00D77881"/>
    <w:rsid w:val="00DA4A80"/>
    <w:rsid w:val="00DA67BE"/>
    <w:rsid w:val="00DB04B0"/>
    <w:rsid w:val="00DB110F"/>
    <w:rsid w:val="00DB209B"/>
    <w:rsid w:val="00DB7A00"/>
    <w:rsid w:val="00DC18A1"/>
    <w:rsid w:val="00DC48DB"/>
    <w:rsid w:val="00DC68F5"/>
    <w:rsid w:val="00DD066D"/>
    <w:rsid w:val="00DD17B4"/>
    <w:rsid w:val="00DD355E"/>
    <w:rsid w:val="00DD7B34"/>
    <w:rsid w:val="00DF2FC3"/>
    <w:rsid w:val="00DF3333"/>
    <w:rsid w:val="00DF49C5"/>
    <w:rsid w:val="00E03C5E"/>
    <w:rsid w:val="00E03D76"/>
    <w:rsid w:val="00E0401A"/>
    <w:rsid w:val="00E136B4"/>
    <w:rsid w:val="00E20614"/>
    <w:rsid w:val="00E216B3"/>
    <w:rsid w:val="00E273E3"/>
    <w:rsid w:val="00E32B89"/>
    <w:rsid w:val="00E40344"/>
    <w:rsid w:val="00E41348"/>
    <w:rsid w:val="00E44BA5"/>
    <w:rsid w:val="00E51553"/>
    <w:rsid w:val="00E51F9F"/>
    <w:rsid w:val="00E57ED1"/>
    <w:rsid w:val="00E6009E"/>
    <w:rsid w:val="00E61780"/>
    <w:rsid w:val="00E650AE"/>
    <w:rsid w:val="00E6792A"/>
    <w:rsid w:val="00E71A57"/>
    <w:rsid w:val="00E74600"/>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E1"/>
    <w:rsid w:val="00F210F9"/>
    <w:rsid w:val="00F21DEF"/>
    <w:rsid w:val="00F23F1E"/>
    <w:rsid w:val="00F35991"/>
    <w:rsid w:val="00F368C8"/>
    <w:rsid w:val="00F42536"/>
    <w:rsid w:val="00F51AF3"/>
    <w:rsid w:val="00F610C2"/>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246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EDB"/>
    <w:pPr>
      <w:widowControl w:val="0"/>
    </w:pPr>
    <w:rPr>
      <w:snapToGrid w:val="0"/>
      <w:kern w:val="28"/>
      <w:szCs w:val="20"/>
    </w:rPr>
  </w:style>
  <w:style w:type="paragraph" w:styleId="Heading1">
    <w:name w:val="heading 1"/>
    <w:basedOn w:val="Normal"/>
    <w:next w:val="ParaNum"/>
    <w:link w:val="Heading1Char"/>
    <w:qFormat/>
    <w:rsid w:val="00355E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5EDB"/>
    <w:pPr>
      <w:keepNext/>
      <w:numPr>
        <w:ilvl w:val="1"/>
        <w:numId w:val="3"/>
      </w:numPr>
      <w:spacing w:after="120"/>
      <w:outlineLvl w:val="1"/>
    </w:pPr>
    <w:rPr>
      <w:b/>
    </w:rPr>
  </w:style>
  <w:style w:type="paragraph" w:styleId="Heading3">
    <w:name w:val="heading 3"/>
    <w:basedOn w:val="Normal"/>
    <w:next w:val="ParaNum"/>
    <w:link w:val="Heading3Char"/>
    <w:qFormat/>
    <w:rsid w:val="00355ED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55ED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55ED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55ED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55ED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55E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5E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5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EDB"/>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55EDB"/>
    <w:pPr>
      <w:numPr>
        <w:numId w:val="2"/>
      </w:numPr>
      <w:tabs>
        <w:tab w:val="clear" w:pos="1080"/>
        <w:tab w:val="num" w:pos="1440"/>
      </w:tabs>
      <w:spacing w:after="120"/>
    </w:pPr>
  </w:style>
  <w:style w:type="paragraph" w:styleId="EndnoteText">
    <w:name w:val="endnote text"/>
    <w:basedOn w:val="Normal"/>
    <w:link w:val="EndnoteTextChar"/>
    <w:semiHidden/>
    <w:rsid w:val="00355EDB"/>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55EDB"/>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55EDB"/>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355EDB"/>
    <w:rPr>
      <w:rFonts w:ascii="Times New Roman" w:hAnsi="Times New Roman"/>
      <w:dstrike w:val="0"/>
      <w:color w:val="auto"/>
      <w:sz w:val="20"/>
      <w:vertAlign w:val="superscript"/>
    </w:rPr>
  </w:style>
  <w:style w:type="paragraph" w:styleId="TOC1">
    <w:name w:val="toc 1"/>
    <w:basedOn w:val="Normal"/>
    <w:next w:val="Normal"/>
    <w:rsid w:val="00355E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5EDB"/>
    <w:pPr>
      <w:tabs>
        <w:tab w:val="left" w:pos="720"/>
        <w:tab w:val="right" w:leader="dot" w:pos="9360"/>
      </w:tabs>
      <w:suppressAutoHyphens/>
      <w:ind w:left="720" w:right="720" w:hanging="360"/>
    </w:pPr>
    <w:rPr>
      <w:noProof/>
    </w:rPr>
  </w:style>
  <w:style w:type="paragraph" w:styleId="TOC3">
    <w:name w:val="toc 3"/>
    <w:basedOn w:val="Normal"/>
    <w:next w:val="Normal"/>
    <w:semiHidden/>
    <w:rsid w:val="00355E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5E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5E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5E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5E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5E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5E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5EDB"/>
    <w:pPr>
      <w:tabs>
        <w:tab w:val="right" w:pos="9360"/>
      </w:tabs>
      <w:suppressAutoHyphens/>
    </w:pPr>
  </w:style>
  <w:style w:type="character" w:customStyle="1" w:styleId="EquationCaption">
    <w:name w:val="_Equation Caption"/>
    <w:rsid w:val="00355EDB"/>
  </w:style>
  <w:style w:type="paragraph" w:styleId="Header">
    <w:name w:val="header"/>
    <w:basedOn w:val="Normal"/>
    <w:link w:val="HeaderChar"/>
    <w:autoRedefine/>
    <w:rsid w:val="00355EDB"/>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55EDB"/>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55EDB"/>
  </w:style>
  <w:style w:type="paragraph" w:styleId="BlockText">
    <w:name w:val="Block Text"/>
    <w:basedOn w:val="Normal"/>
    <w:rsid w:val="00355EDB"/>
    <w:pPr>
      <w:spacing w:after="240"/>
      <w:ind w:left="1440" w:right="1440"/>
    </w:pPr>
  </w:style>
  <w:style w:type="paragraph" w:customStyle="1" w:styleId="Paratitle">
    <w:name w:val="Para title"/>
    <w:basedOn w:val="Normal"/>
    <w:rsid w:val="00355EDB"/>
    <w:pPr>
      <w:tabs>
        <w:tab w:val="center" w:pos="9270"/>
      </w:tabs>
      <w:spacing w:after="240"/>
    </w:pPr>
    <w:rPr>
      <w:spacing w:val="-2"/>
    </w:rPr>
  </w:style>
  <w:style w:type="paragraph" w:customStyle="1" w:styleId="Bullet">
    <w:name w:val="Bullet"/>
    <w:basedOn w:val="Normal"/>
    <w:rsid w:val="00355EDB"/>
    <w:pPr>
      <w:tabs>
        <w:tab w:val="left" w:pos="2160"/>
      </w:tabs>
      <w:spacing w:after="220"/>
      <w:ind w:left="2160" w:hanging="720"/>
    </w:pPr>
  </w:style>
  <w:style w:type="paragraph" w:customStyle="1" w:styleId="TableFormat">
    <w:name w:val="TableFormat"/>
    <w:basedOn w:val="Bullet"/>
    <w:rsid w:val="00355EDB"/>
    <w:pPr>
      <w:tabs>
        <w:tab w:val="clear" w:pos="2160"/>
        <w:tab w:val="left" w:pos="5040"/>
      </w:tabs>
      <w:ind w:left="5040" w:hanging="3600"/>
    </w:pPr>
  </w:style>
  <w:style w:type="paragraph" w:customStyle="1" w:styleId="TOCTitle">
    <w:name w:val="TOC Title"/>
    <w:basedOn w:val="Normal"/>
    <w:rsid w:val="00355E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5EDB"/>
    <w:pPr>
      <w:jc w:val="center"/>
    </w:pPr>
    <w:rPr>
      <w:rFonts w:ascii="Times New Roman Bold" w:hAnsi="Times New Roman Bold"/>
      <w:b/>
      <w:bCs/>
      <w:caps/>
      <w:szCs w:val="22"/>
    </w:rPr>
  </w:style>
  <w:style w:type="character" w:styleId="Hyperlink">
    <w:name w:val="Hyperlink"/>
    <w:rsid w:val="00355EDB"/>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EDB"/>
    <w:pPr>
      <w:widowControl w:val="0"/>
    </w:pPr>
    <w:rPr>
      <w:snapToGrid w:val="0"/>
      <w:kern w:val="28"/>
      <w:szCs w:val="20"/>
    </w:rPr>
  </w:style>
  <w:style w:type="paragraph" w:styleId="Heading1">
    <w:name w:val="heading 1"/>
    <w:basedOn w:val="Normal"/>
    <w:next w:val="ParaNum"/>
    <w:link w:val="Heading1Char"/>
    <w:qFormat/>
    <w:rsid w:val="00355E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5EDB"/>
    <w:pPr>
      <w:keepNext/>
      <w:numPr>
        <w:ilvl w:val="1"/>
        <w:numId w:val="3"/>
      </w:numPr>
      <w:spacing w:after="120"/>
      <w:outlineLvl w:val="1"/>
    </w:pPr>
    <w:rPr>
      <w:b/>
    </w:rPr>
  </w:style>
  <w:style w:type="paragraph" w:styleId="Heading3">
    <w:name w:val="heading 3"/>
    <w:basedOn w:val="Normal"/>
    <w:next w:val="ParaNum"/>
    <w:link w:val="Heading3Char"/>
    <w:qFormat/>
    <w:rsid w:val="00355ED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55ED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55ED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55ED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55ED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55E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5E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5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EDB"/>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55EDB"/>
    <w:pPr>
      <w:numPr>
        <w:numId w:val="2"/>
      </w:numPr>
      <w:tabs>
        <w:tab w:val="clear" w:pos="1080"/>
        <w:tab w:val="num" w:pos="1440"/>
      </w:tabs>
      <w:spacing w:after="120"/>
    </w:pPr>
  </w:style>
  <w:style w:type="paragraph" w:styleId="EndnoteText">
    <w:name w:val="endnote text"/>
    <w:basedOn w:val="Normal"/>
    <w:link w:val="EndnoteTextChar"/>
    <w:semiHidden/>
    <w:rsid w:val="00355EDB"/>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55EDB"/>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55EDB"/>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355EDB"/>
    <w:rPr>
      <w:rFonts w:ascii="Times New Roman" w:hAnsi="Times New Roman"/>
      <w:dstrike w:val="0"/>
      <w:color w:val="auto"/>
      <w:sz w:val="20"/>
      <w:vertAlign w:val="superscript"/>
    </w:rPr>
  </w:style>
  <w:style w:type="paragraph" w:styleId="TOC1">
    <w:name w:val="toc 1"/>
    <w:basedOn w:val="Normal"/>
    <w:next w:val="Normal"/>
    <w:rsid w:val="00355E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5EDB"/>
    <w:pPr>
      <w:tabs>
        <w:tab w:val="left" w:pos="720"/>
        <w:tab w:val="right" w:leader="dot" w:pos="9360"/>
      </w:tabs>
      <w:suppressAutoHyphens/>
      <w:ind w:left="720" w:right="720" w:hanging="360"/>
    </w:pPr>
    <w:rPr>
      <w:noProof/>
    </w:rPr>
  </w:style>
  <w:style w:type="paragraph" w:styleId="TOC3">
    <w:name w:val="toc 3"/>
    <w:basedOn w:val="Normal"/>
    <w:next w:val="Normal"/>
    <w:semiHidden/>
    <w:rsid w:val="00355E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5E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5E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5E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5E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5E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5E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5EDB"/>
    <w:pPr>
      <w:tabs>
        <w:tab w:val="right" w:pos="9360"/>
      </w:tabs>
      <w:suppressAutoHyphens/>
    </w:pPr>
  </w:style>
  <w:style w:type="character" w:customStyle="1" w:styleId="EquationCaption">
    <w:name w:val="_Equation Caption"/>
    <w:rsid w:val="00355EDB"/>
  </w:style>
  <w:style w:type="paragraph" w:styleId="Header">
    <w:name w:val="header"/>
    <w:basedOn w:val="Normal"/>
    <w:link w:val="HeaderChar"/>
    <w:autoRedefine/>
    <w:rsid w:val="00355EDB"/>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55EDB"/>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55EDB"/>
  </w:style>
  <w:style w:type="paragraph" w:styleId="BlockText">
    <w:name w:val="Block Text"/>
    <w:basedOn w:val="Normal"/>
    <w:rsid w:val="00355EDB"/>
    <w:pPr>
      <w:spacing w:after="240"/>
      <w:ind w:left="1440" w:right="1440"/>
    </w:pPr>
  </w:style>
  <w:style w:type="paragraph" w:customStyle="1" w:styleId="Paratitle">
    <w:name w:val="Para title"/>
    <w:basedOn w:val="Normal"/>
    <w:rsid w:val="00355EDB"/>
    <w:pPr>
      <w:tabs>
        <w:tab w:val="center" w:pos="9270"/>
      </w:tabs>
      <w:spacing w:after="240"/>
    </w:pPr>
    <w:rPr>
      <w:spacing w:val="-2"/>
    </w:rPr>
  </w:style>
  <w:style w:type="paragraph" w:customStyle="1" w:styleId="Bullet">
    <w:name w:val="Bullet"/>
    <w:basedOn w:val="Normal"/>
    <w:rsid w:val="00355EDB"/>
    <w:pPr>
      <w:tabs>
        <w:tab w:val="left" w:pos="2160"/>
      </w:tabs>
      <w:spacing w:after="220"/>
      <w:ind w:left="2160" w:hanging="720"/>
    </w:pPr>
  </w:style>
  <w:style w:type="paragraph" w:customStyle="1" w:styleId="TableFormat">
    <w:name w:val="TableFormat"/>
    <w:basedOn w:val="Bullet"/>
    <w:rsid w:val="00355EDB"/>
    <w:pPr>
      <w:tabs>
        <w:tab w:val="clear" w:pos="2160"/>
        <w:tab w:val="left" w:pos="5040"/>
      </w:tabs>
      <w:ind w:left="5040" w:hanging="3600"/>
    </w:pPr>
  </w:style>
  <w:style w:type="paragraph" w:customStyle="1" w:styleId="TOCTitle">
    <w:name w:val="TOC Title"/>
    <w:basedOn w:val="Normal"/>
    <w:rsid w:val="00355E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5EDB"/>
    <w:pPr>
      <w:jc w:val="center"/>
    </w:pPr>
    <w:rPr>
      <w:rFonts w:ascii="Times New Roman Bold" w:hAnsi="Times New Roman Bold"/>
      <w:b/>
      <w:bCs/>
      <w:caps/>
      <w:szCs w:val="22"/>
    </w:rPr>
  </w:style>
  <w:style w:type="character" w:styleId="Hyperlink">
    <w:name w:val="Hyperlink"/>
    <w:rsid w:val="00355EDB"/>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1817</Words>
  <Characters>9899</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2015-10-22T14:35:00Z</dcterms:created>
  <dcterms:modified xsi:type="dcterms:W3CDTF">2015-10-22T14:35:00Z</dcterms:modified>
  <cp:category> </cp:category>
  <cp:contentStatus> </cp:contentStatus>
</cp:coreProperties>
</file>