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13" w:rsidRPr="001106B2" w:rsidRDefault="003A3313" w:rsidP="003A3313">
      <w:pPr>
        <w:jc w:val="center"/>
        <w:rPr>
          <w:b/>
        </w:rPr>
      </w:pPr>
      <w:bookmarkStart w:id="0" w:name="_GoBack"/>
      <w:bookmarkEnd w:id="0"/>
      <w:r w:rsidRPr="001106B2">
        <w:rPr>
          <w:b/>
        </w:rPr>
        <w:t>Before the</w:t>
      </w:r>
    </w:p>
    <w:p w:rsidR="003A3313" w:rsidRPr="001106B2" w:rsidRDefault="003A3313" w:rsidP="003A3313">
      <w:pPr>
        <w:jc w:val="center"/>
        <w:rPr>
          <w:b/>
        </w:rPr>
      </w:pPr>
      <w:r w:rsidRPr="001106B2">
        <w:rPr>
          <w:b/>
        </w:rPr>
        <w:t>Federal Communications Commission</w:t>
      </w:r>
    </w:p>
    <w:p w:rsidR="003A3313" w:rsidRPr="001106B2" w:rsidRDefault="003A3313" w:rsidP="003A3313">
      <w:pPr>
        <w:jc w:val="center"/>
        <w:rPr>
          <w:b/>
        </w:rPr>
      </w:pPr>
      <w:r w:rsidRPr="001106B2">
        <w:rPr>
          <w:b/>
        </w:rPr>
        <w:t>Washington, D.C. 20554</w:t>
      </w:r>
    </w:p>
    <w:p w:rsidR="003A3313" w:rsidRPr="001106B2" w:rsidRDefault="003A3313" w:rsidP="003A3313"/>
    <w:p w:rsidR="003A3313" w:rsidRPr="001106B2" w:rsidRDefault="003A3313" w:rsidP="003A3313"/>
    <w:tbl>
      <w:tblPr>
        <w:tblW w:w="9360" w:type="dxa"/>
        <w:tblLayout w:type="fixed"/>
        <w:tblLook w:val="0000" w:firstRow="0" w:lastRow="0" w:firstColumn="0" w:lastColumn="0" w:noHBand="0" w:noVBand="0"/>
      </w:tblPr>
      <w:tblGrid>
        <w:gridCol w:w="4860"/>
        <w:gridCol w:w="450"/>
        <w:gridCol w:w="4050"/>
      </w:tblGrid>
      <w:tr w:rsidR="00084415" w:rsidRPr="001106B2" w:rsidTr="000861E5">
        <w:tc>
          <w:tcPr>
            <w:tcW w:w="4860" w:type="dxa"/>
          </w:tcPr>
          <w:p w:rsidR="00084415" w:rsidRPr="001106B2" w:rsidRDefault="00084415" w:rsidP="00182E15">
            <w:pPr>
              <w:tabs>
                <w:tab w:val="center" w:pos="4680"/>
              </w:tabs>
              <w:suppressAutoHyphens/>
              <w:rPr>
                <w:spacing w:val="-2"/>
              </w:rPr>
            </w:pPr>
            <w:r w:rsidRPr="001106B2">
              <w:rPr>
                <w:spacing w:val="-2"/>
              </w:rPr>
              <w:t>In the Matter of</w:t>
            </w:r>
          </w:p>
          <w:p w:rsidR="00084415" w:rsidRPr="001106B2" w:rsidRDefault="00084415" w:rsidP="00182E15">
            <w:pPr>
              <w:tabs>
                <w:tab w:val="center" w:pos="4680"/>
              </w:tabs>
              <w:suppressAutoHyphens/>
              <w:rPr>
                <w:spacing w:val="-2"/>
              </w:rPr>
            </w:pPr>
          </w:p>
          <w:p w:rsidR="00084415" w:rsidRDefault="00084415" w:rsidP="00AD7E3F">
            <w:r>
              <w:t xml:space="preserve">Applications of AT&amp;T Mobility Spectrum LLC, Tampnet Inc., </w:t>
            </w:r>
            <w:r w:rsidR="00B10D92">
              <w:t xml:space="preserve">Tampnet Licensee LLC, </w:t>
            </w:r>
            <w:r>
              <w:t>Broadpoint License Co., LLC, and Broadpoint Wireless License Co., LLC f</w:t>
            </w:r>
            <w:r w:rsidRPr="00AD7E3F">
              <w:t xml:space="preserve">or </w:t>
            </w:r>
            <w:r w:rsidR="00B10D92">
              <w:t>Consent T</w:t>
            </w:r>
            <w:r>
              <w:t>o Assign Licenses and Approval of Long-Term</w:t>
            </w:r>
            <w:r w:rsidRPr="00D27ABB">
              <w:t xml:space="preserve"> </w:t>
            </w:r>
            <w:r>
              <w:rPr>
                <w:i/>
              </w:rPr>
              <w:t xml:space="preserve">De </w:t>
            </w:r>
            <w:r w:rsidRPr="00574176">
              <w:rPr>
                <w:i/>
              </w:rPr>
              <w:t>Facto</w:t>
            </w:r>
            <w:r>
              <w:t xml:space="preserve"> Transfer Spectrum Leasing Arrangements</w:t>
            </w:r>
          </w:p>
          <w:p w:rsidR="00084415" w:rsidRDefault="00084415" w:rsidP="00AD7E3F"/>
          <w:p w:rsidR="00084415" w:rsidRDefault="00084415" w:rsidP="00AD7E3F">
            <w:r>
              <w:t xml:space="preserve">Applications of Tampnet Inc. and Broadpoint License Co., LLC for Consent </w:t>
            </w:r>
            <w:r w:rsidR="00B10D92">
              <w:t>T</w:t>
            </w:r>
            <w:r>
              <w:t>o Assign and Transfer Satellite Earth Station Licenses</w:t>
            </w:r>
          </w:p>
          <w:p w:rsidR="00084415" w:rsidRDefault="00084415" w:rsidP="00AD7E3F"/>
          <w:p w:rsidR="00084415" w:rsidRDefault="00084415" w:rsidP="00AD7E3F">
            <w:r>
              <w:t>Application of Tampnet Inc. for Global or Limited Global Facilities-Based Service, Global or Limited Global Resale Service</w:t>
            </w:r>
          </w:p>
          <w:p w:rsidR="00084415" w:rsidRDefault="00084415" w:rsidP="00AD7E3F"/>
          <w:p w:rsidR="00084415" w:rsidRPr="00AD7E3F" w:rsidRDefault="00084415" w:rsidP="00AD7E3F">
            <w:r>
              <w:t>Petition for Declaratory Ruling of Tampnet Inc.</w:t>
            </w:r>
          </w:p>
          <w:p w:rsidR="00084415" w:rsidRPr="001106B2" w:rsidRDefault="00084415" w:rsidP="00182E15">
            <w:pPr>
              <w:snapToGrid w:val="0"/>
            </w:pPr>
          </w:p>
        </w:tc>
        <w:tc>
          <w:tcPr>
            <w:tcW w:w="450" w:type="dxa"/>
          </w:tcPr>
          <w:p w:rsidR="00084415" w:rsidRPr="00084415" w:rsidRDefault="00084415" w:rsidP="00182E15">
            <w:pPr>
              <w:rPr>
                <w:b/>
              </w:rPr>
            </w:pPr>
            <w:r w:rsidRPr="00084415">
              <w:rPr>
                <w:b/>
              </w:rPr>
              <w:t>)</w:t>
            </w:r>
          </w:p>
          <w:p w:rsidR="00084415" w:rsidRPr="00084415" w:rsidRDefault="00084415" w:rsidP="00182E15">
            <w:pPr>
              <w:rPr>
                <w:b/>
              </w:rPr>
            </w:pPr>
            <w:r w:rsidRPr="00084415">
              <w:rPr>
                <w:b/>
              </w:rPr>
              <w:t>)</w:t>
            </w:r>
          </w:p>
          <w:p w:rsidR="00084415" w:rsidRPr="00084415" w:rsidRDefault="00084415" w:rsidP="00182E15">
            <w:r w:rsidRPr="00084415">
              <w:rPr>
                <w:b/>
              </w:rPr>
              <w:t>)</w:t>
            </w:r>
          </w:p>
          <w:p w:rsidR="00084415" w:rsidRPr="00084415" w:rsidRDefault="00084415">
            <w:pPr>
              <w:rPr>
                <w:b/>
              </w:rPr>
            </w:pPr>
            <w:r w:rsidRPr="00084415">
              <w:rPr>
                <w:b/>
              </w:rPr>
              <w:t>)</w:t>
            </w:r>
          </w:p>
          <w:p w:rsidR="00084415" w:rsidRPr="00084415" w:rsidRDefault="00084415">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084415" w:rsidRPr="00084415" w:rsidRDefault="00084415" w:rsidP="00EB3ED0">
            <w:pPr>
              <w:rPr>
                <w:b/>
              </w:rPr>
            </w:pPr>
            <w:r w:rsidRPr="00084415">
              <w:rPr>
                <w:b/>
              </w:rPr>
              <w:t>)</w:t>
            </w:r>
          </w:p>
          <w:p w:rsidR="00084415" w:rsidRDefault="00084415" w:rsidP="00EB3ED0">
            <w:pPr>
              <w:rPr>
                <w:color w:val="000000"/>
                <w:szCs w:val="22"/>
              </w:rPr>
            </w:pPr>
            <w:r w:rsidRPr="00084415">
              <w:rPr>
                <w:b/>
              </w:rPr>
              <w:t>)</w:t>
            </w:r>
          </w:p>
          <w:p w:rsidR="00084415" w:rsidRDefault="00084415" w:rsidP="00EB3ED0">
            <w:pPr>
              <w:rPr>
                <w:b/>
                <w:color w:val="000000"/>
                <w:szCs w:val="22"/>
              </w:rPr>
            </w:pPr>
            <w:r>
              <w:rPr>
                <w:b/>
                <w:color w:val="000000"/>
                <w:szCs w:val="22"/>
              </w:rPr>
              <w:t>)</w:t>
            </w:r>
          </w:p>
          <w:p w:rsidR="00A7351A" w:rsidRDefault="00A7351A" w:rsidP="00EB3ED0">
            <w:pPr>
              <w:rPr>
                <w:b/>
                <w:color w:val="000000"/>
                <w:szCs w:val="22"/>
              </w:rPr>
            </w:pPr>
            <w:r>
              <w:rPr>
                <w:b/>
                <w:color w:val="000000"/>
                <w:szCs w:val="22"/>
              </w:rPr>
              <w:t>)</w:t>
            </w:r>
          </w:p>
          <w:p w:rsidR="00A7351A" w:rsidRDefault="00A7351A" w:rsidP="00EB3ED0">
            <w:pPr>
              <w:rPr>
                <w:b/>
                <w:color w:val="000000"/>
                <w:szCs w:val="22"/>
              </w:rPr>
            </w:pPr>
            <w:r>
              <w:rPr>
                <w:b/>
                <w:color w:val="000000"/>
                <w:szCs w:val="22"/>
              </w:rPr>
              <w:t>)</w:t>
            </w:r>
          </w:p>
          <w:p w:rsidR="00A7351A" w:rsidRDefault="00A7351A" w:rsidP="00EB3ED0">
            <w:pPr>
              <w:rPr>
                <w:b/>
                <w:color w:val="000000"/>
                <w:szCs w:val="22"/>
              </w:rPr>
            </w:pPr>
            <w:r>
              <w:rPr>
                <w:b/>
                <w:color w:val="000000"/>
                <w:szCs w:val="22"/>
              </w:rPr>
              <w:t>)</w:t>
            </w:r>
          </w:p>
          <w:p w:rsidR="008509A4" w:rsidRDefault="008509A4" w:rsidP="00EB3ED0">
            <w:pPr>
              <w:rPr>
                <w:b/>
                <w:color w:val="000000"/>
                <w:szCs w:val="22"/>
              </w:rPr>
            </w:pPr>
            <w:r>
              <w:rPr>
                <w:b/>
                <w:color w:val="000000"/>
                <w:szCs w:val="22"/>
              </w:rPr>
              <w:t>)</w:t>
            </w:r>
          </w:p>
          <w:p w:rsidR="008509A4" w:rsidRDefault="008509A4" w:rsidP="00EB3ED0">
            <w:pPr>
              <w:rPr>
                <w:b/>
                <w:color w:val="000000"/>
                <w:szCs w:val="22"/>
              </w:rPr>
            </w:pPr>
            <w:r>
              <w:rPr>
                <w:b/>
                <w:color w:val="000000"/>
                <w:szCs w:val="22"/>
              </w:rPr>
              <w:t>)</w:t>
            </w:r>
          </w:p>
          <w:p w:rsidR="008509A4" w:rsidRDefault="008509A4" w:rsidP="00EB3ED0">
            <w:pPr>
              <w:rPr>
                <w:b/>
                <w:color w:val="000000"/>
                <w:szCs w:val="22"/>
              </w:rPr>
            </w:pPr>
            <w:r>
              <w:rPr>
                <w:b/>
                <w:color w:val="000000"/>
                <w:szCs w:val="22"/>
              </w:rPr>
              <w:t>)</w:t>
            </w:r>
          </w:p>
          <w:p w:rsidR="008509A4" w:rsidRDefault="008509A4" w:rsidP="00EB3ED0">
            <w:pPr>
              <w:rPr>
                <w:b/>
                <w:color w:val="000000"/>
                <w:szCs w:val="22"/>
              </w:rPr>
            </w:pPr>
            <w:r>
              <w:rPr>
                <w:b/>
                <w:color w:val="000000"/>
                <w:szCs w:val="22"/>
              </w:rPr>
              <w:t>)</w:t>
            </w:r>
          </w:p>
          <w:p w:rsidR="00B10D92" w:rsidRPr="00084415" w:rsidRDefault="00B10D92" w:rsidP="00EB3ED0">
            <w:pPr>
              <w:rPr>
                <w:b/>
                <w:color w:val="000000"/>
                <w:szCs w:val="22"/>
              </w:rPr>
            </w:pPr>
            <w:r>
              <w:rPr>
                <w:b/>
                <w:color w:val="000000"/>
                <w:szCs w:val="22"/>
              </w:rPr>
              <w:t>)</w:t>
            </w:r>
          </w:p>
        </w:tc>
        <w:tc>
          <w:tcPr>
            <w:tcW w:w="4050" w:type="dxa"/>
          </w:tcPr>
          <w:p w:rsidR="00084415" w:rsidRDefault="00084415" w:rsidP="00182E15"/>
          <w:p w:rsidR="00084415" w:rsidRDefault="00084415" w:rsidP="00182E15"/>
          <w:p w:rsidR="00084415" w:rsidRDefault="00084415" w:rsidP="00182E15">
            <w:r>
              <w:t>WT Docket No. 15-</w:t>
            </w:r>
            <w:r w:rsidR="006537D1">
              <w:t>255</w:t>
            </w:r>
          </w:p>
          <w:p w:rsidR="000861E5" w:rsidRDefault="000861E5" w:rsidP="00182E15"/>
          <w:p w:rsidR="000861E5" w:rsidRDefault="000861E5" w:rsidP="00182E15"/>
          <w:p w:rsidR="000861E5" w:rsidRDefault="000861E5" w:rsidP="00182E15"/>
          <w:p w:rsidR="000861E5" w:rsidRDefault="000861E5" w:rsidP="00182E15"/>
          <w:p w:rsidR="00B10D92" w:rsidRDefault="00B10D92" w:rsidP="00182E15"/>
          <w:p w:rsidR="000861E5" w:rsidRDefault="000861E5" w:rsidP="00182E15"/>
          <w:p w:rsidR="000861E5" w:rsidRDefault="000861E5" w:rsidP="00182E15">
            <w:pPr>
              <w:rPr>
                <w:color w:val="000000"/>
                <w:szCs w:val="22"/>
              </w:rPr>
            </w:pPr>
            <w:r>
              <w:t xml:space="preserve">File Nos. </w:t>
            </w:r>
            <w:r w:rsidRPr="00622D45">
              <w:rPr>
                <w:color w:val="000000"/>
                <w:szCs w:val="22"/>
              </w:rPr>
              <w:t>SES-ASG-20150828-00555</w:t>
            </w:r>
            <w:r>
              <w:rPr>
                <w:color w:val="000000"/>
                <w:szCs w:val="22"/>
              </w:rPr>
              <w:t xml:space="preserve">, </w:t>
            </w:r>
            <w:r w:rsidR="00A7351A">
              <w:rPr>
                <w:color w:val="000000"/>
                <w:szCs w:val="22"/>
              </w:rPr>
              <w:t>SES-ASG-20150828-0056</w:t>
            </w:r>
            <w:r w:rsidR="00A7351A" w:rsidRPr="00622D45">
              <w:rPr>
                <w:color w:val="000000"/>
                <w:szCs w:val="22"/>
              </w:rPr>
              <w:t>5</w:t>
            </w:r>
          </w:p>
          <w:p w:rsidR="00A7351A" w:rsidRDefault="00A7351A" w:rsidP="00182E15">
            <w:pPr>
              <w:rPr>
                <w:color w:val="000000"/>
                <w:szCs w:val="22"/>
              </w:rPr>
            </w:pPr>
          </w:p>
          <w:p w:rsidR="00A7351A" w:rsidRDefault="00A7351A" w:rsidP="00182E15">
            <w:pPr>
              <w:rPr>
                <w:color w:val="000000"/>
                <w:szCs w:val="22"/>
              </w:rPr>
            </w:pPr>
          </w:p>
          <w:p w:rsidR="00A7351A" w:rsidRDefault="00A7351A" w:rsidP="00182E15">
            <w:pPr>
              <w:rPr>
                <w:szCs w:val="22"/>
              </w:rPr>
            </w:pPr>
            <w:r>
              <w:rPr>
                <w:color w:val="000000"/>
                <w:szCs w:val="22"/>
              </w:rPr>
              <w:t xml:space="preserve">File No. </w:t>
            </w:r>
            <w:r w:rsidR="008509A4">
              <w:rPr>
                <w:szCs w:val="22"/>
              </w:rPr>
              <w:t>ITC-214-20150901</w:t>
            </w:r>
            <w:r w:rsidR="008509A4" w:rsidRPr="00EB7F1B">
              <w:rPr>
                <w:szCs w:val="22"/>
              </w:rPr>
              <w:t>-</w:t>
            </w:r>
            <w:r w:rsidR="008509A4">
              <w:rPr>
                <w:szCs w:val="22"/>
              </w:rPr>
              <w:t>00218</w:t>
            </w:r>
          </w:p>
          <w:p w:rsidR="008509A4" w:rsidRDefault="008509A4" w:rsidP="00182E15">
            <w:pPr>
              <w:rPr>
                <w:szCs w:val="22"/>
              </w:rPr>
            </w:pPr>
          </w:p>
          <w:p w:rsidR="008509A4" w:rsidRDefault="008509A4" w:rsidP="00182E15">
            <w:pPr>
              <w:rPr>
                <w:szCs w:val="22"/>
              </w:rPr>
            </w:pPr>
          </w:p>
          <w:p w:rsidR="008509A4" w:rsidRDefault="008509A4" w:rsidP="00182E15">
            <w:pPr>
              <w:rPr>
                <w:szCs w:val="22"/>
              </w:rPr>
            </w:pPr>
          </w:p>
          <w:p w:rsidR="008509A4" w:rsidRDefault="006F4BCD" w:rsidP="00182E15">
            <w:pPr>
              <w:rPr>
                <w:color w:val="000000"/>
                <w:szCs w:val="22"/>
              </w:rPr>
            </w:pPr>
            <w:r>
              <w:rPr>
                <w:color w:val="000000"/>
                <w:szCs w:val="22"/>
              </w:rPr>
              <w:t xml:space="preserve">File No. </w:t>
            </w:r>
            <w:r>
              <w:rPr>
                <w:szCs w:val="22"/>
              </w:rPr>
              <w:t>ITC-214-20150901</w:t>
            </w:r>
            <w:r w:rsidRPr="00EB7F1B">
              <w:rPr>
                <w:szCs w:val="22"/>
              </w:rPr>
              <w:t>-</w:t>
            </w:r>
            <w:r>
              <w:rPr>
                <w:szCs w:val="22"/>
              </w:rPr>
              <w:t>00218</w:t>
            </w:r>
          </w:p>
          <w:p w:rsidR="00A7351A" w:rsidRPr="00084415" w:rsidRDefault="00A7351A" w:rsidP="00182E15"/>
        </w:tc>
      </w:tr>
    </w:tbl>
    <w:p w:rsidR="003A3313" w:rsidRPr="001106B2" w:rsidRDefault="003A3313" w:rsidP="003A3313">
      <w:pPr>
        <w:snapToGrid w:val="0"/>
        <w:jc w:val="center"/>
        <w:rPr>
          <w:b/>
          <w:bCs/>
        </w:rPr>
      </w:pPr>
    </w:p>
    <w:p w:rsidR="003A3313" w:rsidRPr="001106B2" w:rsidRDefault="003A3313" w:rsidP="003A3313">
      <w:pPr>
        <w:snapToGrid w:val="0"/>
        <w:jc w:val="center"/>
        <w:rPr>
          <w:b/>
          <w:bCs/>
        </w:rPr>
      </w:pPr>
      <w:r w:rsidRPr="001106B2">
        <w:rPr>
          <w:b/>
          <w:bCs/>
        </w:rPr>
        <w:t>PROTECTIVE ORDER</w:t>
      </w:r>
    </w:p>
    <w:p w:rsidR="003A3313" w:rsidRPr="001106B2" w:rsidRDefault="003A3313" w:rsidP="003A3313">
      <w:pPr>
        <w:spacing w:after="120"/>
      </w:pPr>
    </w:p>
    <w:p w:rsidR="00276941" w:rsidRDefault="00276941" w:rsidP="00AD7E3F">
      <w:pPr>
        <w:tabs>
          <w:tab w:val="right" w:pos="9360"/>
        </w:tabs>
        <w:snapToGrid w:val="0"/>
        <w:spacing w:line="225" w:lineRule="auto"/>
        <w:rPr>
          <w:b/>
          <w:bCs/>
          <w:spacing w:val="-2"/>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0B064F">
        <w:rPr>
          <w:b/>
          <w:bCs/>
          <w:spacing w:val="-2"/>
          <w:szCs w:val="22"/>
        </w:rPr>
        <w:t>October 23</w:t>
      </w:r>
      <w:r w:rsidR="00527222" w:rsidRPr="006D7F76">
        <w:rPr>
          <w:b/>
          <w:bCs/>
          <w:spacing w:val="-2"/>
          <w:szCs w:val="22"/>
        </w:rPr>
        <w:t>, 201</w:t>
      </w:r>
      <w:r w:rsidR="00527222">
        <w:rPr>
          <w:b/>
          <w:bCs/>
          <w:spacing w:val="-2"/>
          <w:szCs w:val="22"/>
        </w:rPr>
        <w:t>5</w:t>
      </w:r>
      <w:r w:rsidRPr="006D7F76">
        <w:rPr>
          <w:spacing w:val="-2"/>
          <w:szCs w:val="22"/>
        </w:rPr>
        <w:tab/>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0B064F">
        <w:rPr>
          <w:b/>
          <w:bCs/>
          <w:spacing w:val="-2"/>
          <w:szCs w:val="22"/>
        </w:rPr>
        <w:t>October 23</w:t>
      </w:r>
      <w:r w:rsidR="00527222" w:rsidRPr="006D7F76">
        <w:rPr>
          <w:b/>
          <w:bCs/>
          <w:spacing w:val="-2"/>
          <w:szCs w:val="22"/>
        </w:rPr>
        <w:t>, 201</w:t>
      </w:r>
      <w:r w:rsidR="00527222">
        <w:rPr>
          <w:b/>
          <w:bCs/>
          <w:spacing w:val="-2"/>
          <w:szCs w:val="22"/>
        </w:rPr>
        <w:t>5</w:t>
      </w:r>
    </w:p>
    <w:p w:rsidR="00306E51" w:rsidRDefault="00306E51" w:rsidP="00AD7E3F">
      <w:pPr>
        <w:tabs>
          <w:tab w:val="right" w:pos="9360"/>
        </w:tabs>
        <w:snapToGrid w:val="0"/>
        <w:spacing w:line="225" w:lineRule="auto"/>
        <w:rPr>
          <w:szCs w:val="22"/>
        </w:rPr>
      </w:pPr>
    </w:p>
    <w:p w:rsidR="003A3313" w:rsidRPr="001106B2" w:rsidRDefault="003A3313" w:rsidP="003A3313">
      <w:pPr>
        <w:snapToGrid w:val="0"/>
      </w:pPr>
      <w:r w:rsidRPr="001106B2">
        <w:t xml:space="preserve">By the </w:t>
      </w:r>
      <w:r w:rsidR="006F4BCD">
        <w:rPr>
          <w:szCs w:val="22"/>
        </w:rPr>
        <w:t xml:space="preserve">Chief, </w:t>
      </w:r>
      <w:r w:rsidR="00B54AD6">
        <w:rPr>
          <w:szCs w:val="22"/>
        </w:rPr>
        <w:t>Wireless Telecommunications</w:t>
      </w:r>
      <w:r w:rsidR="009B3662" w:rsidRPr="00224B65">
        <w:rPr>
          <w:szCs w:val="22"/>
        </w:rPr>
        <w:t xml:space="preserve"> Bureau</w:t>
      </w:r>
      <w:r w:rsidR="00276941" w:rsidRPr="00224B65">
        <w:rPr>
          <w:szCs w:val="22"/>
        </w:rPr>
        <w:t>:</w:t>
      </w:r>
    </w:p>
    <w:p w:rsidR="003A3313" w:rsidRPr="001106B2" w:rsidRDefault="003A3313" w:rsidP="003A3313">
      <w:pPr>
        <w:snapToGrid w:val="0"/>
      </w:pPr>
      <w:r w:rsidRPr="001106B2">
        <w:rPr>
          <w:spacing w:val="-2"/>
        </w:rPr>
        <w:t> </w:t>
      </w:r>
    </w:p>
    <w:p w:rsidR="003A3313" w:rsidRPr="004B60D0" w:rsidRDefault="003A3313" w:rsidP="00F01627">
      <w:pPr>
        <w:pStyle w:val="ParaNum"/>
        <w:widowControl/>
        <w:numPr>
          <w:ilvl w:val="0"/>
          <w:numId w:val="5"/>
        </w:numPr>
        <w:tabs>
          <w:tab w:val="clear" w:pos="1080"/>
        </w:tabs>
        <w:rPr>
          <w:color w:val="000000"/>
        </w:rPr>
      </w:pPr>
      <w:r w:rsidRPr="00492BD3">
        <w:t xml:space="preserve">In this Protective Order, we </w:t>
      </w:r>
      <w:r w:rsidR="00306E51">
        <w:t xml:space="preserve">adopt </w:t>
      </w:r>
      <w:r w:rsidRPr="00492BD3">
        <w:t xml:space="preserve">procedures to (i) limit access to proprietary or confidential information that may be filed in this proceeding, and (ii) more strictly limit access to certain particularly competitively sensitive information,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our determination whether granting the application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w:t>
      </w:r>
      <w:r w:rsidRPr="004B60D0">
        <w:rPr>
          <w:color w:val="000000"/>
        </w:rPr>
        <w:t xml:space="preserve">the procedures </w:t>
      </w:r>
      <w:r w:rsidRPr="00492BD3">
        <w:t>set forth</w:t>
      </w:r>
      <w:r w:rsidRPr="004B60D0">
        <w:rPr>
          <w:color w:val="000000"/>
        </w:rPr>
        <w:t xml:space="preserve"> in this Protective Order </w:t>
      </w:r>
      <w:r w:rsidRPr="00492BD3">
        <w:t>allows the public (through</w:t>
      </w:r>
      <w:r w:rsidRPr="004B60D0">
        <w:rPr>
          <w:color w:val="000000"/>
        </w:rPr>
        <w:t xml:space="preserve"> appropriate </w:t>
      </w:r>
      <w:r w:rsidRPr="00492BD3">
        <w:t>representatives)</w:t>
      </w:r>
      <w:r w:rsidRPr="004B60D0">
        <w:rPr>
          <w:color w:val="000000"/>
        </w:rPr>
        <w:t xml:space="preserve"> to </w:t>
      </w:r>
      <w:r w:rsidRPr="00492BD3">
        <w:t>do so</w:t>
      </w:r>
      <w:r w:rsidRPr="004B60D0">
        <w:rPr>
          <w:color w:val="000000"/>
        </w:rPr>
        <w:t xml:space="preserve"> while</w:t>
      </w:r>
      <w:r w:rsidRPr="00492BD3">
        <w:t xml:space="preserve"> also</w:t>
      </w:r>
      <w:r w:rsidRPr="004B60D0">
        <w:rPr>
          <w:color w:val="000000"/>
        </w:rPr>
        <w:t xml:space="preserve"> protecting competitively sensitive information from improper disclosure</w:t>
      </w:r>
      <w:r w:rsidRPr="00492BD3">
        <w:t xml:space="preserve"> and use.  Accordingly, sensibly balancing the public and private interests involved, we conclude that these </w:t>
      </w:r>
      <w:r w:rsidRPr="004B60D0">
        <w:rPr>
          <w:color w:val="000000"/>
        </w:rPr>
        <w:t>procedures serve the public interest</w:t>
      </w:r>
      <w:r w:rsidRPr="00492BD3">
        <w:t xml:space="preserve"> and adopting them “best conduce[s] to the proper dispatch of the Commission’s business and to the ends of justice.”</w:t>
      </w:r>
      <w:r w:rsidRPr="00492BD3">
        <w:rPr>
          <w:rStyle w:val="FootnoteReference"/>
          <w:sz w:val="22"/>
        </w:rPr>
        <w:footnoteReference w:id="2"/>
      </w:r>
      <w:r w:rsidRPr="00492BD3">
        <w:t xml:space="preserve"> </w:t>
      </w:r>
      <w:r w:rsidRPr="004B60D0">
        <w:rPr>
          <w:color w:val="000000"/>
        </w:rPr>
        <w:t xml:space="preserve"> </w:t>
      </w:r>
      <w:bookmarkStart w:id="1" w:name="_Ref287958855"/>
    </w:p>
    <w:p w:rsidR="003A3313" w:rsidRPr="001106B2" w:rsidRDefault="003A3313" w:rsidP="00E35566">
      <w:pPr>
        <w:pStyle w:val="ParaNum"/>
        <w:widowControl/>
        <w:rPr>
          <w:szCs w:val="22"/>
        </w:rPr>
      </w:pPr>
      <w:r w:rsidRPr="001106B2">
        <w:rPr>
          <w:i/>
          <w:iCs/>
        </w:rPr>
        <w:lastRenderedPageBreak/>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rsidR="003A3313" w:rsidRPr="001106B2" w:rsidRDefault="003A3313" w:rsidP="00D804B8">
      <w:pPr>
        <w:snapToGrid w:val="0"/>
        <w:spacing w:after="120" w:line="259" w:lineRule="auto"/>
        <w:ind w:firstLine="720"/>
      </w:pPr>
      <w:r w:rsidRPr="001106B2">
        <w:t>“Acknowledgment” means the Acknowledgment of Confidentiality attached as Appendix B hereto.</w:t>
      </w:r>
    </w:p>
    <w:p w:rsidR="003A3313" w:rsidRPr="001106B2" w:rsidRDefault="003A3313" w:rsidP="00BE258E">
      <w:pPr>
        <w:widowControl/>
        <w:snapToGrid w:val="0"/>
        <w:spacing w:after="120" w:line="259" w:lineRule="auto"/>
        <w:ind w:firstLine="720"/>
      </w:pPr>
      <w:r w:rsidRPr="001106B2">
        <w:t>“Competitive Decision-Making” means a person’s activities, association, or relationship with any of his 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D804B8">
        <w:rPr>
          <w:rStyle w:val="StyleParaNum11ptCharCharCharCharCharCharCharCharCharCharCharCharChar"/>
          <w:rFonts w:ascii="Times New Roman" w:hAnsi="Times New Roman"/>
        </w:rPr>
        <w:t>protection under the Freedom of Information Act (“FOIA”), 5 U.S.C. § 552, and the Commission’s implementing rules.</w:t>
      </w:r>
    </w:p>
    <w:p w:rsidR="003A3313" w:rsidRPr="001106B2" w:rsidRDefault="003A3313" w:rsidP="00D804B8">
      <w:pPr>
        <w:snapToGrid w:val="0"/>
        <w:spacing w:after="120" w:line="259" w:lineRule="auto"/>
        <w:ind w:firstLine="720"/>
      </w:pPr>
      <w:r w:rsidRPr="001106B2">
        <w:t>“Counsel” means In-House Counsel and Outside Counsel of Record.</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“Document” </w:t>
      </w:r>
      <w:r w:rsidRPr="00D804B8">
        <w:t>means</w:t>
      </w:r>
      <w:r w:rsidRPr="00D804B8">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rsidR="003A3313" w:rsidRPr="001106B2" w:rsidRDefault="003A3313" w:rsidP="00D804B8">
      <w:pPr>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D804B8">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D804B8">
        <w:rPr>
          <w:rStyle w:val="StyleParaNum11ptCharCharCharCharCharCharCharCharCharCharCharCharChar"/>
          <w:rFonts w:ascii="Times New Roman" w:hAnsi="Times New Roman"/>
        </w:rPr>
        <w:t xml:space="preserve">that </w:t>
      </w:r>
      <w:r w:rsidRPr="001106B2">
        <w:rPr>
          <w:rStyle w:val="StyleParaNum11ptCharCharCharCharCharCharCharCharCharCharCharCharChar"/>
          <w:rFonts w:ascii="Times New Roman" w:hAnsi="Times New Roman"/>
        </w:rPr>
        <w:t xml:space="preserve">it </w:t>
      </w:r>
      <w:r w:rsidRPr="00D804B8">
        <w:rPr>
          <w:rStyle w:val="StyleParaNum11ptCharCharCharCharCharCharCharCharCharCharCharCharChar"/>
          <w:rFonts w:ascii="Times New Roman" w:hAnsi="Times New Roman"/>
        </w:rPr>
        <w:t>is described in Appendix A to this Protective Order, as the same may be amended from time to time</w:t>
      </w:r>
      <w:r w:rsidRPr="001106B2">
        <w:t>.</w:t>
      </w:r>
    </w:p>
    <w:p w:rsidR="003A3313" w:rsidRPr="001106B2" w:rsidRDefault="003A3313" w:rsidP="00D804B8">
      <w:pPr>
        <w:snapToGrid w:val="0"/>
        <w:spacing w:after="120" w:line="259" w:lineRule="auto"/>
        <w:ind w:firstLine="720"/>
      </w:pPr>
      <w:r w:rsidRPr="00D804B8">
        <w:rPr>
          <w:rStyle w:val="StyleParaNum11ptCharCharCharCharCharCharCharCharCharCharCharCharChar"/>
          <w:rFonts w:ascii="Times New Roman" w:hAnsi="Times New Roman"/>
        </w:rPr>
        <w:t xml:space="preserve">“In-House </w:t>
      </w:r>
      <w:r w:rsidRPr="00D804B8">
        <w:t>Counsel</w:t>
      </w:r>
      <w:r w:rsidRPr="00D804B8">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D804B8">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3A3313" w:rsidRPr="001106B2" w:rsidRDefault="003A3313" w:rsidP="00D804B8">
      <w:pPr>
        <w:snapToGrid w:val="0"/>
        <w:spacing w:after="120" w:line="259" w:lineRule="auto"/>
        <w:ind w:firstLine="720"/>
      </w:pPr>
      <w:r w:rsidRPr="001106B2">
        <w:rPr>
          <w:color w:val="000000"/>
        </w:rPr>
        <w:t>“Outside Counsel of Record” or “</w:t>
      </w:r>
      <w:r w:rsidRPr="00D804B8">
        <w:t>Outside</w:t>
      </w:r>
      <w:r w:rsidRPr="001106B2">
        <w:rPr>
          <w:color w:val="000000"/>
        </w:rPr>
        <w:t xml:space="preserve"> Counsel” means the attorney(s), firm(s) of attorneys, or sole practitioner(s), as the </w:t>
      </w:r>
      <w:r w:rsidRPr="00D804B8">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rsidR="003A3313" w:rsidRPr="001106B2" w:rsidRDefault="003A3313" w:rsidP="00D804B8">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3A3313" w:rsidRPr="001106B2" w:rsidRDefault="003A3313" w:rsidP="00D804B8">
      <w:pPr>
        <w:snapToGrid w:val="0"/>
        <w:spacing w:after="120" w:line="259" w:lineRule="auto"/>
        <w:ind w:firstLine="720"/>
      </w:pPr>
      <w:r w:rsidRPr="001106B2">
        <w:t>“Outside Firm” means a firm, whether organized as a partnership, limited partnership, limited liability partnership, limited liability company, corporation or otherwise, of Outside Counsel or Outside Consultants.</w:t>
      </w:r>
    </w:p>
    <w:p w:rsidR="003A3313" w:rsidRPr="001106B2" w:rsidRDefault="003A3313" w:rsidP="006F4BCD">
      <w:pPr>
        <w:widowControl/>
        <w:snapToGrid w:val="0"/>
        <w:spacing w:after="120" w:line="259" w:lineRule="auto"/>
        <w:ind w:firstLine="720"/>
      </w:pPr>
      <w:r w:rsidRPr="001106B2">
        <w:t>“Participant” means a person or entity that has filed, or has a good faith intention to file, an application, petition to deny or material comments in this proceeding.</w:t>
      </w:r>
    </w:p>
    <w:p w:rsidR="003A3313" w:rsidRPr="001106B2" w:rsidRDefault="003A3313" w:rsidP="00D804B8">
      <w:pPr>
        <w:snapToGrid w:val="0"/>
        <w:spacing w:after="120" w:line="259" w:lineRule="auto"/>
        <w:ind w:firstLine="720"/>
      </w:pPr>
      <w:r w:rsidRPr="001106B2">
        <w:t>“Redacted Confidential Document” means a copy of a Stamped Confidential Document where the Confidential Information has been redacted.</w:t>
      </w:r>
    </w:p>
    <w:p w:rsidR="003A3313" w:rsidRPr="001106B2" w:rsidRDefault="003A3313" w:rsidP="00D804B8">
      <w:pPr>
        <w:snapToGrid w:val="0"/>
        <w:spacing w:after="120" w:line="259" w:lineRule="auto"/>
        <w:ind w:firstLine="720"/>
      </w:pPr>
      <w:r w:rsidRPr="001106B2">
        <w:lastRenderedPageBreak/>
        <w:t>“Redacted Highly Confidential Document” means a copy of a Stamped Highly Confidential Document where the Highly Confidential Information has been redacted.</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B10D92">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B10D92">
        <w:t>12</w:t>
      </w:r>
      <w:r w:rsidRPr="001106B2">
        <w:fldChar w:fldCharType="end"/>
      </w:r>
      <w:r w:rsidRPr="001106B2">
        <w:t xml:space="preserve"> </w:t>
      </w:r>
      <w:r w:rsidRPr="001106B2">
        <w:rPr>
          <w:rStyle w:val="StyleParaNum11ptCharCharCharCharCharCharCharCharCharCharCharCharChar"/>
          <w:rFonts w:ascii="Times New Roman" w:hAnsi="Times New Roman"/>
        </w:rPr>
        <w:t>of this</w:t>
      </w:r>
      <w:r w:rsidRPr="00D804B8">
        <w:rPr>
          <w:rStyle w:val="StyleParaNum11ptCharCharCharCharCharCharCharCharCharCharCharCharChar"/>
          <w:rFonts w:ascii="Times New Roman" w:hAnsi="Times New Roman"/>
        </w:rPr>
        <w:t xml:space="preserve"> Protective Order.</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DOCKET</w:t>
      </w:r>
      <w:r w:rsidRPr="001106B2">
        <w:rPr>
          <w:caps/>
        </w:rPr>
        <w:t xml:space="preserve"> No</w:t>
      </w:r>
      <w:r w:rsidRPr="00D804B8">
        <w:rPr>
          <w:rStyle w:val="StyleParaNum11ptCharCharCharCharCharCharCharCharCharCharCharCharChar"/>
          <w:rFonts w:ascii="Times New Roman" w:hAnsi="Times New Roman"/>
        </w:rPr>
        <w:t>. 15-</w:t>
      </w:r>
      <w:r w:rsidR="006537D1">
        <w:rPr>
          <w:szCs w:val="22"/>
        </w:rPr>
        <w:t>255</w:t>
      </w:r>
      <w:r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B10D9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w:t>
      </w:r>
      <w:r w:rsidRPr="001106B2">
        <w:rPr>
          <w:rStyle w:val="FootnoteReference"/>
        </w:rPr>
        <w:footnoteReference w:id="3"/>
      </w:r>
      <w:r w:rsidRPr="00D804B8">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rsidR="003A3313" w:rsidRPr="00D804B8" w:rsidRDefault="003A3313" w:rsidP="00280E49">
      <w:pPr>
        <w:snapToGrid w:val="0"/>
        <w:spacing w:after="120"/>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“Stamped Highly </w:t>
      </w:r>
      <w:r w:rsidRPr="00D804B8">
        <w:t>Confidential</w:t>
      </w:r>
      <w:r w:rsidRPr="00D804B8">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t>
      </w:r>
      <w:r w:rsidRPr="001106B2">
        <w:rPr>
          <w:rStyle w:val="StyleParaNum11ptCharCharCharCharCharCharCharCharCharCharCharCharChar"/>
          <w:rFonts w:ascii="Times New Roman" w:hAnsi="Times New Roman"/>
        </w:rPr>
        <w:t>which</w:t>
      </w:r>
      <w:r w:rsidRPr="00D804B8">
        <w:rPr>
          <w:rStyle w:val="StyleParaNum11ptCharCharCharCharCharCharCharCharCharCharCharCharChar"/>
          <w:rFonts w:ascii="Times New Roman" w:hAnsi="Times New Roman"/>
        </w:rPr>
        <w:t xml:space="preserve"> otherwise shall have had the legend recorded upon it in a way that brings its attention to a reasonable examiner) “HIGHLY CONFIDENTIAL INFORMATION – SUBJECT TO PROTECTIVE ORDER IN </w:t>
      </w:r>
      <w:r w:rsidR="00DF2F28" w:rsidRPr="00280E49">
        <w:rPr>
          <w:rStyle w:val="StyleParaNum11ptCharCharCharCharCharCharCharCharCharCharCharCharChar"/>
          <w:rFonts w:ascii="Times New Roman" w:hAnsi="Times New Roman"/>
          <w:szCs w:val="22"/>
        </w:rPr>
        <w:t>WT</w:t>
      </w:r>
      <w:r w:rsidRPr="00D804B8">
        <w:rPr>
          <w:rStyle w:val="StyleParaNum11ptCharCharCharCharCharCharCharCharCharCharCharCharChar"/>
          <w:rFonts w:ascii="Times New Roman" w:hAnsi="Times New Roman"/>
        </w:rPr>
        <w:t xml:space="preserve"> </w:t>
      </w:r>
      <w:r w:rsidRPr="001106B2">
        <w:rPr>
          <w:caps/>
        </w:rPr>
        <w:t>Docket No</w:t>
      </w:r>
      <w:r w:rsidRPr="00D804B8">
        <w:rPr>
          <w:rStyle w:val="StyleParaNum11ptCharCharCharCharCharCharCharCharCharCharCharCharChar"/>
          <w:rFonts w:ascii="Times New Roman" w:hAnsi="Times New Roman"/>
        </w:rPr>
        <w:t>. 15-</w:t>
      </w:r>
      <w:r w:rsidR="006537D1">
        <w:rPr>
          <w:szCs w:val="22"/>
        </w:rPr>
        <w:t>255</w:t>
      </w:r>
      <w:r w:rsidR="006F4BCD" w:rsidRPr="001106B2">
        <w:t xml:space="preserve"> </w:t>
      </w:r>
      <w:r w:rsidRPr="00D804B8">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D804B8">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B10D92">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Pr="00D804B8">
        <w:rPr>
          <w:rStyle w:val="StyleParaNum11ptCharCharCharCharCharCharCharCharCharCharCharCharChar"/>
          <w:rFonts w:ascii="Times New Roman" w:hAnsi="Times New Roman"/>
        </w:rPr>
        <w:t xml:space="preserve"> of this Protective Order or sections 0.459 or 0.461 of its rules, that any such document is not entitled to highly confidential treatment.  By designating a document a “Stamped Highly Confidential Document,” a Submitting Party signifies and represents that it contains Highly Confidential Information.</w:t>
      </w:r>
    </w:p>
    <w:p w:rsidR="003A3313" w:rsidRPr="00D804B8" w:rsidRDefault="003A3313" w:rsidP="00D804B8">
      <w:pPr>
        <w:snapToGrid w:val="0"/>
        <w:spacing w:after="120" w:line="259" w:lineRule="auto"/>
        <w:ind w:firstLine="720"/>
        <w:rPr>
          <w:rStyle w:val="StyleParaNum11ptCharCharCharCharCharCharCharCharCharCharCharCharChar"/>
          <w:rFonts w:ascii="Times New Roman" w:hAnsi="Times New Roman"/>
        </w:rPr>
      </w:pPr>
      <w:r w:rsidRPr="00D804B8">
        <w:rPr>
          <w:rStyle w:val="StyleParaNum11ptCharCharCharCharCharCharCharCharCharCharCharCharChar"/>
          <w:rFonts w:ascii="Times New Roman" w:hAnsi="Times New Roman"/>
        </w:rPr>
        <w:t xml:space="preserve">“Submitting Party” </w:t>
      </w:r>
      <w:r w:rsidRPr="00D804B8">
        <w:t>means</w:t>
      </w:r>
      <w:r w:rsidRPr="00D804B8">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3A3313" w:rsidRPr="001106B2" w:rsidRDefault="003A3313" w:rsidP="003A3313">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3A3313" w:rsidRPr="001106B2" w:rsidRDefault="003A3313" w:rsidP="003D0A18">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rsidR="003A3313" w:rsidRPr="001106B2" w:rsidRDefault="003A3313" w:rsidP="003D0A18">
      <w:pPr>
        <w:pStyle w:val="ParaNum"/>
      </w:pPr>
      <w:bookmarkStart w:id="3" w:name="_Ref383422758"/>
      <w:r w:rsidRPr="001106B2">
        <w:rPr>
          <w:i/>
        </w:rPr>
        <w:t>Challenge to Designation</w:t>
      </w:r>
      <w:r w:rsidRPr="001106B2">
        <w:t xml:space="preserve">.  Any person wishing to challenge the designation of a document, portion of a document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rsidR="003A3313" w:rsidRPr="001106B2" w:rsidRDefault="003A3313" w:rsidP="003D0A18">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 xml:space="preserve">Each page of the Stamped Confidential Document or Stamped Highly Confidential Document shall be stamped “CONFIDENTIAL INFORMATION – SUBJECT TO PROTECTIVE ORDER IN </w:t>
      </w:r>
      <w:r w:rsidR="00F749F5">
        <w:t>WT</w:t>
      </w:r>
      <w:r w:rsidRPr="001106B2">
        <w:t xml:space="preserve"> DOCKET NO. 15-</w:t>
      </w:r>
      <w:r w:rsidR="006537D1">
        <w:rPr>
          <w:szCs w:val="22"/>
        </w:rPr>
        <w:t>255</w:t>
      </w:r>
      <w:r w:rsidR="006F4BCD" w:rsidRPr="001106B2">
        <w:t xml:space="preserve"> </w:t>
      </w:r>
      <w:r w:rsidRPr="001106B2">
        <w:t xml:space="preserve">BEFORE THE FEDERAL COMMUNICATIONS COMMISSION” or “HIGHLY CONFIDENTIAL INFORMATION – SUBJECT TO PROTECTIVE ORDER IN </w:t>
      </w:r>
      <w:r w:rsidR="00F749F5">
        <w:t>WT</w:t>
      </w:r>
      <w:r w:rsidRPr="001106B2">
        <w:t xml:space="preserve"> DOCKET NO. 15-</w:t>
      </w:r>
      <w:r w:rsidR="006537D1">
        <w:rPr>
          <w:szCs w:val="22"/>
        </w:rPr>
        <w:t>255</w:t>
      </w:r>
      <w:r w:rsidR="006F4BCD" w:rsidRPr="001106B2">
        <w:t xml:space="preserve"> </w:t>
      </w:r>
      <w:r w:rsidRPr="001106B2">
        <w:t xml:space="preserve">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 xml:space="preserve">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 and the non-confidential information.  In addition, two copies of each Stamped Confidential Document and Stamped Highly Confidential Document and the accompanying cover letter shall be delivered, as directed by Commission staff, to </w:t>
      </w:r>
      <w:r w:rsidR="00F749F5">
        <w:rPr>
          <w:szCs w:val="22"/>
        </w:rPr>
        <w:t xml:space="preserve">Scott Patrick, </w:t>
      </w:r>
      <w:r w:rsidR="00F749F5" w:rsidRPr="00761D9A">
        <w:rPr>
          <w:szCs w:val="22"/>
        </w:rPr>
        <w:t>scott.patrick</w:t>
      </w:r>
      <w:r w:rsidRPr="001106B2">
        <w:rPr>
          <w:szCs w:val="22"/>
        </w:rPr>
        <w:t>@fcc.gov</w:t>
      </w:r>
      <w:r w:rsidRPr="001106B2">
        <w:t>, (202) 418-</w:t>
      </w:r>
      <w:r w:rsidR="00F749F5">
        <w:rPr>
          <w:szCs w:val="22"/>
        </w:rPr>
        <w:t>2853, Mobility</w:t>
      </w:r>
      <w:r w:rsidRPr="001106B2">
        <w:rPr>
          <w:szCs w:val="22"/>
        </w:rPr>
        <w:t xml:space="preserve"> Division, </w:t>
      </w:r>
      <w:r w:rsidR="00F749F5">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w:t>
      </w:r>
      <w:r w:rsidRPr="001106B2">
        <w:rPr>
          <w:rStyle w:val="StyleParaNum11ptCharCharCharCharCharCharCharCharCharCharCharCharChar"/>
          <w:rFonts w:ascii="Times New Roman" w:hAnsi="Times New Roman"/>
          <w:szCs w:val="22"/>
        </w:rPr>
        <w:t xml:space="preserve">  </w:t>
      </w:r>
      <w:r w:rsidRPr="001106B2">
        <w:t> </w:t>
      </w:r>
    </w:p>
    <w:p w:rsidR="003A3313" w:rsidRPr="001106B2" w:rsidRDefault="003A3313" w:rsidP="00BE258E">
      <w:pPr>
        <w:pStyle w:val="ParaNum"/>
        <w:widowControl/>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B10D92">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rsidR="003A3313" w:rsidRPr="001106B2" w:rsidRDefault="003A3313" w:rsidP="00D804B8">
      <w:pPr>
        <w:pStyle w:val="ParaNum"/>
        <w:widowControl/>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D53DE3">
        <w:rPr>
          <w:rStyle w:val="StyleParaNum11ptCharCharCharCharCharCharCharCharCharCharCharCharChar"/>
          <w:rFonts w:ascii="Times New Roman" w:hAnsi="Times New Roman"/>
          <w:i/>
        </w:rPr>
        <w:t>.</w:t>
      </w:r>
      <w:r w:rsidRPr="00D53DE3">
        <w:rPr>
          <w:rStyle w:val="StyleParaNum11ptCharCharCharCharCharCharCharCharCharCharCharCharChar"/>
          <w:rFonts w:ascii="Times New Roman" w:hAnsi="Times New Roman"/>
        </w:rPr>
        <w:t xml:space="preserve">  </w:t>
      </w:r>
      <w:bookmarkEnd w:id="6"/>
      <w:r w:rsidRPr="00D53DE3">
        <w:rPr>
          <w:rStyle w:val="StyleParaNum11ptCharCharCharCharCharCharCharCharCharCharCharCharChar"/>
          <w:rFonts w:ascii="Times New Roman" w:hAnsi="Times New Roman"/>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3A3313" w:rsidRPr="00D53DE3" w:rsidRDefault="003A3313" w:rsidP="00306E51">
      <w:pPr>
        <w:pStyle w:val="ParaNum"/>
        <w:widowControl/>
        <w:rPr>
          <w:rStyle w:val="StyleParaNum11ptCharCharCharCharCharCharCharCharCharCharCharCharChar"/>
          <w:rFonts w:ascii="Times New Roman" w:hAnsi="Times New Roman"/>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D53DE3">
        <w:rPr>
          <w:rStyle w:val="StyleParaNum11ptCharCharCharCharCharCharCharCharCharCharCharCharChar"/>
          <w:rFonts w:ascii="Times New Roman" w:hAnsi="Times New Roman"/>
        </w:rPr>
        <w:t xml:space="preserve">f a Submitting Party files additional documents containing Confidential Information or Highly Confidential Information, </w:t>
      </w:r>
      <w:r w:rsidRPr="001106B2">
        <w:rPr>
          <w:rStyle w:val="StyleParaNum11ptCharCharCharCharCharCharCharCharCharCharCharCharChar"/>
          <w:rFonts w:ascii="Times New Roman" w:hAnsi="Times New Roman"/>
          <w:szCs w:val="22"/>
        </w:rPr>
        <w:t>the Submitting Party shall notify any known Third-Party Interest Holders who have a confidentiality interest in the information before filing the additional documents.  The Submitting Party shall</w:t>
      </w:r>
      <w:r w:rsidRPr="00D53DE3">
        <w:rPr>
          <w:rStyle w:val="StyleParaNum11ptCharCharCharCharCharCharCharCharCharCharCharCharChar"/>
          <w:rFonts w:ascii="Times New Roman" w:hAnsi="Times New Roman"/>
        </w:rPr>
        <w:t xml:space="preserve"> file any objection to the disclosure of that additional Confidential Information or Highly Confidential Information to any Reviewing Party before or contemporaneous with the filing</w:t>
      </w:r>
      <w:r w:rsidRPr="001106B2">
        <w:rPr>
          <w:rStyle w:val="StyleParaNum11ptCharCharCharCharCharCharCharCharCharCharCharCharChar"/>
          <w:rFonts w:ascii="Times New Roman" w:hAnsi="Times New Roman"/>
          <w:szCs w:val="22"/>
        </w:rPr>
        <w:t>, and any Third-Party Interest Holder shall file such any objection as promptly as practicable.</w:t>
      </w:r>
      <w:r w:rsidRPr="00D53DE3">
        <w:rPr>
          <w:rStyle w:val="StyleParaNum11ptCharCharCharCharCharCharCharCharCharCharCharCharChar"/>
          <w:rFonts w:ascii="Times New Roman" w:hAnsi="Times New Roman"/>
        </w:rPr>
        <w:t xml:space="preserve">  Until any </w:t>
      </w:r>
      <w:r w:rsidRPr="001106B2">
        <w:rPr>
          <w:rStyle w:val="StyleParaNum11ptCharCharCharCharCharCharCharCharCharCharCharCharChar"/>
          <w:rFonts w:ascii="Times New Roman" w:hAnsi="Times New Roman"/>
          <w:szCs w:val="22"/>
        </w:rPr>
        <w:t xml:space="preserve">timely </w:t>
      </w:r>
      <w:r w:rsidRPr="00D53DE3">
        <w:rPr>
          <w:rStyle w:val="StyleParaNum11ptCharCharCharCharCharCharCharCharCharCharCharCharChar"/>
          <w:rFonts w:ascii="Times New Roman" w:hAnsi="Times New Roman"/>
        </w:rPr>
        <w:t>objection is resolved by the Commission in favor of the person seeking access</w:t>
      </w:r>
      <w:r w:rsidRPr="001106B2">
        <w:rPr>
          <w:rStyle w:val="StyleParaNum11ptCharCharCharCharCharCharCharCharCharCharCharCharChar"/>
          <w:rFonts w:ascii="Times New Roman" w:hAnsi="Times New Roman"/>
          <w:szCs w:val="22"/>
        </w:rPr>
        <w:t xml:space="preserve"> and, if a motion for a judicial stay is timely filed, until such a motion is acted upon</w:t>
      </w:r>
      <w:r w:rsidRPr="00D53DE3">
        <w:rPr>
          <w:rStyle w:val="StyleParaNum11ptCharCharCharCharCharCharCharCharCharCharCharCharChar"/>
          <w:rFonts w:ascii="Times New Roman" w:hAnsi="Times New Roman"/>
        </w:rPr>
        <w:t>, a person subject to an objection shall not have access to the relevant Confidential Information or Highly Confidential Information</w:t>
      </w:r>
      <w:r w:rsidRPr="001106B2">
        <w:rPr>
          <w:rStyle w:val="StyleParaNum11ptCharCharCharCharCharCharCharCharCharCharCharCharChar"/>
          <w:rFonts w:ascii="Times New Roman" w:hAnsi="Times New Roman"/>
          <w:szCs w:val="22"/>
        </w:rPr>
        <w:t>.</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w:t>
      </w:r>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pPr>
      <w:r w:rsidRPr="00D53DE3">
        <w:rPr>
          <w:rStyle w:val="StyleParaNum11ptCharCharCharCharCharCharCharCharCharCharCharCharChar"/>
          <w:rFonts w:ascii="Times New Roman" w:hAnsi="Times New Roman"/>
          <w:i/>
        </w:rPr>
        <w:t>Review of Stamped Confidential Documents and Stamped Highly Confidential Documents.</w:t>
      </w:r>
      <w:r w:rsidRPr="00D804B8">
        <w:rPr>
          <w:rStyle w:val="StyleParaNum11ptCharCharCharCharCharCharCharCharCharCharCharCharChar"/>
          <w:rFonts w:ascii="Times New Roman" w:hAnsi="Times New Roman"/>
          <w:i/>
        </w:rPr>
        <w:t xml:space="preserve"> </w:t>
      </w:r>
      <w:r w:rsidRPr="00D53DE3">
        <w:rPr>
          <w:rStyle w:val="StyleParaNum11ptCharCharCharCharCharCharCharCharCharCharCharCharChar"/>
          <w:rFonts w:ascii="Times New Roman" w:hAnsi="Times New Roman"/>
        </w:rPr>
        <w:t>A Submitting Party shall make available for review the Stamped Confidential Documents and Stamped Highly Confidential Documents of such party at the offices of the party’s Outside Counsel of Record.</w:t>
      </w:r>
      <w:bookmarkEnd w:id="8"/>
      <w:r w:rsidRPr="00D53DE3">
        <w:rPr>
          <w:rStyle w:val="StyleParaNum11ptCharCharCharCharCharCharCharCharCharCharCharCharChar"/>
          <w:rFonts w:ascii="Times New Roman" w:hAnsi="Times New Roman"/>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B10D92">
        <w:t>6</w:t>
      </w:r>
      <w:r w:rsidRPr="001106B2">
        <w:fldChar w:fldCharType="end"/>
      </w:r>
      <w:r w:rsidRPr="001106B2">
        <w:t xml:space="preserve">, a </w:t>
      </w:r>
      <w:r w:rsidRPr="00D53DE3">
        <w:rPr>
          <w:rStyle w:val="StyleParaNum11ptCharCharCharCharCharCharCharCharCharCharCharCharChar"/>
          <w:rFonts w:ascii="Times New Roman" w:hAnsi="Times New Roman"/>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B10D92">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B10D92">
        <w:t>21</w:t>
      </w:r>
      <w:r w:rsidRPr="001106B2">
        <w:fldChar w:fldCharType="end"/>
      </w:r>
      <w:r w:rsidRPr="001106B2">
        <w:t>.</w:t>
      </w:r>
      <w:bookmarkEnd w:id="9"/>
    </w:p>
    <w:p w:rsidR="003A3313" w:rsidRPr="001106B2" w:rsidRDefault="003A3313" w:rsidP="003D0A18">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proceedings at the Commission are complete.  The original disk or other storage medium shall be stored securely and a record kept of any persons given access to it.</w:t>
      </w:r>
      <w:bookmarkEnd w:id="10"/>
      <w:r w:rsidRPr="001106B2">
        <w:t xml:space="preserve">  </w:t>
      </w:r>
      <w:bookmarkEnd w:id="11"/>
    </w:p>
    <w:p w:rsidR="003A3313" w:rsidRPr="001106B2" w:rsidRDefault="003A3313" w:rsidP="003D0A18">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rsidR="003A3313" w:rsidRPr="001106B2" w:rsidRDefault="003A3313" w:rsidP="00E35566">
      <w:pPr>
        <w:pStyle w:val="ParaNum"/>
        <w:widowControl/>
      </w:pPr>
      <w:bookmarkStart w:id="13" w:name="_Ref287447280"/>
      <w:r w:rsidRPr="001106B2">
        <w:rPr>
          <w:i/>
          <w:iCs/>
        </w:rPr>
        <w:t>Permissible Disclosure</w:t>
      </w:r>
      <w:r w:rsidRPr="001106B2">
        <w:t xml:space="preserve">.  A </w:t>
      </w:r>
      <w:r w:rsidRPr="00D53DE3">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t>
      </w:r>
      <w:r w:rsidRPr="001106B2">
        <w:rPr>
          <w:rStyle w:val="StyleParaNum11ptCharCharCharCharCharCharCharCharCharCharCharCharChar"/>
          <w:rFonts w:ascii="Times New Roman" w:hAnsi="Times New Roman"/>
        </w:rPr>
        <w:t xml:space="preserve">with Support Personnel, </w:t>
      </w:r>
      <w:r w:rsidRPr="00D53DE3">
        <w:rPr>
          <w:rStyle w:val="StyleParaNum11ptCharCharCharCharCharCharCharCharCharCharCharCharChar"/>
          <w:rFonts w:ascii="Times New Roman" w:hAnsi="Times New Roman"/>
        </w:rPr>
        <w:t xml:space="preserve">as appropriate, and with the Commission and its staff.  A Submitting Party’s Confidential Information and Highly Confidential Information may be disclosed to employees and Counsel of the Submitting </w:t>
      </w:r>
      <w:r w:rsidRPr="00D804B8">
        <w:t>Party</w:t>
      </w:r>
      <w:r w:rsidRPr="001106B2">
        <w:rPr>
          <w:rStyle w:val="StyleParaNum11ptCharCharCharCharCharCharCharCharCharCharCharCharChar"/>
          <w:rFonts w:ascii="Times New Roman" w:hAnsi="Times New Roman"/>
        </w:rPr>
        <w:t xml:space="preserve">, and </w:t>
      </w:r>
      <w:r w:rsidRPr="00D804B8">
        <w:rPr>
          <w:rStyle w:val="StyleParaNum11ptCharCharCharCharCharCharCharCharCharCharCharCharChar"/>
          <w:rFonts w:ascii="Times New Roman" w:hAnsi="Times New Roman"/>
        </w:rPr>
        <w:t xml:space="preserve">a </w:t>
      </w:r>
      <w:r w:rsidRPr="001106B2">
        <w:rPr>
          <w:rStyle w:val="StyleParaNum11ptCharCharCharCharCharCharCharCharCharCharCharCharChar"/>
          <w:rFonts w:ascii="Times New Roman" w:hAnsi="Times New Roman"/>
        </w:rPr>
        <w:t>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Interest Holder’s</w:t>
      </w:r>
      <w:r w:rsidRPr="00D804B8">
        <w:rPr>
          <w:rStyle w:val="StyleParaNum11ptCharCharCharCharCharCharCharCharCharCharCharCharChar"/>
          <w:rFonts w:ascii="Times New Roman" w:hAnsi="Times New Roman"/>
        </w:rPr>
        <w:t xml:space="preserve"> Confidential Information and Highly Confidential Information </w:t>
      </w:r>
      <w:r w:rsidRPr="001106B2">
        <w:rPr>
          <w:rStyle w:val="StyleParaNum11ptCharCharCharCharCharCharCharCharCharCharCharCharChar"/>
          <w:rFonts w:ascii="Times New Roman" w:hAnsi="Times New Roman"/>
        </w:rPr>
        <w:t xml:space="preserve">may be disclosed to </w:t>
      </w:r>
      <w:r w:rsidRPr="00D804B8">
        <w:rPr>
          <w:rStyle w:val="StyleParaNum11ptCharCharCharCharCharCharCharCharCharCharCharCharChar"/>
          <w:rFonts w:ascii="Times New Roman" w:hAnsi="Times New Roman"/>
        </w:rPr>
        <w:t xml:space="preserve">employees </w:t>
      </w:r>
      <w:r w:rsidRPr="001106B2">
        <w:rPr>
          <w:rStyle w:val="StyleParaNum11ptCharCharCharCharCharCharCharCharCharCharCharCharChar"/>
          <w:rFonts w:ascii="Times New Roman" w:hAnsi="Times New Roman"/>
        </w:rPr>
        <w:t xml:space="preserve">and Counsel </w:t>
      </w:r>
      <w:r w:rsidRPr="00D804B8">
        <w:rPr>
          <w:rStyle w:val="StyleParaNum11ptCharCharCharCharCharCharCharCharCharCharCharCharChar"/>
          <w:rFonts w:ascii="Times New Roman" w:hAnsi="Times New Roman"/>
        </w:rPr>
        <w:t xml:space="preserve">of </w:t>
      </w:r>
      <w:r w:rsidRPr="001106B2">
        <w:rPr>
          <w:rStyle w:val="StyleParaNum11ptCharCharCharCharCharCharCharCharCharCharCharCharChar"/>
          <w:rFonts w:ascii="Times New Roman" w:hAnsi="Times New Roman"/>
        </w:rPr>
        <w:t>the Third-</w:t>
      </w:r>
      <w:r w:rsidRPr="00D804B8">
        <w:rPr>
          <w:rStyle w:val="StyleParaNum11ptCharCharCharCharCharCharCharCharCharCharCharCharChar"/>
          <w:rFonts w:ascii="Times New Roman" w:hAnsi="Times New Roman"/>
        </w:rPr>
        <w:t xml:space="preserve">Party </w:t>
      </w:r>
      <w:r w:rsidRPr="001106B2">
        <w:rPr>
          <w:rStyle w:val="StyleParaNum11ptCharCharCharCharCharCharCharCharCharCharCharCharChar"/>
          <w:rFonts w:ascii="Times New Roman" w:hAnsi="Times New Roman"/>
        </w:rPr>
        <w:t xml:space="preserve">Interest Holder.  </w:t>
      </w:r>
      <w:bookmarkEnd w:id="13"/>
      <w:r w:rsidRPr="00D53DE3">
        <w:rPr>
          <w:rStyle w:val="StyleParaNum11ptCharCharCharCharCharCharCharCharCharCharCharCharChar"/>
          <w:rFonts w:ascii="Times New Roman" w:hAnsi="Times New Roman"/>
        </w:rPr>
        <w:t xml:space="preserve">  </w:t>
      </w:r>
    </w:p>
    <w:p w:rsidR="003A3313" w:rsidRPr="001106B2" w:rsidRDefault="003A3313" w:rsidP="003D0A18">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D804B8">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D53DE3">
        <w:rPr>
          <w:rStyle w:val="StyleParaNum11ptCharCharCharCharCharCharCharCharCharCharCharCharChar"/>
          <w:rFonts w:ascii="Times New Roman" w:hAnsi="Times New Roman"/>
          <w:caps/>
        </w:rPr>
        <w:t xml:space="preserve">Confidential Information – subject to Protective Order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6537D1">
        <w:rPr>
          <w:szCs w:val="22"/>
        </w:rPr>
        <w:t>255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t>The cover or first page of the Confidential Filing and e</w:t>
      </w:r>
      <w:r w:rsidRPr="00D53DE3">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D53DE3">
        <w:rPr>
          <w:rStyle w:val="StyleParaNum11ptCharCharCharCharCharCharCharCharCharCharCharCharChar"/>
          <w:rFonts w:ascii="Times New Roman" w:hAnsi="Times New Roman"/>
          <w:caps/>
        </w:rPr>
        <w:t xml:space="preserve">Highly Confidential Information – subject to Protective OrderS in </w:t>
      </w:r>
      <w:r w:rsidR="00103977" w:rsidRPr="00450FEB">
        <w:rPr>
          <w:rStyle w:val="StyleParaNum11ptCharCharCharCharCharCharCharCharCharCharCharCharChar"/>
          <w:rFonts w:ascii="Times New Roman" w:hAnsi="Times New Roman"/>
          <w:caps/>
          <w:szCs w:val="22"/>
        </w:rPr>
        <w:t>WT</w:t>
      </w:r>
      <w:r w:rsidRPr="00D53DE3">
        <w:rPr>
          <w:rStyle w:val="StyleParaNum11ptCharCharCharCharCharCharCharCharCharCharCharCharChar"/>
          <w:rFonts w:ascii="Times New Roman" w:hAnsi="Times New Roman"/>
          <w:caps/>
        </w:rPr>
        <w:t xml:space="preserve"> DOCKET NO. 15-</w:t>
      </w:r>
      <w:r w:rsidR="006537D1">
        <w:rPr>
          <w:szCs w:val="22"/>
        </w:rPr>
        <w:t>255</w:t>
      </w:r>
      <w:r w:rsidR="006F4BCD" w:rsidRPr="001106B2">
        <w:t xml:space="preserve"> </w:t>
      </w:r>
      <w:r w:rsidRPr="00D53DE3">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 xml:space="preserve">The Confidential Filing shall be made under seal, and will not be placed in the Commission’s public file.  The party shall submit a copy of the filing in redacted form, </w:t>
      </w:r>
      <w:r w:rsidRPr="001106B2">
        <w:rPr>
          <w:i/>
        </w:rPr>
        <w:t>i.e.</w:t>
      </w:r>
      <w:r w:rsidRPr="001106B2">
        <w:t>, containing no Confidential or Highly Confidential Information (the “Redacted Confidential Filing”)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w:t>
      </w:r>
      <w:r w:rsidRPr="001106B2">
        <w:rPr>
          <w:szCs w:val="22"/>
        </w:rPr>
        <w:t>@fcc.gov</w:t>
      </w:r>
      <w:r w:rsidRPr="001106B2">
        <w:t>, (202) 418-</w:t>
      </w:r>
      <w:r w:rsidR="00103977">
        <w:rPr>
          <w:szCs w:val="22"/>
        </w:rPr>
        <w:t>2853, Mobility</w:t>
      </w:r>
      <w:r w:rsidRPr="001106B2">
        <w:rPr>
          <w:szCs w:val="22"/>
        </w:rPr>
        <w:t xml:space="preserve"> Division, </w:t>
      </w:r>
      <w:r w:rsidR="00103977">
        <w:rPr>
          <w:szCs w:val="22"/>
        </w:rPr>
        <w:t>Wireless Telecommunications</w:t>
      </w:r>
      <w:r w:rsidRPr="001106B2">
        <w:rPr>
          <w:szCs w:val="22"/>
        </w:rPr>
        <w:t xml:space="preserve"> Bureau</w:t>
      </w:r>
      <w:r w:rsidRPr="001106B2">
        <w:t>, Federal Communications Commission, 445 12</w:t>
      </w:r>
      <w:r w:rsidRPr="001106B2">
        <w:rPr>
          <w:vertAlign w:val="superscript"/>
        </w:rPr>
        <w:t>th</w:t>
      </w:r>
      <w:r w:rsidRPr="001106B2">
        <w:t xml:space="preserve"> Street, S.W., Washington, D.C. 20554.  Parties should not provide courtesy copies of pleadings containing Highly Confidential Information to Commission staff unless the Bureau so requests, and any such courtesy copies shall be submitted under seal.</w:t>
      </w:r>
      <w:bookmarkEnd w:id="14"/>
    </w:p>
    <w:p w:rsidR="003A3313" w:rsidRPr="001106B2" w:rsidRDefault="003A3313" w:rsidP="0091284F">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D804B8">
        <w:rPr>
          <w:rStyle w:val="StyleParaNum11ptCharCharCharCharCharCharCharCharCharCharCharCharChar"/>
          <w:rFonts w:ascii="Times New Roman" w:hAnsi="Times New Roman"/>
        </w:rPr>
        <w:t>Information</w:t>
      </w:r>
      <w:r w:rsidRPr="001106B2">
        <w:t xml:space="preserve"> shall not be disclosed further.  </w:t>
      </w:r>
    </w:p>
    <w:p w:rsidR="003A3313" w:rsidRPr="001106B2" w:rsidRDefault="003A3313" w:rsidP="0091284F">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D804B8">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3A3313" w:rsidRPr="001106B2" w:rsidRDefault="003A3313" w:rsidP="00D53DE3">
      <w:pPr>
        <w:pStyle w:val="ParaNum"/>
      </w:pPr>
      <w:r w:rsidRPr="001106B2">
        <w:rPr>
          <w:i/>
          <w:iCs/>
        </w:rPr>
        <w:t>Requests for Additional Disclosure</w:t>
      </w:r>
      <w:r w:rsidRPr="001106B2">
        <w:t xml:space="preserve">.  If any person requests disclosure of Confidential or Highly Confidential Information outside the terms of </w:t>
      </w:r>
      <w:r w:rsidRPr="00D804B8">
        <w:rPr>
          <w:rStyle w:val="StyleParaNum11ptCharCharCharCharCharCharCharCharCharCharCharCharChar"/>
          <w:rFonts w:ascii="Times New Roman" w:hAnsi="Times New Roman"/>
        </w:rPr>
        <w:t>this</w:t>
      </w:r>
      <w:r w:rsidRPr="001106B2">
        <w:t xml:space="preserve"> Protective Order, such a request will be treated in accordance with sections 0.442 and 0.461 of the Commission’s rules.</w:t>
      </w:r>
    </w:p>
    <w:p w:rsidR="003A3313" w:rsidRPr="001106B2" w:rsidRDefault="003A3313" w:rsidP="00E35566">
      <w:pPr>
        <w:pStyle w:val="ParaNum"/>
        <w:widowControl/>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D804B8">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3A3313" w:rsidRPr="001106B2" w:rsidRDefault="003A3313" w:rsidP="0091284F">
      <w:pPr>
        <w:pStyle w:val="ParaNum"/>
      </w:pPr>
      <w:r w:rsidRPr="001106B2">
        <w:rPr>
          <w:i/>
          <w:iCs/>
        </w:rPr>
        <w:t>No Waiver of Confidentiality</w:t>
      </w:r>
      <w:r w:rsidRPr="001106B2">
        <w:t xml:space="preserve">.  Disclosure of </w:t>
      </w:r>
      <w:r w:rsidRPr="00D804B8">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rsidR="003A3313" w:rsidRPr="001106B2" w:rsidRDefault="003A3313" w:rsidP="0091284F">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 issues a subpoena for or orders the production of Stamped Confidential Documents, Stamped Highly Confidential Documents, Confidential Information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 or Highly Confidential Information.</w:t>
      </w:r>
    </w:p>
    <w:p w:rsidR="003A3313" w:rsidRPr="001106B2" w:rsidRDefault="003A3313" w:rsidP="0091284F">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3A3313" w:rsidRPr="001106B2" w:rsidRDefault="003A3313" w:rsidP="00D53DE3">
      <w:pPr>
        <w:pStyle w:val="ParaNum"/>
      </w:pPr>
      <w:bookmarkStart w:id="16" w:name="_Ref379362621"/>
      <w:r w:rsidRPr="001106B2">
        <w:rPr>
          <w:i/>
          <w:iCs/>
        </w:rPr>
        <w:t>Termination of Proceeding</w:t>
      </w:r>
      <w:r w:rsidRPr="001106B2">
        <w:t>.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section 1746 and is subject to 18 U.S.C. section 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rsidR="003A3313" w:rsidRDefault="003A3313" w:rsidP="00217DEE">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rsidR="00276941" w:rsidRPr="00306E51" w:rsidRDefault="00276941" w:rsidP="00D804B8">
      <w:pPr>
        <w:pStyle w:val="ParaNum"/>
        <w:widowControl/>
        <w:rPr>
          <w:rStyle w:val="StyleParaNum11ptCharCharCharCharCharCharCharCharCharCharCharCharChar"/>
          <w:rFonts w:ascii="Times New Roman" w:hAnsi="Times New Roman"/>
          <w:szCs w:val="22"/>
        </w:rPr>
      </w:pPr>
      <w:r w:rsidRPr="00306E51">
        <w:rPr>
          <w:i/>
          <w:iCs/>
          <w:szCs w:val="22"/>
        </w:rPr>
        <w:t>Authority</w:t>
      </w:r>
      <w:r w:rsidRPr="00306E51">
        <w:rPr>
          <w:rStyle w:val="StyleParaNum11ptCharCharCharCharCharCharCharCharCharCharCharCharChar"/>
          <w:rFonts w:ascii="Times New Roman" w:hAnsi="Times New Roman"/>
        </w:rPr>
        <w:t>.  This Order is issued pursuant to sections 4(i), 214 and 310(d) of the Communications Act of 1934, as amended, 47 U.S</w:t>
      </w:r>
      <w:r w:rsidR="00301F64" w:rsidRPr="00306E51">
        <w:rPr>
          <w:rStyle w:val="StyleParaNum11ptCharCharCharCharCharCharCharCharCharCharCharCharChar"/>
          <w:rFonts w:ascii="Times New Roman" w:hAnsi="Times New Roman"/>
        </w:rPr>
        <w:t>.C. §§ 154(i), 214 and 310(d), s</w:t>
      </w:r>
      <w:r w:rsidRPr="00306E51">
        <w:rPr>
          <w:rStyle w:val="StyleParaNum11ptCharCharCharCharCharCharCharCharCharCharCharCharChar"/>
          <w:rFonts w:ascii="Times New Roman" w:hAnsi="Times New Roman"/>
        </w:rPr>
        <w:t>ection 4 of the Freedom of Information Act, 5 U.S.C. § 552(b)(4), and authority de</w:t>
      </w:r>
      <w:r w:rsidR="00730B4F" w:rsidRPr="00306E51">
        <w:rPr>
          <w:rStyle w:val="StyleParaNum11ptCharCharCharCharCharCharCharCharCharCharCharCharChar"/>
          <w:rFonts w:ascii="Times New Roman" w:hAnsi="Times New Roman"/>
        </w:rPr>
        <w:t>legated under section</w:t>
      </w:r>
      <w:r w:rsidR="008D4912" w:rsidRPr="00306E51">
        <w:rPr>
          <w:rStyle w:val="StyleParaNum11ptCharCharCharCharCharCharCharCharCharCharCharCharChar"/>
          <w:rFonts w:ascii="Times New Roman" w:hAnsi="Times New Roman"/>
        </w:rPr>
        <w:t xml:space="preserve"> </w:t>
      </w:r>
      <w:r w:rsidR="00301F64" w:rsidRPr="00306E51">
        <w:rPr>
          <w:rStyle w:val="StyleParaNum11ptCharCharCharCharCharCharCharCharCharCharCharCharChar"/>
          <w:rFonts w:ascii="Times New Roman" w:hAnsi="Times New Roman"/>
        </w:rPr>
        <w:t>0.331</w:t>
      </w:r>
      <w:r w:rsidR="008D4912" w:rsidRPr="00306E51">
        <w:rPr>
          <w:rStyle w:val="StyleParaNum11ptCharCharCharCharCharCharCharCharCharCharCharCharChar"/>
          <w:rFonts w:ascii="Times New Roman" w:hAnsi="Times New Roman"/>
        </w:rPr>
        <w:t xml:space="preserve"> </w:t>
      </w:r>
      <w:r w:rsidRPr="00306E51">
        <w:rPr>
          <w:rStyle w:val="StyleParaNum11ptCharCharCharCharCharCharCharCharCharCharCharCharChar"/>
          <w:rFonts w:ascii="Times New Roman" w:hAnsi="Times New Roman"/>
        </w:rPr>
        <w:t>of the Commission’s rules, 47 C.F.R. § </w:t>
      </w:r>
      <w:r w:rsidR="00301F64" w:rsidRPr="00306E51">
        <w:rPr>
          <w:rStyle w:val="StyleParaNum11ptCharCharCharCharCharCharCharCharCharCharCharCharChar"/>
          <w:rFonts w:ascii="Times New Roman" w:hAnsi="Times New Roman"/>
        </w:rPr>
        <w:t>0.331</w:t>
      </w:r>
      <w:r w:rsidRPr="00306E51">
        <w:rPr>
          <w:rStyle w:val="StyleParaNum11ptCharCharCharCharCharCharCharCharCharCharCharCharChar"/>
          <w:rFonts w:ascii="Times New Roman" w:hAnsi="Times New Roman"/>
        </w:rPr>
        <w:t>, and is effective upon its adoption.</w:t>
      </w:r>
    </w:p>
    <w:p w:rsidR="00217DEE" w:rsidRDefault="00217DEE" w:rsidP="00182E15"/>
    <w:p w:rsidR="00182E15" w:rsidRDefault="00182E15" w:rsidP="00D804B8">
      <w:r>
        <w:tab/>
      </w:r>
      <w:r>
        <w:tab/>
      </w:r>
      <w:r>
        <w:tab/>
      </w:r>
      <w:r>
        <w:tab/>
      </w:r>
      <w:r>
        <w:tab/>
      </w:r>
      <w:r>
        <w:tab/>
        <w:t>FEDERAL COMMUNICATIONS COMMISSION</w:t>
      </w:r>
    </w:p>
    <w:p w:rsidR="00182E15" w:rsidRDefault="00182E15" w:rsidP="00D804B8"/>
    <w:p w:rsidR="00182E15" w:rsidRDefault="00182E15" w:rsidP="00D804B8"/>
    <w:p w:rsidR="00182E15" w:rsidRDefault="00182E15" w:rsidP="00D804B8"/>
    <w:p w:rsidR="00276941" w:rsidRPr="008D4912" w:rsidRDefault="00301F64" w:rsidP="00450FEB">
      <w:pPr>
        <w:snapToGrid w:val="0"/>
        <w:ind w:left="3600" w:firstLine="720"/>
        <w:rPr>
          <w:szCs w:val="22"/>
        </w:rPr>
      </w:pPr>
      <w:r>
        <w:rPr>
          <w:szCs w:val="22"/>
        </w:rPr>
        <w:t xml:space="preserve">Roger </w:t>
      </w:r>
      <w:r w:rsidR="0035532A">
        <w:rPr>
          <w:szCs w:val="22"/>
        </w:rPr>
        <w:t xml:space="preserve">C. </w:t>
      </w:r>
      <w:r>
        <w:rPr>
          <w:szCs w:val="22"/>
        </w:rPr>
        <w:t>Sherman</w:t>
      </w:r>
    </w:p>
    <w:p w:rsidR="003A3313" w:rsidRDefault="00276941" w:rsidP="00450FEB">
      <w:pPr>
        <w:ind w:left="3600" w:firstLine="720"/>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182E15" w:rsidRPr="001106B2" w:rsidRDefault="00182E15" w:rsidP="00D804B8"/>
    <w:p w:rsidR="00B22DF6" w:rsidRDefault="00B22DF6" w:rsidP="003A3313">
      <w:pPr>
        <w:snapToGrid w:val="0"/>
        <w:sectPr w:rsidR="00B22DF6" w:rsidSect="004B60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3A3313" w:rsidRPr="001106B2" w:rsidRDefault="003A3313" w:rsidP="003A3313">
      <w:pPr>
        <w:snapToGrid w:val="0"/>
        <w:spacing w:after="120"/>
        <w:jc w:val="center"/>
        <w:rPr>
          <w:b/>
          <w:bCs/>
        </w:rPr>
      </w:pPr>
      <w:r w:rsidRPr="001106B2">
        <w:rPr>
          <w:b/>
          <w:bCs/>
        </w:rPr>
        <w:t>APPENDIX A</w:t>
      </w:r>
    </w:p>
    <w:p w:rsidR="003A3313" w:rsidRPr="001106B2" w:rsidRDefault="003A3313" w:rsidP="003A3313">
      <w:pPr>
        <w:snapToGrid w:val="0"/>
        <w:spacing w:after="120"/>
        <w:jc w:val="center"/>
        <w:rPr>
          <w:b/>
          <w:bCs/>
        </w:rPr>
      </w:pPr>
      <w:r w:rsidRPr="001106B2">
        <w:rPr>
          <w:b/>
          <w:bCs/>
        </w:rPr>
        <w:t>Highly Confidential Information and Documents</w:t>
      </w:r>
    </w:p>
    <w:p w:rsidR="003A3313" w:rsidRPr="001106B2" w:rsidRDefault="003A3313" w:rsidP="003A3313">
      <w:pPr>
        <w:snapToGrid w:val="0"/>
        <w:spacing w:after="120"/>
        <w:rPr>
          <w:b/>
          <w:bCs/>
        </w:rPr>
      </w:pPr>
    </w:p>
    <w:p w:rsidR="003A3313" w:rsidRPr="001106B2" w:rsidRDefault="003A3313" w:rsidP="00D804B8">
      <w:pPr>
        <w:snapToGrid w:val="0"/>
        <w:spacing w:after="120" w:line="259" w:lineRule="auto"/>
        <w:rPr>
          <w:bCs/>
        </w:rPr>
      </w:pPr>
      <w:r w:rsidRPr="001106B2">
        <w:rPr>
          <w:b/>
          <w:bCs/>
        </w:rPr>
        <w:tab/>
      </w:r>
      <w:r w:rsidRPr="001106B2">
        <w:rPr>
          <w:bCs/>
        </w:rPr>
        <w:t xml:space="preserve">As specified in paragraphs </w:t>
      </w:r>
      <w:r w:rsidR="00306E51">
        <w:rPr>
          <w:bCs/>
        </w:rPr>
        <w:t>2 and 3</w:t>
      </w:r>
      <w:r w:rsidRPr="001106B2">
        <w:rPr>
          <w:bCs/>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3A3313" w:rsidRPr="001106B2" w:rsidRDefault="003A3313" w:rsidP="00970670">
      <w:pPr>
        <w:numPr>
          <w:ilvl w:val="0"/>
          <w:numId w:val="4"/>
        </w:numPr>
        <w:snapToGrid w:val="0"/>
        <w:spacing w:after="120"/>
      </w:pPr>
      <w:r w:rsidRPr="001106B2">
        <w:t>Information that details the terms and conditions of or strategy related to a Submitting Party’s most sensitive business negotiations or contracts (</w:t>
      </w:r>
      <w:r w:rsidRPr="001106B2">
        <w:rPr>
          <w:i/>
        </w:rPr>
        <w:t>e.g.</w:t>
      </w:r>
      <w:r w:rsidRPr="001106B2">
        <w:t>, marketing, service or product agreements, agreements relating to potential mergers and acquisitions, and comparably sensitive contracts).</w:t>
      </w:r>
    </w:p>
    <w:p w:rsidR="003A3313" w:rsidRPr="001106B2" w:rsidRDefault="003A3313" w:rsidP="00970670">
      <w:pPr>
        <w:numPr>
          <w:ilvl w:val="0"/>
          <w:numId w:val="4"/>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3A3313" w:rsidRPr="001106B2" w:rsidRDefault="003A3313" w:rsidP="00970670">
      <w:pPr>
        <w:numPr>
          <w:ilvl w:val="0"/>
          <w:numId w:val="4"/>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1106B2">
        <w:rPr>
          <w:i/>
        </w:rPr>
        <w:t>e.g.</w:t>
      </w:r>
      <w:r w:rsidRPr="001106B2">
        <w:t>,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1106B2">
        <w:rPr>
          <w:i/>
        </w:rPr>
        <w:t>e.g.</w:t>
      </w:r>
      <w:r w:rsidRPr="001106B2">
        <w:t>, engineering capacity planning documents), plans for handling acquired customers, and human resources and staffing strategies.</w:t>
      </w:r>
    </w:p>
    <w:p w:rsidR="003A3313" w:rsidRPr="001106B2" w:rsidRDefault="003A3313" w:rsidP="00970670">
      <w:pPr>
        <w:numPr>
          <w:ilvl w:val="0"/>
          <w:numId w:val="4"/>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3A3313" w:rsidRPr="001106B2" w:rsidRDefault="003A3313" w:rsidP="00970670">
      <w:pPr>
        <w:numPr>
          <w:ilvl w:val="0"/>
          <w:numId w:val="4"/>
        </w:numPr>
        <w:snapToGrid w:val="0"/>
        <w:spacing w:after="120"/>
      </w:pPr>
      <w:r w:rsidRPr="001106B2">
        <w:t>Information that provides granular information about a Submitting Party’s current or future costs, revenues, marginal revenues, market share or customers.</w:t>
      </w:r>
    </w:p>
    <w:p w:rsidR="003A3313" w:rsidRPr="001106B2" w:rsidRDefault="003A3313" w:rsidP="00970670">
      <w:pPr>
        <w:numPr>
          <w:ilvl w:val="0"/>
          <w:numId w:val="4"/>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3A3313" w:rsidRPr="001106B2" w:rsidRDefault="003A3313" w:rsidP="00970670">
      <w:pPr>
        <w:numPr>
          <w:ilvl w:val="0"/>
          <w:numId w:val="4"/>
        </w:numPr>
        <w:snapToGrid w:val="0"/>
        <w:spacing w:after="120"/>
      </w:pPr>
      <w:r w:rsidRPr="001106B2">
        <w:t>Information that provides numbers of customers and revenues broken down by customer type (</w:t>
      </w:r>
      <w:r w:rsidRPr="001106B2">
        <w:rPr>
          <w:i/>
        </w:rPr>
        <w:t>e.g.</w:t>
      </w:r>
      <w:r w:rsidRPr="001106B2">
        <w:t>, business) and zip code or market area (</w:t>
      </w:r>
      <w:r w:rsidRPr="001106B2">
        <w:rPr>
          <w:i/>
        </w:rPr>
        <w:t>e.g.</w:t>
      </w:r>
      <w:r w:rsidRPr="001106B2">
        <w:t>, CMA/MSA/RSA, DMA, state, regional cluster).</w:t>
      </w:r>
    </w:p>
    <w:p w:rsidR="003A3313" w:rsidRPr="001106B2" w:rsidRDefault="003A3313" w:rsidP="00970670">
      <w:pPr>
        <w:numPr>
          <w:ilvl w:val="0"/>
          <w:numId w:val="4"/>
        </w:numPr>
        <w:snapToGrid w:val="0"/>
        <w:spacing w:after="120"/>
      </w:pPr>
      <w:r w:rsidRPr="001106B2">
        <w:t>Information that discusses in detail the number or anticipated changes in the number of customers or amount of traffic, including churn rate data, broken down by zip code or market and detailed information about why customers discontinue service.</w:t>
      </w:r>
    </w:p>
    <w:p w:rsidR="003A3313" w:rsidRPr="001106B2" w:rsidRDefault="003A3313" w:rsidP="00970670">
      <w:pPr>
        <w:numPr>
          <w:ilvl w:val="0"/>
          <w:numId w:val="4"/>
        </w:numPr>
        <w:snapToGrid w:val="0"/>
        <w:spacing w:after="120"/>
      </w:pPr>
      <w:r w:rsidRPr="001106B2">
        <w:t>Information that provides detailed or granular engineering capacity information or information about specific facilities, including collocation sites, cell sites, or maps of network facilities.</w:t>
      </w:r>
    </w:p>
    <w:p w:rsidR="003A3313" w:rsidRPr="001106B2" w:rsidRDefault="003A3313" w:rsidP="00970670">
      <w:pPr>
        <w:numPr>
          <w:ilvl w:val="0"/>
          <w:numId w:val="4"/>
        </w:numPr>
        <w:snapToGrid w:val="0"/>
        <w:spacing w:after="120"/>
      </w:pPr>
      <w:r w:rsidRPr="001106B2">
        <w:t>Information that provides detailed technical performance data and test results.</w:t>
      </w:r>
    </w:p>
    <w:p w:rsidR="003A3313" w:rsidRPr="001106B2" w:rsidRDefault="003A3313" w:rsidP="003A3313">
      <w:pPr>
        <w:snapToGrid w:val="0"/>
        <w:spacing w:after="120"/>
        <w:rPr>
          <w:bCs/>
        </w:rPr>
      </w:pPr>
    </w:p>
    <w:p w:rsidR="003A3313" w:rsidRPr="001106B2" w:rsidRDefault="003A3313" w:rsidP="003A3313">
      <w:pPr>
        <w:snapToGrid w:val="0"/>
        <w:spacing w:after="120"/>
        <w:jc w:val="center"/>
        <w:rPr>
          <w:bCs/>
        </w:rPr>
        <w:sectPr w:rsidR="003A3313" w:rsidRPr="001106B2" w:rsidSect="00261B5B">
          <w:footerReference w:type="default" r:id="rId14"/>
          <w:footerReference w:type="first" r:id="rId15"/>
          <w:endnotePr>
            <w:numFmt w:val="decimal"/>
          </w:endnotePr>
          <w:pgSz w:w="12240" w:h="15840"/>
          <w:pgMar w:top="1440" w:right="1440" w:bottom="720" w:left="1440" w:header="720" w:footer="720" w:gutter="0"/>
          <w:cols w:space="720"/>
          <w:noEndnote/>
          <w:titlePg/>
        </w:sectPr>
      </w:pPr>
    </w:p>
    <w:p w:rsidR="003A3313" w:rsidRPr="001106B2" w:rsidRDefault="003A3313" w:rsidP="003A3313">
      <w:pPr>
        <w:snapToGrid w:val="0"/>
        <w:spacing w:after="120"/>
        <w:jc w:val="center"/>
      </w:pPr>
      <w:r w:rsidRPr="001106B2">
        <w:rPr>
          <w:b/>
          <w:bCs/>
        </w:rPr>
        <w:t>APPENDIX B</w:t>
      </w:r>
    </w:p>
    <w:p w:rsidR="003A3313" w:rsidRPr="001106B2" w:rsidRDefault="003A3313" w:rsidP="003A3313">
      <w:pPr>
        <w:snapToGrid w:val="0"/>
        <w:spacing w:after="120"/>
        <w:jc w:val="center"/>
        <w:rPr>
          <w:b/>
          <w:bCs/>
        </w:rPr>
      </w:pPr>
      <w:r w:rsidRPr="001106B2">
        <w:rPr>
          <w:b/>
          <w:bCs/>
        </w:rPr>
        <w:t>Acknowledgment of Confidentiality</w:t>
      </w:r>
    </w:p>
    <w:p w:rsidR="003A3313" w:rsidRPr="001106B2" w:rsidRDefault="00DF2F28" w:rsidP="003A3313">
      <w:pPr>
        <w:snapToGrid w:val="0"/>
        <w:jc w:val="center"/>
      </w:pPr>
      <w:r>
        <w:rPr>
          <w:b/>
          <w:bCs/>
          <w:szCs w:val="22"/>
        </w:rPr>
        <w:t>WT</w:t>
      </w:r>
      <w:r w:rsidR="003A3313" w:rsidRPr="001106B2">
        <w:rPr>
          <w:b/>
          <w:bCs/>
        </w:rPr>
        <w:t xml:space="preserve"> Docket No. 15-</w:t>
      </w:r>
      <w:r w:rsidR="006537D1">
        <w:rPr>
          <w:b/>
          <w:bCs/>
          <w:szCs w:val="22"/>
        </w:rPr>
        <w:t>255</w:t>
      </w:r>
    </w:p>
    <w:p w:rsidR="003A3313" w:rsidRPr="001106B2" w:rsidRDefault="003A3313" w:rsidP="003A3313">
      <w:pPr>
        <w:snapToGrid w:val="0"/>
      </w:pPr>
      <w:r w:rsidRPr="001106B2">
        <w:t> </w:t>
      </w:r>
    </w:p>
    <w:p w:rsidR="003A3313" w:rsidRPr="001106B2" w:rsidRDefault="003A3313" w:rsidP="00D804B8">
      <w:pPr>
        <w:snapToGrid w:val="0"/>
        <w:spacing w:after="120" w:line="259" w:lineRule="auto"/>
        <w:ind w:firstLine="720"/>
      </w:pPr>
      <w:r w:rsidRPr="001106B2">
        <w:t>I am seeking access to [ ] only Confidential Information or [ ] Confidential and Highly Confidential Information.</w:t>
      </w:r>
    </w:p>
    <w:p w:rsidR="003A3313" w:rsidRPr="001106B2" w:rsidRDefault="003A3313" w:rsidP="00D804B8">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3A3313" w:rsidRPr="001106B2" w:rsidRDefault="003A3313" w:rsidP="00D804B8">
      <w:pPr>
        <w:snapToGrid w:val="0"/>
        <w:spacing w:after="120" w:line="259" w:lineRule="auto"/>
        <w:ind w:firstLine="720"/>
      </w:pPr>
      <w:r w:rsidRPr="001106B2">
        <w:t xml:space="preserve">I agree that I am bound by the Protective Order and that I shall not disclose or use Stamped Confidential Documents, Stamped Highly Confidential Documents, Confidential Information or Highly Confidential Information except as allowed by the Protective Order.  </w:t>
      </w:r>
    </w:p>
    <w:p w:rsidR="003A3313" w:rsidRPr="001106B2" w:rsidRDefault="003A3313" w:rsidP="00D804B8">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3A3313" w:rsidRPr="001106B2" w:rsidRDefault="003A3313" w:rsidP="00D804B8">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3A3313" w:rsidRPr="001106B2" w:rsidRDefault="003A3313" w:rsidP="00D804B8">
      <w:pPr>
        <w:snapToGrid w:val="0"/>
        <w:spacing w:after="120" w:line="259" w:lineRule="auto"/>
        <w:ind w:firstLine="720"/>
      </w:pPr>
      <w:r w:rsidRPr="001106B2">
        <w:t>I certify that I am not involved in Competitive Decision-Making.</w:t>
      </w:r>
    </w:p>
    <w:p w:rsidR="003A3313" w:rsidRPr="001106B2" w:rsidRDefault="003A3313" w:rsidP="00D804B8">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3A3313" w:rsidRPr="001106B2" w:rsidRDefault="003A3313" w:rsidP="00D804B8">
      <w:pPr>
        <w:snapToGrid w:val="0"/>
        <w:spacing w:after="120" w:line="259" w:lineRule="auto"/>
        <w:ind w:firstLine="720"/>
      </w:pPr>
      <w:r w:rsidRPr="001106B2">
        <w:t xml:space="preserve">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 or in the possession of other Support Personnel, except as provided in the Protective Order.  </w:t>
      </w:r>
    </w:p>
    <w:p w:rsidR="003A3313" w:rsidRPr="001106B2" w:rsidRDefault="003A3313" w:rsidP="00D804B8">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3A3313" w:rsidRPr="001106B2" w:rsidRDefault="003A3313" w:rsidP="00D804B8">
      <w:pPr>
        <w:snapToGrid w:val="0"/>
        <w:spacing w:after="120" w:line="259" w:lineRule="auto"/>
        <w:ind w:firstLine="720"/>
      </w:pPr>
      <w:r w:rsidRPr="001106B2">
        <w:t>Capitalized terms used herein and not otherwise defined shall have the meanings ascribed to them in the Protective Order. </w:t>
      </w:r>
    </w:p>
    <w:p w:rsidR="003A3313" w:rsidRPr="001106B2" w:rsidRDefault="003A3313" w:rsidP="003A3313">
      <w:pPr>
        <w:snapToGrid w:val="0"/>
        <w:spacing w:after="120" w:line="200" w:lineRule="exact"/>
        <w:ind w:left="3600" w:firstLine="720"/>
      </w:pPr>
      <w:r w:rsidRPr="001106B2">
        <w:t>Executed this ___ day of _____________, 20__.</w:t>
      </w:r>
    </w:p>
    <w:p w:rsidR="003A3313" w:rsidRPr="001106B2" w:rsidRDefault="003A3313" w:rsidP="003A3313">
      <w:pPr>
        <w:snapToGrid w:val="0"/>
        <w:spacing w:after="120" w:line="200" w:lineRule="exact"/>
      </w:pPr>
      <w:r w:rsidRPr="001106B2">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3A3313" w:rsidRPr="001106B2" w:rsidRDefault="001E5F21" w:rsidP="003A3313">
      <w:pPr>
        <w:snapToGrid w:val="0"/>
        <w:spacing w:line="200" w:lineRule="exact"/>
      </w:pPr>
      <w:r>
        <w:rPr>
          <w:szCs w:val="22"/>
        </w:rPr>
        <w:t>                                                                  </w:t>
      </w:r>
      <w:r w:rsidR="003A3313" w:rsidRPr="001106B2">
        <w:tab/>
        <w:t>[Position]</w:t>
      </w:r>
    </w:p>
    <w:p w:rsidR="001E5F21" w:rsidRDefault="001E5F21" w:rsidP="001E5F21">
      <w:pPr>
        <w:snapToGrid w:val="0"/>
        <w:spacing w:line="200" w:lineRule="exact"/>
        <w:rPr>
          <w:szCs w:val="22"/>
        </w:rPr>
      </w:pPr>
      <w:r>
        <w:rPr>
          <w:szCs w:val="22"/>
        </w:rPr>
        <w:t>                                                                  </w:t>
      </w:r>
      <w:r>
        <w:rPr>
          <w:szCs w:val="22"/>
        </w:rPr>
        <w:tab/>
        <w:t>[Firm]</w:t>
      </w:r>
    </w:p>
    <w:p w:rsidR="00261B5B" w:rsidRPr="00853B8F" w:rsidRDefault="003A3313" w:rsidP="00A30181">
      <w:pPr>
        <w:snapToGrid w:val="0"/>
        <w:spacing w:line="200" w:lineRule="exact"/>
        <w:ind w:left="3600" w:firstLine="720"/>
        <w:rPr>
          <w:sz w:val="24"/>
        </w:rPr>
      </w:pPr>
      <w:r w:rsidRPr="001106B2">
        <w:t>[Telephone]</w:t>
      </w:r>
    </w:p>
    <w:sectPr w:rsidR="00261B5B" w:rsidRPr="00853B8F" w:rsidSect="00853B8F">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DE3" w:rsidRDefault="00D53DE3" w:rsidP="00D804B8">
      <w:pPr>
        <w:spacing w:line="20" w:lineRule="exact"/>
      </w:pPr>
    </w:p>
  </w:endnote>
  <w:endnote w:type="continuationSeparator" w:id="0">
    <w:p w:rsidR="00D53DE3" w:rsidRDefault="00D53DE3">
      <w:r>
        <w:t xml:space="preserve"> </w:t>
      </w:r>
    </w:p>
  </w:endnote>
  <w:endnote w:type="continuationNotice" w:id="1">
    <w:p w:rsidR="00D53DE3" w:rsidRDefault="00D53D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67" w:rsidRDefault="00B040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r>
      <w:rPr>
        <w:rStyle w:val="PageNumber"/>
      </w:rPr>
      <w:fldChar w:fldCharType="begin"/>
    </w:r>
    <w:r>
      <w:rPr>
        <w:rStyle w:val="PageNumber"/>
      </w:rPr>
      <w:instrText xml:space="preserve"> PAGE </w:instrText>
    </w:r>
    <w:r>
      <w:rPr>
        <w:rStyle w:val="PageNumber"/>
      </w:rPr>
      <w:fldChar w:fldCharType="separate"/>
    </w:r>
    <w:r w:rsidR="002B3FB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pPr>
      <w:pStyle w:val="Footer"/>
      <w:jc w:val="center"/>
    </w:pPr>
  </w:p>
  <w:p w:rsidR="00D53DE3" w:rsidRDefault="00D53D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182E1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0765"/>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495645">
          <w:rPr>
            <w:noProof/>
          </w:rPr>
          <w:t>10</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55614C">
    <w:pPr>
      <w:pStyle w:val="Footer"/>
      <w:framePr w:wrap="around" w:vAnchor="text" w:hAnchor="margin" w:xAlign="center" w:y="1"/>
    </w:pPr>
    <w:r>
      <w:fldChar w:fldCharType="begin"/>
    </w:r>
    <w:r>
      <w:instrText xml:space="preserve">PAGE  </w:instrText>
    </w:r>
    <w:r>
      <w:fldChar w:fldCharType="end"/>
    </w:r>
  </w:p>
  <w:p w:rsidR="00D53DE3" w:rsidRDefault="00D53DE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518466"/>
      <w:docPartObj>
        <w:docPartGallery w:val="Page Numbers (Bottom of Page)"/>
        <w:docPartUnique/>
      </w:docPartObj>
    </w:sdtPr>
    <w:sdtEndPr>
      <w:rPr>
        <w:noProof/>
      </w:rPr>
    </w:sdtEndPr>
    <w:sdtContent>
      <w:p w:rsidR="00D53DE3" w:rsidRDefault="00D53DE3">
        <w:pPr>
          <w:pStyle w:val="Footer"/>
          <w:jc w:val="center"/>
        </w:pPr>
        <w:r>
          <w:fldChar w:fldCharType="begin"/>
        </w:r>
        <w:r>
          <w:instrText xml:space="preserve"> PAGE   \* MERGEFORMAT </w:instrText>
        </w:r>
        <w:r>
          <w:fldChar w:fldCharType="separate"/>
        </w:r>
        <w:r w:rsidR="00D804B8">
          <w:rPr>
            <w:noProof/>
          </w:rPr>
          <w:t>2</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DE3" w:rsidRDefault="00D53DE3">
      <w:r>
        <w:separator/>
      </w:r>
    </w:p>
  </w:footnote>
  <w:footnote w:type="continuationSeparator" w:id="0">
    <w:p w:rsidR="00D53DE3" w:rsidRPr="00D804B8" w:rsidRDefault="00D53DE3" w:rsidP="00D804B8">
      <w:pPr>
        <w:spacing w:before="120"/>
        <w:rPr>
          <w:sz w:val="20"/>
        </w:rPr>
      </w:pPr>
      <w:r>
        <w:rPr>
          <w:sz w:val="20"/>
        </w:rPr>
        <w:t xml:space="preserve">(Continued from previous page)  </w:t>
      </w:r>
      <w:r>
        <w:rPr>
          <w:sz w:val="20"/>
        </w:rPr>
        <w:separator/>
      </w:r>
    </w:p>
  </w:footnote>
  <w:footnote w:type="continuationNotice" w:id="1">
    <w:p w:rsidR="00D53DE3" w:rsidRPr="00D804B8" w:rsidRDefault="00D53DE3" w:rsidP="00D804B8">
      <w:pPr>
        <w:jc w:val="right"/>
        <w:rPr>
          <w:sz w:val="20"/>
        </w:rPr>
      </w:pPr>
      <w:r>
        <w:rPr>
          <w:sz w:val="20"/>
        </w:rPr>
        <w:t>(continued….)</w:t>
      </w:r>
    </w:p>
  </w:footnote>
  <w:footnote w:id="2">
    <w:p w:rsidR="00D53DE3" w:rsidRPr="001106B2" w:rsidRDefault="00D53DE3" w:rsidP="003A3313">
      <w:pPr>
        <w:pStyle w:val="FootnoteText"/>
      </w:pPr>
      <w:r w:rsidRPr="001106B2">
        <w:rPr>
          <w:rStyle w:val="FootnoteReference"/>
        </w:rPr>
        <w:footnoteRef/>
      </w:r>
      <w:r w:rsidRPr="001106B2">
        <w:t xml:space="preserve"> 47 U.S.C. § 154(j).</w:t>
      </w:r>
    </w:p>
  </w:footnote>
  <w:footnote w:id="3">
    <w:p w:rsidR="00D53DE3" w:rsidRPr="001106B2" w:rsidRDefault="00D53DE3" w:rsidP="003A3313">
      <w:pPr>
        <w:pStyle w:val="FootnoteText"/>
      </w:pPr>
      <w:r w:rsidRPr="001106B2">
        <w:rPr>
          <w:rStyle w:val="FootnoteReference"/>
        </w:rPr>
        <w:footnoteRef/>
      </w:r>
      <w:r w:rsidRPr="001106B2">
        <w:t xml:space="preserve"> </w:t>
      </w:r>
      <w:r w:rsidRPr="00D804B8">
        <w:t>47 C.F.R. §§ 0.459, 0.461.</w:t>
      </w:r>
    </w:p>
  </w:footnote>
  <w:footnote w:id="4">
    <w:p w:rsidR="00D53DE3" w:rsidRPr="001106B2" w:rsidRDefault="00D53DE3" w:rsidP="003A3313">
      <w:pPr>
        <w:pStyle w:val="FootnoteText"/>
      </w:pPr>
      <w:r w:rsidRPr="001106B2">
        <w:rPr>
          <w:rStyle w:val="FootnoteReference"/>
        </w:rPr>
        <w:footnoteRef/>
      </w:r>
      <w:r w:rsidRPr="001106B2">
        <w:t xml:space="preserve"> </w:t>
      </w:r>
      <w:r w:rsidRPr="00D804B8">
        <w:rPr>
          <w:i/>
        </w:rPr>
        <w:t>See</w:t>
      </w:r>
      <w:r w:rsidRPr="001106B2">
        <w:t xml:space="preserve"> 47 C.F.R. §§ 0.459(a), 0.459(a)(3).</w:t>
      </w:r>
    </w:p>
  </w:footnote>
  <w:footnote w:id="5">
    <w:p w:rsidR="00D53DE3" w:rsidRPr="001106B2" w:rsidRDefault="00D53DE3" w:rsidP="003A3313">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rsidR="00D53DE3" w:rsidRPr="001106B2" w:rsidRDefault="00D53DE3" w:rsidP="003A3313">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rsidR="00D53DE3" w:rsidRPr="001106B2" w:rsidRDefault="00D53DE3" w:rsidP="003A3313">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rsidR="00D53DE3" w:rsidRPr="001106B2" w:rsidRDefault="00D53DE3" w:rsidP="003A3313">
      <w:pPr>
        <w:pStyle w:val="FootnoteText"/>
      </w:pPr>
      <w:r w:rsidRPr="001106B2">
        <w:rPr>
          <w:rStyle w:val="FootnoteReference"/>
        </w:rPr>
        <w:footnoteRef/>
      </w:r>
      <w:r w:rsidRPr="001106B2">
        <w:t xml:space="preserve"> </w:t>
      </w:r>
      <w:r w:rsidRPr="00306E51">
        <w:t xml:space="preserve">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306E51">
        <w:rPr>
          <w:i/>
        </w:rPr>
        <w:t>any</w:t>
      </w:r>
      <w:r w:rsidRPr="00306E51">
        <w:t xml:space="preserve"> individual pursuant to the Protective Order (in other words, for requesting that certain information be entirely withheld from review under the Protective Order) is set forth in paragraph 26 of the Order adopting </w:t>
      </w:r>
      <w:r w:rsidR="00306E51" w:rsidRPr="00306E51">
        <w:t>the</w:t>
      </w:r>
      <w:r w:rsidRPr="00306E51">
        <w:t xml:space="preserve"> Protective Order</w:t>
      </w:r>
      <w:r w:rsidR="00306E51" w:rsidRPr="00306E51">
        <w:t xml:space="preserve"> in Applications of Charter Communications</w:t>
      </w:r>
      <w:r w:rsidR="000466D6">
        <w:t>,</w:t>
      </w:r>
      <w:r w:rsidR="00306E51" w:rsidRPr="00306E51">
        <w:t xml:space="preserve"> Inc., Time Warner Cable Inc., and Advance/Newhouse Partnership for Consent To Assign or Transfer Control of Licenses and Authorizations, MB Docket No. 15-149, </w:t>
      </w:r>
      <w:r w:rsidR="00306E51" w:rsidRPr="00306E51">
        <w:rPr>
          <w:i/>
        </w:rPr>
        <w:t>Order</w:t>
      </w:r>
      <w:r w:rsidR="000466D6">
        <w:t>, FCC 15-110 (rel. Sept. 11, 201</w:t>
      </w:r>
      <w:r w:rsidR="00306E51" w:rsidRPr="00306E51">
        <w:t>5)</w:t>
      </w:r>
      <w:r w:rsidRPr="00306E51">
        <w:t>.  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rsidR="00D53DE3" w:rsidRPr="001106B2" w:rsidRDefault="00D53DE3" w:rsidP="003A3313">
      <w:pPr>
        <w:pStyle w:val="FootnoteText"/>
      </w:pPr>
      <w:r w:rsidRPr="001106B2">
        <w:rPr>
          <w:rStyle w:val="FootnoteReference"/>
        </w:rPr>
        <w:footnoteRef/>
      </w:r>
      <w:r w:rsidRPr="001106B2">
        <w:t xml:space="preserve"> An objection ordinarily will first be ruled upon by the</w:t>
      </w:r>
      <w:r w:rsidR="00450FEB">
        <w:t xml:space="preserve"> Wireless Telecommunications</w:t>
      </w:r>
      <w:r w:rsidRPr="001106B2">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  </w:t>
      </w:r>
    </w:p>
  </w:footnote>
  <w:footnote w:id="10">
    <w:p w:rsidR="00D53DE3" w:rsidRPr="00693FDE" w:rsidRDefault="00D53DE3" w:rsidP="003A3313">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67" w:rsidRDefault="00B04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Pr="0069679C" w:rsidRDefault="00D53DE3" w:rsidP="00D804B8">
    <w:pPr>
      <w:pStyle w:val="Header"/>
    </w:pPr>
    <w:r>
      <w:rPr>
        <w:noProof/>
      </w:rPr>
      <mc:AlternateContent>
        <mc:Choice Requires="wps">
          <w:drawing>
            <wp:anchor distT="0" distB="0" distL="114300" distR="114300" simplePos="0" relativeHeight="251639808" behindDoc="1" locked="0" layoutInCell="0" allowOverlap="1" wp14:anchorId="52F60C52" wp14:editId="44438F4A">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DD8363" id="Rectangle 3" o:spid="_x0000_s1026" style="position:absolute;margin-left:.6pt;margin-top:12.65pt;width:468pt;height:.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DA 15-</w:t>
    </w:r>
    <w:r w:rsidR="00F320CB">
      <w:t>1212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59776" behindDoc="1" locked="0" layoutInCell="0" allowOverlap="1" wp14:anchorId="7100CFE3" wp14:editId="47343113">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4148E5" id="Rectangle 3" o:spid="_x0000_s1026" style="position:absolute;margin-left:.6pt;margin-top:12.65pt;width:468pt;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15-</w:t>
    </w:r>
    <w:r w:rsidR="00F320CB">
      <w:t>1212</w:t>
    </w:r>
  </w:p>
  <w:p w:rsidR="00D53DE3" w:rsidRDefault="00D53DE3" w:rsidP="00D804B8">
    <w:pPr>
      <w:pStyle w:val="Header"/>
    </w:pPr>
  </w:p>
  <w:p w:rsidR="000466D6" w:rsidRPr="0069679C" w:rsidRDefault="000466D6" w:rsidP="00D804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tab/>
      <w:t>Federal Communications Commission</w:t>
    </w:r>
    <w:r>
      <w:tab/>
      <w:t>FCC 15-110</w:t>
    </w:r>
  </w:p>
  <w:p w:rsidR="00D53DE3" w:rsidRDefault="00D53DE3">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D391A7"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53DE3" w:rsidRDefault="00D53DE3">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E3" w:rsidRDefault="00D53DE3" w:rsidP="00D804B8">
    <w:pPr>
      <w:pStyle w:val="Header"/>
    </w:pPr>
    <w:r>
      <w:rPr>
        <w:noProof/>
      </w:rPr>
      <mc:AlternateContent>
        <mc:Choice Requires="wps">
          <w:drawing>
            <wp:anchor distT="0" distB="0" distL="114300" distR="114300" simplePos="0" relativeHeight="251676672"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336588" id="Rectangle 3" o:spid="_x0000_s1026" style="position:absolute;margin-left:.6pt;margin-top:12.65pt;width:468pt;height:.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B72DF9">
      <w:rPr>
        <w:spacing w:val="-2"/>
      </w:rPr>
      <w:t>DA</w:t>
    </w:r>
    <w:r>
      <w:rPr>
        <w:spacing w:val="-2"/>
      </w:rPr>
      <w:t xml:space="preserve"> 15-</w:t>
    </w:r>
    <w:r w:rsidR="00B72DF9" w:rsidRPr="00B72DF9">
      <w:rPr>
        <w:spacing w:val="-2"/>
        <w:highlight w:val="yellow"/>
      </w:rPr>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0"/>
  </w:num>
  <w:num w:numId="2">
    <w:abstractNumId w:val="5"/>
  </w:num>
  <w:num w:numId="3">
    <w:abstractNumId w:val="2"/>
  </w:num>
  <w:num w:numId="4">
    <w:abstractNumId w:val="6"/>
  </w:num>
  <w:num w:numId="5">
    <w:abstractNumId w:val="10"/>
    <w:lvlOverride w:ilvl="0">
      <w:startOverride w:val="1"/>
    </w:lvlOverride>
  </w:num>
  <w:num w:numId="6">
    <w:abstractNumId w:val="3"/>
  </w:num>
  <w:num w:numId="7">
    <w:abstractNumId w:val="8"/>
  </w:num>
  <w:num w:numId="8">
    <w:abstractNumId w:val="4"/>
  </w:num>
  <w:num w:numId="9">
    <w:abstractNumId w:val="1"/>
  </w:num>
  <w:num w:numId="10">
    <w:abstractNumId w:val="7"/>
  </w:num>
  <w:num w:numId="11">
    <w:abstractNumId w:val="9"/>
  </w:num>
  <w:num w:numId="1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3"/>
    <w:rsid w:val="00004FC4"/>
    <w:rsid w:val="00005AE5"/>
    <w:rsid w:val="00021235"/>
    <w:rsid w:val="00023F86"/>
    <w:rsid w:val="00026A50"/>
    <w:rsid w:val="000343E7"/>
    <w:rsid w:val="00036039"/>
    <w:rsid w:val="00037F90"/>
    <w:rsid w:val="00044704"/>
    <w:rsid w:val="000466D6"/>
    <w:rsid w:val="000550C1"/>
    <w:rsid w:val="0005667C"/>
    <w:rsid w:val="00060A30"/>
    <w:rsid w:val="00065552"/>
    <w:rsid w:val="00071E8A"/>
    <w:rsid w:val="0007359B"/>
    <w:rsid w:val="00074E0E"/>
    <w:rsid w:val="000820E1"/>
    <w:rsid w:val="00083E42"/>
    <w:rsid w:val="00084415"/>
    <w:rsid w:val="000848E3"/>
    <w:rsid w:val="000861E5"/>
    <w:rsid w:val="000875BF"/>
    <w:rsid w:val="00091FD9"/>
    <w:rsid w:val="00094DEA"/>
    <w:rsid w:val="00096D8C"/>
    <w:rsid w:val="000A356C"/>
    <w:rsid w:val="000B064F"/>
    <w:rsid w:val="000B69AE"/>
    <w:rsid w:val="000B7CFB"/>
    <w:rsid w:val="000C0B65"/>
    <w:rsid w:val="000D1063"/>
    <w:rsid w:val="000D280F"/>
    <w:rsid w:val="000D6B60"/>
    <w:rsid w:val="000E05FE"/>
    <w:rsid w:val="000E2EFB"/>
    <w:rsid w:val="000E3D42"/>
    <w:rsid w:val="000E6307"/>
    <w:rsid w:val="000F7EEB"/>
    <w:rsid w:val="00101DE0"/>
    <w:rsid w:val="00103977"/>
    <w:rsid w:val="00106D50"/>
    <w:rsid w:val="00122BD5"/>
    <w:rsid w:val="00133F79"/>
    <w:rsid w:val="00136D35"/>
    <w:rsid w:val="00150FE2"/>
    <w:rsid w:val="00171D7E"/>
    <w:rsid w:val="00174A50"/>
    <w:rsid w:val="00180836"/>
    <w:rsid w:val="00182E15"/>
    <w:rsid w:val="0019068D"/>
    <w:rsid w:val="00194A66"/>
    <w:rsid w:val="00197B91"/>
    <w:rsid w:val="001A23C1"/>
    <w:rsid w:val="001B56CE"/>
    <w:rsid w:val="001C024D"/>
    <w:rsid w:val="001D6BCF"/>
    <w:rsid w:val="001E01CA"/>
    <w:rsid w:val="001E06DF"/>
    <w:rsid w:val="001E5F21"/>
    <w:rsid w:val="00204E55"/>
    <w:rsid w:val="00217DEE"/>
    <w:rsid w:val="00224B65"/>
    <w:rsid w:val="002301EB"/>
    <w:rsid w:val="002325C6"/>
    <w:rsid w:val="00232B01"/>
    <w:rsid w:val="00234879"/>
    <w:rsid w:val="00234F90"/>
    <w:rsid w:val="00237FE1"/>
    <w:rsid w:val="00240C84"/>
    <w:rsid w:val="00250DA8"/>
    <w:rsid w:val="00261B5B"/>
    <w:rsid w:val="00261F3C"/>
    <w:rsid w:val="00263888"/>
    <w:rsid w:val="00265926"/>
    <w:rsid w:val="00275CF5"/>
    <w:rsid w:val="00276941"/>
    <w:rsid w:val="0027753D"/>
    <w:rsid w:val="00280E49"/>
    <w:rsid w:val="00281772"/>
    <w:rsid w:val="00281E6C"/>
    <w:rsid w:val="0028301F"/>
    <w:rsid w:val="00285017"/>
    <w:rsid w:val="00290B99"/>
    <w:rsid w:val="00290DE6"/>
    <w:rsid w:val="002A2D2E"/>
    <w:rsid w:val="002B3FBA"/>
    <w:rsid w:val="002C00E8"/>
    <w:rsid w:val="002C439E"/>
    <w:rsid w:val="002D759F"/>
    <w:rsid w:val="002F034B"/>
    <w:rsid w:val="002F0402"/>
    <w:rsid w:val="002F5C69"/>
    <w:rsid w:val="00301F64"/>
    <w:rsid w:val="00306E51"/>
    <w:rsid w:val="00322DEB"/>
    <w:rsid w:val="003322D5"/>
    <w:rsid w:val="00343749"/>
    <w:rsid w:val="00344536"/>
    <w:rsid w:val="0035532A"/>
    <w:rsid w:val="003564F3"/>
    <w:rsid w:val="00361A9E"/>
    <w:rsid w:val="003660ED"/>
    <w:rsid w:val="003701B8"/>
    <w:rsid w:val="003709CF"/>
    <w:rsid w:val="00387CCD"/>
    <w:rsid w:val="00395A75"/>
    <w:rsid w:val="0039651A"/>
    <w:rsid w:val="003A3313"/>
    <w:rsid w:val="003B0550"/>
    <w:rsid w:val="003B694F"/>
    <w:rsid w:val="003D0A18"/>
    <w:rsid w:val="003D0FF7"/>
    <w:rsid w:val="003E5808"/>
    <w:rsid w:val="003F171C"/>
    <w:rsid w:val="003F509F"/>
    <w:rsid w:val="00404ECA"/>
    <w:rsid w:val="004052A5"/>
    <w:rsid w:val="00412FC5"/>
    <w:rsid w:val="00422276"/>
    <w:rsid w:val="00423165"/>
    <w:rsid w:val="004242F1"/>
    <w:rsid w:val="00425362"/>
    <w:rsid w:val="004318F7"/>
    <w:rsid w:val="00445A00"/>
    <w:rsid w:val="00450FEB"/>
    <w:rsid w:val="00451B0F"/>
    <w:rsid w:val="004610A2"/>
    <w:rsid w:val="00472EE6"/>
    <w:rsid w:val="00485A83"/>
    <w:rsid w:val="00490304"/>
    <w:rsid w:val="00492BD3"/>
    <w:rsid w:val="00495645"/>
    <w:rsid w:val="004A14DE"/>
    <w:rsid w:val="004A7015"/>
    <w:rsid w:val="004B60D0"/>
    <w:rsid w:val="004C2EE3"/>
    <w:rsid w:val="004D04C7"/>
    <w:rsid w:val="004E4A22"/>
    <w:rsid w:val="004E7CB5"/>
    <w:rsid w:val="004F1C65"/>
    <w:rsid w:val="00511968"/>
    <w:rsid w:val="00515607"/>
    <w:rsid w:val="005224B5"/>
    <w:rsid w:val="00522D41"/>
    <w:rsid w:val="00527222"/>
    <w:rsid w:val="005448CD"/>
    <w:rsid w:val="00551817"/>
    <w:rsid w:val="0055614C"/>
    <w:rsid w:val="005561F0"/>
    <w:rsid w:val="00560134"/>
    <w:rsid w:val="00561101"/>
    <w:rsid w:val="00571ACA"/>
    <w:rsid w:val="00572F3A"/>
    <w:rsid w:val="0058044D"/>
    <w:rsid w:val="00584A83"/>
    <w:rsid w:val="00595C60"/>
    <w:rsid w:val="005962B9"/>
    <w:rsid w:val="005B1E92"/>
    <w:rsid w:val="005B1F45"/>
    <w:rsid w:val="005D7C85"/>
    <w:rsid w:val="005E0D70"/>
    <w:rsid w:val="005E14C2"/>
    <w:rsid w:val="005E14CC"/>
    <w:rsid w:val="005E3127"/>
    <w:rsid w:val="005E74A1"/>
    <w:rsid w:val="005F2994"/>
    <w:rsid w:val="005F2AB3"/>
    <w:rsid w:val="00607BA5"/>
    <w:rsid w:val="0061180A"/>
    <w:rsid w:val="0061441F"/>
    <w:rsid w:val="00621943"/>
    <w:rsid w:val="006238C9"/>
    <w:rsid w:val="00626EB6"/>
    <w:rsid w:val="006331D6"/>
    <w:rsid w:val="00643864"/>
    <w:rsid w:val="00644B56"/>
    <w:rsid w:val="0065251B"/>
    <w:rsid w:val="006537D1"/>
    <w:rsid w:val="00655D03"/>
    <w:rsid w:val="00683025"/>
    <w:rsid w:val="00683388"/>
    <w:rsid w:val="00683F84"/>
    <w:rsid w:val="00692EAA"/>
    <w:rsid w:val="0069679C"/>
    <w:rsid w:val="00697179"/>
    <w:rsid w:val="006A0C45"/>
    <w:rsid w:val="006A4C4B"/>
    <w:rsid w:val="006A6A81"/>
    <w:rsid w:val="006C36B5"/>
    <w:rsid w:val="006D7D7A"/>
    <w:rsid w:val="006D7F76"/>
    <w:rsid w:val="006E0104"/>
    <w:rsid w:val="006E5B07"/>
    <w:rsid w:val="006F4BCD"/>
    <w:rsid w:val="006F7393"/>
    <w:rsid w:val="00700414"/>
    <w:rsid w:val="0070224F"/>
    <w:rsid w:val="007115F7"/>
    <w:rsid w:val="00711BC9"/>
    <w:rsid w:val="007149AB"/>
    <w:rsid w:val="00723684"/>
    <w:rsid w:val="00730B4F"/>
    <w:rsid w:val="00740571"/>
    <w:rsid w:val="00744C81"/>
    <w:rsid w:val="007472A0"/>
    <w:rsid w:val="00760C16"/>
    <w:rsid w:val="00766ABC"/>
    <w:rsid w:val="00784E7E"/>
    <w:rsid w:val="00785689"/>
    <w:rsid w:val="00790940"/>
    <w:rsid w:val="0079754B"/>
    <w:rsid w:val="007A1E6D"/>
    <w:rsid w:val="007A2E39"/>
    <w:rsid w:val="007B0EB2"/>
    <w:rsid w:val="007B14B1"/>
    <w:rsid w:val="007C1D64"/>
    <w:rsid w:val="007C6090"/>
    <w:rsid w:val="007D520E"/>
    <w:rsid w:val="007E22E3"/>
    <w:rsid w:val="007F3E88"/>
    <w:rsid w:val="007F6DA0"/>
    <w:rsid w:val="008002AC"/>
    <w:rsid w:val="00810B6F"/>
    <w:rsid w:val="00813152"/>
    <w:rsid w:val="008206AF"/>
    <w:rsid w:val="00822CE0"/>
    <w:rsid w:val="008250AC"/>
    <w:rsid w:val="00841AB1"/>
    <w:rsid w:val="00841E98"/>
    <w:rsid w:val="008445C4"/>
    <w:rsid w:val="008509A4"/>
    <w:rsid w:val="00853B8F"/>
    <w:rsid w:val="00860DE3"/>
    <w:rsid w:val="00883BDE"/>
    <w:rsid w:val="00887435"/>
    <w:rsid w:val="00894AD6"/>
    <w:rsid w:val="008970D9"/>
    <w:rsid w:val="008A1D0E"/>
    <w:rsid w:val="008A5186"/>
    <w:rsid w:val="008B3184"/>
    <w:rsid w:val="008B319C"/>
    <w:rsid w:val="008B3D4D"/>
    <w:rsid w:val="008C68F1"/>
    <w:rsid w:val="008C748A"/>
    <w:rsid w:val="008D4912"/>
    <w:rsid w:val="008E3F5F"/>
    <w:rsid w:val="008E4E85"/>
    <w:rsid w:val="008F0202"/>
    <w:rsid w:val="008F3A37"/>
    <w:rsid w:val="008F40E3"/>
    <w:rsid w:val="00903F6D"/>
    <w:rsid w:val="00911115"/>
    <w:rsid w:val="0091284F"/>
    <w:rsid w:val="00914224"/>
    <w:rsid w:val="00915D3E"/>
    <w:rsid w:val="00917198"/>
    <w:rsid w:val="00921803"/>
    <w:rsid w:val="009221DA"/>
    <w:rsid w:val="00926503"/>
    <w:rsid w:val="00932FD2"/>
    <w:rsid w:val="00935BE0"/>
    <w:rsid w:val="00961352"/>
    <w:rsid w:val="009613FB"/>
    <w:rsid w:val="00963080"/>
    <w:rsid w:val="009633A2"/>
    <w:rsid w:val="00970670"/>
    <w:rsid w:val="009726D8"/>
    <w:rsid w:val="009954FC"/>
    <w:rsid w:val="009A64EA"/>
    <w:rsid w:val="009B3662"/>
    <w:rsid w:val="009D2420"/>
    <w:rsid w:val="009D2741"/>
    <w:rsid w:val="009D6889"/>
    <w:rsid w:val="009E06FD"/>
    <w:rsid w:val="009E1E37"/>
    <w:rsid w:val="009E2E60"/>
    <w:rsid w:val="009E34B2"/>
    <w:rsid w:val="009E755B"/>
    <w:rsid w:val="009E7706"/>
    <w:rsid w:val="009F221A"/>
    <w:rsid w:val="009F76DB"/>
    <w:rsid w:val="00A10A0F"/>
    <w:rsid w:val="00A2456B"/>
    <w:rsid w:val="00A30181"/>
    <w:rsid w:val="00A31EA4"/>
    <w:rsid w:val="00A323F1"/>
    <w:rsid w:val="00A32C3B"/>
    <w:rsid w:val="00A34B55"/>
    <w:rsid w:val="00A45F4F"/>
    <w:rsid w:val="00A46916"/>
    <w:rsid w:val="00A52A46"/>
    <w:rsid w:val="00A600A9"/>
    <w:rsid w:val="00A6059F"/>
    <w:rsid w:val="00A62C3E"/>
    <w:rsid w:val="00A62F19"/>
    <w:rsid w:val="00A7351A"/>
    <w:rsid w:val="00A93721"/>
    <w:rsid w:val="00AA55B7"/>
    <w:rsid w:val="00AA5B9E"/>
    <w:rsid w:val="00AA66B9"/>
    <w:rsid w:val="00AA795D"/>
    <w:rsid w:val="00AB141A"/>
    <w:rsid w:val="00AB2407"/>
    <w:rsid w:val="00AB53DF"/>
    <w:rsid w:val="00AB5B9A"/>
    <w:rsid w:val="00AC05CE"/>
    <w:rsid w:val="00AC128C"/>
    <w:rsid w:val="00AD234C"/>
    <w:rsid w:val="00AD42C5"/>
    <w:rsid w:val="00AD7E3F"/>
    <w:rsid w:val="00AE0D8D"/>
    <w:rsid w:val="00B004B7"/>
    <w:rsid w:val="00B03F57"/>
    <w:rsid w:val="00B04067"/>
    <w:rsid w:val="00B07E5C"/>
    <w:rsid w:val="00B10D92"/>
    <w:rsid w:val="00B1132B"/>
    <w:rsid w:val="00B2175F"/>
    <w:rsid w:val="00B22DF6"/>
    <w:rsid w:val="00B26E40"/>
    <w:rsid w:val="00B53FC6"/>
    <w:rsid w:val="00B54AD6"/>
    <w:rsid w:val="00B72DF9"/>
    <w:rsid w:val="00B738B9"/>
    <w:rsid w:val="00B75B5F"/>
    <w:rsid w:val="00B76C3B"/>
    <w:rsid w:val="00B811F7"/>
    <w:rsid w:val="00B94FA2"/>
    <w:rsid w:val="00BA0586"/>
    <w:rsid w:val="00BA5DC6"/>
    <w:rsid w:val="00BA6196"/>
    <w:rsid w:val="00BC4749"/>
    <w:rsid w:val="00BC6CD6"/>
    <w:rsid w:val="00BC6D8C"/>
    <w:rsid w:val="00BD6DE0"/>
    <w:rsid w:val="00BD7494"/>
    <w:rsid w:val="00BE258E"/>
    <w:rsid w:val="00BF4504"/>
    <w:rsid w:val="00BF50B2"/>
    <w:rsid w:val="00C03B8E"/>
    <w:rsid w:val="00C14332"/>
    <w:rsid w:val="00C165BE"/>
    <w:rsid w:val="00C229D7"/>
    <w:rsid w:val="00C33851"/>
    <w:rsid w:val="00C34006"/>
    <w:rsid w:val="00C405D2"/>
    <w:rsid w:val="00C426B1"/>
    <w:rsid w:val="00C44FA9"/>
    <w:rsid w:val="00C66160"/>
    <w:rsid w:val="00C675CE"/>
    <w:rsid w:val="00C721AC"/>
    <w:rsid w:val="00C75A96"/>
    <w:rsid w:val="00C865B6"/>
    <w:rsid w:val="00C90D6A"/>
    <w:rsid w:val="00CA116D"/>
    <w:rsid w:val="00CA247E"/>
    <w:rsid w:val="00CB43F8"/>
    <w:rsid w:val="00CC72B6"/>
    <w:rsid w:val="00CD4961"/>
    <w:rsid w:val="00CE15FB"/>
    <w:rsid w:val="00CE23EC"/>
    <w:rsid w:val="00CE49F7"/>
    <w:rsid w:val="00CE64CF"/>
    <w:rsid w:val="00CF3836"/>
    <w:rsid w:val="00CF4D65"/>
    <w:rsid w:val="00D0218D"/>
    <w:rsid w:val="00D05B49"/>
    <w:rsid w:val="00D25FB5"/>
    <w:rsid w:val="00D318E6"/>
    <w:rsid w:val="00D31B7B"/>
    <w:rsid w:val="00D44223"/>
    <w:rsid w:val="00D47BCC"/>
    <w:rsid w:val="00D53DE3"/>
    <w:rsid w:val="00D61E09"/>
    <w:rsid w:val="00D67DC7"/>
    <w:rsid w:val="00D804B8"/>
    <w:rsid w:val="00D81AED"/>
    <w:rsid w:val="00D9648F"/>
    <w:rsid w:val="00DA0924"/>
    <w:rsid w:val="00DA2529"/>
    <w:rsid w:val="00DA58F1"/>
    <w:rsid w:val="00DB0F0B"/>
    <w:rsid w:val="00DB130A"/>
    <w:rsid w:val="00DB21D9"/>
    <w:rsid w:val="00DB2EBB"/>
    <w:rsid w:val="00DC10A1"/>
    <w:rsid w:val="00DC309D"/>
    <w:rsid w:val="00DC655F"/>
    <w:rsid w:val="00DD0B59"/>
    <w:rsid w:val="00DD444C"/>
    <w:rsid w:val="00DD7EBD"/>
    <w:rsid w:val="00DF2F28"/>
    <w:rsid w:val="00DF62B6"/>
    <w:rsid w:val="00E01164"/>
    <w:rsid w:val="00E07225"/>
    <w:rsid w:val="00E21587"/>
    <w:rsid w:val="00E23338"/>
    <w:rsid w:val="00E25B16"/>
    <w:rsid w:val="00E35566"/>
    <w:rsid w:val="00E44CBB"/>
    <w:rsid w:val="00E5409F"/>
    <w:rsid w:val="00E61655"/>
    <w:rsid w:val="00E62693"/>
    <w:rsid w:val="00E63950"/>
    <w:rsid w:val="00E77C5E"/>
    <w:rsid w:val="00E931D0"/>
    <w:rsid w:val="00E96FAB"/>
    <w:rsid w:val="00EB3ED0"/>
    <w:rsid w:val="00EB5086"/>
    <w:rsid w:val="00EC693C"/>
    <w:rsid w:val="00ED02FD"/>
    <w:rsid w:val="00ED1131"/>
    <w:rsid w:val="00ED2351"/>
    <w:rsid w:val="00EE6488"/>
    <w:rsid w:val="00F01627"/>
    <w:rsid w:val="00F01D0A"/>
    <w:rsid w:val="00F021FA"/>
    <w:rsid w:val="00F1077E"/>
    <w:rsid w:val="00F10814"/>
    <w:rsid w:val="00F1285A"/>
    <w:rsid w:val="00F13CB1"/>
    <w:rsid w:val="00F320CB"/>
    <w:rsid w:val="00F5303C"/>
    <w:rsid w:val="00F62E97"/>
    <w:rsid w:val="00F64209"/>
    <w:rsid w:val="00F669A6"/>
    <w:rsid w:val="00F71DAA"/>
    <w:rsid w:val="00F749F5"/>
    <w:rsid w:val="00F87DE7"/>
    <w:rsid w:val="00F9209C"/>
    <w:rsid w:val="00F93BF5"/>
    <w:rsid w:val="00F94ABA"/>
    <w:rsid w:val="00FA2880"/>
    <w:rsid w:val="00FA376E"/>
    <w:rsid w:val="00FB18AB"/>
    <w:rsid w:val="00FB2D13"/>
    <w:rsid w:val="00FB551F"/>
    <w:rsid w:val="00FC32EE"/>
    <w:rsid w:val="00FC3487"/>
    <w:rsid w:val="00FC5219"/>
    <w:rsid w:val="00FC5CDD"/>
    <w:rsid w:val="00FD00B1"/>
    <w:rsid w:val="00FD7BFD"/>
    <w:rsid w:val="00FE6ADA"/>
    <w:rsid w:val="00FF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BA"/>
    <w:pPr>
      <w:widowControl w:val="0"/>
    </w:pPr>
    <w:rPr>
      <w:snapToGrid w:val="0"/>
      <w:kern w:val="28"/>
      <w:sz w:val="22"/>
    </w:rPr>
  </w:style>
  <w:style w:type="paragraph" w:styleId="Heading1">
    <w:name w:val="heading 1"/>
    <w:basedOn w:val="Normal"/>
    <w:next w:val="ParaNum"/>
    <w:link w:val="Heading1Char"/>
    <w:qFormat/>
    <w:rsid w:val="002B3FB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B3FBA"/>
    <w:pPr>
      <w:keepNext/>
      <w:numPr>
        <w:ilvl w:val="1"/>
        <w:numId w:val="2"/>
      </w:numPr>
      <w:spacing w:after="120"/>
      <w:outlineLvl w:val="1"/>
    </w:pPr>
    <w:rPr>
      <w:b/>
    </w:rPr>
  </w:style>
  <w:style w:type="paragraph" w:styleId="Heading3">
    <w:name w:val="heading 3"/>
    <w:basedOn w:val="Normal"/>
    <w:next w:val="ParaNum"/>
    <w:link w:val="Heading3Char"/>
    <w:qFormat/>
    <w:rsid w:val="002B3FB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B3FB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B3FB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B3FB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B3FB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B3FB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B3FB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3F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FBA"/>
  </w:style>
  <w:style w:type="paragraph" w:customStyle="1" w:styleId="ParaNum">
    <w:name w:val="ParaNum"/>
    <w:basedOn w:val="Normal"/>
    <w:rsid w:val="002B3FBA"/>
    <w:pPr>
      <w:numPr>
        <w:numId w:val="1"/>
      </w:numPr>
      <w:tabs>
        <w:tab w:val="clear" w:pos="1080"/>
        <w:tab w:val="num" w:pos="1440"/>
      </w:tabs>
      <w:spacing w:after="120"/>
    </w:pPr>
  </w:style>
  <w:style w:type="paragraph" w:styleId="EndnoteText">
    <w:name w:val="endnote text"/>
    <w:basedOn w:val="Normal"/>
    <w:link w:val="EndnoteTextChar"/>
    <w:rsid w:val="002B3FBA"/>
    <w:rPr>
      <w:sz w:val="20"/>
    </w:rPr>
  </w:style>
  <w:style w:type="character" w:styleId="EndnoteReference">
    <w:name w:val="endnote reference"/>
    <w:rsid w:val="002B3FBA"/>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B3FBA"/>
    <w:pPr>
      <w:spacing w:after="120"/>
    </w:pPr>
  </w:style>
  <w:style w:type="character" w:styleId="FootnoteReference">
    <w:name w:val="footnote reference"/>
    <w:aliases w:val="Style 12,(NECG) Footnote Reference,o,fr,Appel note de bas de p,Style 17,FR,Style 124,Style 13,Style 6,Footnote Reference/,Style 3,Style 7"/>
    <w:rsid w:val="002B3FBA"/>
    <w:rPr>
      <w:rFonts w:ascii="Times New Roman" w:hAnsi="Times New Roman"/>
      <w:dstrike w:val="0"/>
      <w:color w:val="auto"/>
      <w:sz w:val="20"/>
      <w:vertAlign w:val="superscript"/>
    </w:rPr>
  </w:style>
  <w:style w:type="paragraph" w:styleId="TOC1">
    <w:name w:val="toc 1"/>
    <w:basedOn w:val="Normal"/>
    <w:next w:val="Normal"/>
    <w:rsid w:val="002B3FBA"/>
    <w:pPr>
      <w:tabs>
        <w:tab w:val="left" w:pos="360"/>
        <w:tab w:val="right" w:leader="dot" w:pos="9360"/>
      </w:tabs>
      <w:suppressAutoHyphens/>
      <w:ind w:left="360" w:right="720" w:hanging="360"/>
    </w:pPr>
    <w:rPr>
      <w:caps/>
      <w:noProof/>
    </w:rPr>
  </w:style>
  <w:style w:type="paragraph" w:styleId="TOC2">
    <w:name w:val="toc 2"/>
    <w:basedOn w:val="Normal"/>
    <w:next w:val="Normal"/>
    <w:rsid w:val="002B3FBA"/>
    <w:pPr>
      <w:tabs>
        <w:tab w:val="left" w:pos="720"/>
        <w:tab w:val="right" w:leader="dot" w:pos="9360"/>
      </w:tabs>
      <w:suppressAutoHyphens/>
      <w:ind w:left="720" w:right="720" w:hanging="360"/>
    </w:pPr>
    <w:rPr>
      <w:noProof/>
    </w:rPr>
  </w:style>
  <w:style w:type="paragraph" w:styleId="TOC3">
    <w:name w:val="toc 3"/>
    <w:basedOn w:val="Normal"/>
    <w:next w:val="Normal"/>
    <w:rsid w:val="002B3FB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B3FB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B3FB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B3FBA"/>
    <w:pPr>
      <w:tabs>
        <w:tab w:val="left" w:pos="2160"/>
        <w:tab w:val="right" w:leader="dot" w:pos="9360"/>
      </w:tabs>
      <w:suppressAutoHyphens/>
      <w:ind w:left="2160" w:hanging="360"/>
    </w:pPr>
    <w:rPr>
      <w:noProof/>
    </w:rPr>
  </w:style>
  <w:style w:type="paragraph" w:styleId="TOC7">
    <w:name w:val="toc 7"/>
    <w:basedOn w:val="Normal"/>
    <w:next w:val="Normal"/>
    <w:autoRedefine/>
    <w:rsid w:val="002B3FBA"/>
    <w:pPr>
      <w:tabs>
        <w:tab w:val="left" w:pos="2520"/>
        <w:tab w:val="right" w:leader="dot" w:pos="9360"/>
      </w:tabs>
      <w:suppressAutoHyphens/>
      <w:ind w:left="2520" w:hanging="360"/>
    </w:pPr>
    <w:rPr>
      <w:noProof/>
    </w:rPr>
  </w:style>
  <w:style w:type="paragraph" w:styleId="TOC8">
    <w:name w:val="toc 8"/>
    <w:basedOn w:val="Normal"/>
    <w:next w:val="Normal"/>
    <w:autoRedefine/>
    <w:rsid w:val="002B3FBA"/>
    <w:pPr>
      <w:tabs>
        <w:tab w:val="left" w:pos="2880"/>
        <w:tab w:val="right" w:leader="dot" w:pos="9360"/>
      </w:tabs>
      <w:suppressAutoHyphens/>
      <w:ind w:left="2880" w:hanging="360"/>
    </w:pPr>
    <w:rPr>
      <w:noProof/>
    </w:rPr>
  </w:style>
  <w:style w:type="paragraph" w:styleId="TOC9">
    <w:name w:val="toc 9"/>
    <w:basedOn w:val="Normal"/>
    <w:next w:val="Normal"/>
    <w:autoRedefine/>
    <w:rsid w:val="002B3FBA"/>
    <w:pPr>
      <w:tabs>
        <w:tab w:val="left" w:pos="3240"/>
        <w:tab w:val="right" w:leader="dot" w:pos="9360"/>
      </w:tabs>
      <w:suppressAutoHyphens/>
      <w:ind w:left="3240" w:hanging="360"/>
    </w:pPr>
    <w:rPr>
      <w:noProof/>
    </w:rPr>
  </w:style>
  <w:style w:type="paragraph" w:styleId="TOAHeading">
    <w:name w:val="toa heading"/>
    <w:basedOn w:val="Normal"/>
    <w:next w:val="Normal"/>
    <w:rsid w:val="002B3FBA"/>
    <w:pPr>
      <w:tabs>
        <w:tab w:val="right" w:pos="9360"/>
      </w:tabs>
      <w:suppressAutoHyphens/>
    </w:pPr>
  </w:style>
  <w:style w:type="character" w:customStyle="1" w:styleId="EquationCaption">
    <w:name w:val="_Equation Caption"/>
    <w:rsid w:val="002B3FBA"/>
  </w:style>
  <w:style w:type="paragraph" w:styleId="Header">
    <w:name w:val="header"/>
    <w:basedOn w:val="Normal"/>
    <w:link w:val="HeaderChar"/>
    <w:autoRedefine/>
    <w:rsid w:val="002B3FBA"/>
    <w:pPr>
      <w:tabs>
        <w:tab w:val="center" w:pos="4680"/>
        <w:tab w:val="right" w:pos="9360"/>
      </w:tabs>
    </w:pPr>
    <w:rPr>
      <w:b/>
    </w:rPr>
  </w:style>
  <w:style w:type="paragraph" w:styleId="Footer">
    <w:name w:val="footer"/>
    <w:basedOn w:val="Normal"/>
    <w:link w:val="FooterChar"/>
    <w:rsid w:val="002B3FBA"/>
    <w:pPr>
      <w:tabs>
        <w:tab w:val="center" w:pos="4320"/>
        <w:tab w:val="right" w:pos="8640"/>
      </w:tabs>
    </w:pPr>
  </w:style>
  <w:style w:type="character" w:styleId="PageNumber">
    <w:name w:val="page number"/>
    <w:basedOn w:val="DefaultParagraphFont"/>
    <w:rsid w:val="002B3FBA"/>
  </w:style>
  <w:style w:type="paragraph" w:styleId="BlockText">
    <w:name w:val="Block Text"/>
    <w:basedOn w:val="Normal"/>
    <w:rsid w:val="002B3FBA"/>
    <w:pPr>
      <w:spacing w:after="240"/>
      <w:ind w:left="1440" w:right="1440"/>
    </w:pPr>
  </w:style>
  <w:style w:type="paragraph" w:customStyle="1" w:styleId="Paratitle">
    <w:name w:val="Para title"/>
    <w:basedOn w:val="Normal"/>
    <w:rsid w:val="002B3FBA"/>
    <w:pPr>
      <w:tabs>
        <w:tab w:val="center" w:pos="9270"/>
      </w:tabs>
      <w:spacing w:after="240"/>
    </w:pPr>
    <w:rPr>
      <w:spacing w:val="-2"/>
    </w:rPr>
  </w:style>
  <w:style w:type="paragraph" w:customStyle="1" w:styleId="Bullet">
    <w:name w:val="Bullet"/>
    <w:basedOn w:val="Normal"/>
    <w:rsid w:val="002B3FBA"/>
    <w:pPr>
      <w:tabs>
        <w:tab w:val="left" w:pos="2160"/>
      </w:tabs>
      <w:spacing w:after="220"/>
      <w:ind w:left="2160" w:hanging="720"/>
    </w:pPr>
  </w:style>
  <w:style w:type="paragraph" w:customStyle="1" w:styleId="TableFormat">
    <w:name w:val="TableFormat"/>
    <w:basedOn w:val="Bullet"/>
    <w:rsid w:val="002B3FBA"/>
    <w:pPr>
      <w:tabs>
        <w:tab w:val="clear" w:pos="2160"/>
        <w:tab w:val="left" w:pos="5040"/>
      </w:tabs>
      <w:ind w:left="5040" w:hanging="3600"/>
    </w:pPr>
  </w:style>
  <w:style w:type="paragraph" w:customStyle="1" w:styleId="TOCTitle">
    <w:name w:val="TOC Title"/>
    <w:basedOn w:val="Normal"/>
    <w:rsid w:val="002B3F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3FBA"/>
    <w:pPr>
      <w:jc w:val="center"/>
    </w:pPr>
    <w:rPr>
      <w:rFonts w:ascii="Times New Roman Bold" w:hAnsi="Times New Roman Bold"/>
      <w:b/>
      <w:bCs/>
      <w:caps/>
      <w:szCs w:val="22"/>
    </w:rPr>
  </w:style>
  <w:style w:type="character" w:styleId="Hyperlink">
    <w:name w:val="Hyperlink"/>
    <w:rsid w:val="002B3FBA"/>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BA"/>
    <w:pPr>
      <w:widowControl w:val="0"/>
    </w:pPr>
    <w:rPr>
      <w:snapToGrid w:val="0"/>
      <w:kern w:val="28"/>
      <w:sz w:val="22"/>
    </w:rPr>
  </w:style>
  <w:style w:type="paragraph" w:styleId="Heading1">
    <w:name w:val="heading 1"/>
    <w:basedOn w:val="Normal"/>
    <w:next w:val="ParaNum"/>
    <w:link w:val="Heading1Char"/>
    <w:qFormat/>
    <w:rsid w:val="002B3FB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B3FBA"/>
    <w:pPr>
      <w:keepNext/>
      <w:numPr>
        <w:ilvl w:val="1"/>
        <w:numId w:val="2"/>
      </w:numPr>
      <w:spacing w:after="120"/>
      <w:outlineLvl w:val="1"/>
    </w:pPr>
    <w:rPr>
      <w:b/>
    </w:rPr>
  </w:style>
  <w:style w:type="paragraph" w:styleId="Heading3">
    <w:name w:val="heading 3"/>
    <w:basedOn w:val="Normal"/>
    <w:next w:val="ParaNum"/>
    <w:link w:val="Heading3Char"/>
    <w:qFormat/>
    <w:rsid w:val="002B3FBA"/>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B3FBA"/>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B3FBA"/>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B3FBA"/>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B3FBA"/>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B3FB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B3FB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B3F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FBA"/>
  </w:style>
  <w:style w:type="paragraph" w:customStyle="1" w:styleId="ParaNum">
    <w:name w:val="ParaNum"/>
    <w:basedOn w:val="Normal"/>
    <w:rsid w:val="002B3FBA"/>
    <w:pPr>
      <w:numPr>
        <w:numId w:val="1"/>
      </w:numPr>
      <w:tabs>
        <w:tab w:val="clear" w:pos="1080"/>
        <w:tab w:val="num" w:pos="1440"/>
      </w:tabs>
      <w:spacing w:after="120"/>
    </w:pPr>
  </w:style>
  <w:style w:type="paragraph" w:styleId="EndnoteText">
    <w:name w:val="endnote text"/>
    <w:basedOn w:val="Normal"/>
    <w:link w:val="EndnoteTextChar"/>
    <w:rsid w:val="002B3FBA"/>
    <w:rPr>
      <w:sz w:val="20"/>
    </w:rPr>
  </w:style>
  <w:style w:type="character" w:styleId="EndnoteReference">
    <w:name w:val="endnote reference"/>
    <w:rsid w:val="002B3FBA"/>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2B3FBA"/>
    <w:pPr>
      <w:spacing w:after="120"/>
    </w:pPr>
  </w:style>
  <w:style w:type="character" w:styleId="FootnoteReference">
    <w:name w:val="footnote reference"/>
    <w:aliases w:val="Style 12,(NECG) Footnote Reference,o,fr,Appel note de bas de p,Style 17,FR,Style 124,Style 13,Style 6,Footnote Reference/,Style 3,Style 7"/>
    <w:rsid w:val="002B3FBA"/>
    <w:rPr>
      <w:rFonts w:ascii="Times New Roman" w:hAnsi="Times New Roman"/>
      <w:dstrike w:val="0"/>
      <w:color w:val="auto"/>
      <w:sz w:val="20"/>
      <w:vertAlign w:val="superscript"/>
    </w:rPr>
  </w:style>
  <w:style w:type="paragraph" w:styleId="TOC1">
    <w:name w:val="toc 1"/>
    <w:basedOn w:val="Normal"/>
    <w:next w:val="Normal"/>
    <w:rsid w:val="002B3FBA"/>
    <w:pPr>
      <w:tabs>
        <w:tab w:val="left" w:pos="360"/>
        <w:tab w:val="right" w:leader="dot" w:pos="9360"/>
      </w:tabs>
      <w:suppressAutoHyphens/>
      <w:ind w:left="360" w:right="720" w:hanging="360"/>
    </w:pPr>
    <w:rPr>
      <w:caps/>
      <w:noProof/>
    </w:rPr>
  </w:style>
  <w:style w:type="paragraph" w:styleId="TOC2">
    <w:name w:val="toc 2"/>
    <w:basedOn w:val="Normal"/>
    <w:next w:val="Normal"/>
    <w:rsid w:val="002B3FBA"/>
    <w:pPr>
      <w:tabs>
        <w:tab w:val="left" w:pos="720"/>
        <w:tab w:val="right" w:leader="dot" w:pos="9360"/>
      </w:tabs>
      <w:suppressAutoHyphens/>
      <w:ind w:left="720" w:right="720" w:hanging="360"/>
    </w:pPr>
    <w:rPr>
      <w:noProof/>
    </w:rPr>
  </w:style>
  <w:style w:type="paragraph" w:styleId="TOC3">
    <w:name w:val="toc 3"/>
    <w:basedOn w:val="Normal"/>
    <w:next w:val="Normal"/>
    <w:rsid w:val="002B3FBA"/>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B3FBA"/>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B3FBA"/>
    <w:pPr>
      <w:tabs>
        <w:tab w:val="left" w:pos="1800"/>
        <w:tab w:val="right" w:leader="dot" w:pos="9360"/>
      </w:tabs>
      <w:suppressAutoHyphens/>
      <w:ind w:left="1800" w:right="720" w:hanging="360"/>
    </w:pPr>
    <w:rPr>
      <w:noProof/>
    </w:rPr>
  </w:style>
  <w:style w:type="paragraph" w:styleId="TOC6">
    <w:name w:val="toc 6"/>
    <w:basedOn w:val="Normal"/>
    <w:next w:val="Normal"/>
    <w:autoRedefine/>
    <w:rsid w:val="002B3FBA"/>
    <w:pPr>
      <w:tabs>
        <w:tab w:val="left" w:pos="2160"/>
        <w:tab w:val="right" w:leader="dot" w:pos="9360"/>
      </w:tabs>
      <w:suppressAutoHyphens/>
      <w:ind w:left="2160" w:hanging="360"/>
    </w:pPr>
    <w:rPr>
      <w:noProof/>
    </w:rPr>
  </w:style>
  <w:style w:type="paragraph" w:styleId="TOC7">
    <w:name w:val="toc 7"/>
    <w:basedOn w:val="Normal"/>
    <w:next w:val="Normal"/>
    <w:autoRedefine/>
    <w:rsid w:val="002B3FBA"/>
    <w:pPr>
      <w:tabs>
        <w:tab w:val="left" w:pos="2520"/>
        <w:tab w:val="right" w:leader="dot" w:pos="9360"/>
      </w:tabs>
      <w:suppressAutoHyphens/>
      <w:ind w:left="2520" w:hanging="360"/>
    </w:pPr>
    <w:rPr>
      <w:noProof/>
    </w:rPr>
  </w:style>
  <w:style w:type="paragraph" w:styleId="TOC8">
    <w:name w:val="toc 8"/>
    <w:basedOn w:val="Normal"/>
    <w:next w:val="Normal"/>
    <w:autoRedefine/>
    <w:rsid w:val="002B3FBA"/>
    <w:pPr>
      <w:tabs>
        <w:tab w:val="left" w:pos="2880"/>
        <w:tab w:val="right" w:leader="dot" w:pos="9360"/>
      </w:tabs>
      <w:suppressAutoHyphens/>
      <w:ind w:left="2880" w:hanging="360"/>
    </w:pPr>
    <w:rPr>
      <w:noProof/>
    </w:rPr>
  </w:style>
  <w:style w:type="paragraph" w:styleId="TOC9">
    <w:name w:val="toc 9"/>
    <w:basedOn w:val="Normal"/>
    <w:next w:val="Normal"/>
    <w:autoRedefine/>
    <w:rsid w:val="002B3FBA"/>
    <w:pPr>
      <w:tabs>
        <w:tab w:val="left" w:pos="3240"/>
        <w:tab w:val="right" w:leader="dot" w:pos="9360"/>
      </w:tabs>
      <w:suppressAutoHyphens/>
      <w:ind w:left="3240" w:hanging="360"/>
    </w:pPr>
    <w:rPr>
      <w:noProof/>
    </w:rPr>
  </w:style>
  <w:style w:type="paragraph" w:styleId="TOAHeading">
    <w:name w:val="toa heading"/>
    <w:basedOn w:val="Normal"/>
    <w:next w:val="Normal"/>
    <w:rsid w:val="002B3FBA"/>
    <w:pPr>
      <w:tabs>
        <w:tab w:val="right" w:pos="9360"/>
      </w:tabs>
      <w:suppressAutoHyphens/>
    </w:pPr>
  </w:style>
  <w:style w:type="character" w:customStyle="1" w:styleId="EquationCaption">
    <w:name w:val="_Equation Caption"/>
    <w:rsid w:val="002B3FBA"/>
  </w:style>
  <w:style w:type="paragraph" w:styleId="Header">
    <w:name w:val="header"/>
    <w:basedOn w:val="Normal"/>
    <w:link w:val="HeaderChar"/>
    <w:autoRedefine/>
    <w:rsid w:val="002B3FBA"/>
    <w:pPr>
      <w:tabs>
        <w:tab w:val="center" w:pos="4680"/>
        <w:tab w:val="right" w:pos="9360"/>
      </w:tabs>
    </w:pPr>
    <w:rPr>
      <w:b/>
    </w:rPr>
  </w:style>
  <w:style w:type="paragraph" w:styleId="Footer">
    <w:name w:val="footer"/>
    <w:basedOn w:val="Normal"/>
    <w:link w:val="FooterChar"/>
    <w:rsid w:val="002B3FBA"/>
    <w:pPr>
      <w:tabs>
        <w:tab w:val="center" w:pos="4320"/>
        <w:tab w:val="right" w:pos="8640"/>
      </w:tabs>
    </w:pPr>
  </w:style>
  <w:style w:type="character" w:styleId="PageNumber">
    <w:name w:val="page number"/>
    <w:basedOn w:val="DefaultParagraphFont"/>
    <w:rsid w:val="002B3FBA"/>
  </w:style>
  <w:style w:type="paragraph" w:styleId="BlockText">
    <w:name w:val="Block Text"/>
    <w:basedOn w:val="Normal"/>
    <w:rsid w:val="002B3FBA"/>
    <w:pPr>
      <w:spacing w:after="240"/>
      <w:ind w:left="1440" w:right="1440"/>
    </w:pPr>
  </w:style>
  <w:style w:type="paragraph" w:customStyle="1" w:styleId="Paratitle">
    <w:name w:val="Para title"/>
    <w:basedOn w:val="Normal"/>
    <w:rsid w:val="002B3FBA"/>
    <w:pPr>
      <w:tabs>
        <w:tab w:val="center" w:pos="9270"/>
      </w:tabs>
      <w:spacing w:after="240"/>
    </w:pPr>
    <w:rPr>
      <w:spacing w:val="-2"/>
    </w:rPr>
  </w:style>
  <w:style w:type="paragraph" w:customStyle="1" w:styleId="Bullet">
    <w:name w:val="Bullet"/>
    <w:basedOn w:val="Normal"/>
    <w:rsid w:val="002B3FBA"/>
    <w:pPr>
      <w:tabs>
        <w:tab w:val="left" w:pos="2160"/>
      </w:tabs>
      <w:spacing w:after="220"/>
      <w:ind w:left="2160" w:hanging="720"/>
    </w:pPr>
  </w:style>
  <w:style w:type="paragraph" w:customStyle="1" w:styleId="TableFormat">
    <w:name w:val="TableFormat"/>
    <w:basedOn w:val="Bullet"/>
    <w:rsid w:val="002B3FBA"/>
    <w:pPr>
      <w:tabs>
        <w:tab w:val="clear" w:pos="2160"/>
        <w:tab w:val="left" w:pos="5040"/>
      </w:tabs>
      <w:ind w:left="5040" w:hanging="3600"/>
    </w:pPr>
  </w:style>
  <w:style w:type="paragraph" w:customStyle="1" w:styleId="TOCTitle">
    <w:name w:val="TOC Title"/>
    <w:basedOn w:val="Normal"/>
    <w:rsid w:val="002B3F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B3FBA"/>
    <w:pPr>
      <w:jc w:val="center"/>
    </w:pPr>
    <w:rPr>
      <w:rFonts w:ascii="Times New Roman Bold" w:hAnsi="Times New Roman Bold"/>
      <w:b/>
      <w:bCs/>
      <w:caps/>
      <w:szCs w:val="22"/>
    </w:rPr>
  </w:style>
  <w:style w:type="character" w:styleId="Hyperlink">
    <w:name w:val="Hyperlink"/>
    <w:rsid w:val="002B3FBA"/>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3A3313"/>
  </w:style>
  <w:style w:type="paragraph" w:customStyle="1" w:styleId="ParaNumChar">
    <w:name w:val="ParaNum Char"/>
    <w:basedOn w:val="Normal"/>
    <w:link w:val="ParaNumCharChar"/>
    <w:rsid w:val="00D53DE3"/>
    <w:pPr>
      <w:numPr>
        <w:numId w:val="3"/>
      </w:numPr>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3A3313"/>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3A3313"/>
    <w:rPr>
      <w:rFonts w:ascii="Calibri" w:hAnsi="Calibri"/>
      <w:kern w:val="28"/>
      <w:sz w:val="22"/>
    </w:rPr>
  </w:style>
  <w:style w:type="character" w:customStyle="1" w:styleId="documentbody">
    <w:name w:val="documentbody"/>
    <w:rsid w:val="003A3313"/>
  </w:style>
  <w:style w:type="character" w:customStyle="1" w:styleId="searchterm">
    <w:name w:val="searchterm"/>
    <w:rsid w:val="003A3313"/>
  </w:style>
  <w:style w:type="character" w:customStyle="1" w:styleId="FooterChar">
    <w:name w:val="Footer Char"/>
    <w:link w:val="Footer"/>
    <w:rsid w:val="003A3313"/>
    <w:rPr>
      <w:snapToGrid w:val="0"/>
      <w:kern w:val="28"/>
      <w:sz w:val="22"/>
    </w:rPr>
  </w:style>
  <w:style w:type="character" w:customStyle="1" w:styleId="HeaderChar">
    <w:name w:val="Header Char"/>
    <w:link w:val="Header"/>
    <w:rsid w:val="00D804B8"/>
    <w:rPr>
      <w:b/>
      <w:snapToGrid w:val="0"/>
      <w:kern w:val="28"/>
      <w:sz w:val="22"/>
    </w:rPr>
  </w:style>
  <w:style w:type="paragraph" w:customStyle="1" w:styleId="StyleParaNum11ptAfter11pt">
    <w:name w:val="Style ParaNum + 11 pt After:  11 pt"/>
    <w:basedOn w:val="ParaNumChar"/>
    <w:rsid w:val="00D53DE3"/>
    <w:pPr>
      <w:spacing w:after="220"/>
      <w:jc w:val="both"/>
    </w:pPr>
    <w:rPr>
      <w:snapToGrid/>
    </w:rPr>
  </w:style>
  <w:style w:type="character" w:customStyle="1" w:styleId="ParaNumCharChar">
    <w:name w:val="ParaNum Char Char"/>
    <w:link w:val="ParaNumChar"/>
    <w:rsid w:val="00D53DE3"/>
    <w:rPr>
      <w:snapToGrid w:val="0"/>
      <w:kern w:val="28"/>
      <w:sz w:val="22"/>
    </w:rPr>
  </w:style>
  <w:style w:type="paragraph" w:styleId="BalloonText">
    <w:name w:val="Balloon Text"/>
    <w:basedOn w:val="Normal"/>
    <w:link w:val="BalloonTextChar"/>
    <w:semiHidden/>
    <w:rsid w:val="00D53DE3"/>
    <w:rPr>
      <w:rFonts w:ascii="Tahoma" w:hAnsi="Tahoma" w:cs="Tahoma"/>
      <w:sz w:val="16"/>
      <w:szCs w:val="16"/>
    </w:rPr>
  </w:style>
  <w:style w:type="character" w:customStyle="1" w:styleId="BalloonTextChar">
    <w:name w:val="Balloon Text Char"/>
    <w:basedOn w:val="DefaultParagraphFont"/>
    <w:link w:val="BalloonText"/>
    <w:semiHidden/>
    <w:rsid w:val="00D53DE3"/>
    <w:rPr>
      <w:rFonts w:ascii="Tahoma" w:hAnsi="Tahoma" w:cs="Tahoma"/>
      <w:snapToGrid w:val="0"/>
      <w:kern w:val="28"/>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rsid w:val="00D53DE3"/>
  </w:style>
  <w:style w:type="paragraph" w:customStyle="1" w:styleId="paranum0">
    <w:name w:val="paranum"/>
    <w:basedOn w:val="Normal"/>
    <w:rsid w:val="00D53DE3"/>
    <w:pPr>
      <w:spacing w:before="100" w:beforeAutospacing="1" w:after="100" w:afterAutospacing="1"/>
    </w:pPr>
    <w:rPr>
      <w:rFonts w:ascii="Helvetica" w:hAnsi="Helvetica"/>
      <w:color w:val="FFFFCC"/>
      <w:sz w:val="20"/>
    </w:rPr>
  </w:style>
  <w:style w:type="paragraph" w:customStyle="1" w:styleId="timesnewroman">
    <w:name w:val="times new roman"/>
    <w:basedOn w:val="Normal"/>
    <w:rsid w:val="00D53DE3"/>
    <w:pPr>
      <w:autoSpaceDE w:val="0"/>
      <w:autoSpaceDN w:val="0"/>
      <w:adjustRightInd w:val="0"/>
    </w:pPr>
    <w:rPr>
      <w:rFonts w:ascii="Arial" w:hAnsi="Arial" w:cs="Arial"/>
      <w:szCs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sid w:val="00D53DE3"/>
    <w:rPr>
      <w:lang w:val="en-US" w:eastAsia="en-US" w:bidi="ar-SA"/>
    </w:rPr>
  </w:style>
  <w:style w:type="character" w:styleId="CommentReference">
    <w:name w:val="annotation reference"/>
    <w:semiHidden/>
    <w:rsid w:val="00D53DE3"/>
    <w:rPr>
      <w:sz w:val="16"/>
      <w:szCs w:val="16"/>
    </w:rPr>
  </w:style>
  <w:style w:type="paragraph" w:styleId="CommentText">
    <w:name w:val="annotation text"/>
    <w:basedOn w:val="Normal"/>
    <w:link w:val="CommentTextChar"/>
    <w:semiHidden/>
    <w:rsid w:val="00D53DE3"/>
    <w:rPr>
      <w:sz w:val="20"/>
    </w:rPr>
  </w:style>
  <w:style w:type="character" w:customStyle="1" w:styleId="CommentTextChar">
    <w:name w:val="Comment Text Char"/>
    <w:basedOn w:val="DefaultParagraphFont"/>
    <w:link w:val="CommentText"/>
    <w:semiHidden/>
    <w:rsid w:val="00D53DE3"/>
    <w:rPr>
      <w:snapToGrid w:val="0"/>
      <w:kern w:val="28"/>
    </w:rPr>
  </w:style>
  <w:style w:type="paragraph" w:styleId="CommentSubject">
    <w:name w:val="annotation subject"/>
    <w:basedOn w:val="CommentText"/>
    <w:next w:val="CommentText"/>
    <w:link w:val="CommentSubjectChar"/>
    <w:semiHidden/>
    <w:rsid w:val="00D53DE3"/>
    <w:rPr>
      <w:b/>
      <w:bCs/>
    </w:rPr>
  </w:style>
  <w:style w:type="character" w:customStyle="1" w:styleId="CommentSubjectChar">
    <w:name w:val="Comment Subject Char"/>
    <w:basedOn w:val="CommentTextChar"/>
    <w:link w:val="CommentSubject"/>
    <w:semiHidden/>
    <w:rsid w:val="00D53DE3"/>
    <w:rPr>
      <w:b/>
      <w:bCs/>
      <w:snapToGrid w:val="0"/>
      <w:kern w:val="28"/>
    </w:rPr>
  </w:style>
  <w:style w:type="paragraph" w:styleId="Revision">
    <w:name w:val="Revision"/>
    <w:hidden/>
    <w:uiPriority w:val="99"/>
    <w:semiHidden/>
    <w:rsid w:val="00D53DE3"/>
    <w:rPr>
      <w:sz w:val="22"/>
    </w:rPr>
  </w:style>
  <w:style w:type="character" w:customStyle="1" w:styleId="EmailStyle371">
    <w:name w:val="EmailStyle371"/>
    <w:semiHidden/>
    <w:rsid w:val="00D53DE3"/>
    <w:rPr>
      <w:rFonts w:ascii="Arial" w:hAnsi="Arial" w:cs="Arial"/>
      <w:color w:val="auto"/>
      <w:sz w:val="20"/>
      <w:szCs w:val="20"/>
    </w:rPr>
  </w:style>
  <w:style w:type="paragraph" w:customStyle="1" w:styleId="Paranum1">
    <w:name w:val="Paranum"/>
    <w:basedOn w:val="Normal"/>
    <w:rsid w:val="00D53DE3"/>
    <w:pPr>
      <w:tabs>
        <w:tab w:val="num" w:pos="1170"/>
      </w:tabs>
      <w:spacing w:after="220"/>
      <w:ind w:left="90" w:firstLine="720"/>
      <w:jc w:val="both"/>
    </w:pPr>
  </w:style>
  <w:style w:type="character" w:customStyle="1" w:styleId="Heading1Char">
    <w:name w:val="Heading 1 Char"/>
    <w:link w:val="Heading1"/>
    <w:rsid w:val="00D53DE3"/>
    <w:rPr>
      <w:rFonts w:ascii="Times New Roman Bold" w:hAnsi="Times New Roman Bold"/>
      <w:b/>
      <w:caps/>
      <w:snapToGrid w:val="0"/>
      <w:kern w:val="28"/>
      <w:sz w:val="22"/>
    </w:rPr>
  </w:style>
  <w:style w:type="character" w:customStyle="1" w:styleId="Heading2Char">
    <w:name w:val="Heading 2 Char"/>
    <w:link w:val="Heading2"/>
    <w:rsid w:val="00D53DE3"/>
    <w:rPr>
      <w:b/>
      <w:snapToGrid w:val="0"/>
      <w:kern w:val="28"/>
      <w:sz w:val="22"/>
    </w:rPr>
  </w:style>
  <w:style w:type="character" w:customStyle="1" w:styleId="Heading3Char">
    <w:name w:val="Heading 3 Char"/>
    <w:link w:val="Heading3"/>
    <w:rsid w:val="00D53DE3"/>
    <w:rPr>
      <w:b/>
      <w:snapToGrid w:val="0"/>
      <w:kern w:val="28"/>
      <w:sz w:val="22"/>
    </w:rPr>
  </w:style>
  <w:style w:type="character" w:customStyle="1" w:styleId="Heading4Char">
    <w:name w:val="Heading 4 Char"/>
    <w:link w:val="Heading4"/>
    <w:rsid w:val="00D53DE3"/>
    <w:rPr>
      <w:b/>
      <w:snapToGrid w:val="0"/>
      <w:kern w:val="28"/>
      <w:sz w:val="22"/>
    </w:rPr>
  </w:style>
  <w:style w:type="character" w:customStyle="1" w:styleId="Heading5Char">
    <w:name w:val="Heading 5 Char"/>
    <w:link w:val="Heading5"/>
    <w:rsid w:val="00D53DE3"/>
    <w:rPr>
      <w:b/>
      <w:snapToGrid w:val="0"/>
      <w:kern w:val="28"/>
      <w:sz w:val="22"/>
    </w:rPr>
  </w:style>
  <w:style w:type="character" w:customStyle="1" w:styleId="Heading6Char">
    <w:name w:val="Heading 6 Char"/>
    <w:link w:val="Heading6"/>
    <w:rsid w:val="00D53DE3"/>
    <w:rPr>
      <w:b/>
      <w:snapToGrid w:val="0"/>
      <w:kern w:val="28"/>
      <w:sz w:val="22"/>
    </w:rPr>
  </w:style>
  <w:style w:type="character" w:customStyle="1" w:styleId="Heading7Char">
    <w:name w:val="Heading 7 Char"/>
    <w:link w:val="Heading7"/>
    <w:rsid w:val="00D53DE3"/>
    <w:rPr>
      <w:b/>
      <w:snapToGrid w:val="0"/>
      <w:kern w:val="28"/>
      <w:sz w:val="22"/>
    </w:rPr>
  </w:style>
  <w:style w:type="character" w:customStyle="1" w:styleId="Heading8Char">
    <w:name w:val="Heading 8 Char"/>
    <w:link w:val="Heading8"/>
    <w:rsid w:val="00D53DE3"/>
    <w:rPr>
      <w:b/>
      <w:snapToGrid w:val="0"/>
      <w:kern w:val="28"/>
      <w:sz w:val="22"/>
    </w:rPr>
  </w:style>
  <w:style w:type="character" w:customStyle="1" w:styleId="Heading9Char">
    <w:name w:val="Heading 9 Char"/>
    <w:link w:val="Heading9"/>
    <w:rsid w:val="00D53DE3"/>
    <w:rPr>
      <w:b/>
      <w:snapToGrid w:val="0"/>
      <w:kern w:val="28"/>
      <w:sz w:val="22"/>
    </w:rPr>
  </w:style>
  <w:style w:type="character" w:customStyle="1" w:styleId="EndnoteTextChar">
    <w:name w:val="Endnote Text Char"/>
    <w:link w:val="EndnoteText"/>
    <w:rsid w:val="00D53DE3"/>
    <w:rPr>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5314</Words>
  <Characters>31386</Characters>
  <Application>Microsoft Office Word</Application>
  <DocSecurity>0</DocSecurity>
  <Lines>485</Lines>
  <Paragraphs>110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37010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2015-10-23T19:53:00Z</dcterms:created>
  <dcterms:modified xsi:type="dcterms:W3CDTF">2015-10-23T19:53:00Z</dcterms:modified>
  <cp:category> </cp:category>
  <cp:contentStatus> </cp:contentStatus>
</cp:coreProperties>
</file>