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D8DC" w14:textId="1B64C7EB" w:rsidR="00765DF5" w:rsidRDefault="00765DF5" w:rsidP="0028006D">
      <w:pPr>
        <w:widowControl/>
        <w:jc w:val="center"/>
        <w:rPr>
          <w:b/>
        </w:rPr>
      </w:pPr>
      <w:bookmarkStart w:id="0" w:name="_GoBack"/>
      <w:bookmarkEnd w:id="0"/>
      <w:r w:rsidRPr="0070224F">
        <w:rPr>
          <w:rFonts w:ascii="Times New Roman Bold" w:hAnsi="Times New Roman Bold"/>
          <w:b/>
        </w:rPr>
        <w:t>Before</w:t>
      </w:r>
      <w:r>
        <w:rPr>
          <w:b/>
        </w:rPr>
        <w:t xml:space="preserve"> the</w:t>
      </w:r>
    </w:p>
    <w:p w14:paraId="5A232E90" w14:textId="77777777" w:rsidR="00765DF5" w:rsidRDefault="00765DF5" w:rsidP="00765DF5">
      <w:pPr>
        <w:pStyle w:val="StyleBoldCentered"/>
      </w:pPr>
      <w:r>
        <w:t>F</w:t>
      </w:r>
      <w:r>
        <w:rPr>
          <w:caps w:val="0"/>
        </w:rPr>
        <w:t>ederal Communications Commission</w:t>
      </w:r>
    </w:p>
    <w:p w14:paraId="12BE1E76" w14:textId="77777777" w:rsidR="00765DF5" w:rsidRDefault="00765DF5" w:rsidP="00765DF5">
      <w:pPr>
        <w:pStyle w:val="StyleBoldCentered"/>
      </w:pPr>
      <w:r>
        <w:rPr>
          <w:caps w:val="0"/>
        </w:rPr>
        <w:t>Washington, D.C. 20554</w:t>
      </w:r>
    </w:p>
    <w:p w14:paraId="22A347AC" w14:textId="77777777" w:rsidR="004C2EE3" w:rsidRPr="00193A4F" w:rsidRDefault="004C2EE3" w:rsidP="008A7948"/>
    <w:tbl>
      <w:tblPr>
        <w:tblW w:w="0" w:type="auto"/>
        <w:tblLayout w:type="fixed"/>
        <w:tblLook w:val="0000" w:firstRow="0" w:lastRow="0" w:firstColumn="0" w:lastColumn="0" w:noHBand="0" w:noVBand="0"/>
      </w:tblPr>
      <w:tblGrid>
        <w:gridCol w:w="4698"/>
        <w:gridCol w:w="630"/>
        <w:gridCol w:w="4248"/>
      </w:tblGrid>
      <w:tr w:rsidR="00B9404A" w:rsidRPr="00193A4F" w14:paraId="789B1EF1" w14:textId="77777777">
        <w:tc>
          <w:tcPr>
            <w:tcW w:w="4698" w:type="dxa"/>
          </w:tcPr>
          <w:p w14:paraId="6D014ACD" w14:textId="77777777" w:rsidR="00B9404A" w:rsidRPr="00193A4F" w:rsidRDefault="00B9404A" w:rsidP="008A7948">
            <w:pPr>
              <w:tabs>
                <w:tab w:val="center" w:pos="4680"/>
              </w:tabs>
              <w:suppressAutoHyphens/>
              <w:rPr>
                <w:spacing w:val="-2"/>
              </w:rPr>
            </w:pPr>
            <w:r w:rsidRPr="00193A4F">
              <w:rPr>
                <w:spacing w:val="-2"/>
              </w:rPr>
              <w:t>In the Matter of</w:t>
            </w:r>
          </w:p>
          <w:p w14:paraId="659F98F3" w14:textId="77777777" w:rsidR="00B9404A" w:rsidRPr="00193A4F" w:rsidRDefault="00B9404A" w:rsidP="008A7948">
            <w:pPr>
              <w:tabs>
                <w:tab w:val="center" w:pos="4680"/>
              </w:tabs>
              <w:suppressAutoHyphens/>
              <w:rPr>
                <w:spacing w:val="-2"/>
              </w:rPr>
            </w:pPr>
          </w:p>
          <w:p w14:paraId="36BB937F" w14:textId="77777777" w:rsidR="00B9404A" w:rsidRDefault="00B9404A" w:rsidP="00B0271B">
            <w:pPr>
              <w:tabs>
                <w:tab w:val="center" w:pos="4680"/>
              </w:tabs>
              <w:suppressAutoHyphens/>
              <w:rPr>
                <w:spacing w:val="-2"/>
              </w:rPr>
            </w:pPr>
            <w:r>
              <w:rPr>
                <w:spacing w:val="-2"/>
              </w:rPr>
              <w:t xml:space="preserve">The Hinton Telephone Company </w:t>
            </w:r>
          </w:p>
          <w:p w14:paraId="55163438" w14:textId="77777777" w:rsidR="00B9404A" w:rsidRDefault="00B9404A">
            <w:pPr>
              <w:tabs>
                <w:tab w:val="center" w:pos="4680"/>
              </w:tabs>
              <w:suppressAutoHyphens/>
              <w:rPr>
                <w:spacing w:val="-2"/>
              </w:rPr>
            </w:pPr>
            <w:r>
              <w:rPr>
                <w:spacing w:val="-2"/>
              </w:rPr>
              <w:t xml:space="preserve">of Hinton, Oklahoma, Inc., </w:t>
            </w:r>
          </w:p>
          <w:p w14:paraId="4FDE3451" w14:textId="77777777" w:rsidR="00B9404A" w:rsidRDefault="00B9404A">
            <w:pPr>
              <w:tabs>
                <w:tab w:val="center" w:pos="4680"/>
              </w:tabs>
              <w:suppressAutoHyphens/>
              <w:rPr>
                <w:spacing w:val="-2"/>
              </w:rPr>
            </w:pPr>
            <w:r>
              <w:rPr>
                <w:spacing w:val="-2"/>
              </w:rPr>
              <w:t>d/b/a Hinton Telephone Company</w:t>
            </w:r>
          </w:p>
          <w:p w14:paraId="1A89D774" w14:textId="77777777" w:rsidR="00B9404A" w:rsidRPr="00193A4F" w:rsidRDefault="00B9404A" w:rsidP="008A7948">
            <w:pPr>
              <w:tabs>
                <w:tab w:val="center" w:pos="4680"/>
              </w:tabs>
              <w:suppressAutoHyphens/>
              <w:rPr>
                <w:spacing w:val="-2"/>
              </w:rPr>
            </w:pPr>
          </w:p>
        </w:tc>
        <w:tc>
          <w:tcPr>
            <w:tcW w:w="630" w:type="dxa"/>
          </w:tcPr>
          <w:p w14:paraId="351B3051" w14:textId="77777777" w:rsidR="00B9404A" w:rsidRPr="00193A4F" w:rsidRDefault="00B9404A" w:rsidP="008A7948">
            <w:pPr>
              <w:tabs>
                <w:tab w:val="center" w:pos="4680"/>
              </w:tabs>
              <w:suppressAutoHyphens/>
              <w:rPr>
                <w:b/>
                <w:spacing w:val="-2"/>
              </w:rPr>
            </w:pPr>
            <w:r w:rsidRPr="00193A4F">
              <w:rPr>
                <w:b/>
                <w:spacing w:val="-2"/>
              </w:rPr>
              <w:t>)</w:t>
            </w:r>
          </w:p>
          <w:p w14:paraId="6F196F96" w14:textId="77777777" w:rsidR="00B9404A" w:rsidRPr="002A6579" w:rsidRDefault="00B9404A" w:rsidP="008A7948">
            <w:pPr>
              <w:tabs>
                <w:tab w:val="center" w:pos="4680"/>
              </w:tabs>
              <w:suppressAutoHyphens/>
              <w:rPr>
                <w:b/>
                <w:spacing w:val="-2"/>
              </w:rPr>
            </w:pPr>
            <w:r w:rsidRPr="00193A4F">
              <w:rPr>
                <w:b/>
                <w:spacing w:val="-2"/>
              </w:rPr>
              <w:t>)</w:t>
            </w:r>
          </w:p>
          <w:p w14:paraId="3DDAB75E" w14:textId="77777777" w:rsidR="00B9404A" w:rsidRPr="002A6579" w:rsidRDefault="00B9404A" w:rsidP="008A7948">
            <w:pPr>
              <w:tabs>
                <w:tab w:val="center" w:pos="4680"/>
              </w:tabs>
              <w:suppressAutoHyphens/>
              <w:rPr>
                <w:b/>
                <w:spacing w:val="-2"/>
              </w:rPr>
            </w:pPr>
            <w:r w:rsidRPr="00193A4F">
              <w:rPr>
                <w:b/>
                <w:spacing w:val="-2"/>
              </w:rPr>
              <w:t>)</w:t>
            </w:r>
          </w:p>
          <w:p w14:paraId="0AB95DF4" w14:textId="77777777" w:rsidR="00B9404A" w:rsidRPr="002A6579" w:rsidRDefault="00B9404A" w:rsidP="008A7948">
            <w:pPr>
              <w:tabs>
                <w:tab w:val="center" w:pos="4680"/>
              </w:tabs>
              <w:suppressAutoHyphens/>
              <w:rPr>
                <w:b/>
                <w:spacing w:val="-2"/>
              </w:rPr>
            </w:pPr>
            <w:r w:rsidRPr="00193A4F">
              <w:rPr>
                <w:b/>
                <w:spacing w:val="-2"/>
              </w:rPr>
              <w:t>)</w:t>
            </w:r>
          </w:p>
          <w:p w14:paraId="04561417" w14:textId="77777777" w:rsidR="00B9404A" w:rsidRPr="002A6579" w:rsidRDefault="00B9404A" w:rsidP="008A7948">
            <w:pPr>
              <w:tabs>
                <w:tab w:val="center" w:pos="4680"/>
              </w:tabs>
              <w:suppressAutoHyphens/>
              <w:rPr>
                <w:spacing w:val="-2"/>
              </w:rPr>
            </w:pPr>
            <w:r w:rsidRPr="00193A4F">
              <w:rPr>
                <w:b/>
                <w:spacing w:val="-2"/>
              </w:rPr>
              <w:t>)</w:t>
            </w:r>
          </w:p>
        </w:tc>
        <w:tc>
          <w:tcPr>
            <w:tcW w:w="4248" w:type="dxa"/>
          </w:tcPr>
          <w:p w14:paraId="754D5D8A" w14:textId="77777777" w:rsidR="00B9404A" w:rsidRPr="0007571D" w:rsidRDefault="00B9404A" w:rsidP="00B0271B">
            <w:pPr>
              <w:suppressAutoHyphens/>
              <w:rPr>
                <w:spacing w:val="-2"/>
              </w:rPr>
            </w:pPr>
            <w:r w:rsidRPr="00344C0B">
              <w:rPr>
                <w:spacing w:val="-2"/>
              </w:rPr>
              <w:t xml:space="preserve">File No.:  </w:t>
            </w:r>
            <w:r w:rsidRPr="00495FE8">
              <w:t>EB-SED-14-</w:t>
            </w:r>
            <w:r>
              <w:rPr>
                <w:spacing w:val="-2"/>
              </w:rPr>
              <w:t>00016210</w:t>
            </w:r>
            <w:r w:rsidRPr="00495FE8">
              <w:rPr>
                <w:rStyle w:val="FootnoteReference"/>
                <w:spacing w:val="-2"/>
              </w:rPr>
              <w:footnoteReference w:id="2"/>
            </w:r>
          </w:p>
          <w:p w14:paraId="340A7743" w14:textId="77777777" w:rsidR="00B9404A" w:rsidRPr="00344C0B" w:rsidRDefault="00B9404A">
            <w:pPr>
              <w:suppressAutoHyphens/>
              <w:rPr>
                <w:spacing w:val="-2"/>
              </w:rPr>
            </w:pPr>
          </w:p>
          <w:p w14:paraId="108E1032" w14:textId="77777777" w:rsidR="00B9404A" w:rsidRPr="0007571D" w:rsidRDefault="00B9404A">
            <w:pPr>
              <w:suppressAutoHyphens/>
              <w:rPr>
                <w:spacing w:val="-2"/>
              </w:rPr>
            </w:pPr>
            <w:r w:rsidRPr="00344C0B">
              <w:rPr>
                <w:spacing w:val="-2"/>
              </w:rPr>
              <w:t xml:space="preserve">NAL/Acct. No.:  </w:t>
            </w:r>
            <w:r w:rsidRPr="00965FCB">
              <w:rPr>
                <w:spacing w:val="-2"/>
              </w:rPr>
              <w:t>201432100027</w:t>
            </w:r>
          </w:p>
          <w:p w14:paraId="35101340" w14:textId="77777777" w:rsidR="00B9404A" w:rsidRPr="00344C0B" w:rsidRDefault="00B9404A">
            <w:pPr>
              <w:suppressAutoHyphens/>
              <w:rPr>
                <w:spacing w:val="-2"/>
              </w:rPr>
            </w:pPr>
          </w:p>
          <w:p w14:paraId="44BF43DC" w14:textId="77777777" w:rsidR="00B9404A" w:rsidRPr="00193A4F" w:rsidRDefault="00B9404A" w:rsidP="008A7948">
            <w:pPr>
              <w:tabs>
                <w:tab w:val="center" w:pos="4680"/>
              </w:tabs>
              <w:suppressAutoHyphens/>
              <w:rPr>
                <w:spacing w:val="-2"/>
              </w:rPr>
            </w:pPr>
            <w:r w:rsidRPr="00344C0B">
              <w:rPr>
                <w:spacing w:val="-2"/>
              </w:rPr>
              <w:t xml:space="preserve">FRN:  </w:t>
            </w:r>
            <w:r w:rsidRPr="00B8280E">
              <w:rPr>
                <w:spacing w:val="-2"/>
              </w:rPr>
              <w:t>0004365334</w:t>
            </w:r>
          </w:p>
        </w:tc>
      </w:tr>
    </w:tbl>
    <w:p w14:paraId="71FF0373" w14:textId="77777777" w:rsidR="00841AB1" w:rsidRPr="00193A4F" w:rsidRDefault="00F9736C" w:rsidP="008A7948">
      <w:pPr>
        <w:pStyle w:val="StyleBoldCentered"/>
        <w:rPr>
          <w:rFonts w:ascii="Times New Roman" w:hAnsi="Times New Roman"/>
        </w:rPr>
      </w:pPr>
      <w:r w:rsidRPr="00193A4F">
        <w:rPr>
          <w:rFonts w:ascii="Times New Roman" w:hAnsi="Times New Roman"/>
        </w:rPr>
        <w:t>MEMORANDUM OPINION AND ORDER</w:t>
      </w:r>
    </w:p>
    <w:p w14:paraId="5F345560" w14:textId="77777777" w:rsidR="004C2EE3" w:rsidRPr="00193A4F" w:rsidRDefault="004C2EE3" w:rsidP="008A7948">
      <w:pPr>
        <w:tabs>
          <w:tab w:val="left" w:pos="-720"/>
        </w:tabs>
        <w:suppressAutoHyphens/>
        <w:spacing w:line="227" w:lineRule="auto"/>
        <w:rPr>
          <w:spacing w:val="-2"/>
        </w:rPr>
      </w:pPr>
    </w:p>
    <w:p w14:paraId="75BC34CA" w14:textId="678CFBC8" w:rsidR="004C2EE3" w:rsidRPr="00193A4F" w:rsidRDefault="004C2EE3" w:rsidP="008A7948">
      <w:pPr>
        <w:tabs>
          <w:tab w:val="left" w:pos="720"/>
          <w:tab w:val="right" w:pos="9360"/>
        </w:tabs>
        <w:suppressAutoHyphens/>
        <w:spacing w:line="227" w:lineRule="auto"/>
        <w:rPr>
          <w:spacing w:val="-2"/>
        </w:rPr>
      </w:pPr>
      <w:r w:rsidRPr="00193A4F">
        <w:rPr>
          <w:b/>
          <w:spacing w:val="-2"/>
        </w:rPr>
        <w:t xml:space="preserve">Adopted:  </w:t>
      </w:r>
      <w:r w:rsidR="003764E6">
        <w:rPr>
          <w:b/>
        </w:rPr>
        <w:t>October 27, 2015</w:t>
      </w:r>
      <w:r w:rsidRPr="00193A4F">
        <w:rPr>
          <w:b/>
          <w:spacing w:val="-2"/>
        </w:rPr>
        <w:tab/>
      </w:r>
      <w:r w:rsidR="00822CE0" w:rsidRPr="00193A4F">
        <w:rPr>
          <w:b/>
          <w:spacing w:val="-2"/>
        </w:rPr>
        <w:t>Released</w:t>
      </w:r>
      <w:r w:rsidRPr="00193A4F">
        <w:rPr>
          <w:b/>
          <w:spacing w:val="-2"/>
        </w:rPr>
        <w:t>:</w:t>
      </w:r>
      <w:r w:rsidR="00822CE0" w:rsidRPr="00193A4F">
        <w:rPr>
          <w:b/>
          <w:spacing w:val="-2"/>
        </w:rPr>
        <w:t xml:space="preserve"> </w:t>
      </w:r>
      <w:r w:rsidRPr="00193A4F">
        <w:rPr>
          <w:b/>
          <w:spacing w:val="-2"/>
        </w:rPr>
        <w:t xml:space="preserve"> </w:t>
      </w:r>
      <w:r w:rsidR="003764E6">
        <w:rPr>
          <w:b/>
        </w:rPr>
        <w:t>October 27, 2015</w:t>
      </w:r>
    </w:p>
    <w:p w14:paraId="50421F52" w14:textId="77777777" w:rsidR="00822CE0" w:rsidRPr="00193A4F" w:rsidRDefault="00822CE0" w:rsidP="008A7948"/>
    <w:p w14:paraId="13B86309" w14:textId="77777777" w:rsidR="004C2EE3" w:rsidRPr="00193A4F" w:rsidRDefault="004C2EE3" w:rsidP="008A7948">
      <w:pPr>
        <w:rPr>
          <w:spacing w:val="-2"/>
        </w:rPr>
      </w:pPr>
      <w:r w:rsidRPr="00193A4F">
        <w:t xml:space="preserve">By </w:t>
      </w:r>
      <w:r w:rsidR="004E4A22" w:rsidRPr="00193A4F">
        <w:t>the</w:t>
      </w:r>
      <w:r w:rsidR="002A2D2E" w:rsidRPr="00193A4F">
        <w:t xml:space="preserve"> </w:t>
      </w:r>
      <w:r w:rsidR="00160A7F" w:rsidRPr="00193A4F">
        <w:t>Chief, Enforcement Bureau</w:t>
      </w:r>
      <w:r w:rsidRPr="00193A4F">
        <w:rPr>
          <w:spacing w:val="-2"/>
        </w:rPr>
        <w:t>:</w:t>
      </w:r>
    </w:p>
    <w:p w14:paraId="23BC065F" w14:textId="77777777" w:rsidR="00350348" w:rsidRPr="00193A4F" w:rsidRDefault="00350348" w:rsidP="008A7948">
      <w:pPr>
        <w:rPr>
          <w:spacing w:val="-2"/>
          <w:vertAlign w:val="subscript"/>
        </w:rPr>
      </w:pPr>
    </w:p>
    <w:p w14:paraId="7F4D2387" w14:textId="77777777" w:rsidR="00551776" w:rsidRPr="00337171" w:rsidRDefault="00551776" w:rsidP="00337171">
      <w:pPr>
        <w:pStyle w:val="Heading1"/>
      </w:pPr>
      <w:r w:rsidRPr="00337171">
        <w:t>introduction</w:t>
      </w:r>
    </w:p>
    <w:p w14:paraId="4D58FB03" w14:textId="363E9CA4" w:rsidR="00893D15" w:rsidRDefault="00FD0D34" w:rsidP="008A7948">
      <w:pPr>
        <w:pStyle w:val="ParaNum"/>
      </w:pPr>
      <w:r w:rsidRPr="00B63185">
        <w:t xml:space="preserve">We deny the </w:t>
      </w:r>
      <w:r w:rsidR="0083291F" w:rsidRPr="00B63185">
        <w:t xml:space="preserve">Petition for Reconsideration </w:t>
      </w:r>
      <w:r w:rsidR="00893D15">
        <w:t xml:space="preserve">(Petition) </w:t>
      </w:r>
      <w:r w:rsidR="0083291F" w:rsidRPr="00B63185">
        <w:t xml:space="preserve">filed by </w:t>
      </w:r>
      <w:r w:rsidR="00D573FC" w:rsidRPr="00B63185">
        <w:t xml:space="preserve">The </w:t>
      </w:r>
      <w:r w:rsidR="00356102" w:rsidRPr="00B63185">
        <w:t xml:space="preserve">Hinton Telephone </w:t>
      </w:r>
      <w:r w:rsidR="000D0042" w:rsidRPr="00B63185">
        <w:t xml:space="preserve">Company of Hinton, </w:t>
      </w:r>
      <w:r w:rsidR="00356102" w:rsidRPr="00B63185">
        <w:t>Oklahoma, Inc.</w:t>
      </w:r>
      <w:r w:rsidR="000D0042" w:rsidRPr="00B63185">
        <w:t xml:space="preserve"> </w:t>
      </w:r>
      <w:r w:rsidR="00356102" w:rsidRPr="00B63185">
        <w:t>(Hinton)</w:t>
      </w:r>
      <w:r w:rsidR="0083291F" w:rsidRPr="00B63185">
        <w:t xml:space="preserve"> seeking reconsideration of </w:t>
      </w:r>
      <w:r w:rsidR="00B9404A" w:rsidRPr="00B63185">
        <w:t xml:space="preserve">the </w:t>
      </w:r>
      <w:r w:rsidR="00B9404A" w:rsidRPr="00B63185">
        <w:rPr>
          <w:i/>
        </w:rPr>
        <w:t>Forfeiture Order</w:t>
      </w:r>
      <w:r w:rsidRPr="00B63185">
        <w:t xml:space="preserve"> issued by the Enforcement Bureau</w:t>
      </w:r>
      <w:r w:rsidR="00B3506D">
        <w:t xml:space="preserve"> (Bureau)</w:t>
      </w:r>
      <w:r w:rsidR="0083291F" w:rsidRPr="00B63185">
        <w:t xml:space="preserve">.  In the </w:t>
      </w:r>
      <w:r w:rsidR="00B9404A" w:rsidRPr="00B63185">
        <w:rPr>
          <w:i/>
        </w:rPr>
        <w:t>Forfeiture Order</w:t>
      </w:r>
      <w:r w:rsidR="00000990" w:rsidRPr="00B63185">
        <w:t>,</w:t>
      </w:r>
      <w:r w:rsidR="00B3506D">
        <w:t xml:space="preserve"> the</w:t>
      </w:r>
      <w:r w:rsidRPr="00B63185">
        <w:t xml:space="preserve"> Bureau</w:t>
      </w:r>
      <w:r w:rsidR="0083291F" w:rsidRPr="00B63185">
        <w:t xml:space="preserve"> </w:t>
      </w:r>
      <w:r w:rsidRPr="00B63185">
        <w:t xml:space="preserve">imposed a forfeiture of </w:t>
      </w:r>
      <w:r w:rsidR="00B9404A" w:rsidRPr="00B63185">
        <w:t>$100,000</w:t>
      </w:r>
      <w:r w:rsidRPr="00B63185">
        <w:t xml:space="preserve"> against</w:t>
      </w:r>
      <w:r w:rsidR="0083291F" w:rsidRPr="00B63185">
        <w:t xml:space="preserve"> </w:t>
      </w:r>
      <w:r w:rsidR="00B9404A" w:rsidRPr="00B63185">
        <w:t>Hinton</w:t>
      </w:r>
      <w:r w:rsidR="0083291F" w:rsidRPr="00B63185">
        <w:t xml:space="preserve"> </w:t>
      </w:r>
      <w:r w:rsidRPr="00B63185">
        <w:t xml:space="preserve">for </w:t>
      </w:r>
      <w:r w:rsidR="00B9404A" w:rsidRPr="00B63185">
        <w:t>failing to use reasonable judgment when</w:t>
      </w:r>
      <w:r w:rsidR="005F4C94">
        <w:t>, for a three-month period,</w:t>
      </w:r>
      <w:r w:rsidR="00893D15">
        <w:t xml:space="preserve"> </w:t>
      </w:r>
      <w:r w:rsidR="00B9404A" w:rsidRPr="00B63185">
        <w:t xml:space="preserve">it knowingly routed 911 calls </w:t>
      </w:r>
      <w:r w:rsidR="00713CC2" w:rsidRPr="00B63185">
        <w:t>t</w:t>
      </w:r>
      <w:r w:rsidR="00893D15">
        <w:t xml:space="preserve">o an automated operator message that instructed </w:t>
      </w:r>
      <w:r w:rsidR="00F3454F">
        <w:t xml:space="preserve">911 </w:t>
      </w:r>
      <w:r w:rsidR="00893D15">
        <w:t>callers to “hang up and dial 911</w:t>
      </w:r>
      <w:r w:rsidR="005F4C94">
        <w:t>.”</w:t>
      </w:r>
      <w:r w:rsidR="00893D15">
        <w:t xml:space="preserve">  Hinton’s actions created a significant threat to the life and property of Caddo County, Oklahoma residents, undermining o</w:t>
      </w:r>
      <w:r w:rsidR="00893D15" w:rsidRPr="008420E4">
        <w:t>ne of the bedrock principles of the Communications Ac</w:t>
      </w:r>
      <w:r w:rsidR="00893D15">
        <w:t xml:space="preserve">t and the Commission’s rules </w:t>
      </w:r>
      <w:r w:rsidR="004B3B18">
        <w:t xml:space="preserve">– </w:t>
      </w:r>
      <w:r w:rsidR="00893D15" w:rsidRPr="008420E4">
        <w:t>that reliable 911 service must be available to all Americans at all times.</w:t>
      </w:r>
    </w:p>
    <w:p w14:paraId="69A27D6D" w14:textId="3755C3F3" w:rsidR="009676F3" w:rsidRDefault="00893D15" w:rsidP="00C95F70">
      <w:pPr>
        <w:pStyle w:val="ParaNum"/>
        <w:widowControl/>
      </w:pPr>
      <w:r>
        <w:t xml:space="preserve">Upon review of the Petition and the entire record, we </w:t>
      </w:r>
      <w:r w:rsidR="00B35051">
        <w:t xml:space="preserve">dismiss </w:t>
      </w:r>
      <w:r w:rsidR="00D4663E">
        <w:t>the</w:t>
      </w:r>
      <w:r w:rsidR="001629BF">
        <w:t xml:space="preserve"> Petition </w:t>
      </w:r>
      <w:r w:rsidR="00B35051">
        <w:t>in part on procedural grounds and otherwise deny the Petition</w:t>
      </w:r>
      <w:r w:rsidR="00825C3E">
        <w:t xml:space="preserve"> on the merits</w:t>
      </w:r>
      <w:r w:rsidR="00B35051" w:rsidRPr="0DD780E6">
        <w:t xml:space="preserve">, </w:t>
      </w:r>
      <w:r w:rsidR="00D4663E">
        <w:t xml:space="preserve">pursuant </w:t>
      </w:r>
      <w:r>
        <w:t>to Section 1.106 of the Commission</w:t>
      </w:r>
      <w:r w:rsidR="00972ABE">
        <w:t>’s rules</w:t>
      </w:r>
      <w:r w:rsidRPr="0DD780E6">
        <w:t>.</w:t>
      </w:r>
      <w:r>
        <w:rPr>
          <w:rStyle w:val="FootnoteReference"/>
        </w:rPr>
        <w:footnoteReference w:id="3"/>
      </w:r>
      <w:r w:rsidR="000D5041" w:rsidRPr="0DD780E6">
        <w:t xml:space="preserve">  </w:t>
      </w:r>
      <w:r w:rsidR="000D5041" w:rsidRPr="00193A4F">
        <w:t>Reconside</w:t>
      </w:r>
      <w:r w:rsidR="00302AC0">
        <w:t xml:space="preserve">ration is appropriate </w:t>
      </w:r>
      <w:r w:rsidR="000D5041" w:rsidRPr="00193A4F">
        <w:t xml:space="preserve">when the petitioner either demonstrates a material error or omission in the underlying order or raises additional </w:t>
      </w:r>
      <w:r w:rsidR="00883BDC">
        <w:t>arguments based on facts</w:t>
      </w:r>
      <w:r w:rsidR="000D5041" w:rsidRPr="00193A4F">
        <w:t xml:space="preserve"> not known or not existing until after the petitioner’s last opportunity to present such matters.</w:t>
      </w:r>
      <w:r w:rsidR="000D5041" w:rsidRPr="00193A4F">
        <w:rPr>
          <w:rStyle w:val="FootnoteReference"/>
        </w:rPr>
        <w:footnoteReference w:id="4"/>
      </w:r>
      <w:r w:rsidR="000D5041" w:rsidRPr="0DD780E6">
        <w:t xml:space="preserve">  </w:t>
      </w:r>
      <w:r w:rsidR="007130FE">
        <w:t>With respect to such additional arguments, reconsideration will also be appropriate if the Commission determines that the public interest requires their consideration.</w:t>
      </w:r>
      <w:r w:rsidR="007130FE">
        <w:rPr>
          <w:rStyle w:val="FootnoteReference"/>
        </w:rPr>
        <w:footnoteReference w:id="5"/>
      </w:r>
      <w:r w:rsidR="007130FE">
        <w:t xml:space="preserve">  </w:t>
      </w:r>
      <w:r w:rsidR="000D5041" w:rsidRPr="000202CD">
        <w:t>Hinton</w:t>
      </w:r>
      <w:r w:rsidR="009862BF" w:rsidRPr="000202CD">
        <w:t xml:space="preserve"> </w:t>
      </w:r>
      <w:r w:rsidR="009676F3">
        <w:t>raise</w:t>
      </w:r>
      <w:r w:rsidR="009A13FB">
        <w:t>s</w:t>
      </w:r>
      <w:r w:rsidR="00554467" w:rsidRPr="0DD780E6">
        <w:t xml:space="preserve"> </w:t>
      </w:r>
      <w:r w:rsidR="00A9153F">
        <w:t xml:space="preserve">three new </w:t>
      </w:r>
      <w:r w:rsidR="009862BF">
        <w:t>arguments that it</w:t>
      </w:r>
      <w:r w:rsidR="009676F3">
        <w:t xml:space="preserve"> could have raised earlier</w:t>
      </w:r>
      <w:r w:rsidR="009A13FB" w:rsidRPr="0DD780E6">
        <w:t>,</w:t>
      </w:r>
      <w:r w:rsidR="00D8766F">
        <w:t xml:space="preserve"> and we therefore </w:t>
      </w:r>
      <w:r w:rsidR="00C1207A">
        <w:t xml:space="preserve">dismiss </w:t>
      </w:r>
      <w:r w:rsidR="00D8766F">
        <w:t>the Petition on procedural grounds</w:t>
      </w:r>
      <w:r w:rsidR="009A13FB">
        <w:t xml:space="preserve"> to the extent that it relies on those arguments</w:t>
      </w:r>
      <w:r w:rsidR="00D8766F" w:rsidRPr="0DD780E6">
        <w:t xml:space="preserve">.  </w:t>
      </w:r>
      <w:r w:rsidR="56DE6389">
        <w:t>We</w:t>
      </w:r>
      <w:r w:rsidR="7CE5C666" w:rsidRPr="0DD780E6">
        <w:t xml:space="preserve"> </w:t>
      </w:r>
      <w:r w:rsidR="56DE6389" w:rsidRPr="0DD780E6">
        <w:t>also reject Hinton’s one procedurally acceptable new argument on the merits.  Moreover, as a separate and independent basis for our decision, we find that, if we were to consider Hinton’s three procedurally unacceptable new arguments further, we would also reject them on their merits.</w:t>
      </w:r>
      <w:r w:rsidR="7CE5C666" w:rsidRPr="0DD780E6">
        <w:t xml:space="preserve"> </w:t>
      </w:r>
      <w:r w:rsidR="2060B862" w:rsidRPr="0DD780E6">
        <w:t xml:space="preserve">Finally, we reject on </w:t>
      </w:r>
      <w:r w:rsidR="2659AD98" w:rsidRPr="0DD780E6">
        <w:t xml:space="preserve">the merits </w:t>
      </w:r>
      <w:r w:rsidR="00C70D34">
        <w:t xml:space="preserve">those arguments </w:t>
      </w:r>
      <w:r w:rsidR="009A13FB">
        <w:t xml:space="preserve">that the Bureau considered and rejected </w:t>
      </w:r>
      <w:r w:rsidR="00D8766F">
        <w:t xml:space="preserve">in the </w:t>
      </w:r>
      <w:r w:rsidR="00D8766F" w:rsidRPr="000202CD">
        <w:rPr>
          <w:i/>
          <w:iCs/>
        </w:rPr>
        <w:t>Forfeiture Order</w:t>
      </w:r>
      <w:r w:rsidR="004E1D1C" w:rsidRPr="0DD780E6">
        <w:t>,</w:t>
      </w:r>
      <w:r w:rsidR="00C70D34" w:rsidRPr="0DD780E6">
        <w:t xml:space="preserve"> </w:t>
      </w:r>
      <w:r w:rsidR="00D42C7E">
        <w:t xml:space="preserve">and which </w:t>
      </w:r>
      <w:r w:rsidR="00C70D34">
        <w:t>Hinton repeats</w:t>
      </w:r>
      <w:r w:rsidR="009E3A76">
        <w:t xml:space="preserve"> in its Petition</w:t>
      </w:r>
      <w:r w:rsidR="00D8766F">
        <w:t xml:space="preserve">.  As a result, we </w:t>
      </w:r>
      <w:r w:rsidR="00302AC0">
        <w:t xml:space="preserve">uphold the Bureau’s findings in the </w:t>
      </w:r>
      <w:r w:rsidR="00302AC0" w:rsidRPr="000202CD">
        <w:rPr>
          <w:i/>
          <w:iCs/>
        </w:rPr>
        <w:t xml:space="preserve">Forfeiture Order </w:t>
      </w:r>
      <w:r w:rsidR="00302AC0">
        <w:t xml:space="preserve">and </w:t>
      </w:r>
      <w:r w:rsidR="00D8766F">
        <w:t>affirm the $100,000 penalty imposed against Hinton for its violation</w:t>
      </w:r>
      <w:r w:rsidR="00302AC0">
        <w:t>s</w:t>
      </w:r>
      <w:r w:rsidR="00D8766F">
        <w:t xml:space="preserve"> of the Commission’</w:t>
      </w:r>
      <w:r w:rsidR="00972ABE">
        <w:t>s 911 r</w:t>
      </w:r>
      <w:r w:rsidR="00D8766F">
        <w:t>ules.</w:t>
      </w:r>
      <w:r w:rsidR="009862BF" w:rsidRPr="0DD780E6">
        <w:t xml:space="preserve">  </w:t>
      </w:r>
    </w:p>
    <w:p w14:paraId="19B2A88D" w14:textId="77777777" w:rsidR="00551776" w:rsidRPr="00B63185" w:rsidRDefault="00551776" w:rsidP="00C95F70">
      <w:pPr>
        <w:pStyle w:val="Heading1"/>
        <w:widowControl/>
        <w:rPr>
          <w:rFonts w:ascii="Times New Roman" w:hAnsi="Times New Roman"/>
        </w:rPr>
      </w:pPr>
      <w:r w:rsidRPr="00B63185">
        <w:rPr>
          <w:rFonts w:ascii="Times New Roman" w:hAnsi="Times New Roman"/>
        </w:rPr>
        <w:lastRenderedPageBreak/>
        <w:t>background</w:t>
      </w:r>
    </w:p>
    <w:p w14:paraId="75F8D68D" w14:textId="77777777" w:rsidR="00551776" w:rsidRDefault="00D8766F" w:rsidP="00C95F70">
      <w:pPr>
        <w:pStyle w:val="ParaNum"/>
        <w:widowControl/>
      </w:pPr>
      <w:r>
        <w:t xml:space="preserve">On </w:t>
      </w:r>
      <w:r w:rsidR="00B3506D">
        <w:t xml:space="preserve">March 18, 2015, the </w:t>
      </w:r>
      <w:r>
        <w:t xml:space="preserve">Bureau issued the </w:t>
      </w:r>
      <w:r>
        <w:rPr>
          <w:i/>
        </w:rPr>
        <w:t xml:space="preserve">Forfeiture Order </w:t>
      </w:r>
      <w:r>
        <w:t xml:space="preserve">imposing a $100,000 penalty against Hinton for willfully and repeatedly violating Sections 64.3001 and 64.3002(d) of the </w:t>
      </w:r>
      <w:r w:rsidR="00972ABE">
        <w:t>Commission’s rules</w:t>
      </w:r>
      <w:r w:rsidR="00554467">
        <w:t xml:space="preserve"> by failing to use reasonable judgment when it knowingly routed 911 calls to an </w:t>
      </w:r>
      <w:r w:rsidR="001801E4">
        <w:t>automated</w:t>
      </w:r>
      <w:r w:rsidR="00554467">
        <w:t xml:space="preserve"> operator message.</w:t>
      </w:r>
      <w:r w:rsidR="00554467">
        <w:rPr>
          <w:rStyle w:val="FootnoteReference"/>
        </w:rPr>
        <w:footnoteReference w:id="6"/>
      </w:r>
      <w:r w:rsidR="00554467">
        <w:rPr>
          <w:i/>
        </w:rPr>
        <w:t xml:space="preserve">  </w:t>
      </w:r>
      <w:r w:rsidR="00551776" w:rsidRPr="00554467">
        <w:t xml:space="preserve">Section 64.3001 of the </w:t>
      </w:r>
      <w:r w:rsidR="00972ABE">
        <w:t>Commission’s rules</w:t>
      </w:r>
      <w:r w:rsidR="00551776" w:rsidRPr="00554467">
        <w:t xml:space="preserve"> </w:t>
      </w:r>
      <w:r w:rsidR="00CE23C8" w:rsidRPr="00554467">
        <w:t>requires telecommunications carriers to transmit all 911 calls to a Public Safety Answering Point (PSAP), to a designated statewide default answering point, or to an appropriate local emergency authority as set forth in Section 64.3002.</w:t>
      </w:r>
      <w:r w:rsidR="00CE23C8" w:rsidRPr="00EC5ED9">
        <w:rPr>
          <w:rStyle w:val="FootnoteReference"/>
          <w:sz w:val="22"/>
        </w:rPr>
        <w:footnoteReference w:id="7"/>
      </w:r>
      <w:r w:rsidR="00CE23C8" w:rsidRPr="00554467">
        <w:t xml:space="preserve">  Section 64.3002(d) of the </w:t>
      </w:r>
      <w:r w:rsidR="00972ABE">
        <w:t>Commission’s rules</w:t>
      </w:r>
      <w:r w:rsidR="00CE23C8" w:rsidRPr="00554467">
        <w:t xml:space="preserve"> provides that “[w]here no PSAP nor statewide default answering point has been designated, and no appropriate local emergency authority has been selected by an authorized state or local entity, telecommunications carriers shall identify an appropriate local emergency authority, based on the exercise of reasonable judgment, and complete all translation and routing necessary to deliver 911 calls to such appropriate local emergency authority no later than </w:t>
      </w:r>
      <w:r w:rsidR="00F0393A">
        <w:t>September 11, 2002</w:t>
      </w:r>
      <w:r w:rsidR="00CE23C8" w:rsidRPr="00554467">
        <w:t>.”</w:t>
      </w:r>
      <w:r w:rsidR="00CE23C8" w:rsidRPr="00EC5ED9">
        <w:rPr>
          <w:rStyle w:val="FootnoteReference"/>
          <w:sz w:val="22"/>
        </w:rPr>
        <w:footnoteReference w:id="8"/>
      </w:r>
    </w:p>
    <w:p w14:paraId="664BDB4D" w14:textId="77777777" w:rsidR="009D03B0" w:rsidRPr="001B7FBF" w:rsidRDefault="008B1311" w:rsidP="008A7948">
      <w:pPr>
        <w:pStyle w:val="ParaNum"/>
      </w:pPr>
      <w:r w:rsidRPr="00B63185">
        <w:t xml:space="preserve">On April 17, 2015, Hinton filed </w:t>
      </w:r>
      <w:r w:rsidR="001801E4">
        <w:t>the</w:t>
      </w:r>
      <w:r w:rsidR="00740F2F" w:rsidRPr="00B63185">
        <w:t xml:space="preserve"> </w:t>
      </w:r>
      <w:r w:rsidRPr="00B63185">
        <w:t>Petition</w:t>
      </w:r>
      <w:r w:rsidR="00740F2F" w:rsidRPr="00B63185">
        <w:t xml:space="preserve"> </w:t>
      </w:r>
      <w:r w:rsidR="00DD3655" w:rsidRPr="00B63185">
        <w:t xml:space="preserve">requesting that the </w:t>
      </w:r>
      <w:r w:rsidR="00DD3655" w:rsidRPr="00B63185">
        <w:rPr>
          <w:i/>
        </w:rPr>
        <w:t>Forfeiture Order</w:t>
      </w:r>
      <w:r w:rsidR="00DD3655" w:rsidRPr="00B63185">
        <w:t xml:space="preserve"> be reconsidered and vacated</w:t>
      </w:r>
      <w:r w:rsidR="00753DFE" w:rsidRPr="00B63185">
        <w:t xml:space="preserve">, </w:t>
      </w:r>
      <w:r w:rsidR="00DD3655" w:rsidRPr="00B63185">
        <w:t xml:space="preserve">and the </w:t>
      </w:r>
      <w:r w:rsidR="006D5D26">
        <w:t>$100,000 penalty</w:t>
      </w:r>
      <w:r w:rsidR="00DD3655" w:rsidRPr="00B63185">
        <w:t xml:space="preserve"> rescinded.</w:t>
      </w:r>
      <w:r w:rsidR="001801E4">
        <w:rPr>
          <w:rStyle w:val="FootnoteReference"/>
        </w:rPr>
        <w:footnoteReference w:id="9"/>
      </w:r>
      <w:r w:rsidR="001801E4">
        <w:t xml:space="preserve">  </w:t>
      </w:r>
      <w:r w:rsidR="001B7FBF">
        <w:t>The Petition reiterates</w:t>
      </w:r>
      <w:r w:rsidR="001B7FBF" w:rsidRPr="001801E4">
        <w:t xml:space="preserve"> arguments </w:t>
      </w:r>
      <w:r w:rsidR="001B7FBF">
        <w:t xml:space="preserve">previously considered </w:t>
      </w:r>
      <w:r w:rsidR="00B3506D">
        <w:t xml:space="preserve">and rejected by the </w:t>
      </w:r>
      <w:r w:rsidR="001B7FBF">
        <w:t xml:space="preserve">Bureau that Hinton </w:t>
      </w:r>
      <w:r w:rsidR="001B7FBF" w:rsidRPr="001801E4">
        <w:t xml:space="preserve">exercised reasonable judgment in routing </w:t>
      </w:r>
      <w:r w:rsidR="001B7FBF">
        <w:t xml:space="preserve">911 calls to the automated </w:t>
      </w:r>
      <w:r w:rsidR="001B7FBF" w:rsidRPr="001801E4">
        <w:t>operator</w:t>
      </w:r>
      <w:r w:rsidR="001B7FBF" w:rsidRPr="00B63185">
        <w:rPr>
          <w:rStyle w:val="FootnoteReference"/>
          <w:sz w:val="22"/>
        </w:rPr>
        <w:footnoteReference w:id="10"/>
      </w:r>
      <w:r w:rsidR="001B7FBF" w:rsidRPr="001801E4">
        <w:t xml:space="preserve"> and that its </w:t>
      </w:r>
      <w:r w:rsidR="00C44125">
        <w:t xml:space="preserve">purported </w:t>
      </w:r>
      <w:r w:rsidR="001B7FBF" w:rsidRPr="001801E4">
        <w:t xml:space="preserve">record of compliance </w:t>
      </w:r>
      <w:r w:rsidR="006D5D26">
        <w:t xml:space="preserve">with the </w:t>
      </w:r>
      <w:r w:rsidR="00972ABE">
        <w:t>Commission’s rules</w:t>
      </w:r>
      <w:r w:rsidR="006D5D26">
        <w:t xml:space="preserve"> and</w:t>
      </w:r>
      <w:r w:rsidR="001B7FBF" w:rsidRPr="001801E4">
        <w:t xml:space="preserve"> provi</w:t>
      </w:r>
      <w:r w:rsidR="00F3454F">
        <w:t>sion of</w:t>
      </w:r>
      <w:r w:rsidR="001B7FBF" w:rsidRPr="001801E4">
        <w:t xml:space="preserve"> 911 and E911 services to other counties in Oklahoma </w:t>
      </w:r>
      <w:r w:rsidR="00C44125">
        <w:t>warranted forfeiture cancellation</w:t>
      </w:r>
      <w:r w:rsidR="001B7FBF" w:rsidRPr="001801E4">
        <w:t>.</w:t>
      </w:r>
      <w:r w:rsidR="001B7FBF" w:rsidRPr="00B63185">
        <w:rPr>
          <w:rStyle w:val="FootnoteReference"/>
          <w:sz w:val="22"/>
        </w:rPr>
        <w:footnoteReference w:id="11"/>
      </w:r>
      <w:r w:rsidR="001B7FBF">
        <w:t xml:space="preserve">  In addition, </w:t>
      </w:r>
      <w:r w:rsidR="001801E4" w:rsidRPr="001B7FBF">
        <w:t>Hinton</w:t>
      </w:r>
      <w:r w:rsidR="001114E8">
        <w:t>’s Petition</w:t>
      </w:r>
      <w:r w:rsidR="001801E4" w:rsidRPr="001B7FBF">
        <w:t xml:space="preserve"> presents </w:t>
      </w:r>
      <w:r w:rsidR="00F56E9F">
        <w:t>four</w:t>
      </w:r>
      <w:r w:rsidR="00F0393A" w:rsidRPr="001B7FBF">
        <w:t xml:space="preserve"> </w:t>
      </w:r>
      <w:r w:rsidR="00D4663E">
        <w:t xml:space="preserve">new </w:t>
      </w:r>
      <w:r w:rsidR="001801E4" w:rsidRPr="001B7FBF">
        <w:t xml:space="preserve">arguments </w:t>
      </w:r>
      <w:r w:rsidR="00C44125">
        <w:t>for our consideration</w:t>
      </w:r>
      <w:r w:rsidR="007A4D81" w:rsidRPr="001B7FBF">
        <w:t xml:space="preserve">: </w:t>
      </w:r>
      <w:r w:rsidR="001801E4" w:rsidRPr="001B7FBF">
        <w:t xml:space="preserve"> </w:t>
      </w:r>
      <w:r w:rsidR="007A4D81" w:rsidRPr="001B7FBF">
        <w:t xml:space="preserve">(i) </w:t>
      </w:r>
      <w:r w:rsidR="007F647F" w:rsidRPr="001B7FBF">
        <w:t>that</w:t>
      </w:r>
      <w:r w:rsidR="00A40E63" w:rsidRPr="001B7FBF">
        <w:t xml:space="preserve"> the Commission erred in </w:t>
      </w:r>
      <w:r w:rsidR="007A4D81" w:rsidRPr="001B7FBF">
        <w:t xml:space="preserve">ignoring </w:t>
      </w:r>
      <w:r w:rsidR="00A40E63" w:rsidRPr="001B7FBF">
        <w:t xml:space="preserve">the applicability of Section 64.3002(e) of the </w:t>
      </w:r>
      <w:r w:rsidR="00972ABE">
        <w:t>Commission’s rules</w:t>
      </w:r>
      <w:r w:rsidR="00A40E63" w:rsidRPr="001B7FBF">
        <w:t xml:space="preserve">, which </w:t>
      </w:r>
      <w:r w:rsidR="00E04087" w:rsidRPr="001B7FBF">
        <w:t xml:space="preserve">Hinton </w:t>
      </w:r>
      <w:r w:rsidR="007A4D81" w:rsidRPr="001B7FBF">
        <w:t xml:space="preserve">claims </w:t>
      </w:r>
      <w:r w:rsidR="0061343B">
        <w:t xml:space="preserve">effectively </w:t>
      </w:r>
      <w:r w:rsidR="00A40E63" w:rsidRPr="001B7FBF">
        <w:t xml:space="preserve">provided </w:t>
      </w:r>
      <w:r w:rsidR="00E04087" w:rsidRPr="001B7FBF">
        <w:t xml:space="preserve">it </w:t>
      </w:r>
      <w:r w:rsidR="006D5D26" w:rsidRPr="001C75DD">
        <w:t xml:space="preserve">with a nine-month </w:t>
      </w:r>
      <w:r w:rsidR="001C75DD" w:rsidRPr="001C75DD">
        <w:t>suspension of its</w:t>
      </w:r>
      <w:r w:rsidR="006D5D26" w:rsidRPr="001C75DD">
        <w:t xml:space="preserve"> </w:t>
      </w:r>
      <w:r w:rsidR="001C75DD">
        <w:t xml:space="preserve">Section 64.3002(d) </w:t>
      </w:r>
      <w:r w:rsidR="006D5D26" w:rsidRPr="001C75DD">
        <w:t>requirement to use reasonable judgment to identify an appropriate local emergency authority and complete translation and routing of emergency calls to such authority</w:t>
      </w:r>
      <w:r w:rsidR="00C975ED" w:rsidRPr="001C75DD">
        <w:t>,</w:t>
      </w:r>
      <w:r w:rsidR="00A40E63" w:rsidRPr="001C75DD">
        <w:rPr>
          <w:rStyle w:val="FootnoteReference"/>
          <w:sz w:val="22"/>
        </w:rPr>
        <w:footnoteReference w:id="12"/>
      </w:r>
      <w:r w:rsidR="007A4D81" w:rsidRPr="001C75DD">
        <w:t xml:space="preserve"> (ii)</w:t>
      </w:r>
      <w:r w:rsidR="00A40E63" w:rsidRPr="001C75DD">
        <w:t xml:space="preserve"> </w:t>
      </w:r>
      <w:r w:rsidR="007A4D81" w:rsidRPr="001C75DD">
        <w:t xml:space="preserve">that the </w:t>
      </w:r>
      <w:r w:rsidR="000552F1" w:rsidRPr="001C75DD">
        <w:t>Commission</w:t>
      </w:r>
      <w:r w:rsidR="006D5D26" w:rsidRPr="001C75DD">
        <w:t xml:space="preserve"> improperly </w:t>
      </w:r>
      <w:r w:rsidR="000552F1" w:rsidRPr="001C75DD">
        <w:t>exercised jurisdiction over intrastate 911 calls</w:t>
      </w:r>
      <w:r w:rsidR="00AC2342">
        <w:t>;</w:t>
      </w:r>
      <w:r w:rsidR="007A4D81" w:rsidRPr="001C75DD">
        <w:rPr>
          <w:rStyle w:val="FootnoteReference"/>
          <w:sz w:val="22"/>
        </w:rPr>
        <w:footnoteReference w:id="13"/>
      </w:r>
      <w:r w:rsidR="00AC2342">
        <w:t xml:space="preserve"> (iii) </w:t>
      </w:r>
      <w:r w:rsidR="00F56E9F">
        <w:t xml:space="preserve">that </w:t>
      </w:r>
      <w:r w:rsidR="00AC2342">
        <w:t xml:space="preserve">Hinton’s </w:t>
      </w:r>
      <w:r w:rsidR="00F45BE9">
        <w:t>actions</w:t>
      </w:r>
      <w:r w:rsidR="00AC2342">
        <w:t xml:space="preserve"> were </w:t>
      </w:r>
      <w:r w:rsidR="00F45BE9">
        <w:t xml:space="preserve">reasonable because they were </w:t>
      </w:r>
      <w:r w:rsidR="00AC2342">
        <w:t>consistent with Section 64.3003 of the Commission’s rules;</w:t>
      </w:r>
      <w:r w:rsidR="00AC2342">
        <w:rPr>
          <w:rStyle w:val="FootnoteReference"/>
        </w:rPr>
        <w:footnoteReference w:id="14"/>
      </w:r>
      <w:r w:rsidR="00AC2342">
        <w:t xml:space="preserve">  and (</w:t>
      </w:r>
      <w:r w:rsidR="00F56E9F">
        <w:t>i</w:t>
      </w:r>
      <w:r w:rsidR="00AC2342">
        <w:t xml:space="preserve">v) </w:t>
      </w:r>
      <w:r w:rsidR="00F56E9F">
        <w:t xml:space="preserve">that </w:t>
      </w:r>
      <w:r w:rsidR="00AC2342">
        <w:t>the Bureau exaggerated the significance of Hinton’s 1991 violation of Commission rules in failing to consider Hinton’s history of rule compliance as a mitigating factor.</w:t>
      </w:r>
      <w:r w:rsidR="00AC2342">
        <w:rPr>
          <w:rStyle w:val="FootnoteReference"/>
        </w:rPr>
        <w:footnoteReference w:id="15"/>
      </w:r>
    </w:p>
    <w:p w14:paraId="07291163" w14:textId="77777777" w:rsidR="00AE7FE7" w:rsidRPr="00AE7FE7" w:rsidRDefault="00740F2F" w:rsidP="00AE7FE7">
      <w:pPr>
        <w:pStyle w:val="Heading1"/>
      </w:pPr>
      <w:r w:rsidRPr="00337171">
        <w:t>DISCUSSION</w:t>
      </w:r>
    </w:p>
    <w:p w14:paraId="4D8CB278" w14:textId="77777777" w:rsidR="006A0F10" w:rsidRPr="006A0F10" w:rsidRDefault="00AE7FE7" w:rsidP="00765DF5">
      <w:pPr>
        <w:pStyle w:val="Heading2"/>
      </w:pPr>
      <w:r>
        <w:t>The Petition Raises New Arguments that Hinton Could Have Raised Earlier</w:t>
      </w:r>
    </w:p>
    <w:p w14:paraId="29A78594" w14:textId="2526164F" w:rsidR="00211865" w:rsidRPr="00524382" w:rsidRDefault="00211865" w:rsidP="008A7948">
      <w:pPr>
        <w:pStyle w:val="ParaNum"/>
      </w:pPr>
      <w:r w:rsidRPr="00B63185">
        <w:t xml:space="preserve">Under Section 1.106(c) of the </w:t>
      </w:r>
      <w:r w:rsidR="00972ABE">
        <w:t>Commission’s rules</w:t>
      </w:r>
      <w:r w:rsidRPr="00B63185">
        <w:t>, a petition for reconsideration that relies on facts or arguments not previously presented to the designated authority may be granted</w:t>
      </w:r>
      <w:r w:rsidR="00D4663E">
        <w:t xml:space="preserve"> only</w:t>
      </w:r>
      <w:r w:rsidR="00A04FE1">
        <w:t xml:space="preserve"> </w:t>
      </w:r>
      <w:r w:rsidRPr="00B63185">
        <w:t>if</w:t>
      </w:r>
      <w:r w:rsidRPr="003E1424">
        <w:t xml:space="preserve"> (</w:t>
      </w:r>
      <w:r w:rsidR="009E06A2">
        <w:t>i</w:t>
      </w:r>
      <w:r w:rsidRPr="00B63185">
        <w:t xml:space="preserve">) </w:t>
      </w:r>
      <w:r w:rsidRPr="00B63185">
        <w:lastRenderedPageBreak/>
        <w:t xml:space="preserve">the facts or arguments relate to events that </w:t>
      </w:r>
      <w:r w:rsidR="00353A52">
        <w:t xml:space="preserve">have </w:t>
      </w:r>
      <w:r w:rsidRPr="00B63185">
        <w:t xml:space="preserve">occurred or circumstances </w:t>
      </w:r>
      <w:r w:rsidR="00353A52">
        <w:t>that have</w:t>
      </w:r>
      <w:r w:rsidRPr="00B63185">
        <w:t xml:space="preserve"> changed since the</w:t>
      </w:r>
      <w:r w:rsidR="00353A52">
        <w:t xml:space="preserve"> petitioner’s</w:t>
      </w:r>
      <w:r w:rsidRPr="00B63185">
        <w:t xml:space="preserve"> last opportunit</w:t>
      </w:r>
      <w:r w:rsidR="00576A12">
        <w:t>y to present such matters; (</w:t>
      </w:r>
      <w:r w:rsidR="009E06A2">
        <w:t>ii</w:t>
      </w:r>
      <w:r w:rsidRPr="00B63185">
        <w:t>) the facts or arguments were unknown to the petitioner, and could not have b</w:t>
      </w:r>
      <w:r w:rsidR="00353A52">
        <w:t xml:space="preserve">een known </w:t>
      </w:r>
      <w:r>
        <w:t xml:space="preserve">by the petitioner </w:t>
      </w:r>
      <w:r w:rsidR="00353A52">
        <w:t>through</w:t>
      </w:r>
      <w:r w:rsidRPr="00B63185">
        <w:t xml:space="preserve"> the exercise of ordinary diligence, until after the petitioner’s last opportunity to present such matters</w:t>
      </w:r>
      <w:r w:rsidR="007130FE">
        <w:t>; or (iii) the Commission determines that consideration of such facts or arguments is required in the public interest</w:t>
      </w:r>
      <w:r w:rsidRPr="00B63185">
        <w:t>.</w:t>
      </w:r>
      <w:r w:rsidRPr="00EC5ED9">
        <w:rPr>
          <w:rStyle w:val="FootnoteReference"/>
          <w:color w:val="000000"/>
          <w:sz w:val="22"/>
        </w:rPr>
        <w:footnoteReference w:id="16"/>
      </w:r>
      <w:r w:rsidRPr="00B63185">
        <w:t xml:space="preserve">  </w:t>
      </w:r>
      <w:r w:rsidR="00110E19">
        <w:t>Three of</w:t>
      </w:r>
      <w:r w:rsidRPr="00524382">
        <w:t xml:space="preserve"> Hinton</w:t>
      </w:r>
      <w:r w:rsidR="007357B7">
        <w:t>’s</w:t>
      </w:r>
      <w:r w:rsidR="00004B27">
        <w:t xml:space="preserve"> </w:t>
      </w:r>
      <w:r w:rsidR="009E06A2">
        <w:t xml:space="preserve">four new </w:t>
      </w:r>
      <w:r w:rsidR="00004B27">
        <w:t xml:space="preserve">arguments </w:t>
      </w:r>
      <w:r w:rsidR="007130FE">
        <w:t xml:space="preserve">fail to </w:t>
      </w:r>
      <w:r w:rsidR="00110E19">
        <w:t xml:space="preserve">meet </w:t>
      </w:r>
      <w:r w:rsidR="007130FE">
        <w:t xml:space="preserve">any </w:t>
      </w:r>
      <w:r w:rsidR="00110E19">
        <w:t xml:space="preserve">prong of this test: </w:t>
      </w:r>
      <w:r w:rsidR="00273F00">
        <w:t>(i)</w:t>
      </w:r>
      <w:r w:rsidR="007357B7">
        <w:t xml:space="preserve"> </w:t>
      </w:r>
      <w:r w:rsidR="007357B7" w:rsidRPr="001B7FBF">
        <w:t xml:space="preserve">the applicability of Section 64.3002(e) of the </w:t>
      </w:r>
      <w:r w:rsidR="007357B7">
        <w:t>Commission’s rules,</w:t>
      </w:r>
      <w:r w:rsidR="00273F00">
        <w:t xml:space="preserve"> (ii)</w:t>
      </w:r>
      <w:r w:rsidR="007357B7">
        <w:t xml:space="preserve"> </w:t>
      </w:r>
      <w:r w:rsidR="007357B7" w:rsidRPr="001C75DD">
        <w:t>that the Commission improperly exercised jurisdiction over intrastate 911 calls</w:t>
      </w:r>
      <w:r w:rsidR="00194C00">
        <w:t>,</w:t>
      </w:r>
      <w:r w:rsidR="007357B7">
        <w:t xml:space="preserve"> and </w:t>
      </w:r>
      <w:r w:rsidR="00273F00">
        <w:t xml:space="preserve">(iii) </w:t>
      </w:r>
      <w:r w:rsidR="007357B7">
        <w:t>that Hinton’s operations were consistent with Section 64.3003 of the Commission’s rules</w:t>
      </w:r>
      <w:r>
        <w:t xml:space="preserve">.  </w:t>
      </w:r>
      <w:r w:rsidR="00115BE5">
        <w:t>Each of these arguments could have been made at the previous stage of the proceeding</w:t>
      </w:r>
      <w:r w:rsidR="00EA23C5">
        <w:t xml:space="preserve">.  Moreover, </w:t>
      </w:r>
      <w:r w:rsidR="00115BE5">
        <w:t>Hinton</w:t>
      </w:r>
      <w:r w:rsidR="00EA23C5">
        <w:t xml:space="preserve"> </w:t>
      </w:r>
      <w:r w:rsidR="00287817">
        <w:t xml:space="preserve">has not presented any </w:t>
      </w:r>
      <w:r w:rsidR="00472C19">
        <w:t xml:space="preserve">public interest justification for considering </w:t>
      </w:r>
      <w:r w:rsidR="00115BE5">
        <w:t>them now, and we see no basis upon which to conclude that the public interest requires such consideration.</w:t>
      </w:r>
      <w:r w:rsidR="0066784C">
        <w:t xml:space="preserve">  </w:t>
      </w:r>
      <w:r w:rsidR="001629BF">
        <w:t>W</w:t>
      </w:r>
      <w:r w:rsidR="00004B27">
        <w:t xml:space="preserve">e therefore </w:t>
      </w:r>
      <w:r w:rsidR="00D4663E">
        <w:t xml:space="preserve">dismiss </w:t>
      </w:r>
      <w:r w:rsidR="00004B27">
        <w:t>the</w:t>
      </w:r>
      <w:r w:rsidR="009E06A2">
        <w:t>se arguments</w:t>
      </w:r>
      <w:r w:rsidR="00004B27">
        <w:t xml:space="preserve"> on procedural grounds</w:t>
      </w:r>
      <w:r w:rsidR="009E06A2">
        <w:t>, pursuant to</w:t>
      </w:r>
      <w:r w:rsidR="004E1D1C">
        <w:t xml:space="preserve"> </w:t>
      </w:r>
      <w:r w:rsidR="00194C00" w:rsidRPr="00B63185">
        <w:t xml:space="preserve">Section 1.106(c) of the </w:t>
      </w:r>
      <w:r w:rsidR="00194C00">
        <w:t>Commission’s rules</w:t>
      </w:r>
      <w:r w:rsidR="00004B27">
        <w:t>.</w:t>
      </w:r>
      <w:r w:rsidR="00004B27">
        <w:rPr>
          <w:rStyle w:val="FootnoteReference"/>
        </w:rPr>
        <w:footnoteReference w:id="17"/>
      </w:r>
    </w:p>
    <w:p w14:paraId="1ABC4C65" w14:textId="77777777" w:rsidR="009670AB" w:rsidRPr="00AE7FE7" w:rsidRDefault="00C44125" w:rsidP="00765DF5">
      <w:pPr>
        <w:pStyle w:val="Heading2"/>
      </w:pPr>
      <w:r>
        <w:t>The Petition</w:t>
      </w:r>
      <w:r w:rsidR="307900A4">
        <w:t>'s</w:t>
      </w:r>
      <w:r w:rsidRPr="0DD780E6">
        <w:t xml:space="preserve"> </w:t>
      </w:r>
      <w:r w:rsidR="190D80AA">
        <w:t>Newly Presented</w:t>
      </w:r>
      <w:r>
        <w:t xml:space="preserve"> Arguments </w:t>
      </w:r>
      <w:r w:rsidR="6D681362">
        <w:t xml:space="preserve">Provide No Basis </w:t>
      </w:r>
      <w:r w:rsidR="0BCFD124">
        <w:t xml:space="preserve">for </w:t>
      </w:r>
      <w:r>
        <w:t>Reconsideration of the Forfeiture Order</w:t>
      </w:r>
      <w:r w:rsidR="00520FFA" w:rsidRPr="0DD780E6">
        <w:t xml:space="preserve"> </w:t>
      </w:r>
      <w:r w:rsidR="3DC2A834" w:rsidRPr="3DC2A834">
        <w:t>on the Me</w:t>
      </w:r>
      <w:r w:rsidR="668FAA6C" w:rsidRPr="668FAA6C">
        <w:t>rits</w:t>
      </w:r>
    </w:p>
    <w:p w14:paraId="44CB7910" w14:textId="477049B9" w:rsidR="00FB1F18" w:rsidRDefault="002B7D13" w:rsidP="008A7948">
      <w:pPr>
        <w:pStyle w:val="ParaNum"/>
      </w:pPr>
      <w:r w:rsidRPr="000202CD">
        <w:t xml:space="preserve"> </w:t>
      </w:r>
      <w:r w:rsidR="004E1D1C" w:rsidRPr="000202CD">
        <w:t>For the reasons discussed below, we reject Hinton’s one procedurally acceptable new argument on the merits.  Moreover, as a separate and independent basis for our decision</w:t>
      </w:r>
      <w:r w:rsidR="00287817">
        <w:t xml:space="preserve"> above to dismiss </w:t>
      </w:r>
      <w:r w:rsidR="00287817" w:rsidRPr="000202CD">
        <w:t xml:space="preserve">Hinton’s three procedurally unacceptable </w:t>
      </w:r>
      <w:r w:rsidR="00287817" w:rsidRPr="00410091">
        <w:t>new arguments</w:t>
      </w:r>
      <w:r w:rsidR="004E1D1C" w:rsidRPr="000202CD">
        <w:t xml:space="preserve">, we find that, if we were to consider </w:t>
      </w:r>
      <w:r w:rsidR="00287817">
        <w:t xml:space="preserve">those </w:t>
      </w:r>
      <w:r w:rsidR="004E1D1C" w:rsidRPr="00410091">
        <w:t>arguments further, we would also reject them on their merits.</w:t>
      </w:r>
    </w:p>
    <w:p w14:paraId="4CF02165" w14:textId="1D179BDC" w:rsidR="00E66CF5" w:rsidRDefault="00AE7FE7" w:rsidP="00E66CF5">
      <w:pPr>
        <w:pStyle w:val="Heading3"/>
      </w:pPr>
      <w:r>
        <w:rPr>
          <w:iCs/>
        </w:rPr>
        <w:t>T</w:t>
      </w:r>
      <w:r w:rsidR="00E66CF5" w:rsidRPr="000202CD">
        <w:t xml:space="preserve">he Bureau Did Not Exaggerate the Significance of Hinton’s 1991 </w:t>
      </w:r>
      <w:r w:rsidR="00C444CA">
        <w:t>V</w:t>
      </w:r>
      <w:r w:rsidR="00E66CF5" w:rsidRPr="000202CD">
        <w:t>iolation of Commission Rules in Considering Hinton’s History of Rule Compliance as a Mitigating Factor</w:t>
      </w:r>
    </w:p>
    <w:p w14:paraId="333DFD94" w14:textId="33256CF1" w:rsidR="00E66CF5" w:rsidRPr="00B63185" w:rsidRDefault="00E66CF5" w:rsidP="00E66CF5">
      <w:pPr>
        <w:pStyle w:val="ParaNum"/>
      </w:pPr>
      <w:r w:rsidRPr="77D22E49">
        <w:t xml:space="preserve">Hinton’s only procedurally acceptable new argument is that the </w:t>
      </w:r>
      <w:r w:rsidRPr="009935A0">
        <w:rPr>
          <w:i/>
        </w:rPr>
        <w:t>Forfeiture Order</w:t>
      </w:r>
      <w:r w:rsidRPr="77D22E49">
        <w:t xml:space="preserve"> “erred by characterizing and denigrating Hinton’s record of regulatory compliance as ‘not spotless’ due to an innocent oversight that took place over 23 years ago, and was self-reported” and accordingly the Bureau should not have considered this</w:t>
      </w:r>
      <w:r w:rsidR="00140A2D">
        <w:t xml:space="preserve"> minor oversight</w:t>
      </w:r>
      <w:r w:rsidRPr="77D22E49">
        <w:t xml:space="preserve"> as a factor in determining whether forfeiture mitigation was warranted.</w:t>
      </w:r>
      <w:r w:rsidRPr="77D22E49">
        <w:rPr>
          <w:rStyle w:val="FootnoteReference"/>
        </w:rPr>
        <w:footnoteReference w:id="18"/>
      </w:r>
      <w:r w:rsidR="003F6BD2">
        <w:t xml:space="preserve">  </w:t>
      </w:r>
      <w:r w:rsidR="003D16DA">
        <w:t>While Hinton’s re</w:t>
      </w:r>
      <w:r w:rsidR="007E7375">
        <w:t xml:space="preserve">cord of regulatory compliance </w:t>
      </w:r>
      <w:r w:rsidR="003F6BD2">
        <w:t>over the past 23 years</w:t>
      </w:r>
      <w:r w:rsidR="00D128AC">
        <w:t xml:space="preserve"> </w:t>
      </w:r>
      <w:r w:rsidR="003F6BD2">
        <w:t>has been</w:t>
      </w:r>
      <w:r w:rsidR="006B3C16">
        <w:t xml:space="preserve"> commendable, </w:t>
      </w:r>
      <w:r w:rsidR="003D16DA">
        <w:t xml:space="preserve">the </w:t>
      </w:r>
      <w:r w:rsidR="003D16DA" w:rsidRPr="009935A0">
        <w:rPr>
          <w:i/>
        </w:rPr>
        <w:t>Forfeiture Order’s</w:t>
      </w:r>
      <w:r w:rsidR="003D16DA">
        <w:t xml:space="preserve"> </w:t>
      </w:r>
      <w:r w:rsidR="003D16DA" w:rsidRPr="77D22E49">
        <w:t xml:space="preserve">characterization </w:t>
      </w:r>
      <w:r w:rsidR="003D16DA">
        <w:t xml:space="preserve">of that record </w:t>
      </w:r>
      <w:r w:rsidR="003D16DA" w:rsidRPr="77D22E49">
        <w:t>is accurate.</w:t>
      </w:r>
      <w:r w:rsidR="003D16DA">
        <w:rPr>
          <w:rStyle w:val="FootnoteReference"/>
        </w:rPr>
        <w:footnoteReference w:id="19"/>
      </w:r>
      <w:r w:rsidR="003D16DA" w:rsidRPr="77D22E49">
        <w:t xml:space="preserve"> </w:t>
      </w:r>
      <w:r w:rsidR="007E7375">
        <w:t xml:space="preserve"> </w:t>
      </w:r>
      <w:r w:rsidR="00FB350B">
        <w:t xml:space="preserve">Under the rules, </w:t>
      </w:r>
      <w:r w:rsidR="00BE7C46">
        <w:t xml:space="preserve">the Bureau is required to take into consideration a number of factors </w:t>
      </w:r>
      <w:r w:rsidR="002D5A45">
        <w:t xml:space="preserve">in </w:t>
      </w:r>
      <w:r w:rsidR="007E7375">
        <w:t>determining the amount of a penalty, including the extent and gravity of the current violation.</w:t>
      </w:r>
      <w:r w:rsidR="007E7375">
        <w:rPr>
          <w:rStyle w:val="FootnoteReference"/>
        </w:rPr>
        <w:footnoteReference w:id="20"/>
      </w:r>
      <w:r w:rsidR="007E7375">
        <w:t xml:space="preserve">  T</w:t>
      </w:r>
      <w:r w:rsidR="00097124" w:rsidRPr="77D22E49">
        <w:t xml:space="preserve">he </w:t>
      </w:r>
      <w:r w:rsidR="00097124" w:rsidRPr="009935A0">
        <w:rPr>
          <w:i/>
        </w:rPr>
        <w:t>Forfeiture Order</w:t>
      </w:r>
      <w:r w:rsidR="00097124" w:rsidRPr="00410091">
        <w:t xml:space="preserve"> </w:t>
      </w:r>
      <w:r w:rsidR="00097124" w:rsidRPr="77D22E49">
        <w:t xml:space="preserve">clearly indicated that </w:t>
      </w:r>
      <w:r w:rsidR="00097124">
        <w:t>Hinton’s prior violation</w:t>
      </w:r>
      <w:r w:rsidR="00097124" w:rsidRPr="77D22E49">
        <w:t xml:space="preserve"> was not the only factor that militated against mitigation</w:t>
      </w:r>
      <w:r w:rsidR="00097124">
        <w:t>, stating</w:t>
      </w:r>
      <w:r w:rsidR="00097124" w:rsidRPr="77D22E49">
        <w:t xml:space="preserve"> that Hinton’s “successful provision of 911 and E911 services … does not excuse or mitigate its failure over an extended period of time to use reasonable judgment in routing 911 calls in Caddo County.”</w:t>
      </w:r>
      <w:r w:rsidR="00097124" w:rsidRPr="77D22E49">
        <w:rPr>
          <w:rStyle w:val="FootnoteReference"/>
        </w:rPr>
        <w:footnoteReference w:id="21"/>
      </w:r>
      <w:r w:rsidR="00097124" w:rsidRPr="77D22E49">
        <w:t xml:space="preserve">  </w:t>
      </w:r>
      <w:r w:rsidR="009637DA">
        <w:t xml:space="preserve">Prior requests for </w:t>
      </w:r>
      <w:r w:rsidR="009D453D">
        <w:t xml:space="preserve">downward adjustments for compliance </w:t>
      </w:r>
      <w:r w:rsidR="009637DA">
        <w:t>have been deemed inappropriate</w:t>
      </w:r>
      <w:r w:rsidR="009D453D">
        <w:t xml:space="preserve"> where </w:t>
      </w:r>
      <w:r w:rsidR="006B3C16">
        <w:t xml:space="preserve">the nature and extent of the violation was </w:t>
      </w:r>
      <w:r w:rsidR="00295039">
        <w:t>significant</w:t>
      </w:r>
      <w:r w:rsidR="006B3C16">
        <w:t>, as here</w:t>
      </w:r>
      <w:r w:rsidR="009D453D">
        <w:t>.</w:t>
      </w:r>
      <w:r w:rsidR="009D453D">
        <w:rPr>
          <w:rStyle w:val="FootnoteReference"/>
        </w:rPr>
        <w:footnoteReference w:id="22"/>
      </w:r>
      <w:r w:rsidR="0010485F">
        <w:t xml:space="preserve">  </w:t>
      </w:r>
      <w:r w:rsidR="00295039">
        <w:t>Also</w:t>
      </w:r>
      <w:r w:rsidR="0010485F">
        <w:t xml:space="preserve">, Hinton has </w:t>
      </w:r>
      <w:r w:rsidR="00D82649">
        <w:t xml:space="preserve">previously </w:t>
      </w:r>
      <w:r w:rsidR="0010485F">
        <w:t xml:space="preserve">enjoyed </w:t>
      </w:r>
      <w:r w:rsidR="00097124">
        <w:t>a downward adjustment for its history of compliance</w:t>
      </w:r>
      <w:r w:rsidR="003D16DA">
        <w:t>,</w:t>
      </w:r>
      <w:r w:rsidR="00097124">
        <w:rPr>
          <w:rStyle w:val="FootnoteReference"/>
        </w:rPr>
        <w:footnoteReference w:id="23"/>
      </w:r>
      <w:r w:rsidR="00097124">
        <w:t xml:space="preserve"> </w:t>
      </w:r>
      <w:r w:rsidR="006D2CD1">
        <w:t xml:space="preserve">and </w:t>
      </w:r>
      <w:r w:rsidR="002D3A45">
        <w:t>particularly given the nature of the violation</w:t>
      </w:r>
      <w:r w:rsidR="00152DC0">
        <w:t>s</w:t>
      </w:r>
      <w:r w:rsidR="002D3A45">
        <w:t xml:space="preserve"> at issue</w:t>
      </w:r>
      <w:r w:rsidR="00152DC0">
        <w:t xml:space="preserve"> in this case</w:t>
      </w:r>
      <w:r w:rsidR="002D3A45">
        <w:t xml:space="preserve">, </w:t>
      </w:r>
      <w:r w:rsidR="00295039">
        <w:t>repeated</w:t>
      </w:r>
      <w:r w:rsidR="006B3C16">
        <w:t xml:space="preserve"> downward adjustment</w:t>
      </w:r>
      <w:r w:rsidR="00295039">
        <w:t>s</w:t>
      </w:r>
      <w:r w:rsidR="006B3C16">
        <w:t xml:space="preserve"> for further violation</w:t>
      </w:r>
      <w:r w:rsidR="00295039">
        <w:t xml:space="preserve">s is </w:t>
      </w:r>
      <w:r w:rsidR="00152DC0">
        <w:t>inappropriate</w:t>
      </w:r>
      <w:r w:rsidR="007162AD">
        <w:t xml:space="preserve">.  </w:t>
      </w:r>
      <w:r w:rsidRPr="000202CD">
        <w:t xml:space="preserve">Accordingly, </w:t>
      </w:r>
      <w:r w:rsidR="00D82649">
        <w:t>we find that</w:t>
      </w:r>
      <w:r w:rsidR="0060728C">
        <w:t xml:space="preserve"> upon</w:t>
      </w:r>
      <w:r w:rsidR="00A20F4A">
        <w:t xml:space="preserve"> </w:t>
      </w:r>
      <w:r w:rsidR="0060728C">
        <w:t xml:space="preserve">consideration of all the factors in this </w:t>
      </w:r>
      <w:r w:rsidR="00A20F4A">
        <w:t>case,</w:t>
      </w:r>
      <w:r w:rsidR="00D82649">
        <w:t xml:space="preserve"> the </w:t>
      </w:r>
      <w:r w:rsidR="00D82649" w:rsidRPr="00A95F90">
        <w:rPr>
          <w:i/>
        </w:rPr>
        <w:t>Forfeiture Order</w:t>
      </w:r>
      <w:r w:rsidR="00D82649">
        <w:t xml:space="preserve"> correctly concluded that Hinton’s record of compliance did not warrant a downward adjustment, and that </w:t>
      </w:r>
      <w:r w:rsidRPr="000202CD">
        <w:t>this new argument provides no basis for reconsideration.</w:t>
      </w:r>
    </w:p>
    <w:p w14:paraId="6C35E118" w14:textId="77777777" w:rsidR="009670AB" w:rsidRPr="00B63185" w:rsidRDefault="006C3B41" w:rsidP="008A7948">
      <w:pPr>
        <w:pStyle w:val="Heading3"/>
      </w:pPr>
      <w:r w:rsidRPr="000202CD">
        <w:t>Hinton W</w:t>
      </w:r>
      <w:r w:rsidR="002E5547" w:rsidRPr="000202CD">
        <w:t>as Requi</w:t>
      </w:r>
      <w:r w:rsidR="009E5ADE" w:rsidRPr="000202CD">
        <w:t xml:space="preserve">red to Deliver 911 Calls to an Appropriate Emergency Authority </w:t>
      </w:r>
      <w:r w:rsidRPr="00410091">
        <w:t>under</w:t>
      </w:r>
      <w:r w:rsidR="002E5547" w:rsidRPr="00410091">
        <w:t xml:space="preserve"> Section 64.3002(d) of the </w:t>
      </w:r>
      <w:r w:rsidR="00972ABE" w:rsidRPr="00410091">
        <w:t>Commission’s Rules</w:t>
      </w:r>
    </w:p>
    <w:p w14:paraId="6A0936C0" w14:textId="77777777" w:rsidR="002E5547" w:rsidRDefault="00352C3E" w:rsidP="008A7948">
      <w:pPr>
        <w:pStyle w:val="ParaNum"/>
      </w:pPr>
      <w:r w:rsidRPr="000202CD">
        <w:t>Hinton</w:t>
      </w:r>
      <w:r w:rsidR="009670AB" w:rsidRPr="000202CD">
        <w:t xml:space="preserve"> </w:t>
      </w:r>
      <w:r w:rsidR="00E66CF5" w:rsidRPr="000202CD">
        <w:t xml:space="preserve">also </w:t>
      </w:r>
      <w:r w:rsidRPr="00410091">
        <w:t>seeks cancellation of the forfeiture</w:t>
      </w:r>
      <w:r w:rsidR="006D5D26" w:rsidRPr="00410091">
        <w:t>,</w:t>
      </w:r>
      <w:r w:rsidRPr="00410091">
        <w:t xml:space="preserve"> </w:t>
      </w:r>
      <w:r w:rsidR="002E5547" w:rsidRPr="00410091">
        <w:t xml:space="preserve">claiming </w:t>
      </w:r>
      <w:r w:rsidRPr="00410091">
        <w:t xml:space="preserve">that </w:t>
      </w:r>
      <w:r w:rsidR="002E5547" w:rsidRPr="00410091">
        <w:t xml:space="preserve">the 911 call translation and routing obligations of </w:t>
      </w:r>
      <w:r w:rsidRPr="00410091">
        <w:t xml:space="preserve">Section 64.3002(d) </w:t>
      </w:r>
      <w:r w:rsidR="002E5547" w:rsidRPr="00410091">
        <w:t xml:space="preserve">of the </w:t>
      </w:r>
      <w:r w:rsidR="00972ABE" w:rsidRPr="00410091">
        <w:t>Commission’s rules</w:t>
      </w:r>
      <w:r w:rsidR="002E5547" w:rsidRPr="00410091">
        <w:t xml:space="preserve"> would only apply to it</w:t>
      </w:r>
      <w:r w:rsidR="009670AB" w:rsidRPr="00410091">
        <w:t xml:space="preserve"> in the absence of a designated PSAP</w:t>
      </w:r>
      <w:r w:rsidR="00B2377E" w:rsidRPr="00410091">
        <w:t>.</w:t>
      </w:r>
      <w:r w:rsidR="00B2377E" w:rsidRPr="00410091">
        <w:rPr>
          <w:rStyle w:val="FootnoteReference"/>
          <w:sz w:val="22"/>
        </w:rPr>
        <w:footnoteReference w:id="24"/>
      </w:r>
      <w:r w:rsidR="00B2377E" w:rsidRPr="00410091">
        <w:t xml:space="preserve">  Hinton argues that because </w:t>
      </w:r>
      <w:r w:rsidRPr="00410091">
        <w:t>Caddo County designated a PSAP in December 2012</w:t>
      </w:r>
      <w:r w:rsidR="00B2377E" w:rsidRPr="00410091">
        <w:t>,</w:t>
      </w:r>
      <w:r w:rsidR="002E5547" w:rsidRPr="00410091">
        <w:t xml:space="preserve"> instead of </w:t>
      </w:r>
      <w:r w:rsidR="009670AB" w:rsidRPr="00410091">
        <w:t>its being subject to Section 64.</w:t>
      </w:r>
      <w:r w:rsidR="005D43CD" w:rsidRPr="00410091">
        <w:t>3</w:t>
      </w:r>
      <w:r w:rsidR="009670AB" w:rsidRPr="00410091">
        <w:t xml:space="preserve">002(d), it was subject only to </w:t>
      </w:r>
      <w:r w:rsidRPr="00410091">
        <w:t xml:space="preserve">Section 64.3002(e), </w:t>
      </w:r>
      <w:r w:rsidR="002E5547" w:rsidRPr="00410091">
        <w:t>which states that “[o]nce a PSAP is designated for an area where none had existed as of December 11, 2001, telecommunications carriers shall complete the translation and routing necessary to deliver 911 calls to that PSAP within nine months of that designation.”</w:t>
      </w:r>
      <w:r w:rsidR="002E5547" w:rsidRPr="00410091">
        <w:rPr>
          <w:rStyle w:val="FootnoteReference"/>
        </w:rPr>
        <w:footnoteReference w:id="25"/>
      </w:r>
      <w:r w:rsidR="002E5547" w:rsidRPr="00410091">
        <w:t xml:space="preserve">  Hinton contends that Section 64.3002(e) provided it </w:t>
      </w:r>
      <w:r w:rsidR="00D17EFA" w:rsidRPr="00410091">
        <w:t xml:space="preserve">with a </w:t>
      </w:r>
      <w:r w:rsidR="0041447B" w:rsidRPr="00410091">
        <w:t xml:space="preserve">nine-month </w:t>
      </w:r>
      <w:r w:rsidR="00D430D6" w:rsidRPr="00410091">
        <w:t>period to complete the translation and routing necessary to delive</w:t>
      </w:r>
      <w:r w:rsidR="00FB35A4" w:rsidRPr="00410091">
        <w:t>r</w:t>
      </w:r>
      <w:r w:rsidR="00EA6B58" w:rsidRPr="00410091">
        <w:t xml:space="preserve"> 911 calls </w:t>
      </w:r>
      <w:r w:rsidR="0041447B" w:rsidRPr="00410091">
        <w:t xml:space="preserve">to the Caddo County PSAP </w:t>
      </w:r>
      <w:r w:rsidR="009B776C" w:rsidRPr="00410091">
        <w:t>without regard to any standard of reasonable conduct</w:t>
      </w:r>
      <w:r w:rsidR="007E78D5" w:rsidRPr="00410091">
        <w:t xml:space="preserve"> during that period</w:t>
      </w:r>
      <w:r w:rsidR="00D430D6" w:rsidRPr="00410091">
        <w:t>.</w:t>
      </w:r>
      <w:r w:rsidRPr="77D22E49">
        <w:rPr>
          <w:rStyle w:val="FootnoteReference"/>
          <w:sz w:val="22"/>
        </w:rPr>
        <w:footnoteReference w:id="26"/>
      </w:r>
      <w:r w:rsidR="00D17EFA" w:rsidRPr="000202CD">
        <w:t xml:space="preserve">  </w:t>
      </w:r>
    </w:p>
    <w:p w14:paraId="7E864647" w14:textId="77777777" w:rsidR="000B2412" w:rsidRDefault="009E2D26" w:rsidP="008A7948">
      <w:pPr>
        <w:pStyle w:val="ParaNum"/>
      </w:pPr>
      <w:r w:rsidRPr="000202CD">
        <w:t xml:space="preserve">We find no merit to this argument.  </w:t>
      </w:r>
      <w:r w:rsidR="00C8166C" w:rsidRPr="000202CD">
        <w:t>H</w:t>
      </w:r>
      <w:r w:rsidR="00801F39" w:rsidRPr="000202CD">
        <w:t xml:space="preserve">inton’s interpretation </w:t>
      </w:r>
      <w:r w:rsidR="009E5ADE" w:rsidRPr="00410091">
        <w:t xml:space="preserve">of the </w:t>
      </w:r>
      <w:r w:rsidR="00972ABE" w:rsidRPr="00410091">
        <w:t>Commission’s rules</w:t>
      </w:r>
      <w:r w:rsidR="00186D24" w:rsidRPr="00410091">
        <w:t xml:space="preserve"> </w:t>
      </w:r>
      <w:r w:rsidR="002447DE" w:rsidRPr="00410091">
        <w:t xml:space="preserve">would </w:t>
      </w:r>
      <w:r w:rsidR="00714EAE" w:rsidRPr="00410091">
        <w:t>effectively provide</w:t>
      </w:r>
      <w:r w:rsidR="00EF0447" w:rsidRPr="00410091">
        <w:t xml:space="preserve"> </w:t>
      </w:r>
      <w:r w:rsidR="00F14441" w:rsidRPr="00410091">
        <w:t>telecommunication</w:t>
      </w:r>
      <w:r w:rsidR="00EF0447" w:rsidRPr="00410091">
        <w:t>s</w:t>
      </w:r>
      <w:r w:rsidR="00F14441" w:rsidRPr="00410091">
        <w:t xml:space="preserve"> carrier</w:t>
      </w:r>
      <w:r w:rsidR="00186D24" w:rsidRPr="00410091">
        <w:t xml:space="preserve">s an automatic nine-month </w:t>
      </w:r>
      <w:r w:rsidR="00714EAE" w:rsidRPr="00410091">
        <w:t xml:space="preserve">suspension </w:t>
      </w:r>
      <w:r w:rsidR="00186D24" w:rsidRPr="00410091">
        <w:t xml:space="preserve">of the requirement </w:t>
      </w:r>
      <w:r w:rsidR="0061343B" w:rsidRPr="00410091">
        <w:t xml:space="preserve">in Section 64.3002(d) </w:t>
      </w:r>
      <w:r w:rsidR="00186D24" w:rsidRPr="00410091">
        <w:t>to</w:t>
      </w:r>
      <w:r w:rsidR="00F14441" w:rsidRPr="00410091">
        <w:t xml:space="preserve"> use reasonable judgment </w:t>
      </w:r>
      <w:r w:rsidR="00F001D0" w:rsidRPr="00410091">
        <w:t xml:space="preserve">to </w:t>
      </w:r>
      <w:r w:rsidR="00041E25" w:rsidRPr="00410091">
        <w:t>identify an appropriate loca</w:t>
      </w:r>
      <w:r w:rsidR="00D54B11" w:rsidRPr="00410091">
        <w:t>l</w:t>
      </w:r>
      <w:r w:rsidR="00041E25" w:rsidRPr="00410091">
        <w:t xml:space="preserve"> emergency authority and </w:t>
      </w:r>
      <w:r w:rsidR="00F001D0" w:rsidRPr="00410091">
        <w:t xml:space="preserve">complete translation and </w:t>
      </w:r>
      <w:r w:rsidR="00D54B11" w:rsidRPr="00410091">
        <w:t>rout</w:t>
      </w:r>
      <w:r w:rsidR="00186D24" w:rsidRPr="00410091">
        <w:t>ing of</w:t>
      </w:r>
      <w:r w:rsidR="00F001D0" w:rsidRPr="00410091">
        <w:t xml:space="preserve"> e</w:t>
      </w:r>
      <w:r w:rsidR="00D54B11" w:rsidRPr="00410091">
        <w:t xml:space="preserve">mergency calls </w:t>
      </w:r>
      <w:r w:rsidR="0041447B" w:rsidRPr="00410091">
        <w:t xml:space="preserve">to such authority </w:t>
      </w:r>
      <w:r w:rsidR="002031A1" w:rsidRPr="00410091">
        <w:t>as of the date</w:t>
      </w:r>
      <w:r w:rsidR="001114E8" w:rsidRPr="00410091">
        <w:t xml:space="preserve"> </w:t>
      </w:r>
      <w:r w:rsidR="00D6033C" w:rsidRPr="00410091">
        <w:t xml:space="preserve">a </w:t>
      </w:r>
      <w:r w:rsidR="002447DE" w:rsidRPr="00410091">
        <w:t xml:space="preserve">PSAP </w:t>
      </w:r>
      <w:r w:rsidR="000700D0" w:rsidRPr="00410091">
        <w:t xml:space="preserve">is </w:t>
      </w:r>
      <w:r w:rsidR="00D6033C" w:rsidRPr="00410091">
        <w:t>designated</w:t>
      </w:r>
      <w:r w:rsidR="0041447B" w:rsidRPr="00410091">
        <w:t xml:space="preserve"> to receive 911 calls</w:t>
      </w:r>
      <w:r w:rsidR="00714EAE" w:rsidRPr="00410091">
        <w:t xml:space="preserve">.  </w:t>
      </w:r>
      <w:r w:rsidR="0061343B" w:rsidRPr="00410091">
        <w:t>Instead, Hinton’s interpretation appears to be that</w:t>
      </w:r>
      <w:r w:rsidR="00714EAE" w:rsidRPr="00410091">
        <w:t xml:space="preserve"> </w:t>
      </w:r>
      <w:r w:rsidR="006B3088" w:rsidRPr="00410091">
        <w:t xml:space="preserve">during this nine-month period no requirement </w:t>
      </w:r>
      <w:r w:rsidR="00714EAE" w:rsidRPr="00410091">
        <w:t xml:space="preserve">would </w:t>
      </w:r>
      <w:r w:rsidR="006B3088" w:rsidRPr="00410091">
        <w:t>apply at all</w:t>
      </w:r>
      <w:r w:rsidR="000700D0" w:rsidRPr="00410091">
        <w:t>.</w:t>
      </w:r>
      <w:r w:rsidR="00DC5648" w:rsidRPr="00410091">
        <w:t xml:space="preserve">  </w:t>
      </w:r>
      <w:r w:rsidR="00714EAE" w:rsidRPr="00410091">
        <w:t xml:space="preserve">We disagree.  </w:t>
      </w:r>
      <w:r w:rsidR="000B2412">
        <w:t>Section 64.3002 needs to be read in conjunction with Section 64.3001 which imposes a sweeping, affirmative obligation on carriers such as Hinton to route all 911 calls to “a PSAP, to a designated statewide default answering point, or to an appropriate local emergency authority as set forth in § 64.3002.”</w:t>
      </w:r>
      <w:r w:rsidR="000B2412">
        <w:rPr>
          <w:rStyle w:val="FootnoteReference"/>
        </w:rPr>
        <w:footnoteReference w:id="27"/>
      </w:r>
      <w:r w:rsidR="000B2412">
        <w:t xml:space="preserve">  Section 64.3002, on the other hand, establishes rules for the transition to 911 as the universal emergency telephone number, by setting out deadlines by which the carrier must “complete all translation and routing necessary” to deliver 911 calls to the PSAP or, in the absence of a PSAP, to a set of prioritized alternatives that turn on what alternative the area in question offers.</w:t>
      </w:r>
      <w:r w:rsidR="000B2412">
        <w:rPr>
          <w:rStyle w:val="FootnoteReference"/>
        </w:rPr>
        <w:footnoteReference w:id="28"/>
      </w:r>
      <w:r w:rsidR="000B2412">
        <w:t>  In other words, Section 64.3001 establishes the 911 transmission requirement while Section 64.3002 sets forth the methods that carriers can use to meet the requirement in Section 64.3001, establishes a hierarchy among those methods, and governs carriers’ transition from one method to the next. </w:t>
      </w:r>
    </w:p>
    <w:p w14:paraId="00430C88" w14:textId="77777777" w:rsidR="00352C3E" w:rsidRDefault="000B2412" w:rsidP="008A7948">
      <w:pPr>
        <w:pStyle w:val="ParaNum"/>
      </w:pPr>
      <w:r>
        <w:t>Moreover, Hinton’s</w:t>
      </w:r>
      <w:r w:rsidR="0061343B">
        <w:t xml:space="preserve"> interpretation </w:t>
      </w:r>
      <w:r>
        <w:t xml:space="preserve">also </w:t>
      </w:r>
      <w:r w:rsidR="0061343B">
        <w:t xml:space="preserve">contravenes the plain meaning of </w:t>
      </w:r>
      <w:r w:rsidR="00DC5648">
        <w:t>Section 64.3002.</w:t>
      </w:r>
      <w:r w:rsidR="00DC5648">
        <w:rPr>
          <w:rStyle w:val="FootnoteReference"/>
        </w:rPr>
        <w:footnoteReference w:id="29"/>
      </w:r>
      <w:r w:rsidR="00DC5648">
        <w:t xml:space="preserve">  </w:t>
      </w:r>
      <w:r w:rsidR="003C1E21">
        <w:t>Subsection</w:t>
      </w:r>
      <w:r w:rsidR="00543793">
        <w:t>s</w:t>
      </w:r>
      <w:r w:rsidR="003C1E21">
        <w:t xml:space="preserve"> (a) through (d) each set forth the obligation to “complete all translation and routing necessary to deliver 911 calls” to the entity specified in the rule subsection.</w:t>
      </w:r>
      <w:r w:rsidR="003C1E21">
        <w:rPr>
          <w:rStyle w:val="FootnoteReference"/>
        </w:rPr>
        <w:footnoteReference w:id="30"/>
      </w:r>
      <w:r w:rsidR="003C1E21">
        <w:t xml:space="preserve">  Subsection (e)</w:t>
      </w:r>
      <w:r w:rsidR="00543793">
        <w:t>,</w:t>
      </w:r>
      <w:r w:rsidR="003C1E21">
        <w:t xml:space="preserve"> in contrast</w:t>
      </w:r>
      <w:r w:rsidR="00543793">
        <w:t>,</w:t>
      </w:r>
      <w:r w:rsidR="003C1E21">
        <w:t xml:space="preserve"> provides a timetable for being able to deliver 911 calls to a PSAP after it is designated for an area that previously did not have a PSAP designation.</w:t>
      </w:r>
      <w:r w:rsidR="003C1E21">
        <w:rPr>
          <w:rStyle w:val="FootnoteReference"/>
        </w:rPr>
        <w:footnoteReference w:id="31"/>
      </w:r>
      <w:r w:rsidR="003C1E21">
        <w:t xml:space="preserve">  Thus, </w:t>
      </w:r>
      <w:r w:rsidR="00DC5648">
        <w:t xml:space="preserve">the more rational interpretation </w:t>
      </w:r>
      <w:r w:rsidR="003C1E21">
        <w:t xml:space="preserve">of the relationship between subsections (d) and (e) is </w:t>
      </w:r>
      <w:r w:rsidR="00DC5648">
        <w:t xml:space="preserve">that subsection (e) supplemented, </w:t>
      </w:r>
      <w:r w:rsidR="006354AD">
        <w:t>rather than</w:t>
      </w:r>
      <w:r w:rsidR="00DC5648">
        <w:t xml:space="preserve"> supplant</w:t>
      </w:r>
      <w:r w:rsidR="006354AD">
        <w:t>ed</w:t>
      </w:r>
      <w:r w:rsidR="00543793">
        <w:t>,</w:t>
      </w:r>
      <w:r w:rsidR="00DC5648">
        <w:t xml:space="preserve"> Hinton’s subsection (d) obligation to exercise reasonable judgment.</w:t>
      </w:r>
      <w:r w:rsidR="00D6033C" w:rsidRPr="002E5547">
        <w:t xml:space="preserve"> </w:t>
      </w:r>
      <w:r w:rsidR="00186D24" w:rsidRPr="002E5547">
        <w:t xml:space="preserve"> </w:t>
      </w:r>
      <w:r w:rsidR="00AE607F">
        <w:t xml:space="preserve">Hinton was thus required to continue to exercise reasonable judgement in its delivery of 911 calls during the </w:t>
      </w:r>
      <w:r w:rsidR="00543793">
        <w:t>nine</w:t>
      </w:r>
      <w:r w:rsidR="00AE607F">
        <w:t xml:space="preserve"> month period in which it was establishing the necessary routing and translation functions to be able to complete calls to the designated PSAP.  </w:t>
      </w:r>
      <w:r w:rsidR="006C3B41">
        <w:t>Hinton’s argument</w:t>
      </w:r>
      <w:r w:rsidR="00AE607F">
        <w:t>, to the contrary, would</w:t>
      </w:r>
      <w:r w:rsidR="006C3B41">
        <w:t xml:space="preserve"> call for </w:t>
      </w:r>
      <w:r w:rsidR="00352C3E" w:rsidRPr="002E5547">
        <w:t xml:space="preserve">an unnecessarily strained </w:t>
      </w:r>
      <w:r w:rsidR="003C1E21">
        <w:t xml:space="preserve">textual </w:t>
      </w:r>
      <w:r w:rsidR="00352C3E" w:rsidRPr="002E5547">
        <w:t>reading of Section 64.3002</w:t>
      </w:r>
      <w:r w:rsidR="003C1E21">
        <w:t>,</w:t>
      </w:r>
      <w:r w:rsidR="00352C3E" w:rsidRPr="002E5547">
        <w:t xml:space="preserve"> </w:t>
      </w:r>
      <w:r w:rsidR="003C1E21">
        <w:t>which</w:t>
      </w:r>
      <w:r w:rsidR="00352C3E" w:rsidRPr="002E5547">
        <w:t xml:space="preserve"> is </w:t>
      </w:r>
      <w:r w:rsidR="003C1E21">
        <w:t xml:space="preserve">also </w:t>
      </w:r>
      <w:r w:rsidR="00352C3E" w:rsidRPr="002E5547">
        <w:t xml:space="preserve">contrary to the Commission’s </w:t>
      </w:r>
      <w:r w:rsidR="00612B34">
        <w:t>intent when it created its 911 r</w:t>
      </w:r>
      <w:r w:rsidR="00352C3E" w:rsidRPr="002E5547">
        <w:t>ules</w:t>
      </w:r>
      <w:r w:rsidR="003C1E21">
        <w:t xml:space="preserve"> of ensuring the completion of 911 calls</w:t>
      </w:r>
      <w:r w:rsidR="00352C3E" w:rsidRPr="002E5547">
        <w:t>.</w:t>
      </w:r>
      <w:r w:rsidR="00352C3E" w:rsidRPr="00EC5ED9">
        <w:rPr>
          <w:rStyle w:val="FootnoteReference"/>
          <w:sz w:val="22"/>
        </w:rPr>
        <w:footnoteReference w:id="32"/>
      </w:r>
      <w:r w:rsidR="00352C3E" w:rsidRPr="002E5547">
        <w:t xml:space="preserve">  Accordingly, </w:t>
      </w:r>
      <w:r w:rsidR="006C3B41">
        <w:t>Hinton’s argument provides no basis for reconsideration.</w:t>
      </w:r>
    </w:p>
    <w:p w14:paraId="27445EE7" w14:textId="77777777" w:rsidR="00186D24" w:rsidRPr="00B63185" w:rsidRDefault="00186D24" w:rsidP="008A7948">
      <w:pPr>
        <w:pStyle w:val="Heading3"/>
      </w:pPr>
      <w:r w:rsidRPr="00B63185">
        <w:t>The Commission Has Jurisdiction</w:t>
      </w:r>
      <w:r w:rsidR="00110F79" w:rsidRPr="00B63185">
        <w:t xml:space="preserve"> to Regulate the Provision of Intrastate 911 Calls</w:t>
      </w:r>
    </w:p>
    <w:p w14:paraId="04F97ED1" w14:textId="77777777" w:rsidR="00471D3F" w:rsidRPr="00AC2342" w:rsidRDefault="00656DDF" w:rsidP="004B7AA2">
      <w:pPr>
        <w:pStyle w:val="ParaNum"/>
      </w:pPr>
      <w:r w:rsidRPr="00B63185">
        <w:t>Hinton a</w:t>
      </w:r>
      <w:r w:rsidR="00FB1F18" w:rsidRPr="00B63185">
        <w:t xml:space="preserve">lso </w:t>
      </w:r>
      <w:r w:rsidR="00FF0889" w:rsidRPr="00B63185">
        <w:t xml:space="preserve">seeks cancellation of the forfeiture </w:t>
      </w:r>
      <w:r w:rsidR="00A13864" w:rsidRPr="00B63185">
        <w:t>on the basis that</w:t>
      </w:r>
      <w:r w:rsidR="008D2AF2" w:rsidRPr="00B63185">
        <w:t xml:space="preserve"> </w:t>
      </w:r>
      <w:r w:rsidR="00866924" w:rsidRPr="00B63185">
        <w:t xml:space="preserve">the Commission </w:t>
      </w:r>
      <w:r w:rsidR="007448F9">
        <w:t>improperly assumed jurisdiction over intrastate emergency communications</w:t>
      </w:r>
      <w:r w:rsidR="00A666CD">
        <w:t xml:space="preserve">, </w:t>
      </w:r>
      <w:r w:rsidR="001C75DD">
        <w:t>asserting</w:t>
      </w:r>
      <w:r w:rsidR="00A666CD">
        <w:t xml:space="preserve"> that the</w:t>
      </w:r>
      <w:r w:rsidR="0071260A">
        <w:t xml:space="preserve"> 911 calls</w:t>
      </w:r>
      <w:r w:rsidR="00A666CD">
        <w:t xml:space="preserve"> </w:t>
      </w:r>
      <w:r w:rsidR="001C75DD">
        <w:t>that it routed to an automated message</w:t>
      </w:r>
      <w:r w:rsidR="0071260A">
        <w:t xml:space="preserve"> were entirely intrastate</w:t>
      </w:r>
      <w:r w:rsidR="00B16D72" w:rsidRPr="00B63185">
        <w:t>.</w:t>
      </w:r>
      <w:r w:rsidR="009B2B7A" w:rsidRPr="008A7948">
        <w:rPr>
          <w:rStyle w:val="FootnoteReference"/>
          <w:sz w:val="22"/>
        </w:rPr>
        <w:footnoteReference w:id="33"/>
      </w:r>
      <w:r w:rsidR="008A763D" w:rsidRPr="00B63185">
        <w:t xml:space="preserve"> </w:t>
      </w:r>
      <w:r w:rsidR="00135C0D">
        <w:t xml:space="preserve"> Hinton asserts further that the Commission exceeded its jurisdiction by failing to defer to advice </w:t>
      </w:r>
      <w:r w:rsidR="00A3746B">
        <w:t>Hinton</w:t>
      </w:r>
      <w:r w:rsidR="00135C0D">
        <w:t xml:space="preserve"> claims it received from </w:t>
      </w:r>
      <w:r w:rsidR="00084862">
        <w:t>the Oklahoma Corporation Commission (</w:t>
      </w:r>
      <w:r w:rsidR="00135C0D">
        <w:t>OCC</w:t>
      </w:r>
      <w:r w:rsidR="00084862">
        <w:t>)</w:t>
      </w:r>
      <w:r w:rsidR="00135C0D">
        <w:t xml:space="preserve"> staff.</w:t>
      </w:r>
      <w:r w:rsidR="00135C0D">
        <w:rPr>
          <w:rStyle w:val="FootnoteReference"/>
        </w:rPr>
        <w:footnoteReference w:id="34"/>
      </w:r>
      <w:r w:rsidR="00135C0D">
        <w:t xml:space="preserve"> </w:t>
      </w:r>
      <w:r w:rsidR="006049DC">
        <w:t xml:space="preserve"> </w:t>
      </w:r>
      <w:r w:rsidR="005D43CD">
        <w:t>Although a significant number of issues regarding regulation of 911 services lie within state jurisdiction,</w:t>
      </w:r>
      <w:r w:rsidR="005D43CD">
        <w:rPr>
          <w:rStyle w:val="FootnoteReference"/>
        </w:rPr>
        <w:footnoteReference w:id="35"/>
      </w:r>
      <w:r w:rsidR="005D43CD">
        <w:t xml:space="preserve"> we find that the 911 Act </w:t>
      </w:r>
      <w:r w:rsidR="006049DC">
        <w:t xml:space="preserve">gives the Commission jurisdiction over </w:t>
      </w:r>
      <w:r w:rsidR="005D43CD">
        <w:t xml:space="preserve">the specific issue addressed in the </w:t>
      </w:r>
      <w:r w:rsidR="005D43CD">
        <w:rPr>
          <w:i/>
        </w:rPr>
        <w:t>Forfeiture Order</w:t>
      </w:r>
      <w:r w:rsidR="005D43CD">
        <w:t xml:space="preserve">.  </w:t>
      </w:r>
      <w:r w:rsidR="00877065" w:rsidRPr="004B7AA2">
        <w:t>In the 911 Act, Congress directed the Commission to designate 911 as “the universal emergency telephone number within the United States for reporting an emergency to appropriate authorities and requesting assistance.”</w:t>
      </w:r>
      <w:r w:rsidR="00877065" w:rsidRPr="008A7948">
        <w:rPr>
          <w:rStyle w:val="FootnoteReference"/>
          <w:sz w:val="22"/>
        </w:rPr>
        <w:footnoteReference w:id="36"/>
      </w:r>
      <w:r w:rsidR="00877065" w:rsidRPr="004B7AA2">
        <w:t xml:space="preserve"> </w:t>
      </w:r>
      <w:r w:rsidR="001A4EDF" w:rsidRPr="004B7AA2">
        <w:t xml:space="preserve"> </w:t>
      </w:r>
      <w:r w:rsidR="003225F2">
        <w:t>Congress’</w:t>
      </w:r>
      <w:r w:rsidR="0070565D">
        <w:t xml:space="preserve"> express</w:t>
      </w:r>
      <w:r w:rsidR="003225F2">
        <w:t xml:space="preserve"> intent was to “encourage and facilitate the prompt deployment throughout the United States of a seamless, ubiquitous, and reliable end-to-end infrastructure for communications … to meet the Nation’s public safety … needs.”</w:t>
      </w:r>
      <w:r w:rsidR="003225F2">
        <w:rPr>
          <w:rStyle w:val="FootnoteReference"/>
        </w:rPr>
        <w:footnoteReference w:id="37"/>
      </w:r>
      <w:r w:rsidR="0070565D">
        <w:t xml:space="preserve">  </w:t>
      </w:r>
      <w:r w:rsidR="004B7AA2">
        <w:t>Pursuant to th</w:t>
      </w:r>
      <w:r w:rsidR="00543793">
        <w:t>e 911</w:t>
      </w:r>
      <w:r w:rsidR="004B7AA2">
        <w:t xml:space="preserve"> Act, t</w:t>
      </w:r>
      <w:r w:rsidR="00877065" w:rsidRPr="00A53566">
        <w:t xml:space="preserve">he Commission adopted Sections 64.3001 and 64.3002 to implement </w:t>
      </w:r>
      <w:r w:rsidR="00A666CD">
        <w:t>nationwide standards for 911 service</w:t>
      </w:r>
      <w:r w:rsidR="001114E8" w:rsidRPr="00A53566">
        <w:t>.</w:t>
      </w:r>
      <w:r w:rsidR="007448F9" w:rsidRPr="00A53566">
        <w:rPr>
          <w:rStyle w:val="FootnoteReference"/>
        </w:rPr>
        <w:footnoteReference w:id="38"/>
      </w:r>
      <w:r w:rsidR="0071260A">
        <w:t xml:space="preserve">  </w:t>
      </w:r>
      <w:r w:rsidR="00A357C2" w:rsidRPr="00D1063E">
        <w:rPr>
          <w:color w:val="000000"/>
        </w:rPr>
        <w:t>With these rules, the Commission sought “to ensure that the Congressional goals of the 911 Act for an expanded and improved nationwide emergency communications system are implemented effectively and efficiently.”</w:t>
      </w:r>
      <w:r w:rsidR="00A357C2" w:rsidRPr="008A65B6">
        <w:rPr>
          <w:rStyle w:val="FootnoteReference"/>
          <w:sz w:val="22"/>
        </w:rPr>
        <w:footnoteReference w:id="39"/>
      </w:r>
      <w:r w:rsidR="00A357C2">
        <w:rPr>
          <w:rFonts w:ascii="Verdana" w:hAnsi="Verdana"/>
          <w:color w:val="000000"/>
          <w:sz w:val="19"/>
          <w:szCs w:val="19"/>
        </w:rPr>
        <w:t xml:space="preserve">  </w:t>
      </w:r>
      <w:r w:rsidR="008A65B6">
        <w:t>T</w:t>
      </w:r>
      <w:r w:rsidR="003225F2">
        <w:t xml:space="preserve">he role that Congress envisioned for the Commission and </w:t>
      </w:r>
      <w:r w:rsidR="0070565D">
        <w:t>its</w:t>
      </w:r>
      <w:r w:rsidR="003225F2">
        <w:t xml:space="preserve"> rules could not be carried out if the Commission could not require carriers to have the infrastructure required to permit the transmission, translation, and routing “necessary to deliver 911 calls” to the appropriate local emergency authority.</w:t>
      </w:r>
      <w:r w:rsidR="003225F2">
        <w:rPr>
          <w:rStyle w:val="FootnoteReference"/>
        </w:rPr>
        <w:footnoteReference w:id="40"/>
      </w:r>
      <w:r w:rsidR="0070565D">
        <w:t xml:space="preserve">  </w:t>
      </w:r>
      <w:r w:rsidR="003464F0">
        <w:t xml:space="preserve">Hinton’s argument </w:t>
      </w:r>
      <w:r w:rsidR="00543793">
        <w:t xml:space="preserve">that the Commission lacks jurisdiction </w:t>
      </w:r>
      <w:r w:rsidR="003464F0">
        <w:t xml:space="preserve">would effectively nullify the 911 Act and the Commission’s 911 </w:t>
      </w:r>
      <w:r w:rsidR="000552F1">
        <w:t>rules</w:t>
      </w:r>
      <w:r w:rsidR="00543793">
        <w:t xml:space="preserve"> promulgated thereunder</w:t>
      </w:r>
      <w:r w:rsidR="00A666CD">
        <w:t xml:space="preserve">.  </w:t>
      </w:r>
      <w:r w:rsidR="001C75DD">
        <w:t xml:space="preserve">Accordingly, we disagree with Hinton’s </w:t>
      </w:r>
      <w:r w:rsidR="00564ED1">
        <w:t>assertion</w:t>
      </w:r>
      <w:r w:rsidR="001C75DD">
        <w:t xml:space="preserve"> that </w:t>
      </w:r>
      <w:r w:rsidR="00A666CD">
        <w:t xml:space="preserve">the </w:t>
      </w:r>
      <w:r w:rsidR="00564ED1">
        <w:t>Commission lacks the</w:t>
      </w:r>
      <w:r w:rsidR="001C75DD">
        <w:t xml:space="preserve"> authority to enforce its rules for </w:t>
      </w:r>
      <w:r w:rsidR="00564ED1">
        <w:t xml:space="preserve">provisioning </w:t>
      </w:r>
      <w:r w:rsidR="00A666CD">
        <w:t xml:space="preserve">911 calls, and </w:t>
      </w:r>
      <w:r w:rsidR="00564ED1">
        <w:t xml:space="preserve">find </w:t>
      </w:r>
      <w:r w:rsidR="001C75DD">
        <w:t xml:space="preserve">that </w:t>
      </w:r>
      <w:r w:rsidR="00A666CD">
        <w:t>Hinton’s argument provides no basis for reconsideration.</w:t>
      </w:r>
      <w:r w:rsidR="006354AD">
        <w:t xml:space="preserve">  </w:t>
      </w:r>
    </w:p>
    <w:p w14:paraId="7282D0F2" w14:textId="77777777" w:rsidR="00862005" w:rsidRDefault="00862005" w:rsidP="009D1C3F">
      <w:pPr>
        <w:pStyle w:val="Heading3"/>
      </w:pPr>
      <w:r>
        <w:t xml:space="preserve">Hinton’s </w:t>
      </w:r>
      <w:r w:rsidR="00D54726">
        <w:t>Compliance with</w:t>
      </w:r>
      <w:r>
        <w:t xml:space="preserve"> Section 64.3003 of the Commission’</w:t>
      </w:r>
      <w:r w:rsidR="00D54726">
        <w:t xml:space="preserve">s Rules Did Not </w:t>
      </w:r>
      <w:r w:rsidR="008B5880">
        <w:t xml:space="preserve">Thereby </w:t>
      </w:r>
      <w:r w:rsidR="00F45BE9">
        <w:t>Render I</w:t>
      </w:r>
      <w:r w:rsidR="00D54726">
        <w:t>ts Actions Reasonable under Sections 64.3001 and 64.3002 of the Commission’s Rules</w:t>
      </w:r>
    </w:p>
    <w:p w14:paraId="1F96B686" w14:textId="170D4D02" w:rsidR="00DF7411" w:rsidRPr="00E466D3" w:rsidRDefault="00D54726" w:rsidP="006A0F10">
      <w:pPr>
        <w:pStyle w:val="ParaNum"/>
        <w:rPr>
          <w:szCs w:val="22"/>
        </w:rPr>
      </w:pPr>
      <w:r>
        <w:t xml:space="preserve">In its Petition, Hinton also argues that “in light of Section 64.3003 of the Rules” the Commission should have found that it had “exercised reasonable judgment during the May-August 2013 period” because “Section 64.3003 expressly permits permissive dialing via seven-or-ten-digit emergency numbers that the public previously used to reach emergency service providers until the appropriate State or local jurisdiction determines that it is appropriate to phase out the use of such seven-or-ten-digit </w:t>
      </w:r>
      <w:r w:rsidR="00353745">
        <w:t>numbers entirely and use 911 exclusively.”</w:t>
      </w:r>
      <w:r>
        <w:rPr>
          <w:rStyle w:val="FootnoteReference"/>
        </w:rPr>
        <w:footnoteReference w:id="41"/>
      </w:r>
      <w:r>
        <w:t xml:space="preserve"> </w:t>
      </w:r>
      <w:r w:rsidR="00353745">
        <w:t xml:space="preserve"> Hinton further argues that “[g]iven there was no such determination </w:t>
      </w:r>
      <w:r w:rsidR="00B026F8">
        <w:t xml:space="preserve">from </w:t>
      </w:r>
      <w:r w:rsidR="00353745">
        <w:t>the OCC or Caddo County prior to August 5, 2013, Hinton’s actions in providing local emergency number lists … were compliant with the requirements of Section 64.3003</w:t>
      </w:r>
      <w:r w:rsidR="00353745" w:rsidRPr="00E466D3">
        <w:rPr>
          <w:szCs w:val="22"/>
        </w:rPr>
        <w:t>.”</w:t>
      </w:r>
      <w:r w:rsidR="00353745" w:rsidRPr="00E466D3">
        <w:rPr>
          <w:rStyle w:val="FootnoteReference"/>
          <w:sz w:val="22"/>
          <w:szCs w:val="22"/>
        </w:rPr>
        <w:footnoteReference w:id="42"/>
      </w:r>
      <w:r w:rsidR="00295039" w:rsidRPr="00E466D3">
        <w:rPr>
          <w:szCs w:val="22"/>
        </w:rPr>
        <w:t xml:space="preserve">  </w:t>
      </w:r>
      <w:r w:rsidR="00E466D3" w:rsidRPr="00341F36">
        <w:rPr>
          <w:szCs w:val="22"/>
        </w:rPr>
        <w:t xml:space="preserve">While Hinton is correct that some seven-to-ten-digit emergency service is permitted under some circumstances under Section 64.3003, </w:t>
      </w:r>
      <w:r w:rsidR="004B3B18">
        <w:rPr>
          <w:szCs w:val="22"/>
        </w:rPr>
        <w:t>that section</w:t>
      </w:r>
      <w:r w:rsidR="00E466D3" w:rsidRPr="00341F36">
        <w:rPr>
          <w:szCs w:val="22"/>
        </w:rPr>
        <w:t xml:space="preserve"> is not relevant to this proceeding.</w:t>
      </w:r>
      <w:r w:rsidR="00E8352C" w:rsidRPr="00341F36">
        <w:rPr>
          <w:szCs w:val="22"/>
        </w:rPr>
        <w:t xml:space="preserve"> </w:t>
      </w:r>
      <w:r w:rsidR="00E466D3" w:rsidRPr="00341F36">
        <w:rPr>
          <w:szCs w:val="22"/>
        </w:rPr>
        <w:t xml:space="preserve"> This is because, where 911 service is provided, it must be provided in compliance wit</w:t>
      </w:r>
      <w:r w:rsidR="001D12F5">
        <w:rPr>
          <w:szCs w:val="22"/>
        </w:rPr>
        <w:t xml:space="preserve">h Sections 64.3001 and 64.3002.  </w:t>
      </w:r>
      <w:r w:rsidR="00E466D3" w:rsidRPr="00341F36">
        <w:rPr>
          <w:szCs w:val="22"/>
        </w:rPr>
        <w:t xml:space="preserve">For reasons set forth in the </w:t>
      </w:r>
      <w:r w:rsidR="00E466D3" w:rsidRPr="00341F36">
        <w:rPr>
          <w:i/>
          <w:iCs/>
          <w:szCs w:val="22"/>
        </w:rPr>
        <w:t>Hinton Forfeiture Order</w:t>
      </w:r>
      <w:r w:rsidR="00E466D3" w:rsidRPr="00341F36">
        <w:rPr>
          <w:szCs w:val="22"/>
        </w:rPr>
        <w:t xml:space="preserve"> and this reconsideration order, Hinton’s provision of 911 service did not comply with Sections 64.3001 and 64.3002 during the time in question.</w:t>
      </w:r>
      <w:r w:rsidR="00AD52EA" w:rsidRPr="00341F36">
        <w:rPr>
          <w:szCs w:val="22"/>
        </w:rPr>
        <w:t xml:space="preserve">  </w:t>
      </w:r>
      <w:r w:rsidR="004C5D00" w:rsidRPr="00E466D3">
        <w:rPr>
          <w:szCs w:val="22"/>
        </w:rPr>
        <w:t>Th</w:t>
      </w:r>
      <w:r w:rsidR="009F67D4" w:rsidRPr="00E466D3">
        <w:rPr>
          <w:szCs w:val="22"/>
        </w:rPr>
        <w:t>us th</w:t>
      </w:r>
      <w:r w:rsidR="004C5D00" w:rsidRPr="00E466D3">
        <w:rPr>
          <w:szCs w:val="22"/>
        </w:rPr>
        <w:t>is argument also provides no basis for reconsideration.</w:t>
      </w:r>
      <w:r w:rsidR="006A0F10" w:rsidRPr="00E466D3">
        <w:rPr>
          <w:szCs w:val="22"/>
        </w:rPr>
        <w:t xml:space="preserve">   </w:t>
      </w:r>
    </w:p>
    <w:p w14:paraId="73E4E7A7" w14:textId="77777777" w:rsidR="00110F79" w:rsidRDefault="00361159" w:rsidP="00765DF5">
      <w:pPr>
        <w:pStyle w:val="Heading2"/>
      </w:pPr>
      <w:r>
        <w:t xml:space="preserve">The Petition’s Previously-Presented Arguments Provide No Basis for </w:t>
      </w:r>
      <w:r w:rsidR="00B3506D">
        <w:t>Reconsideration</w:t>
      </w:r>
      <w:r>
        <w:t xml:space="preserve"> of the </w:t>
      </w:r>
      <w:r>
        <w:rPr>
          <w:i/>
        </w:rPr>
        <w:t>Forfeiture Order</w:t>
      </w:r>
    </w:p>
    <w:p w14:paraId="2F97DB9E" w14:textId="6E438E08" w:rsidR="00D81FF9" w:rsidRDefault="00E463B3" w:rsidP="00337171">
      <w:pPr>
        <w:pStyle w:val="ParaNum"/>
      </w:pPr>
      <w:r w:rsidRPr="00E463B3">
        <w:rPr>
          <w:color w:val="000000"/>
        </w:rPr>
        <w:t xml:space="preserve"> </w:t>
      </w:r>
      <w:r>
        <w:rPr>
          <w:color w:val="000000"/>
        </w:rPr>
        <w:t xml:space="preserve">Hinton raises a number of arguments that we considered and rejected in the </w:t>
      </w:r>
      <w:r>
        <w:rPr>
          <w:i/>
          <w:color w:val="000000"/>
        </w:rPr>
        <w:t>Forfeiture Order</w:t>
      </w:r>
      <w:r w:rsidR="00045ADA">
        <w:rPr>
          <w:color w:val="000000"/>
        </w:rPr>
        <w:t xml:space="preserve">.  </w:t>
      </w:r>
      <w:r>
        <w:rPr>
          <w:color w:val="000000"/>
        </w:rPr>
        <w:t>Among other things,</w:t>
      </w:r>
      <w:r w:rsidR="00361159" w:rsidRPr="00337171">
        <w:t xml:space="preserve"> </w:t>
      </w:r>
      <w:r w:rsidR="00110F79" w:rsidRPr="00361159">
        <w:rPr>
          <w:color w:val="000000"/>
        </w:rPr>
        <w:t xml:space="preserve">Hinton </w:t>
      </w:r>
      <w:r w:rsidR="00110F79" w:rsidRPr="00361159">
        <w:t>again challenges the Bureau</w:t>
      </w:r>
      <w:r w:rsidR="00612B34">
        <w:t xml:space="preserve">’s determination that </w:t>
      </w:r>
      <w:r w:rsidR="00D81FF9">
        <w:t>the company</w:t>
      </w:r>
      <w:r w:rsidR="00110F79" w:rsidRPr="00361159">
        <w:t xml:space="preserve"> </w:t>
      </w:r>
      <w:r w:rsidR="00B35485">
        <w:t xml:space="preserve">violated Sections 64.3001 and 64.3002(d) </w:t>
      </w:r>
      <w:r w:rsidR="00110F79" w:rsidRPr="00361159">
        <w:t>when it continued to knowin</w:t>
      </w:r>
      <w:r w:rsidR="00B3506D">
        <w:t xml:space="preserve">gly route 911 calls to the </w:t>
      </w:r>
      <w:r w:rsidR="00110F79" w:rsidRPr="00361159">
        <w:t>automated o</w:t>
      </w:r>
      <w:r w:rsidR="00B35485">
        <w:t xml:space="preserve">perator, contending that </w:t>
      </w:r>
      <w:r w:rsidR="00FE3CD8">
        <w:t>its</w:t>
      </w:r>
      <w:r w:rsidR="00110F79" w:rsidRPr="00361159">
        <w:t xml:space="preserve"> </w:t>
      </w:r>
      <w:r w:rsidR="00FE3CD8">
        <w:t xml:space="preserve">alleged </w:t>
      </w:r>
      <w:r w:rsidR="00110F79" w:rsidRPr="00361159">
        <w:t xml:space="preserve">unique circumstances in </w:t>
      </w:r>
      <w:r w:rsidR="00FE3CD8">
        <w:t>upgrading</w:t>
      </w:r>
      <w:r w:rsidR="00FE3CD8" w:rsidRPr="00361159">
        <w:t xml:space="preserve"> </w:t>
      </w:r>
      <w:r w:rsidR="00110F79" w:rsidRPr="00361159">
        <w:t xml:space="preserve">its switching system, its actions to explore temporary patches during </w:t>
      </w:r>
      <w:r w:rsidR="00FE3CD8">
        <w:t>its then</w:t>
      </w:r>
      <w:r w:rsidR="00FE3CD8" w:rsidRPr="00361159">
        <w:t xml:space="preserve"> </w:t>
      </w:r>
      <w:r w:rsidR="00110F79" w:rsidRPr="00361159">
        <w:t xml:space="preserve">ongoing </w:t>
      </w:r>
      <w:r w:rsidR="00B3506D">
        <w:t xml:space="preserve">911 </w:t>
      </w:r>
      <w:r w:rsidR="00110F79" w:rsidRPr="00361159">
        <w:t>transition, and its placement of newspaper and bil</w:t>
      </w:r>
      <w:r w:rsidR="00B3506D">
        <w:t>l insert notices listing</w:t>
      </w:r>
      <w:r w:rsidR="00110F79" w:rsidRPr="00361159">
        <w:t xml:space="preserve"> telephone numbe</w:t>
      </w:r>
      <w:r w:rsidR="00B3506D">
        <w:t>rs of relevant first res</w:t>
      </w:r>
      <w:r w:rsidR="00D92917">
        <w:t>ponders</w:t>
      </w:r>
      <w:r w:rsidR="005F23E7">
        <w:t>, as well as construction at the planned PSAP location,</w:t>
      </w:r>
      <w:r w:rsidR="00D92917">
        <w:t xml:space="preserve"> demonstrate it exercised</w:t>
      </w:r>
      <w:r w:rsidR="00110F79" w:rsidRPr="00361159">
        <w:t xml:space="preserve"> reasonable judgement in its provision of emergency telecommunications services in Caddo County.</w:t>
      </w:r>
      <w:r w:rsidR="00110F79" w:rsidRPr="00EC5ED9">
        <w:rPr>
          <w:rStyle w:val="FootnoteReference"/>
          <w:sz w:val="22"/>
        </w:rPr>
        <w:footnoteReference w:id="43"/>
      </w:r>
      <w:r w:rsidR="00110F79" w:rsidRPr="00361159">
        <w:t xml:space="preserve">  In the </w:t>
      </w:r>
      <w:r w:rsidR="00110F79" w:rsidRPr="00361159">
        <w:rPr>
          <w:i/>
        </w:rPr>
        <w:t>Forfeiture Order</w:t>
      </w:r>
      <w:r w:rsidR="00110F79" w:rsidRPr="00361159">
        <w:t xml:space="preserve">, however, the Bureau fully considered and rejected </w:t>
      </w:r>
      <w:r w:rsidR="00612B34">
        <w:t xml:space="preserve">Hinton’s arguments that </w:t>
      </w:r>
      <w:r w:rsidR="00FE3CD8">
        <w:t>these factors show</w:t>
      </w:r>
      <w:r w:rsidR="00B624B4">
        <w:t xml:space="preserve"> </w:t>
      </w:r>
      <w:r w:rsidR="00612B34">
        <w:t xml:space="preserve">it </w:t>
      </w:r>
      <w:r w:rsidR="00110F79">
        <w:t xml:space="preserve">had </w:t>
      </w:r>
      <w:r w:rsidR="00110F79" w:rsidRPr="00361159">
        <w:t>exercised reasonable judgment for the three month period after it learn</w:t>
      </w:r>
      <w:r w:rsidR="00B35485">
        <w:t>ed</w:t>
      </w:r>
      <w:r w:rsidR="00110F79" w:rsidRPr="00361159">
        <w:t xml:space="preserve"> that 911 calls were bein</w:t>
      </w:r>
      <w:r w:rsidR="00B35485">
        <w:t>g routed to an automated operator</w:t>
      </w:r>
      <w:r w:rsidR="00D4663E">
        <w:t>, and we reject Hinton’s arguments in its Petition for Reconsideration for the same reasons</w:t>
      </w:r>
      <w:r w:rsidR="00110F79" w:rsidRPr="00361159">
        <w:t>.</w:t>
      </w:r>
      <w:r w:rsidR="00110F79" w:rsidRPr="00EC5ED9">
        <w:rPr>
          <w:rStyle w:val="FootnoteReference"/>
          <w:sz w:val="22"/>
        </w:rPr>
        <w:footnoteReference w:id="44"/>
      </w:r>
      <w:r w:rsidR="00110F79" w:rsidRPr="00361159">
        <w:t xml:space="preserve">  </w:t>
      </w:r>
    </w:p>
    <w:p w14:paraId="6FD1103E" w14:textId="77777777" w:rsidR="001A3A65" w:rsidRPr="00337171" w:rsidRDefault="00110F79" w:rsidP="00B0271B">
      <w:pPr>
        <w:pStyle w:val="ParaNum"/>
      </w:pPr>
      <w:r w:rsidRPr="00972ABE">
        <w:t xml:space="preserve">Hinton also reiterates its argument that, except for </w:t>
      </w:r>
      <w:r w:rsidR="00273F00">
        <w:t>its</w:t>
      </w:r>
      <w:r w:rsidRPr="00972ABE">
        <w:t xml:space="preserve"> self-disclosed </w:t>
      </w:r>
      <w:r w:rsidRPr="00972ABE">
        <w:rPr>
          <w:i/>
        </w:rPr>
        <w:t>pro forma</w:t>
      </w:r>
      <w:r w:rsidRPr="00972ABE">
        <w:t xml:space="preserve"> transfer of control violation </w:t>
      </w:r>
      <w:r w:rsidR="00D81FF9">
        <w:t>that</w:t>
      </w:r>
      <w:r w:rsidR="00D81FF9" w:rsidRPr="00972ABE">
        <w:t xml:space="preserve"> </w:t>
      </w:r>
      <w:r w:rsidRPr="00972ABE">
        <w:t>occurred 23 years ago, i</w:t>
      </w:r>
      <w:r w:rsidR="00B35485" w:rsidRPr="00972ABE">
        <w:t xml:space="preserve">ts overall record of </w:t>
      </w:r>
      <w:r w:rsidRPr="00F849F1">
        <w:t xml:space="preserve">regulatory </w:t>
      </w:r>
      <w:r w:rsidRPr="00972ABE">
        <w:t>compliance with the Commission’s requireme</w:t>
      </w:r>
      <w:r w:rsidR="00B35485" w:rsidRPr="00972ABE">
        <w:t xml:space="preserve">nts and </w:t>
      </w:r>
      <w:r w:rsidRPr="00F849F1">
        <w:t xml:space="preserve">its record of </w:t>
      </w:r>
      <w:r w:rsidRPr="00972ABE">
        <w:t>providing 911 and/or E911 service in the four ot</w:t>
      </w:r>
      <w:r w:rsidR="00B35485" w:rsidRPr="00972ABE">
        <w:t>her Oklahoma counties it serves</w:t>
      </w:r>
      <w:r w:rsidRPr="00972ABE">
        <w:t xml:space="preserve"> provides a basis for cancellation of the proposed forfeiture.</w:t>
      </w:r>
      <w:r w:rsidRPr="00EC5ED9">
        <w:rPr>
          <w:rStyle w:val="FootnoteReference"/>
          <w:sz w:val="22"/>
        </w:rPr>
        <w:footnoteReference w:id="45"/>
      </w:r>
      <w:r w:rsidRPr="00972ABE">
        <w:t xml:space="preserve">  </w:t>
      </w:r>
      <w:r w:rsidR="007357B7">
        <w:t>As noted, ho</w:t>
      </w:r>
      <w:r w:rsidR="007318D9">
        <w:t>w</w:t>
      </w:r>
      <w:r w:rsidR="007357B7">
        <w:t>ever, i</w:t>
      </w:r>
      <w:r w:rsidRPr="00972ABE">
        <w:t xml:space="preserve">n the </w:t>
      </w:r>
      <w:r w:rsidRPr="00972ABE">
        <w:rPr>
          <w:i/>
        </w:rPr>
        <w:t>Forfeiture Order</w:t>
      </w:r>
      <w:r w:rsidRPr="00972ABE">
        <w:t xml:space="preserve"> the Bureau fully considered and rejected these arguments</w:t>
      </w:r>
      <w:r w:rsidR="00B35485" w:rsidRPr="00972ABE">
        <w:t>,</w:t>
      </w:r>
      <w:r w:rsidRPr="00972ABE">
        <w:t xml:space="preserve"> concluding Hinton’s compliance record did not excuse or mitigate its failure over an extended period of time to use reasonable judgment in routing 911 calls in Caddo County.</w:t>
      </w:r>
      <w:r w:rsidRPr="00EC5ED9">
        <w:rPr>
          <w:rStyle w:val="FootnoteReference"/>
          <w:sz w:val="22"/>
        </w:rPr>
        <w:footnoteReference w:id="46"/>
      </w:r>
      <w:r w:rsidRPr="00972ABE">
        <w:t xml:space="preserve">  </w:t>
      </w:r>
      <w:r w:rsidR="004D7291">
        <w:t xml:space="preserve">There is nothing in Hinton’s petition that would provide adequate justification for revisiting this issue.  </w:t>
      </w:r>
      <w:r w:rsidRPr="00972ABE">
        <w:t xml:space="preserve">Accordingly, we </w:t>
      </w:r>
      <w:r w:rsidR="004D7291">
        <w:t xml:space="preserve">reject this argument </w:t>
      </w:r>
      <w:r w:rsidRPr="00972ABE">
        <w:t xml:space="preserve">as merely reiterative of </w:t>
      </w:r>
      <w:r w:rsidR="004D7291">
        <w:t xml:space="preserve">an </w:t>
      </w:r>
      <w:r w:rsidRPr="00972ABE">
        <w:t>argument previously raised by Hinton</w:t>
      </w:r>
      <w:r w:rsidR="00B624B4">
        <w:t xml:space="preserve"> and</w:t>
      </w:r>
      <w:r w:rsidRPr="00972ABE">
        <w:t xml:space="preserve"> fully considered and rejected </w:t>
      </w:r>
      <w:r w:rsidR="00B624B4">
        <w:t xml:space="preserve">by the Bureau </w:t>
      </w:r>
      <w:r w:rsidRPr="00972ABE">
        <w:t xml:space="preserve">in its </w:t>
      </w:r>
      <w:r w:rsidRPr="00972ABE">
        <w:rPr>
          <w:i/>
        </w:rPr>
        <w:t>Forfeiture Order</w:t>
      </w:r>
      <w:r w:rsidRPr="00972ABE">
        <w:t>.</w:t>
      </w:r>
      <w:r w:rsidRPr="00EC5ED9">
        <w:rPr>
          <w:rStyle w:val="FootnoteReference"/>
          <w:sz w:val="22"/>
        </w:rPr>
        <w:footnoteReference w:id="47"/>
      </w:r>
    </w:p>
    <w:p w14:paraId="4268FE2E" w14:textId="77777777" w:rsidR="00877C81" w:rsidRPr="00B63185" w:rsidRDefault="00877C81" w:rsidP="00337171">
      <w:pPr>
        <w:pStyle w:val="Heading1"/>
      </w:pPr>
      <w:r w:rsidRPr="00B63185">
        <w:t>ORDERING Clauses</w:t>
      </w:r>
    </w:p>
    <w:p w14:paraId="50EBF4AA" w14:textId="77777777" w:rsidR="009C3F66" w:rsidRPr="00B63185" w:rsidRDefault="009C3F66" w:rsidP="00337171">
      <w:pPr>
        <w:pStyle w:val="ParaNum"/>
      </w:pPr>
      <w:r w:rsidRPr="00B63185">
        <w:t xml:space="preserve">Accordingly, </w:t>
      </w:r>
      <w:r w:rsidRPr="00B63185">
        <w:rPr>
          <w:b/>
        </w:rPr>
        <w:t xml:space="preserve">IT IS ORDERED </w:t>
      </w:r>
      <w:r w:rsidRPr="00B63185">
        <w:t>that, pursu</w:t>
      </w:r>
      <w:r w:rsidR="00B35485">
        <w:t xml:space="preserve">ant to Section 405 of the </w:t>
      </w:r>
      <w:r w:rsidRPr="00193A4F">
        <w:t>Communications Act of 1934, as amended</w:t>
      </w:r>
      <w:r w:rsidR="00D26F9D" w:rsidRPr="00193A4F">
        <w:t xml:space="preserve"> (Act),</w:t>
      </w:r>
      <w:r w:rsidR="00CF4791" w:rsidRPr="00B63185">
        <w:t xml:space="preserve"> </w:t>
      </w:r>
      <w:r w:rsidRPr="00B63185">
        <w:t xml:space="preserve">and Section 1.106 of the </w:t>
      </w:r>
      <w:r w:rsidR="00972ABE">
        <w:t>Commission’s rules</w:t>
      </w:r>
      <w:r w:rsidRPr="00B63185">
        <w:t xml:space="preserve">, the Petition for Reconsideration filed by </w:t>
      </w:r>
      <w:r w:rsidR="00B9404A" w:rsidRPr="00B63185">
        <w:t>Hinton</w:t>
      </w:r>
      <w:r w:rsidRPr="00B63185">
        <w:rPr>
          <w:spacing w:val="-2"/>
        </w:rPr>
        <w:t xml:space="preserve"> </w:t>
      </w:r>
      <w:r w:rsidR="001D7942" w:rsidRPr="00B63185">
        <w:rPr>
          <w:spacing w:val="-2"/>
        </w:rPr>
        <w:t xml:space="preserve">is </w:t>
      </w:r>
      <w:r w:rsidRPr="00B63185">
        <w:rPr>
          <w:spacing w:val="-2"/>
        </w:rPr>
        <w:t xml:space="preserve">hereby </w:t>
      </w:r>
      <w:r w:rsidRPr="00B63185">
        <w:rPr>
          <w:b/>
        </w:rPr>
        <w:t>DENIED</w:t>
      </w:r>
      <w:r w:rsidRPr="00B63185">
        <w:t>.</w:t>
      </w:r>
      <w:r w:rsidR="00000990" w:rsidRPr="00EC5ED9">
        <w:rPr>
          <w:rStyle w:val="FootnoteReference"/>
          <w:sz w:val="22"/>
        </w:rPr>
        <w:footnoteReference w:id="48"/>
      </w:r>
    </w:p>
    <w:p w14:paraId="07160251" w14:textId="77777777" w:rsidR="009C3F66" w:rsidRPr="00B63185" w:rsidRDefault="009C3F66" w:rsidP="00337171">
      <w:pPr>
        <w:pStyle w:val="ParaNum"/>
      </w:pPr>
      <w:r w:rsidRPr="00B63185">
        <w:rPr>
          <w:b/>
        </w:rPr>
        <w:t>IT IS FURTHER ORDERED</w:t>
      </w:r>
      <w:r w:rsidRPr="00B63185">
        <w:t xml:space="preserve"> that, pursuant to Section 503(b) of the </w:t>
      </w:r>
      <w:r w:rsidR="00D26F9D" w:rsidRPr="00B63185">
        <w:t>Act</w:t>
      </w:r>
      <w:r w:rsidR="00901425" w:rsidRPr="00B63185">
        <w:t xml:space="preserve"> </w:t>
      </w:r>
      <w:r w:rsidRPr="00B63185">
        <w:t>and Sections 0.111, 0.311</w:t>
      </w:r>
      <w:r w:rsidR="00D26F9D" w:rsidRPr="00B63185">
        <w:t xml:space="preserve">, and 1.80 of the </w:t>
      </w:r>
      <w:r w:rsidR="00972ABE">
        <w:t>Commission’s rules</w:t>
      </w:r>
      <w:r w:rsidRPr="00B63185">
        <w:t xml:space="preserve">, </w:t>
      </w:r>
      <w:r w:rsidR="00B9404A" w:rsidRPr="00B63185">
        <w:t>Hinton</w:t>
      </w:r>
      <w:r w:rsidRPr="00B63185">
        <w:rPr>
          <w:spacing w:val="-2"/>
        </w:rPr>
        <w:t xml:space="preserve"> </w:t>
      </w:r>
      <w:r w:rsidRPr="00B63185">
        <w:rPr>
          <w:b/>
        </w:rPr>
        <w:t>IS LIABLE FOR A MONETARY FORFEITURE</w:t>
      </w:r>
      <w:r w:rsidRPr="00B63185">
        <w:t xml:space="preserve"> of</w:t>
      </w:r>
      <w:r w:rsidR="00353DAF">
        <w:t xml:space="preserve"> one hundred thousand dollars</w:t>
      </w:r>
      <w:r w:rsidRPr="00B63185">
        <w:t xml:space="preserve"> </w:t>
      </w:r>
      <w:r w:rsidR="00353DAF">
        <w:t>(</w:t>
      </w:r>
      <w:r w:rsidR="00B9404A" w:rsidRPr="00B63185">
        <w:t>$100,000</w:t>
      </w:r>
      <w:r w:rsidR="00353DAF">
        <w:t>)</w:t>
      </w:r>
      <w:r w:rsidR="00D26F9D" w:rsidRPr="00B63185">
        <w:t xml:space="preserve"> for willfully </w:t>
      </w:r>
      <w:r w:rsidR="00B9404A" w:rsidRPr="00B63185">
        <w:t>and repeatedly</w:t>
      </w:r>
      <w:r w:rsidR="00D26F9D" w:rsidRPr="00B63185">
        <w:t xml:space="preserve"> violating </w:t>
      </w:r>
      <w:r w:rsidR="00B9404A" w:rsidRPr="00B63185">
        <w:t xml:space="preserve">Sections 64.3001 and 64.3002(d) of the </w:t>
      </w:r>
      <w:r w:rsidR="00972ABE">
        <w:t>Commission’s rules</w:t>
      </w:r>
      <w:r w:rsidRPr="00B63185">
        <w:t>.</w:t>
      </w:r>
      <w:r w:rsidR="00353DAF">
        <w:rPr>
          <w:rStyle w:val="FootnoteReference"/>
        </w:rPr>
        <w:footnoteReference w:id="49"/>
      </w:r>
    </w:p>
    <w:p w14:paraId="726387C2" w14:textId="77777777" w:rsidR="0083291F" w:rsidRPr="00B63185" w:rsidRDefault="0083291F" w:rsidP="00337171">
      <w:pPr>
        <w:pStyle w:val="ParaNum"/>
        <w:rPr>
          <w:rFonts w:eastAsia="MS Mincho"/>
          <w:color w:val="000000"/>
        </w:rPr>
      </w:pPr>
      <w:r w:rsidRPr="00B63185">
        <w:rPr>
          <w:rFonts w:eastAsia="MS Mincho"/>
        </w:rPr>
        <w:t>Payment of the forfeiture shall be made in the manner provided for in Sectio</w:t>
      </w:r>
      <w:r w:rsidR="00D26F9D" w:rsidRPr="00B63185">
        <w:rPr>
          <w:rFonts w:eastAsia="MS Mincho"/>
        </w:rPr>
        <w:t xml:space="preserve">n 1.80 of the </w:t>
      </w:r>
      <w:r w:rsidR="00972ABE">
        <w:rPr>
          <w:rFonts w:eastAsia="MS Mincho"/>
        </w:rPr>
        <w:t>Commission’s rules</w:t>
      </w:r>
      <w:r w:rsidRPr="00B63185">
        <w:rPr>
          <w:rFonts w:eastAsia="MS Mincho"/>
        </w:rPr>
        <w:t xml:space="preserve"> within thirty (30) calendar days after the release date of this Memorandum Opinion</w:t>
      </w:r>
      <w:r w:rsidR="00901425" w:rsidRPr="00B63185">
        <w:rPr>
          <w:rFonts w:eastAsia="MS Mincho"/>
        </w:rPr>
        <w:t xml:space="preserve"> and</w:t>
      </w:r>
      <w:r w:rsidRPr="00B63185">
        <w:rPr>
          <w:rFonts w:eastAsia="MS Mincho"/>
        </w:rPr>
        <w:t xml:space="preserve"> Order.</w:t>
      </w:r>
      <w:r w:rsidR="005224CB" w:rsidRPr="00337171">
        <w:rPr>
          <w:rStyle w:val="FootnoteReference"/>
          <w:rFonts w:eastAsia="MS Mincho"/>
          <w:sz w:val="22"/>
        </w:rPr>
        <w:footnoteReference w:id="50"/>
      </w:r>
      <w:r w:rsidRPr="00B63185">
        <w:rPr>
          <w:rFonts w:eastAsia="MS Mincho"/>
        </w:rPr>
        <w:t xml:space="preserve"> </w:t>
      </w:r>
      <w:r w:rsidR="00714A37" w:rsidRPr="00B63185">
        <w:rPr>
          <w:rFonts w:eastAsia="MS Mincho"/>
        </w:rPr>
        <w:t xml:space="preserve"> </w:t>
      </w:r>
      <w:r w:rsidRPr="00B63185">
        <w:rPr>
          <w:rFonts w:eastAsia="MS Mincho"/>
        </w:rPr>
        <w:t>If the forfeiture is not paid within the period specified, the case may be referred to the U.S. Department of Justice for enforcement of the forfeiture pursuant</w:t>
      </w:r>
      <w:r w:rsidR="00D26F9D" w:rsidRPr="00B63185">
        <w:rPr>
          <w:rFonts w:eastAsia="MS Mincho"/>
        </w:rPr>
        <w:t xml:space="preserve"> to Section 504(a) of the Act</w:t>
      </w:r>
      <w:r w:rsidRPr="00B63185">
        <w:rPr>
          <w:rFonts w:eastAsia="MS Mincho"/>
        </w:rPr>
        <w:t>.</w:t>
      </w:r>
      <w:r w:rsidR="005224CB" w:rsidRPr="00337171">
        <w:rPr>
          <w:rStyle w:val="FootnoteReference"/>
          <w:rFonts w:eastAsia="MS Mincho"/>
          <w:sz w:val="22"/>
        </w:rPr>
        <w:footnoteReference w:id="51"/>
      </w:r>
      <w:r w:rsidRPr="00B63185">
        <w:rPr>
          <w:rFonts w:eastAsia="MS Mincho"/>
        </w:rPr>
        <w:t xml:space="preserve">  </w:t>
      </w:r>
    </w:p>
    <w:p w14:paraId="6F5C0F5D" w14:textId="77777777" w:rsidR="0083291F" w:rsidRPr="00B63185" w:rsidRDefault="00193A4F" w:rsidP="00337171">
      <w:pPr>
        <w:pStyle w:val="ParaNum"/>
        <w:rPr>
          <w:rFonts w:eastAsia="MS Mincho"/>
        </w:rPr>
      </w:pPr>
      <w:r w:rsidRPr="00B63185">
        <w:t xml:space="preserve">Payment of the forfeiture must be made by check or similar instrument, wire transfer, or credit card, and must </w:t>
      </w:r>
      <w:r w:rsidRPr="00B63185">
        <w:rPr>
          <w:rFonts w:eastAsia="MS Mincho"/>
        </w:rPr>
        <w:t>include</w:t>
      </w:r>
      <w:r w:rsidRPr="00B63185">
        <w:t xml:space="preserve"> the NAL/Account Number and FRN referenced above.  </w:t>
      </w:r>
      <w:r w:rsidR="00B9404A" w:rsidRPr="00B63185">
        <w:t xml:space="preserve">Hinton </w:t>
      </w:r>
      <w:r w:rsidRPr="00B63185">
        <w:t>shall send electronic notification of payment to</w:t>
      </w:r>
      <w:r w:rsidR="00B9404A" w:rsidRPr="00B63185">
        <w:t xml:space="preserve"> JoAnn Lucanik at </w:t>
      </w:r>
      <w:r w:rsidR="00C83C73" w:rsidRPr="00B63185">
        <w:t>J</w:t>
      </w:r>
      <w:r w:rsidR="00B9404A" w:rsidRPr="00B63185">
        <w:t>o</w:t>
      </w:r>
      <w:r w:rsidR="00C83C73" w:rsidRPr="00B63185">
        <w:t>A</w:t>
      </w:r>
      <w:r w:rsidR="00B9404A" w:rsidRPr="00B63185">
        <w:t>nn.</w:t>
      </w:r>
      <w:r w:rsidR="00C83C73" w:rsidRPr="00B63185">
        <w:t>L</w:t>
      </w:r>
      <w:r w:rsidR="00B9404A" w:rsidRPr="00B63185">
        <w:t>ucanik@fcc.gov and William Reed at william.reed@fcc.gov</w:t>
      </w:r>
      <w:r w:rsidRPr="00B63185">
        <w:t xml:space="preserve"> on the date said payment is made.  </w:t>
      </w:r>
      <w:r w:rsidR="0083291F" w:rsidRPr="00B63185">
        <w:rPr>
          <w:rFonts w:eastAsia="MS Mincho"/>
        </w:rPr>
        <w:t>Regardless of the form of payment, a completed FCC Form 159 (Remittance Advice) must be submitted.</w:t>
      </w:r>
      <w:r w:rsidR="005224CB" w:rsidRPr="00337171">
        <w:rPr>
          <w:rStyle w:val="FootnoteReference"/>
          <w:rFonts w:eastAsia="MS Mincho"/>
          <w:sz w:val="22"/>
        </w:rPr>
        <w:footnoteReference w:id="52"/>
      </w:r>
      <w:r w:rsidR="0083291F" w:rsidRPr="00B63185">
        <w:rPr>
          <w:rFonts w:eastAsia="MS Mincho"/>
        </w:rPr>
        <w:t xml:space="preserve">  When completing the FCC Form 159, enter the Account Number in block number 23A (call sign/other ID) and enter the letters “FORF” in block number 24A (payment type code).  </w:t>
      </w:r>
      <w:r w:rsidRPr="00B63185">
        <w:t>Below are additional instructions that should be followed based on the form of payment selected:</w:t>
      </w:r>
      <w:r w:rsidR="0083291F" w:rsidRPr="00B63185">
        <w:rPr>
          <w:color w:val="000000"/>
        </w:rPr>
        <w:t xml:space="preserve">  </w:t>
      </w:r>
    </w:p>
    <w:p w14:paraId="39C66696" w14:textId="77777777" w:rsidR="0083291F" w:rsidRPr="00B63185" w:rsidRDefault="0083291F" w:rsidP="00B0271B">
      <w:pPr>
        <w:pStyle w:val="ParaNum"/>
        <w:keepLines/>
        <w:numPr>
          <w:ilvl w:val="0"/>
          <w:numId w:val="8"/>
        </w:numPr>
        <w:tabs>
          <w:tab w:val="clear" w:pos="1080"/>
        </w:tabs>
        <w:rPr>
          <w:rFonts w:eastAsia="MS Mincho"/>
        </w:rPr>
      </w:pPr>
      <w:r w:rsidRPr="00B63185">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0B5A4F74" w14:textId="77777777" w:rsidR="0083291F" w:rsidRPr="00B63185" w:rsidRDefault="0083291F" w:rsidP="00337171">
      <w:pPr>
        <w:pStyle w:val="ParaNum"/>
        <w:keepNext/>
        <w:keepLines/>
        <w:numPr>
          <w:ilvl w:val="0"/>
          <w:numId w:val="8"/>
        </w:numPr>
        <w:tabs>
          <w:tab w:val="clear" w:pos="1080"/>
        </w:tabs>
        <w:rPr>
          <w:rFonts w:eastAsia="MS Mincho"/>
        </w:rPr>
      </w:pPr>
      <w:r w:rsidRPr="00B63185">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22A6C925" w14:textId="77777777" w:rsidR="0083291F" w:rsidRPr="00B63185" w:rsidRDefault="0083291F" w:rsidP="00337171">
      <w:pPr>
        <w:pStyle w:val="ParaNum"/>
        <w:numPr>
          <w:ilvl w:val="0"/>
          <w:numId w:val="8"/>
        </w:numPr>
        <w:tabs>
          <w:tab w:val="clear" w:pos="1080"/>
        </w:tabs>
        <w:rPr>
          <w:rFonts w:eastAsia="MS Mincho"/>
        </w:rPr>
      </w:pPr>
      <w:r w:rsidRPr="00B63185">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737F462A" w14:textId="77777777" w:rsidR="00353DAF" w:rsidRDefault="0083291F" w:rsidP="00337171">
      <w:pPr>
        <w:pStyle w:val="ParaNum"/>
        <w:rPr>
          <w:rFonts w:eastAsia="MS Mincho"/>
        </w:rPr>
      </w:pPr>
      <w:r w:rsidRPr="00B63185">
        <w:rPr>
          <w:rFonts w:eastAsia="MS Mincho"/>
        </w:rPr>
        <w:t>Any request for making full payment over time under an installment plan should be sent to:  Chief Financial Officer—Financial Operations, Federal Communications Commission, 445 12th Street, S.W., Room 1-A625, Washington, D</w:t>
      </w:r>
      <w:r w:rsidR="00D26F9D" w:rsidRPr="00B63185">
        <w:rPr>
          <w:rFonts w:eastAsia="MS Mincho"/>
        </w:rPr>
        <w:t>.</w:t>
      </w:r>
      <w:r w:rsidRPr="00B63185">
        <w:rPr>
          <w:rFonts w:eastAsia="MS Mincho"/>
        </w:rPr>
        <w:t>C</w:t>
      </w:r>
      <w:r w:rsidR="00D26F9D" w:rsidRPr="00B63185">
        <w:rPr>
          <w:rFonts w:eastAsia="MS Mincho"/>
        </w:rPr>
        <w:t>.</w:t>
      </w:r>
      <w:r w:rsidRPr="00B63185">
        <w:rPr>
          <w:rFonts w:eastAsia="MS Mincho"/>
        </w:rPr>
        <w:t xml:space="preserve"> 20554.</w:t>
      </w:r>
      <w:r w:rsidR="006C1286" w:rsidRPr="00EC5ED9">
        <w:rPr>
          <w:rStyle w:val="FootnoteReference"/>
          <w:rFonts w:eastAsia="MS Mincho"/>
          <w:sz w:val="22"/>
        </w:rPr>
        <w:footnoteReference w:id="53"/>
      </w:r>
      <w:r w:rsidRPr="00B63185">
        <w:rPr>
          <w:rFonts w:eastAsia="MS Mincho"/>
        </w:rPr>
        <w:t xml:space="preserve">  </w:t>
      </w:r>
      <w:r w:rsidR="00E815FC" w:rsidRPr="00B63185">
        <w:rPr>
          <w:rFonts w:eastAsia="MS Mincho"/>
        </w:rPr>
        <w:t>Q</w:t>
      </w:r>
      <w:r w:rsidRPr="00B63185">
        <w:rPr>
          <w:rFonts w:eastAsia="MS Mincho"/>
        </w:rPr>
        <w:t>uestions re</w:t>
      </w:r>
      <w:r w:rsidR="00E815FC" w:rsidRPr="00B63185">
        <w:rPr>
          <w:rFonts w:eastAsia="MS Mincho"/>
        </w:rPr>
        <w:t>garding payment procedures s</w:t>
      </w:r>
      <w:r w:rsidRPr="00B63185">
        <w:rPr>
          <w:rFonts w:eastAsia="MS Mincho"/>
        </w:rPr>
        <w:t xml:space="preserve">hould </w:t>
      </w:r>
      <w:r w:rsidR="00E815FC" w:rsidRPr="00B63185">
        <w:rPr>
          <w:rFonts w:eastAsia="MS Mincho"/>
        </w:rPr>
        <w:t>be directed to</w:t>
      </w:r>
      <w:r w:rsidRPr="00B63185">
        <w:rPr>
          <w:rFonts w:eastAsia="MS Mincho"/>
        </w:rPr>
        <w:t xml:space="preserve"> the Financial Operations Group Help Desk by phone, 1-877-480-3201, or by e</w:t>
      </w:r>
      <w:r w:rsidRPr="00B63185">
        <w:rPr>
          <w:rFonts w:eastAsia="MS Mincho"/>
        </w:rPr>
        <w:noBreakHyphen/>
        <w:t>mail, ARINQUIRIES@fcc.gov. </w:t>
      </w:r>
    </w:p>
    <w:p w14:paraId="74B39C29" w14:textId="77777777" w:rsidR="0083291F" w:rsidRPr="00337171" w:rsidRDefault="0083291F" w:rsidP="00337171">
      <w:pPr>
        <w:pStyle w:val="ParaNum"/>
        <w:rPr>
          <w:rFonts w:eastAsia="MS Mincho"/>
        </w:rPr>
      </w:pPr>
      <w:r w:rsidRPr="00353DAF">
        <w:rPr>
          <w:b/>
        </w:rPr>
        <w:t>IT IS FURTHER ORDERED</w:t>
      </w:r>
      <w:r w:rsidRPr="00353DAF">
        <w:t xml:space="preserve"> </w:t>
      </w:r>
      <w:r w:rsidR="00C94F1E" w:rsidRPr="00353DAF">
        <w:t xml:space="preserve">that a copy of this Memorandum Opinion and Order </w:t>
      </w:r>
      <w:r w:rsidR="00193A4F" w:rsidRPr="00353DAF">
        <w:rPr>
          <w:color w:val="000000" w:themeColor="text1"/>
        </w:rPr>
        <w:t xml:space="preserve">shall be sent by first class mail and certified mail, return receipt requested, </w:t>
      </w:r>
      <w:r w:rsidR="00B9404A" w:rsidRPr="00353DAF">
        <w:rPr>
          <w:color w:val="000000" w:themeColor="text1"/>
        </w:rPr>
        <w:t xml:space="preserve">to </w:t>
      </w:r>
      <w:r w:rsidR="00B9404A" w:rsidRPr="00353DAF">
        <w:t xml:space="preserve">Kenneth Doughty, Chief Executive Officer, </w:t>
      </w:r>
      <w:r w:rsidR="00B9404A" w:rsidRPr="00353DAF">
        <w:rPr>
          <w:rFonts w:eastAsia="MS Mincho"/>
        </w:rPr>
        <w:t xml:space="preserve">The </w:t>
      </w:r>
      <w:r w:rsidR="00B9404A" w:rsidRPr="00353DAF">
        <w:rPr>
          <w:spacing w:val="-2"/>
        </w:rPr>
        <w:t>Hinton Telephone Company</w:t>
      </w:r>
      <w:r w:rsidR="00B9404A" w:rsidRPr="00353DAF">
        <w:rPr>
          <w:rFonts w:eastAsia="MS Mincho"/>
        </w:rPr>
        <w:t xml:space="preserve"> of Hinton, Oklahoma, Inc., </w:t>
      </w:r>
      <w:r w:rsidR="00B9404A" w:rsidRPr="00353DAF">
        <w:t xml:space="preserve">d/b/a Hinton Telephone Company, 200 West Main Street, Hinton, Oklahoma 73047; Kendall Parrish, Comingdeer &amp; Associates, 6011 North Robinson Avenue, </w:t>
      </w:r>
      <w:r w:rsidR="00B9404A" w:rsidRPr="00353DAF">
        <w:rPr>
          <w:rFonts w:eastAsia="MS Mincho"/>
        </w:rPr>
        <w:t>Oklahoma</w:t>
      </w:r>
      <w:r w:rsidR="00B9404A" w:rsidRPr="00353DAF">
        <w:t xml:space="preserve"> City, Oklahoma 73118; and to Gerard J. Duffy, Blooston, Mordkofsky, Dickens, Duffy &amp; Prendergast, LLP, Suite 300, 2120 L Street NW, Washington, DC 20037.</w:t>
      </w:r>
    </w:p>
    <w:p w14:paraId="297AC81B" w14:textId="77777777" w:rsidR="002A6579" w:rsidRDefault="002A6579" w:rsidP="00337171"/>
    <w:p w14:paraId="665B8D59" w14:textId="77777777" w:rsidR="001C7672" w:rsidRDefault="001C7672" w:rsidP="00337171"/>
    <w:p w14:paraId="614A6B7E" w14:textId="77777777" w:rsidR="0083291F" w:rsidRPr="002A6579" w:rsidRDefault="0083291F" w:rsidP="00337171">
      <w:r w:rsidRPr="00193A4F">
        <w:tab/>
      </w:r>
      <w:r w:rsidRPr="00193A4F">
        <w:tab/>
      </w:r>
      <w:r w:rsidRPr="00193A4F">
        <w:tab/>
      </w:r>
      <w:r w:rsidRPr="00193A4F">
        <w:tab/>
      </w:r>
      <w:r w:rsidRPr="00193A4F">
        <w:tab/>
      </w:r>
      <w:r w:rsidRPr="00193A4F">
        <w:tab/>
      </w:r>
      <w:r w:rsidRPr="002A6579">
        <w:t>FEDERAL COMMUNICATIONS COMMISSION</w:t>
      </w:r>
    </w:p>
    <w:p w14:paraId="7F0AAAA5" w14:textId="77777777" w:rsidR="0083291F" w:rsidRPr="00193A4F" w:rsidRDefault="0083291F" w:rsidP="00337171"/>
    <w:p w14:paraId="57416F08" w14:textId="77777777" w:rsidR="002D0E6B" w:rsidRDefault="002D0E6B" w:rsidP="00337171"/>
    <w:p w14:paraId="044D5FC0" w14:textId="77777777" w:rsidR="00F4143A" w:rsidRDefault="00F4143A" w:rsidP="00337171"/>
    <w:p w14:paraId="275EF40F" w14:textId="77777777" w:rsidR="00F4143A" w:rsidRPr="00193A4F" w:rsidRDefault="00F4143A" w:rsidP="00337171"/>
    <w:p w14:paraId="00C5BCD8" w14:textId="77777777" w:rsidR="002D0E6B" w:rsidRPr="00193A4F" w:rsidRDefault="002D0E6B" w:rsidP="00337171">
      <w:r w:rsidRPr="00193A4F">
        <w:tab/>
      </w:r>
      <w:r w:rsidRPr="00193A4F">
        <w:tab/>
      </w:r>
      <w:r w:rsidRPr="00193A4F">
        <w:tab/>
      </w:r>
      <w:r w:rsidRPr="00193A4F">
        <w:tab/>
      </w:r>
      <w:r w:rsidRPr="00193A4F">
        <w:tab/>
      </w:r>
      <w:r w:rsidRPr="00193A4F">
        <w:tab/>
      </w:r>
      <w:r w:rsidR="00160A7F" w:rsidRPr="00193A4F">
        <w:t>Travis LeBlanc</w:t>
      </w:r>
    </w:p>
    <w:p w14:paraId="3CEA5255" w14:textId="77777777" w:rsidR="00160A7F" w:rsidRPr="00193A4F" w:rsidRDefault="00160A7F" w:rsidP="00337171">
      <w:r w:rsidRPr="00193A4F">
        <w:tab/>
      </w:r>
      <w:r w:rsidRPr="00193A4F">
        <w:tab/>
      </w:r>
      <w:r w:rsidRPr="00193A4F">
        <w:tab/>
      </w:r>
      <w:r w:rsidRPr="00193A4F">
        <w:tab/>
      </w:r>
      <w:r w:rsidRPr="00193A4F">
        <w:tab/>
      </w:r>
      <w:r w:rsidRPr="00193A4F">
        <w:tab/>
        <w:t>Chief</w:t>
      </w:r>
    </w:p>
    <w:p w14:paraId="046552A3" w14:textId="77777777" w:rsidR="00B7594D" w:rsidRPr="006E5991" w:rsidRDefault="00160A7F" w:rsidP="00337171">
      <w:r w:rsidRPr="00193A4F">
        <w:tab/>
      </w:r>
      <w:r w:rsidRPr="00193A4F">
        <w:tab/>
      </w:r>
      <w:r w:rsidRPr="00193A4F">
        <w:tab/>
      </w:r>
      <w:r w:rsidRPr="00193A4F">
        <w:tab/>
      </w:r>
      <w:r w:rsidRPr="00193A4F">
        <w:tab/>
      </w:r>
      <w:r w:rsidRPr="00193A4F">
        <w:tab/>
        <w:t>Enforcement Bureau</w:t>
      </w:r>
    </w:p>
    <w:sectPr w:rsidR="00B7594D" w:rsidRPr="006E5991" w:rsidSect="000202C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95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40FC2" w14:textId="77777777" w:rsidR="005B284B" w:rsidRDefault="005B284B" w:rsidP="006E5991">
      <w:r>
        <w:separator/>
      </w:r>
    </w:p>
  </w:endnote>
  <w:endnote w:type="continuationSeparator" w:id="0">
    <w:p w14:paraId="5F456082" w14:textId="77777777" w:rsidR="005B284B" w:rsidRDefault="005B284B" w:rsidP="00B23CDC">
      <w:r>
        <w:continuationSeparator/>
      </w:r>
    </w:p>
  </w:endnote>
  <w:endnote w:type="continuationNotice" w:id="1">
    <w:p w14:paraId="68123B5B" w14:textId="77777777" w:rsidR="005B284B" w:rsidRDefault="005B2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1394" w14:textId="77777777" w:rsidR="00BB0D04" w:rsidRDefault="00BB0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21007"/>
      <w:docPartObj>
        <w:docPartGallery w:val="Page Numbers (Bottom of Page)"/>
        <w:docPartUnique/>
      </w:docPartObj>
    </w:sdtPr>
    <w:sdtEndPr>
      <w:rPr>
        <w:noProof/>
      </w:rPr>
    </w:sdtEndPr>
    <w:sdtContent>
      <w:p w14:paraId="04A7B0A7" w14:textId="55892449" w:rsidR="001D12F5" w:rsidRDefault="001D12F5">
        <w:pPr>
          <w:pStyle w:val="Footer"/>
          <w:jc w:val="center"/>
        </w:pPr>
        <w:r>
          <w:fldChar w:fldCharType="begin"/>
        </w:r>
        <w:r>
          <w:instrText xml:space="preserve"> PAGE   \* MERGEFORMAT </w:instrText>
        </w:r>
        <w:r>
          <w:fldChar w:fldCharType="separate"/>
        </w:r>
        <w:r w:rsidR="001311A5">
          <w:rPr>
            <w:noProof/>
          </w:rPr>
          <w:t>2</w:t>
        </w:r>
        <w:r>
          <w:rPr>
            <w:noProof/>
          </w:rPr>
          <w:fldChar w:fldCharType="end"/>
        </w:r>
      </w:p>
    </w:sdtContent>
  </w:sdt>
  <w:p w14:paraId="5175CC9C" w14:textId="77777777" w:rsidR="001D12F5" w:rsidRDefault="001D1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6729" w14:textId="77777777" w:rsidR="00BB0D04" w:rsidRDefault="00BB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58B88" w14:textId="77777777" w:rsidR="005B284B" w:rsidRDefault="005B284B" w:rsidP="00B23CDC">
      <w:r>
        <w:separator/>
      </w:r>
    </w:p>
  </w:footnote>
  <w:footnote w:type="continuationSeparator" w:id="0">
    <w:p w14:paraId="496EB08E" w14:textId="77777777" w:rsidR="005B284B" w:rsidRPr="006E5991" w:rsidRDefault="005B284B" w:rsidP="006E5991">
      <w:r>
        <w:continuationSeparator/>
      </w:r>
    </w:p>
  </w:footnote>
  <w:footnote w:type="continuationNotice" w:id="1">
    <w:p w14:paraId="35C30579" w14:textId="77777777" w:rsidR="005B284B" w:rsidRPr="006E5991" w:rsidRDefault="005B284B" w:rsidP="006E5991"/>
  </w:footnote>
  <w:footnote w:id="2">
    <w:p w14:paraId="529CC0CA" w14:textId="77777777" w:rsidR="00B9404A" w:rsidRPr="001B1FD1" w:rsidRDefault="00B9404A" w:rsidP="00972ABE">
      <w:pPr>
        <w:pStyle w:val="FootnoteText"/>
      </w:pPr>
      <w:r w:rsidRPr="001B1FD1">
        <w:rPr>
          <w:rStyle w:val="FootnoteReference"/>
        </w:rPr>
        <w:footnoteRef/>
      </w:r>
      <w:r w:rsidRPr="001B1FD1">
        <w:t xml:space="preserve"> The investigation initiated under File No. EB-SED-13-00010169 was subsequently assigned File No. </w:t>
      </w:r>
      <w:r w:rsidRPr="001B1FD1">
        <w:rPr>
          <w:bCs/>
        </w:rPr>
        <w:t>EB-SED-14-00016210</w:t>
      </w:r>
      <w:r w:rsidRPr="001B1FD1">
        <w:t>.  Any future correspondence with the FCC concerning this matter should reflect the new case number.</w:t>
      </w:r>
    </w:p>
  </w:footnote>
  <w:footnote w:id="3">
    <w:p w14:paraId="629CF16D" w14:textId="77777777" w:rsidR="00893D15" w:rsidRPr="001B1FD1" w:rsidRDefault="00893D15" w:rsidP="00972ABE">
      <w:pPr>
        <w:pStyle w:val="FootnoteText"/>
      </w:pPr>
      <w:r w:rsidRPr="001B1FD1">
        <w:rPr>
          <w:rStyle w:val="FootnoteReference"/>
        </w:rPr>
        <w:footnoteRef/>
      </w:r>
      <w:r w:rsidRPr="001B1FD1">
        <w:t xml:space="preserve"> 47 C.F.R. § 1.106.</w:t>
      </w:r>
    </w:p>
  </w:footnote>
  <w:footnote w:id="4">
    <w:p w14:paraId="39E6DFF4" w14:textId="77777777" w:rsidR="000D5041" w:rsidRPr="001B1FD1" w:rsidRDefault="000D5041" w:rsidP="00972ABE">
      <w:pPr>
        <w:pStyle w:val="FootnoteText"/>
      </w:pPr>
      <w:r w:rsidRPr="001B1FD1">
        <w:rPr>
          <w:rStyle w:val="FootnoteReference"/>
        </w:rPr>
        <w:footnoteRef/>
      </w:r>
      <w:r w:rsidRPr="001B1FD1">
        <w:t xml:space="preserve"> </w:t>
      </w:r>
      <w:r w:rsidRPr="001B1FD1">
        <w:rPr>
          <w:i/>
        </w:rPr>
        <w:t>See</w:t>
      </w:r>
      <w:r w:rsidRPr="001B1FD1">
        <w:t xml:space="preserve"> </w:t>
      </w:r>
      <w:r w:rsidRPr="001B1FD1">
        <w:rPr>
          <w:i/>
        </w:rPr>
        <w:t>EZ Sacramento, Inc.</w:t>
      </w:r>
      <w:r w:rsidRPr="001B1FD1">
        <w:t>,</w:t>
      </w:r>
      <w:r w:rsidRPr="001B1FD1">
        <w:rPr>
          <w:i/>
        </w:rPr>
        <w:t xml:space="preserve"> </w:t>
      </w:r>
      <w:r w:rsidRPr="001B1FD1">
        <w:t xml:space="preserve">Memorandum Opinion and Order, 15 FCC Rcd 18257, 18257, para. 2 (Enf. Bur. 2000) (citing </w:t>
      </w:r>
      <w:r w:rsidRPr="001B1FD1">
        <w:rPr>
          <w:i/>
        </w:rPr>
        <w:t>WWIZ, Inc.</w:t>
      </w:r>
      <w:r w:rsidRPr="001B1FD1">
        <w:t>,</w:t>
      </w:r>
      <w:r w:rsidRPr="001B1FD1">
        <w:rPr>
          <w:i/>
        </w:rPr>
        <w:t xml:space="preserve"> </w:t>
      </w:r>
      <w:r w:rsidRPr="001B1FD1">
        <w:t xml:space="preserve">Memorandum Opinion and Order, 37 FCC 685, 686 (1964), </w:t>
      </w:r>
      <w:r w:rsidRPr="001B1FD1">
        <w:rPr>
          <w:i/>
        </w:rPr>
        <w:t>aff’d sub. nom. Lorain Journal Co. v. FCC</w:t>
      </w:r>
      <w:r w:rsidRPr="001B1FD1">
        <w:t>,</w:t>
      </w:r>
      <w:r w:rsidRPr="001B1FD1">
        <w:rPr>
          <w:i/>
        </w:rPr>
        <w:t xml:space="preserve"> </w:t>
      </w:r>
      <w:r w:rsidRPr="001B1FD1">
        <w:t xml:space="preserve">351 F.2d 824 (D.C. Cir. 1965), </w:t>
      </w:r>
      <w:r w:rsidRPr="001B1FD1">
        <w:rPr>
          <w:i/>
        </w:rPr>
        <w:t>cert. denied</w:t>
      </w:r>
      <w:r w:rsidRPr="001B1FD1">
        <w:t>,</w:t>
      </w:r>
      <w:r w:rsidRPr="001B1FD1">
        <w:rPr>
          <w:i/>
        </w:rPr>
        <w:t xml:space="preserve"> </w:t>
      </w:r>
      <w:r w:rsidRPr="001B1FD1">
        <w:t xml:space="preserve">383 U.S. 967 (1966)); </w:t>
      </w:r>
      <w:r w:rsidRPr="001B1FD1">
        <w:rPr>
          <w:i/>
        </w:rPr>
        <w:t>see also</w:t>
      </w:r>
      <w:r w:rsidRPr="001B1FD1">
        <w:t xml:space="preserve"> </w:t>
      </w:r>
      <w:r w:rsidRPr="001B1FD1">
        <w:rPr>
          <w:i/>
        </w:rPr>
        <w:t>Ely Radio</w:t>
      </w:r>
      <w:r w:rsidRPr="001B1FD1">
        <w:t>,</w:t>
      </w:r>
      <w:r w:rsidRPr="001B1FD1">
        <w:rPr>
          <w:i/>
        </w:rPr>
        <w:t xml:space="preserve"> LLC</w:t>
      </w:r>
      <w:r w:rsidRPr="001B1FD1">
        <w:t xml:space="preserve">, Memorandum Opinion and Order, 27 FCC Rcd 7608, 7610, para. 6 (Enf. Bur. 2012) (articulating the standard of review for Petitions for Reconsideration). </w:t>
      </w:r>
    </w:p>
  </w:footnote>
  <w:footnote w:id="5">
    <w:p w14:paraId="2789BDF9" w14:textId="7F9D5F72" w:rsidR="007130FE" w:rsidRDefault="007130FE">
      <w:pPr>
        <w:pStyle w:val="FootnoteText"/>
      </w:pPr>
      <w:r>
        <w:rPr>
          <w:rStyle w:val="FootnoteReference"/>
        </w:rPr>
        <w:footnoteRef/>
      </w:r>
      <w:r>
        <w:t xml:space="preserve"> </w:t>
      </w:r>
      <w:r w:rsidRPr="001B1FD1">
        <w:t>47 C.F.R. § 1.10</w:t>
      </w:r>
      <w:r>
        <w:t>6(c)(2).</w:t>
      </w:r>
    </w:p>
  </w:footnote>
  <w:footnote w:id="6">
    <w:p w14:paraId="692A690F" w14:textId="77777777" w:rsidR="00554467" w:rsidRPr="001B1FD1" w:rsidRDefault="00554467" w:rsidP="00972ABE">
      <w:pPr>
        <w:pStyle w:val="FootnoteText"/>
      </w:pPr>
      <w:r w:rsidRPr="001B1FD1">
        <w:rPr>
          <w:rStyle w:val="FootnoteReference"/>
        </w:rPr>
        <w:footnoteRef/>
      </w:r>
      <w:r w:rsidRPr="001B1FD1">
        <w:t xml:space="preserve"> </w:t>
      </w:r>
      <w:r w:rsidRPr="001B1FD1">
        <w:rPr>
          <w:i/>
        </w:rPr>
        <w:t>The Hinton Tel. Co. of Hinton, Okla., Inc.</w:t>
      </w:r>
      <w:r w:rsidRPr="001B1FD1">
        <w:t>, Forfeiture Order, 30 FCC Rcd 2308, 2312, para. 14 (Enf. Bur. 2014) (</w:t>
      </w:r>
      <w:r w:rsidRPr="001B1FD1">
        <w:rPr>
          <w:i/>
        </w:rPr>
        <w:t>Forfeiture Order</w:t>
      </w:r>
      <w:r w:rsidRPr="001B1FD1">
        <w:t xml:space="preserve">), </w:t>
      </w:r>
      <w:r w:rsidRPr="001B1FD1">
        <w:rPr>
          <w:i/>
        </w:rPr>
        <w:t>aff’g</w:t>
      </w:r>
      <w:r w:rsidRPr="001B1FD1">
        <w:t xml:space="preserve"> </w:t>
      </w:r>
      <w:r w:rsidR="00302AC0" w:rsidRPr="001B1FD1">
        <w:t>Notice o</w:t>
      </w:r>
      <w:r w:rsidRPr="001B1FD1">
        <w:t>f Apparent Liability for Forfeiture, 29 FCC Rcd 9228 (Enf. Bur. 2014)</w:t>
      </w:r>
      <w:r w:rsidR="001801E4" w:rsidRPr="001B1FD1">
        <w:t xml:space="preserve"> (</w:t>
      </w:r>
      <w:r w:rsidR="001801E4" w:rsidRPr="001B1FD1">
        <w:rPr>
          <w:i/>
        </w:rPr>
        <w:t>NAL</w:t>
      </w:r>
      <w:r w:rsidR="001801E4" w:rsidRPr="001B1FD1">
        <w:t>)</w:t>
      </w:r>
      <w:r w:rsidR="001B7FBF" w:rsidRPr="001B1FD1">
        <w:t>; 47 C.F.R. §§ 64.3001, 64.3002(d).</w:t>
      </w:r>
      <w:r w:rsidR="001801E4" w:rsidRPr="001B1FD1">
        <w:t xml:space="preserve">  </w:t>
      </w:r>
      <w:r w:rsidR="001801E4" w:rsidRPr="001B1FD1">
        <w:rPr>
          <w:iCs/>
          <w:color w:val="000000"/>
        </w:rPr>
        <w:t xml:space="preserve">The </w:t>
      </w:r>
      <w:r w:rsidR="001801E4" w:rsidRPr="001B1FD1">
        <w:rPr>
          <w:i/>
          <w:iCs/>
          <w:color w:val="000000"/>
        </w:rPr>
        <w:t xml:space="preserve">Forfeiture Order </w:t>
      </w:r>
      <w:r w:rsidR="001801E4" w:rsidRPr="001B1FD1">
        <w:rPr>
          <w:iCs/>
          <w:color w:val="000000"/>
        </w:rPr>
        <w:t xml:space="preserve">and </w:t>
      </w:r>
      <w:r w:rsidR="001801E4" w:rsidRPr="001B1FD1">
        <w:rPr>
          <w:i/>
          <w:iCs/>
          <w:color w:val="000000"/>
        </w:rPr>
        <w:t>NAL</w:t>
      </w:r>
      <w:r w:rsidR="001801E4" w:rsidRPr="001B1FD1">
        <w:rPr>
          <w:iCs/>
          <w:color w:val="000000"/>
        </w:rPr>
        <w:t xml:space="preserve"> include a more complete discussion of the facts and history of this case and are incorporated herein by </w:t>
      </w:r>
      <w:r w:rsidR="00F3454F" w:rsidRPr="001B1FD1">
        <w:rPr>
          <w:iCs/>
          <w:color w:val="000000"/>
        </w:rPr>
        <w:t xml:space="preserve">this </w:t>
      </w:r>
      <w:r w:rsidR="001801E4" w:rsidRPr="001B1FD1">
        <w:rPr>
          <w:iCs/>
          <w:color w:val="000000"/>
        </w:rPr>
        <w:t>reference.</w:t>
      </w:r>
      <w:r w:rsidR="001801E4" w:rsidRPr="001B1FD1">
        <w:t xml:space="preserve">  </w:t>
      </w:r>
    </w:p>
  </w:footnote>
  <w:footnote w:id="7">
    <w:p w14:paraId="1B0D40FD" w14:textId="77777777" w:rsidR="00CE23C8" w:rsidRPr="001B1FD1" w:rsidRDefault="00CE23C8" w:rsidP="00972ABE">
      <w:pPr>
        <w:pStyle w:val="FootnoteText"/>
      </w:pPr>
      <w:r w:rsidRPr="001B1FD1">
        <w:rPr>
          <w:rStyle w:val="FootnoteReference"/>
        </w:rPr>
        <w:footnoteRef/>
      </w:r>
      <w:r w:rsidRPr="001B1FD1">
        <w:t xml:space="preserve"> 47 C.F.R. § 64.3001.</w:t>
      </w:r>
    </w:p>
  </w:footnote>
  <w:footnote w:id="8">
    <w:p w14:paraId="6682E9E6" w14:textId="77777777" w:rsidR="00CE23C8" w:rsidRPr="001B1FD1" w:rsidRDefault="00CE23C8" w:rsidP="00972ABE">
      <w:pPr>
        <w:pStyle w:val="FootnoteText"/>
      </w:pPr>
      <w:r w:rsidRPr="001B1FD1">
        <w:rPr>
          <w:rStyle w:val="FootnoteReference"/>
        </w:rPr>
        <w:footnoteRef/>
      </w:r>
      <w:r w:rsidRPr="001B1FD1">
        <w:t xml:space="preserve"> 47 C.F.R. § 64.3002(d).</w:t>
      </w:r>
    </w:p>
  </w:footnote>
  <w:footnote w:id="9">
    <w:p w14:paraId="4753FB0A" w14:textId="77777777" w:rsidR="001801E4" w:rsidRPr="001B1FD1" w:rsidRDefault="001801E4" w:rsidP="00972ABE">
      <w:pPr>
        <w:pStyle w:val="FootnoteText"/>
      </w:pPr>
      <w:r w:rsidRPr="001B1FD1">
        <w:rPr>
          <w:rStyle w:val="FootnoteReference"/>
        </w:rPr>
        <w:footnoteRef/>
      </w:r>
      <w:r w:rsidRPr="001B1FD1">
        <w:t xml:space="preserve"> The Hinton Tel. Co. of Hinton, Okla., Inc., Petition for Reconsideration (Apr. 17, 2015) (on file in EB-SED-14-00016210 (Petition).</w:t>
      </w:r>
    </w:p>
  </w:footnote>
  <w:footnote w:id="10">
    <w:p w14:paraId="7BD28A57" w14:textId="77777777" w:rsidR="001B7FBF" w:rsidRPr="001B1FD1" w:rsidRDefault="001B7FBF" w:rsidP="00972ABE">
      <w:pPr>
        <w:pStyle w:val="FootnoteText"/>
      </w:pPr>
      <w:r w:rsidRPr="001B1FD1">
        <w:rPr>
          <w:rStyle w:val="FootnoteReference"/>
        </w:rPr>
        <w:footnoteRef/>
      </w:r>
      <w:r w:rsidRPr="001B1FD1">
        <w:t xml:space="preserve"> Petition at 3–5.</w:t>
      </w:r>
    </w:p>
  </w:footnote>
  <w:footnote w:id="11">
    <w:p w14:paraId="57123865" w14:textId="77777777" w:rsidR="001B7FBF" w:rsidRPr="001B1FD1" w:rsidRDefault="001B7FBF" w:rsidP="00972ABE">
      <w:pPr>
        <w:pStyle w:val="FootnoteText"/>
      </w:pPr>
      <w:r w:rsidRPr="001B1FD1">
        <w:rPr>
          <w:rStyle w:val="FootnoteReference"/>
        </w:rPr>
        <w:footnoteRef/>
      </w:r>
      <w:r w:rsidR="003F194F" w:rsidRPr="001B1FD1">
        <w:t xml:space="preserve"> </w:t>
      </w:r>
      <w:r w:rsidR="003F194F" w:rsidRPr="001B1FD1">
        <w:rPr>
          <w:i/>
        </w:rPr>
        <w:t>Id.</w:t>
      </w:r>
      <w:r w:rsidRPr="001B1FD1">
        <w:t xml:space="preserve"> at 6–7.</w:t>
      </w:r>
    </w:p>
  </w:footnote>
  <w:footnote w:id="12">
    <w:p w14:paraId="710A6037" w14:textId="77777777" w:rsidR="00A40E63" w:rsidRPr="001B1FD1" w:rsidRDefault="00A40E63" w:rsidP="00972ABE">
      <w:pPr>
        <w:pStyle w:val="FootnoteText"/>
      </w:pPr>
      <w:r w:rsidRPr="001B1FD1">
        <w:rPr>
          <w:rStyle w:val="FootnoteReference"/>
        </w:rPr>
        <w:footnoteRef/>
      </w:r>
      <w:r w:rsidR="003F194F" w:rsidRPr="001B1FD1">
        <w:t xml:space="preserve"> </w:t>
      </w:r>
      <w:r w:rsidR="003F194F" w:rsidRPr="001B1FD1">
        <w:rPr>
          <w:i/>
        </w:rPr>
        <w:t>Id.</w:t>
      </w:r>
      <w:r w:rsidR="00C44125" w:rsidRPr="001B1FD1">
        <w:t xml:space="preserve"> at 2–3.</w:t>
      </w:r>
    </w:p>
  </w:footnote>
  <w:footnote w:id="13">
    <w:p w14:paraId="361A22E7" w14:textId="77777777" w:rsidR="007A4D81" w:rsidRPr="001B1FD1" w:rsidRDefault="007A4D81" w:rsidP="00972ABE">
      <w:pPr>
        <w:pStyle w:val="FootnoteText"/>
      </w:pPr>
      <w:r w:rsidRPr="001B1FD1">
        <w:rPr>
          <w:rStyle w:val="FootnoteReference"/>
        </w:rPr>
        <w:footnoteRef/>
      </w:r>
      <w:r w:rsidR="003F194F" w:rsidRPr="001B1FD1">
        <w:t xml:space="preserve"> </w:t>
      </w:r>
      <w:r w:rsidR="003F194F" w:rsidRPr="001B1FD1">
        <w:rPr>
          <w:i/>
        </w:rPr>
        <w:t>Id.</w:t>
      </w:r>
      <w:r w:rsidR="00C44125" w:rsidRPr="001B1FD1">
        <w:t xml:space="preserve"> at 5–</w:t>
      </w:r>
      <w:r w:rsidRPr="001B1FD1">
        <w:t>6.</w:t>
      </w:r>
    </w:p>
  </w:footnote>
  <w:footnote w:id="14">
    <w:p w14:paraId="23B9DAC0" w14:textId="77777777" w:rsidR="00AC2342" w:rsidRPr="009D1C3F" w:rsidRDefault="00AC2342" w:rsidP="00AC2342">
      <w:pPr>
        <w:pStyle w:val="FootnoteText"/>
      </w:pPr>
      <w:r w:rsidRPr="001B1FD1">
        <w:rPr>
          <w:rStyle w:val="FootnoteReference"/>
        </w:rPr>
        <w:footnoteRef/>
      </w:r>
      <w:r w:rsidRPr="001B1FD1">
        <w:t xml:space="preserve"> </w:t>
      </w:r>
      <w:r w:rsidRPr="001B1FD1">
        <w:rPr>
          <w:i/>
        </w:rPr>
        <w:t>Id</w:t>
      </w:r>
      <w:r w:rsidRPr="001B1FD1">
        <w:t>. at 4-5.</w:t>
      </w:r>
      <w:r w:rsidR="00A57F92" w:rsidRPr="001B1FD1">
        <w:t xml:space="preserve">  </w:t>
      </w:r>
      <w:r w:rsidR="00A57F92" w:rsidRPr="001B1FD1">
        <w:rPr>
          <w:i/>
        </w:rPr>
        <w:t xml:space="preserve">See </w:t>
      </w:r>
      <w:r w:rsidR="00A57F92" w:rsidRPr="001B1FD1">
        <w:t>47 C.F.R. § 64.3003.</w:t>
      </w:r>
    </w:p>
  </w:footnote>
  <w:footnote w:id="15">
    <w:p w14:paraId="2C09C1A1" w14:textId="77777777" w:rsidR="00AC2342" w:rsidRPr="009E2C59" w:rsidRDefault="00AC2342">
      <w:pPr>
        <w:pStyle w:val="FootnoteText"/>
      </w:pPr>
      <w:r w:rsidRPr="001B1FD1">
        <w:rPr>
          <w:rStyle w:val="FootnoteReference"/>
        </w:rPr>
        <w:footnoteRef/>
      </w:r>
      <w:r w:rsidRPr="001B1FD1">
        <w:t xml:space="preserve"> </w:t>
      </w:r>
      <w:r w:rsidRPr="009E2C59">
        <w:rPr>
          <w:i/>
        </w:rPr>
        <w:t xml:space="preserve">Id. </w:t>
      </w:r>
      <w:r w:rsidRPr="009E2C59">
        <w:t>at 7-8.</w:t>
      </w:r>
    </w:p>
  </w:footnote>
  <w:footnote w:id="16">
    <w:p w14:paraId="0D561B14" w14:textId="74AEEF60" w:rsidR="00211865" w:rsidRPr="001B1FD1" w:rsidRDefault="00211865" w:rsidP="00972ABE">
      <w:pPr>
        <w:pStyle w:val="FootnoteText"/>
      </w:pPr>
      <w:r w:rsidRPr="001B1FD1">
        <w:rPr>
          <w:rStyle w:val="FootnoteReference"/>
        </w:rPr>
        <w:footnoteRef/>
      </w:r>
      <w:r w:rsidRPr="001B1FD1">
        <w:t xml:space="preserve"> </w:t>
      </w:r>
      <w:r w:rsidRPr="001B1FD1">
        <w:rPr>
          <w:i/>
        </w:rPr>
        <w:t>See</w:t>
      </w:r>
      <w:r w:rsidR="003120C5" w:rsidRPr="001B1FD1">
        <w:t xml:space="preserve"> 47 C.F.R. </w:t>
      </w:r>
      <w:r w:rsidRPr="001B1FD1">
        <w:t>§ 1.106(c).</w:t>
      </w:r>
    </w:p>
  </w:footnote>
  <w:footnote w:id="17">
    <w:p w14:paraId="3B597CB9" w14:textId="77777777" w:rsidR="00004B27" w:rsidRPr="001B1FD1" w:rsidRDefault="00004B27" w:rsidP="00972ABE">
      <w:pPr>
        <w:pStyle w:val="FootnoteText"/>
      </w:pPr>
      <w:r w:rsidRPr="001B1FD1">
        <w:rPr>
          <w:rStyle w:val="FootnoteReference"/>
        </w:rPr>
        <w:footnoteRef/>
      </w:r>
      <w:r w:rsidRPr="001B1FD1">
        <w:t xml:space="preserve"> </w:t>
      </w:r>
      <w:r w:rsidRPr="001B1FD1">
        <w:rPr>
          <w:i/>
        </w:rPr>
        <w:t>See, e.g.</w:t>
      </w:r>
      <w:r w:rsidRPr="001B1FD1">
        <w:t xml:space="preserve">, </w:t>
      </w:r>
      <w:r w:rsidRPr="001B1FD1">
        <w:rPr>
          <w:i/>
        </w:rPr>
        <w:t>Hannspree N. Am.</w:t>
      </w:r>
      <w:r w:rsidR="00A04FE1" w:rsidRPr="001B1FD1">
        <w:rPr>
          <w:i/>
        </w:rPr>
        <w:t>, Inc.</w:t>
      </w:r>
      <w:r w:rsidR="006D5D26" w:rsidRPr="001B1FD1">
        <w:t>, M</w:t>
      </w:r>
      <w:r w:rsidR="00A04FE1" w:rsidRPr="001B1FD1">
        <w:t xml:space="preserve">emorandum Opinion and Order, 27 FCC Rcd 7968 (Enf. Bur. 2012) (finding petitioner failed to demonstrate that its new arguments related to changed circumstances or previously unknown facts); </w:t>
      </w:r>
      <w:r w:rsidR="00A04FE1" w:rsidRPr="001B1FD1">
        <w:rPr>
          <w:i/>
        </w:rPr>
        <w:t>Leeteck Am., Inc.</w:t>
      </w:r>
      <w:r w:rsidR="00A04FE1" w:rsidRPr="001B1FD1">
        <w:t xml:space="preserve">, Memorandum Opinion and Order, 27 FCC </w:t>
      </w:r>
      <w:r w:rsidR="006D5D26" w:rsidRPr="001B1FD1">
        <w:t xml:space="preserve">Rcd </w:t>
      </w:r>
      <w:r w:rsidR="00A04FE1" w:rsidRPr="001B1FD1">
        <w:t>13487 (Enf. Bur. 2012) (same).</w:t>
      </w:r>
    </w:p>
  </w:footnote>
  <w:footnote w:id="18">
    <w:p w14:paraId="7312905B" w14:textId="77777777" w:rsidR="00E66CF5" w:rsidRPr="001B1FD1" w:rsidRDefault="00E66CF5" w:rsidP="00E66CF5">
      <w:pPr>
        <w:pStyle w:val="FootnoteText"/>
      </w:pPr>
      <w:r w:rsidRPr="001B1FD1">
        <w:rPr>
          <w:rStyle w:val="FootnoteReference"/>
        </w:rPr>
        <w:footnoteRef/>
      </w:r>
      <w:r w:rsidRPr="001B1FD1">
        <w:t xml:space="preserve"> Petition at 7.</w:t>
      </w:r>
    </w:p>
  </w:footnote>
  <w:footnote w:id="19">
    <w:p w14:paraId="79332386" w14:textId="77777777" w:rsidR="003D16DA" w:rsidRDefault="003D16DA" w:rsidP="003D16DA">
      <w:pPr>
        <w:pStyle w:val="FootnoteText"/>
      </w:pPr>
      <w:r>
        <w:rPr>
          <w:rStyle w:val="FootnoteReference"/>
        </w:rPr>
        <w:footnoteRef/>
      </w:r>
      <w:r>
        <w:t xml:space="preserve"> </w:t>
      </w:r>
      <w:r w:rsidRPr="001B1FD1">
        <w:rPr>
          <w:i/>
        </w:rPr>
        <w:t>Forfeiture Order</w:t>
      </w:r>
      <w:r>
        <w:t xml:space="preserve">, 30 FCC Rcd at 2311, n.29 (citing Hinton’s prior violation). </w:t>
      </w:r>
    </w:p>
  </w:footnote>
  <w:footnote w:id="20">
    <w:p w14:paraId="0A94C8B3" w14:textId="6C816CFB" w:rsidR="007E7375" w:rsidRDefault="007E7375">
      <w:pPr>
        <w:pStyle w:val="FootnoteText"/>
      </w:pPr>
      <w:r>
        <w:rPr>
          <w:rStyle w:val="FootnoteReference"/>
        </w:rPr>
        <w:footnoteRef/>
      </w:r>
      <w:r>
        <w:t xml:space="preserve"> 47 C.F.R. § 1.80(b)(8).</w:t>
      </w:r>
    </w:p>
  </w:footnote>
  <w:footnote w:id="21">
    <w:p w14:paraId="693A4298" w14:textId="77777777" w:rsidR="00097124" w:rsidRPr="001B1FD1" w:rsidRDefault="00097124" w:rsidP="00097124">
      <w:pPr>
        <w:pStyle w:val="FootnoteText"/>
      </w:pPr>
      <w:r w:rsidRPr="001B1FD1">
        <w:rPr>
          <w:rStyle w:val="FootnoteReference"/>
        </w:rPr>
        <w:footnoteRef/>
      </w:r>
      <w:r w:rsidRPr="001B1FD1">
        <w:t xml:space="preserve"> </w:t>
      </w:r>
      <w:r w:rsidRPr="001B1FD1">
        <w:rPr>
          <w:i/>
        </w:rPr>
        <w:t>Forfeiture Order</w:t>
      </w:r>
      <w:r w:rsidRPr="001B1FD1">
        <w:t>, 30 FCC Rcd at 2311, para. 10</w:t>
      </w:r>
      <w:r>
        <w:t>.</w:t>
      </w:r>
    </w:p>
  </w:footnote>
  <w:footnote w:id="22">
    <w:p w14:paraId="241581E7" w14:textId="5970B0A2" w:rsidR="009D453D" w:rsidRDefault="009D453D">
      <w:pPr>
        <w:pStyle w:val="FootnoteText"/>
      </w:pPr>
      <w:r>
        <w:rPr>
          <w:rStyle w:val="FootnoteReference"/>
        </w:rPr>
        <w:footnoteRef/>
      </w:r>
      <w:r>
        <w:t xml:space="preserve"> </w:t>
      </w:r>
      <w:r w:rsidR="00B42792" w:rsidRPr="0010485F">
        <w:rPr>
          <w:i/>
        </w:rPr>
        <w:t>See</w:t>
      </w:r>
      <w:r w:rsidR="0010485F">
        <w:rPr>
          <w:i/>
        </w:rPr>
        <w:t>, e.g.</w:t>
      </w:r>
      <w:r w:rsidR="0010485F">
        <w:t xml:space="preserve"> </w:t>
      </w:r>
      <w:r w:rsidR="0010485F" w:rsidRPr="003D16DA">
        <w:rPr>
          <w:i/>
        </w:rPr>
        <w:t>Side by Side, Inc. Toledo, Ohio</w:t>
      </w:r>
      <w:r w:rsidR="0010485F">
        <w:t>, Memorandum Opinion and Order, 27 FCC Rcd 11132, 11136, para. 8 (Enf. Bur. 2012) (noting that the number, duration, and nature of violations weighed against a reduction for history of compliance);</w:t>
      </w:r>
      <w:r w:rsidR="00260B4D">
        <w:t xml:space="preserve"> </w:t>
      </w:r>
      <w:r w:rsidR="00260B4D" w:rsidRPr="003D16DA">
        <w:rPr>
          <w:i/>
        </w:rPr>
        <w:t>Application of Adelante Media of California License, LLC for Renewal of License for Station KBAA(FM) Grass Valley, California</w:t>
      </w:r>
      <w:r w:rsidR="00260B4D">
        <w:t xml:space="preserve">, Memorandum Opinion and Order and Notice of Apparent Liability for Forfeiture, 28 FCC Rcd 16896, 16897, para. 7 (Media Bur. 2013) (finding a downward adjustment for a history of compliance inappropriate due to extensive violations); </w:t>
      </w:r>
      <w:r w:rsidR="00260B4D" w:rsidRPr="003D16DA">
        <w:rPr>
          <w:i/>
        </w:rPr>
        <w:t>Application of Northeast Indiana Public Radio, Inc.</w:t>
      </w:r>
      <w:r w:rsidR="00260B4D">
        <w:t>, Memorandum Opinion and Order and Notice of Apparent Liability for Forfeiture, 27 FCC Rcd 10850, 10852, para. 7 (Media Bur. 2013) (same).</w:t>
      </w:r>
    </w:p>
  </w:footnote>
  <w:footnote w:id="23">
    <w:p w14:paraId="533B0CEA" w14:textId="6FAA38EF" w:rsidR="00097124" w:rsidRDefault="00097124">
      <w:pPr>
        <w:pStyle w:val="FootnoteText"/>
      </w:pPr>
      <w:r>
        <w:rPr>
          <w:rStyle w:val="FootnoteReference"/>
        </w:rPr>
        <w:footnoteRef/>
      </w:r>
      <w:r>
        <w:t xml:space="preserve"> </w:t>
      </w:r>
      <w:r w:rsidRPr="003D16DA">
        <w:rPr>
          <w:i/>
        </w:rPr>
        <w:t>See</w:t>
      </w:r>
      <w:r>
        <w:t xml:space="preserve"> </w:t>
      </w:r>
      <w:r w:rsidRPr="003D16DA">
        <w:rPr>
          <w:i/>
        </w:rPr>
        <w:t>The Hinton Telephone Company of Hinton, Oklahoma, Inc.</w:t>
      </w:r>
      <w:r>
        <w:t>, Memorandum Opinion and Order, 7 FCC Rcd 6643,</w:t>
      </w:r>
      <w:r w:rsidR="003D16DA">
        <w:t xml:space="preserve"> 6644,</w:t>
      </w:r>
      <w:r>
        <w:t xml:space="preserve"> para. 11 (Com. Car. Bur. 1992) (providing a downward adjustment for Hinton’s history of overall compliance).</w:t>
      </w:r>
    </w:p>
  </w:footnote>
  <w:footnote w:id="24">
    <w:p w14:paraId="66EA36E0" w14:textId="77777777" w:rsidR="00B2377E" w:rsidRPr="001B1FD1" w:rsidRDefault="00B2377E" w:rsidP="00B2377E">
      <w:pPr>
        <w:pStyle w:val="FootnoteText"/>
        <w:widowControl w:val="0"/>
      </w:pPr>
      <w:r w:rsidRPr="001B1FD1">
        <w:rPr>
          <w:rStyle w:val="FootnoteReference"/>
        </w:rPr>
        <w:footnoteRef/>
      </w:r>
      <w:r w:rsidRPr="001B1FD1">
        <w:t xml:space="preserve"> </w:t>
      </w:r>
      <w:r w:rsidRPr="001B1FD1">
        <w:rPr>
          <w:i/>
        </w:rPr>
        <w:t>See</w:t>
      </w:r>
      <w:r w:rsidRPr="001B1FD1">
        <w:t xml:space="preserve"> Petition at 2–3.</w:t>
      </w:r>
    </w:p>
  </w:footnote>
  <w:footnote w:id="25">
    <w:p w14:paraId="42480ED5" w14:textId="77777777" w:rsidR="002E5547" w:rsidRPr="001B1FD1" w:rsidRDefault="002E5547" w:rsidP="00972ABE">
      <w:pPr>
        <w:pStyle w:val="FootnoteText"/>
      </w:pPr>
      <w:r w:rsidRPr="001B1FD1">
        <w:rPr>
          <w:rStyle w:val="FootnoteReference"/>
        </w:rPr>
        <w:footnoteRef/>
      </w:r>
      <w:r w:rsidRPr="001B1FD1">
        <w:t xml:space="preserve"> 47 C.F.R. § 64.3002(e).</w:t>
      </w:r>
    </w:p>
  </w:footnote>
  <w:footnote w:id="26">
    <w:p w14:paraId="616DEAF3" w14:textId="77777777" w:rsidR="00352C3E" w:rsidRPr="001B1FD1" w:rsidRDefault="00352C3E" w:rsidP="00972ABE">
      <w:pPr>
        <w:pStyle w:val="FootnoteText"/>
      </w:pPr>
      <w:r w:rsidRPr="001B1FD1">
        <w:rPr>
          <w:rStyle w:val="FootnoteReference"/>
        </w:rPr>
        <w:footnoteRef/>
      </w:r>
      <w:r w:rsidRPr="001B1FD1">
        <w:t xml:space="preserve"> </w:t>
      </w:r>
      <w:r w:rsidR="00EA6B58" w:rsidRPr="001B1FD1">
        <w:rPr>
          <w:i/>
        </w:rPr>
        <w:t>See</w:t>
      </w:r>
      <w:r w:rsidR="00EA6B58" w:rsidRPr="001B1FD1">
        <w:t xml:space="preserve"> Petition at 2–3.</w:t>
      </w:r>
    </w:p>
  </w:footnote>
  <w:footnote w:id="27">
    <w:p w14:paraId="50DB69DB" w14:textId="77777777" w:rsidR="000B2412" w:rsidRPr="001B1FD1" w:rsidRDefault="000B2412">
      <w:pPr>
        <w:pStyle w:val="FootnoteText"/>
      </w:pPr>
      <w:r w:rsidRPr="001B1FD1">
        <w:rPr>
          <w:rStyle w:val="FootnoteReference"/>
        </w:rPr>
        <w:footnoteRef/>
      </w:r>
      <w:r w:rsidRPr="001B1FD1">
        <w:t xml:space="preserve"> 47 C.F.R. § 64.3001.</w:t>
      </w:r>
    </w:p>
  </w:footnote>
  <w:footnote w:id="28">
    <w:p w14:paraId="0C78E0E3" w14:textId="77777777" w:rsidR="000B2412" w:rsidRPr="001B1FD1" w:rsidRDefault="000B2412">
      <w:pPr>
        <w:pStyle w:val="FootnoteText"/>
      </w:pPr>
      <w:r w:rsidRPr="001B1FD1">
        <w:rPr>
          <w:rStyle w:val="FootnoteReference"/>
        </w:rPr>
        <w:footnoteRef/>
      </w:r>
      <w:r w:rsidRPr="001B1FD1">
        <w:t xml:space="preserve"> 47 C.F.R. § 64.3002.</w:t>
      </w:r>
    </w:p>
  </w:footnote>
  <w:footnote w:id="29">
    <w:p w14:paraId="14580E47" w14:textId="77777777" w:rsidR="00DC5648" w:rsidRPr="001B1FD1" w:rsidRDefault="00DC5648">
      <w:pPr>
        <w:pStyle w:val="FootnoteText"/>
      </w:pPr>
      <w:r w:rsidRPr="001B1FD1">
        <w:rPr>
          <w:rStyle w:val="FootnoteReference"/>
        </w:rPr>
        <w:footnoteRef/>
      </w:r>
      <w:r w:rsidRPr="001B1FD1">
        <w:t xml:space="preserve"> 47 C.F.R. § 64.3002</w:t>
      </w:r>
      <w:r w:rsidR="00A53566" w:rsidRPr="001B1FD1">
        <w:t>.</w:t>
      </w:r>
    </w:p>
  </w:footnote>
  <w:footnote w:id="30">
    <w:p w14:paraId="11287AE9" w14:textId="77777777" w:rsidR="003C1E21" w:rsidRPr="001B1FD1" w:rsidRDefault="003C1E21">
      <w:pPr>
        <w:pStyle w:val="FootnoteText"/>
      </w:pPr>
      <w:r w:rsidRPr="001B1FD1">
        <w:rPr>
          <w:rStyle w:val="FootnoteReference"/>
        </w:rPr>
        <w:footnoteRef/>
      </w:r>
      <w:r w:rsidRPr="001B1FD1">
        <w:t xml:space="preserve"> 47 C.F.R. §§ 64.3002(a)-(d).</w:t>
      </w:r>
    </w:p>
  </w:footnote>
  <w:footnote w:id="31">
    <w:p w14:paraId="58FFEA33" w14:textId="77777777" w:rsidR="003C1E21" w:rsidRPr="001B1FD1" w:rsidRDefault="003C1E21">
      <w:pPr>
        <w:pStyle w:val="FootnoteText"/>
      </w:pPr>
      <w:r w:rsidRPr="001B1FD1">
        <w:rPr>
          <w:rStyle w:val="FootnoteReference"/>
        </w:rPr>
        <w:footnoteRef/>
      </w:r>
      <w:r w:rsidRPr="001B1FD1">
        <w:t xml:space="preserve"> 47 C.F.R. § 64.3002(e).</w:t>
      </w:r>
    </w:p>
  </w:footnote>
  <w:footnote w:id="32">
    <w:p w14:paraId="6CC89126" w14:textId="77777777" w:rsidR="00352C3E" w:rsidRPr="001B1FD1" w:rsidRDefault="00352C3E" w:rsidP="00972ABE">
      <w:pPr>
        <w:pStyle w:val="FootnoteText"/>
      </w:pPr>
      <w:r w:rsidRPr="001B1FD1">
        <w:rPr>
          <w:rStyle w:val="FootnoteReference"/>
        </w:rPr>
        <w:footnoteRef/>
      </w:r>
      <w:r w:rsidRPr="001B1FD1">
        <w:t xml:space="preserve"> </w:t>
      </w:r>
      <w:r w:rsidR="00DC5648" w:rsidRPr="001B1FD1">
        <w:t>Hinton’s interpretation contravenes the intent of the Commission’s 911 rules, which were adopted to ensure that emergency calls were completed and to protect 911 callers from reaching non-responsive recorded announcements, non-working numbers, or blocked calls.</w:t>
      </w:r>
      <w:r w:rsidRPr="001B1FD1">
        <w:t xml:space="preserve">  </w:t>
      </w:r>
      <w:r w:rsidR="00DC5648" w:rsidRPr="001B1FD1">
        <w:rPr>
          <w:i/>
        </w:rPr>
        <w:t>See</w:t>
      </w:r>
      <w:r w:rsidR="00DC5648" w:rsidRPr="001B1FD1">
        <w:t xml:space="preserve"> </w:t>
      </w:r>
      <w:r w:rsidR="00DC5648" w:rsidRPr="001B1FD1">
        <w:rPr>
          <w:i/>
        </w:rPr>
        <w:t>Implementation of 911 Act</w:t>
      </w:r>
      <w:r w:rsidR="00DC5648" w:rsidRPr="001B1FD1">
        <w:t>, Fifth Report and Order, Memorandum Opinion and Order on Reconsideration, 16 FCC Rcd 22264, 22274–75, paras. 23, 27 (2001) (noting that some 911 callers were receiving “recorded announcement[s] that a non-working number has been reached” and that the 911 rules were designed to “eliminate or lessen those occ</w:t>
      </w:r>
      <w:r w:rsidR="004B7AA2" w:rsidRPr="001B1FD1">
        <w:t>urrences to the extent feasible,</w:t>
      </w:r>
      <w:r w:rsidR="00DC5648" w:rsidRPr="001B1FD1">
        <w:t>”</w:t>
      </w:r>
      <w:r w:rsidR="004B7AA2" w:rsidRPr="001B1FD1">
        <w:t xml:space="preserve"> and </w:t>
      </w:r>
      <w:r w:rsidR="00DC5648" w:rsidRPr="001B1FD1">
        <w:t>recognizing the “overriding public interest for all emergency calls to be completed and not dropped for any reason” and that the 911 rules “ensure that there is a destination to which emergency calls can be delivered”)</w:t>
      </w:r>
      <w:r w:rsidR="004B7AA2" w:rsidRPr="001B1FD1">
        <w:t>.</w:t>
      </w:r>
    </w:p>
  </w:footnote>
  <w:footnote w:id="33">
    <w:p w14:paraId="65754AD9" w14:textId="77777777" w:rsidR="009B2B7A" w:rsidRPr="001B1FD1" w:rsidRDefault="009B2B7A" w:rsidP="00972ABE">
      <w:pPr>
        <w:pStyle w:val="FootnoteText"/>
      </w:pPr>
      <w:r w:rsidRPr="001B1FD1">
        <w:rPr>
          <w:rStyle w:val="FootnoteReference"/>
        </w:rPr>
        <w:footnoteRef/>
      </w:r>
      <w:r w:rsidRPr="001B1FD1">
        <w:t xml:space="preserve"> </w:t>
      </w:r>
      <w:r w:rsidRPr="001B1FD1">
        <w:rPr>
          <w:i/>
        </w:rPr>
        <w:t>See</w:t>
      </w:r>
      <w:r w:rsidRPr="001B1FD1">
        <w:t xml:space="preserve"> Petition a</w:t>
      </w:r>
      <w:r w:rsidR="00036E17" w:rsidRPr="001B1FD1">
        <w:t>t 5.</w:t>
      </w:r>
      <w:r w:rsidR="00C03BEA">
        <w:t xml:space="preserve">  </w:t>
      </w:r>
    </w:p>
  </w:footnote>
  <w:footnote w:id="34">
    <w:p w14:paraId="5FC56456" w14:textId="6659C641" w:rsidR="00135C0D" w:rsidRPr="001B1FD1" w:rsidRDefault="00135C0D">
      <w:pPr>
        <w:pStyle w:val="FootnoteText"/>
      </w:pPr>
      <w:r w:rsidRPr="001B1FD1">
        <w:rPr>
          <w:rStyle w:val="FootnoteReference"/>
        </w:rPr>
        <w:footnoteRef/>
      </w:r>
      <w:r w:rsidRPr="001B1FD1">
        <w:t xml:space="preserve"> </w:t>
      </w:r>
      <w:r w:rsidRPr="001B1FD1">
        <w:rPr>
          <w:i/>
        </w:rPr>
        <w:t xml:space="preserve">Id. </w:t>
      </w:r>
      <w:r w:rsidRPr="001B1FD1">
        <w:t>at 6.</w:t>
      </w:r>
      <w:r w:rsidR="00084862" w:rsidRPr="001B1FD1">
        <w:t xml:space="preserve">  As a separate matter, Hinton has not placed adequate evidence in the record in this proceeding regarding the advice it</w:t>
      </w:r>
      <w:r w:rsidR="00920B75" w:rsidRPr="001B1FD1">
        <w:t xml:space="preserve"> maintains</w:t>
      </w:r>
      <w:r w:rsidR="00084862" w:rsidRPr="001B1FD1">
        <w:t xml:space="preserve"> it received from OCC staff.  The sole evidence of such advice that Hinton cites is an e-mail from Hinton’s outside counsel to Hinton’s president, claiming that OCC staff “seemed comfortable that Hinton has not done anything wrong.”  </w:t>
      </w:r>
      <w:r w:rsidR="00084862" w:rsidRPr="001B1FD1">
        <w:rPr>
          <w:i/>
        </w:rPr>
        <w:t>See</w:t>
      </w:r>
      <w:r w:rsidR="00084862" w:rsidRPr="001B1FD1">
        <w:t xml:space="preserve"> Letter from Kendall Parish, Ron Comingdeer &amp; Associates, Counsel for Hinton Telephone Company, to Josh Zeldis, Spectrum Enforcement Division, FCC Enforcement Bureau (June 18, 2014) (on file in EB-SED-14-00016210).  Nevertheless, assuming for the sake of argument that </w:t>
      </w:r>
      <w:r w:rsidR="00920B75" w:rsidRPr="001B1FD1">
        <w:t>Hinton had provided adequate support for this claim, any advice it had received from OCC staff would not</w:t>
      </w:r>
      <w:r w:rsidR="006D12DF">
        <w:t xml:space="preserve"> form any basis for challenging the Commission’s well-established authority pursuant to Federal law to adopt rules governing the provision of 911 service.  </w:t>
      </w:r>
      <w:r w:rsidR="00920B75" w:rsidRPr="001B1FD1">
        <w:t xml:space="preserve"> </w:t>
      </w:r>
      <w:r w:rsidR="0021510C" w:rsidRPr="001B1FD1">
        <w:t xml:space="preserve"> </w:t>
      </w:r>
      <w:r w:rsidR="006D12DF">
        <w:t xml:space="preserve"> </w:t>
      </w:r>
    </w:p>
  </w:footnote>
  <w:footnote w:id="35">
    <w:p w14:paraId="32A71A99" w14:textId="77777777" w:rsidR="005D43CD" w:rsidRPr="001B1FD1" w:rsidRDefault="005D43CD" w:rsidP="005D43CD">
      <w:pPr>
        <w:pStyle w:val="FootnoteText"/>
      </w:pPr>
      <w:r w:rsidRPr="001B1FD1">
        <w:rPr>
          <w:rStyle w:val="FootnoteReference"/>
        </w:rPr>
        <w:footnoteRef/>
      </w:r>
      <w:r w:rsidRPr="001B1FD1">
        <w:t xml:space="preserve"> </w:t>
      </w:r>
      <w:r w:rsidRPr="001B1FD1">
        <w:rPr>
          <w:spacing w:val="-2"/>
        </w:rPr>
        <w:t xml:space="preserve">For a brief summary of Federal and state jurisdiction in the area of 911 service administration, see </w:t>
      </w:r>
      <w:r w:rsidRPr="001B1FD1">
        <w:rPr>
          <w:i/>
          <w:iCs/>
          <w:spacing w:val="-2"/>
        </w:rPr>
        <w:t>Framework for Next Generation 911 Deployment</w:t>
      </w:r>
      <w:r w:rsidRPr="001B1FD1">
        <w:rPr>
          <w:spacing w:val="-2"/>
        </w:rPr>
        <w:t xml:space="preserve">, </w:t>
      </w:r>
      <w:r w:rsidRPr="001B1FD1">
        <w:rPr>
          <w:i/>
          <w:iCs/>
          <w:spacing w:val="-2"/>
        </w:rPr>
        <w:t>Notice of Inquiry</w:t>
      </w:r>
      <w:r w:rsidRPr="001B1FD1">
        <w:rPr>
          <w:spacing w:val="-2"/>
        </w:rPr>
        <w:t>, PS Docket No. 10-255, 25 FCC Rcd 17869, 17895-96 (para. 83) (2010).</w:t>
      </w:r>
    </w:p>
  </w:footnote>
  <w:footnote w:id="36">
    <w:p w14:paraId="4FB433E0" w14:textId="1BCC24FB" w:rsidR="00877065" w:rsidRPr="001B1FD1" w:rsidRDefault="00877065" w:rsidP="00972ABE">
      <w:pPr>
        <w:pStyle w:val="FootnoteText"/>
      </w:pPr>
      <w:r w:rsidRPr="001B1FD1">
        <w:rPr>
          <w:rStyle w:val="FootnoteReference"/>
        </w:rPr>
        <w:footnoteRef/>
      </w:r>
      <w:r w:rsidRPr="001B1FD1">
        <w:t xml:space="preserve"> </w:t>
      </w:r>
      <w:r w:rsidR="003238A9" w:rsidRPr="001B1FD1">
        <w:rPr>
          <w:i/>
        </w:rPr>
        <w:t>See</w:t>
      </w:r>
      <w:r w:rsidR="003238A9" w:rsidRPr="001B1FD1">
        <w:t xml:space="preserve"> </w:t>
      </w:r>
      <w:r w:rsidR="008A06E4" w:rsidRPr="001B1FD1">
        <w:rPr>
          <w:snapToGrid w:val="0"/>
          <w:color w:val="252525"/>
          <w:kern w:val="28"/>
        </w:rPr>
        <w:t xml:space="preserve">Wireless Communications and Public Safety Act of </w:t>
      </w:r>
      <w:hyperlink r:id="rId1" w:history="1">
        <w:r w:rsidR="008A06E4" w:rsidRPr="001B1FD1">
          <w:rPr>
            <w:snapToGrid w:val="0"/>
            <w:kern w:val="28"/>
          </w:rPr>
          <w:t>1999, Pub. L. No. 106-81</w:t>
        </w:r>
      </w:hyperlink>
      <w:r w:rsidR="008A06E4" w:rsidRPr="001B1FD1">
        <w:rPr>
          <w:snapToGrid w:val="0"/>
          <w:color w:val="252525"/>
          <w:kern w:val="28"/>
        </w:rPr>
        <w:t xml:space="preserve">, 113 Stat. 1286, </w:t>
      </w:r>
      <w:r w:rsidR="008A06E4" w:rsidRPr="001B1FD1">
        <w:t>§ 3(a)</w:t>
      </w:r>
      <w:r w:rsidR="002E4088" w:rsidRPr="001B1FD1">
        <w:t xml:space="preserve"> (1999) </w:t>
      </w:r>
      <w:r w:rsidRPr="001B1FD1">
        <w:t>(codified at 47 U.S.C. § 251(e)(3))</w:t>
      </w:r>
      <w:r w:rsidR="005E5313" w:rsidRPr="001B1FD1">
        <w:t xml:space="preserve"> (911 Act)</w:t>
      </w:r>
      <w:r w:rsidRPr="001B1FD1">
        <w:t>.</w:t>
      </w:r>
    </w:p>
  </w:footnote>
  <w:footnote w:id="37">
    <w:p w14:paraId="4F36FF7A" w14:textId="7860F60D" w:rsidR="003225F2" w:rsidRPr="001B1FD1" w:rsidRDefault="003225F2">
      <w:pPr>
        <w:pStyle w:val="FootnoteText"/>
      </w:pPr>
      <w:r w:rsidRPr="001B1FD1">
        <w:rPr>
          <w:rStyle w:val="FootnoteReference"/>
        </w:rPr>
        <w:footnoteRef/>
      </w:r>
      <w:r w:rsidRPr="001B1FD1">
        <w:t xml:space="preserve"> </w:t>
      </w:r>
      <w:hyperlink r:id="rId2" w:tgtFrame="_top" w:history="1">
        <w:r w:rsidRPr="001B1FD1">
          <w:rPr>
            <w:i/>
          </w:rPr>
          <w:t>Id</w:t>
        </w:r>
        <w:r w:rsidRPr="001B1FD1">
          <w:rPr>
            <w:i/>
            <w:color w:val="0000FF"/>
          </w:rPr>
          <w:t>.</w:t>
        </w:r>
      </w:hyperlink>
      <w:r w:rsidRPr="001B1FD1">
        <w:rPr>
          <w:color w:val="000000"/>
        </w:rPr>
        <w:t xml:space="preserve"> § 2(b)</w:t>
      </w:r>
      <w:r w:rsidR="00543793" w:rsidRPr="001B1FD1">
        <w:rPr>
          <w:color w:val="000000"/>
        </w:rPr>
        <w:t>.</w:t>
      </w:r>
    </w:p>
  </w:footnote>
  <w:footnote w:id="38">
    <w:p w14:paraId="0BF3C2C4" w14:textId="77777777" w:rsidR="007448F9" w:rsidRPr="001B1FD1" w:rsidRDefault="007448F9">
      <w:pPr>
        <w:pStyle w:val="FootnoteText"/>
      </w:pPr>
      <w:r w:rsidRPr="001B1FD1">
        <w:rPr>
          <w:rStyle w:val="FootnoteReference"/>
        </w:rPr>
        <w:footnoteRef/>
      </w:r>
      <w:r w:rsidRPr="001B1FD1">
        <w:t xml:space="preserve"> </w:t>
      </w:r>
      <w:r w:rsidR="00A53566" w:rsidRPr="001B1FD1">
        <w:rPr>
          <w:i/>
        </w:rPr>
        <w:t>See</w:t>
      </w:r>
      <w:r w:rsidR="00A53566" w:rsidRPr="001B1FD1">
        <w:t xml:space="preserve"> </w:t>
      </w:r>
      <w:r w:rsidR="00A53566" w:rsidRPr="001B1FD1">
        <w:rPr>
          <w:i/>
        </w:rPr>
        <w:t>Implementation of 911 Act</w:t>
      </w:r>
      <w:r w:rsidR="00A53566" w:rsidRPr="001B1FD1">
        <w:t>, Fifth Report and Order, Memorandum Opinion and Order on Reconsideration, 16 FCC Rcd 22264, 22267–74, paras. 6, 23–25 (2001).</w:t>
      </w:r>
    </w:p>
  </w:footnote>
  <w:footnote w:id="39">
    <w:p w14:paraId="21838BB5" w14:textId="77777777" w:rsidR="00A357C2" w:rsidRPr="001B1FD1" w:rsidRDefault="00A357C2">
      <w:pPr>
        <w:pStyle w:val="FootnoteText"/>
      </w:pPr>
      <w:r w:rsidRPr="001B1FD1">
        <w:rPr>
          <w:rStyle w:val="FootnoteReference"/>
        </w:rPr>
        <w:footnoteRef/>
      </w:r>
      <w:r w:rsidRPr="001B1FD1">
        <w:t xml:space="preserve"> </w:t>
      </w:r>
      <w:r w:rsidRPr="001B1FD1">
        <w:rPr>
          <w:i/>
        </w:rPr>
        <w:t xml:space="preserve">Id. </w:t>
      </w:r>
      <w:r w:rsidRPr="001B1FD1">
        <w:t xml:space="preserve">at </w:t>
      </w:r>
      <w:r w:rsidR="008A65B6" w:rsidRPr="001B1FD1">
        <w:t>22265, para. 1.</w:t>
      </w:r>
    </w:p>
  </w:footnote>
  <w:footnote w:id="40">
    <w:p w14:paraId="4E936290" w14:textId="77777777" w:rsidR="003225F2" w:rsidRPr="001B1FD1" w:rsidRDefault="003225F2">
      <w:pPr>
        <w:pStyle w:val="FootnoteText"/>
      </w:pPr>
      <w:r w:rsidRPr="001B1FD1">
        <w:rPr>
          <w:rStyle w:val="FootnoteReference"/>
        </w:rPr>
        <w:footnoteRef/>
      </w:r>
      <w:r w:rsidRPr="001B1FD1">
        <w:t xml:space="preserve"> </w:t>
      </w:r>
      <w:r w:rsidRPr="001B1FD1">
        <w:rPr>
          <w:i/>
        </w:rPr>
        <w:t xml:space="preserve">See </w:t>
      </w:r>
      <w:r w:rsidRPr="001B1FD1">
        <w:t>47 C.F.R. §</w:t>
      </w:r>
      <w:r w:rsidR="0070565D" w:rsidRPr="001B1FD1">
        <w:t>§ 64.3001,</w:t>
      </w:r>
      <w:r w:rsidRPr="001B1FD1">
        <w:t xml:space="preserve"> 64.3002.</w:t>
      </w:r>
    </w:p>
  </w:footnote>
  <w:footnote w:id="41">
    <w:p w14:paraId="073916EB" w14:textId="77777777" w:rsidR="00D54726" w:rsidRPr="001B1FD1" w:rsidRDefault="00D54726">
      <w:pPr>
        <w:pStyle w:val="FootnoteText"/>
      </w:pPr>
      <w:r w:rsidRPr="009E2C59">
        <w:rPr>
          <w:rStyle w:val="FootnoteReference"/>
        </w:rPr>
        <w:footnoteRef/>
      </w:r>
      <w:r w:rsidRPr="001B1FD1">
        <w:t xml:space="preserve"> Petition at 4.</w:t>
      </w:r>
    </w:p>
  </w:footnote>
  <w:footnote w:id="42">
    <w:p w14:paraId="3430D85D" w14:textId="77777777" w:rsidR="00353745" w:rsidRPr="001B1FD1" w:rsidRDefault="00353745">
      <w:pPr>
        <w:pStyle w:val="FootnoteText"/>
      </w:pPr>
      <w:r w:rsidRPr="001B1FD1">
        <w:rPr>
          <w:rStyle w:val="FootnoteReference"/>
        </w:rPr>
        <w:footnoteRef/>
      </w:r>
      <w:r w:rsidRPr="001B1FD1">
        <w:t xml:space="preserve"> Petition at 4-5.</w:t>
      </w:r>
    </w:p>
  </w:footnote>
  <w:footnote w:id="43">
    <w:p w14:paraId="50E93AF4" w14:textId="77777777" w:rsidR="00110F79" w:rsidRPr="001B1FD1" w:rsidRDefault="00110F79" w:rsidP="00972ABE">
      <w:pPr>
        <w:pStyle w:val="FootnoteText"/>
        <w:widowControl w:val="0"/>
      </w:pPr>
      <w:r w:rsidRPr="001B1FD1">
        <w:rPr>
          <w:rStyle w:val="FootnoteReference"/>
        </w:rPr>
        <w:footnoteRef/>
      </w:r>
      <w:r w:rsidRPr="001B1FD1">
        <w:t xml:space="preserve"> Petition at 3</w:t>
      </w:r>
      <w:r w:rsidR="00D92917" w:rsidRPr="001B1FD1">
        <w:t>–</w:t>
      </w:r>
      <w:r w:rsidRPr="001B1FD1">
        <w:t>5.</w:t>
      </w:r>
    </w:p>
  </w:footnote>
  <w:footnote w:id="44">
    <w:p w14:paraId="1E87944F" w14:textId="77777777" w:rsidR="00110F79" w:rsidRPr="001B1FD1" w:rsidRDefault="00110F79" w:rsidP="00972ABE">
      <w:pPr>
        <w:pStyle w:val="FootnoteText"/>
      </w:pPr>
      <w:r w:rsidRPr="001B1FD1">
        <w:rPr>
          <w:rStyle w:val="FootnoteReference"/>
        </w:rPr>
        <w:footnoteRef/>
      </w:r>
      <w:r w:rsidRPr="001B1FD1">
        <w:t xml:space="preserve"> </w:t>
      </w:r>
      <w:r w:rsidRPr="001B1FD1">
        <w:rPr>
          <w:i/>
        </w:rPr>
        <w:t>See</w:t>
      </w:r>
      <w:r w:rsidRPr="001B1FD1">
        <w:t xml:space="preserve"> </w:t>
      </w:r>
      <w:r w:rsidRPr="001B1FD1">
        <w:rPr>
          <w:i/>
        </w:rPr>
        <w:t>Forfeiture Order</w:t>
      </w:r>
      <w:r w:rsidRPr="001B1FD1">
        <w:t xml:space="preserve">, 30 FCC Rcd at </w:t>
      </w:r>
      <w:r w:rsidR="00B35485" w:rsidRPr="001B1FD1">
        <w:t>2310–</w:t>
      </w:r>
      <w:r w:rsidRPr="001B1FD1">
        <w:t>11, paras.</w:t>
      </w:r>
      <w:r w:rsidR="00B35485" w:rsidRPr="001B1FD1">
        <w:t xml:space="preserve"> 7–</w:t>
      </w:r>
      <w:r w:rsidRPr="001B1FD1">
        <w:t>9.</w:t>
      </w:r>
    </w:p>
  </w:footnote>
  <w:footnote w:id="45">
    <w:p w14:paraId="5251633B" w14:textId="77777777" w:rsidR="00110F79" w:rsidRPr="001B1FD1" w:rsidRDefault="00110F79" w:rsidP="00972ABE">
      <w:pPr>
        <w:pStyle w:val="FootnoteText"/>
      </w:pPr>
      <w:r w:rsidRPr="001B1FD1">
        <w:rPr>
          <w:rStyle w:val="FootnoteReference"/>
        </w:rPr>
        <w:footnoteRef/>
      </w:r>
      <w:r w:rsidR="00B35485" w:rsidRPr="001B1FD1">
        <w:t xml:space="preserve"> Petition at 2, 6–</w:t>
      </w:r>
      <w:r w:rsidRPr="001B1FD1">
        <w:t>8.</w:t>
      </w:r>
    </w:p>
  </w:footnote>
  <w:footnote w:id="46">
    <w:p w14:paraId="1758A1AF" w14:textId="77777777" w:rsidR="00110F79" w:rsidRPr="001B1FD1" w:rsidRDefault="00110F79" w:rsidP="00972ABE">
      <w:pPr>
        <w:pStyle w:val="FootnoteText"/>
      </w:pPr>
      <w:r w:rsidRPr="001B1FD1">
        <w:rPr>
          <w:rStyle w:val="FootnoteReference"/>
        </w:rPr>
        <w:footnoteRef/>
      </w:r>
      <w:r w:rsidRPr="001B1FD1">
        <w:t xml:space="preserve"> </w:t>
      </w:r>
      <w:r w:rsidRPr="001B1FD1">
        <w:rPr>
          <w:i/>
        </w:rPr>
        <w:t>See</w:t>
      </w:r>
      <w:r w:rsidRPr="001B1FD1">
        <w:t xml:space="preserve"> </w:t>
      </w:r>
      <w:r w:rsidRPr="001B1FD1">
        <w:rPr>
          <w:i/>
        </w:rPr>
        <w:t>Forfeiture Order</w:t>
      </w:r>
      <w:r w:rsidRPr="001B1FD1">
        <w:t>, 30 FCC Rcd at 2311, para. 10.</w:t>
      </w:r>
    </w:p>
  </w:footnote>
  <w:footnote w:id="47">
    <w:p w14:paraId="3E3F627C" w14:textId="77777777" w:rsidR="00110F79" w:rsidRPr="00C70D34" w:rsidRDefault="00110F79" w:rsidP="00337171">
      <w:pPr>
        <w:autoSpaceDE w:val="0"/>
        <w:autoSpaceDN w:val="0"/>
        <w:adjustRightInd w:val="0"/>
        <w:spacing w:after="120"/>
        <w:rPr>
          <w:rFonts w:eastAsia="TimesNewRoman"/>
          <w:sz w:val="20"/>
        </w:rPr>
      </w:pPr>
      <w:r w:rsidRPr="001B1FD1">
        <w:rPr>
          <w:rStyle w:val="FootnoteReference"/>
        </w:rPr>
        <w:footnoteRef/>
      </w:r>
      <w:r w:rsidRPr="001B1FD1">
        <w:rPr>
          <w:sz w:val="20"/>
        </w:rPr>
        <w:t xml:space="preserve"> </w:t>
      </w:r>
      <w:r w:rsidRPr="001B1FD1">
        <w:rPr>
          <w:i/>
          <w:sz w:val="20"/>
        </w:rPr>
        <w:t xml:space="preserve">See </w:t>
      </w:r>
      <w:r w:rsidRPr="001B1FD1">
        <w:rPr>
          <w:sz w:val="20"/>
        </w:rPr>
        <w:t xml:space="preserve">47 C.F.R. § </w:t>
      </w:r>
      <w:r w:rsidR="00972ABE" w:rsidRPr="001B1FD1">
        <w:rPr>
          <w:sz w:val="20"/>
        </w:rPr>
        <w:t xml:space="preserve">1.106(p)(3); </w:t>
      </w:r>
      <w:r w:rsidR="00972ABE" w:rsidRPr="001B1FD1">
        <w:rPr>
          <w:i/>
          <w:sz w:val="20"/>
        </w:rPr>
        <w:t>N. Cnty. Broad. Corp.</w:t>
      </w:r>
      <w:r w:rsidR="00972ABE" w:rsidRPr="001B1FD1">
        <w:rPr>
          <w:sz w:val="20"/>
        </w:rPr>
        <w:t xml:space="preserve">, Memorandum Opinion and Order, 29 FCC Rcd 13261 (2014) (denying petition raising </w:t>
      </w:r>
      <w:r w:rsidR="00972ABE" w:rsidRPr="001B1FD1">
        <w:rPr>
          <w:rFonts w:eastAsia="TimesNewRoman"/>
          <w:sz w:val="20"/>
        </w:rPr>
        <w:t>two issues on review, both of which were argued previously several times before the Bureau and rejected).</w:t>
      </w:r>
    </w:p>
  </w:footnote>
  <w:footnote w:id="48">
    <w:p w14:paraId="20B1F375" w14:textId="77777777" w:rsidR="00000990" w:rsidRPr="009E2C59" w:rsidRDefault="00000990" w:rsidP="00972ABE">
      <w:pPr>
        <w:pStyle w:val="FootnoteText"/>
      </w:pPr>
      <w:r w:rsidRPr="001B1FD1">
        <w:rPr>
          <w:rStyle w:val="FootnoteReference"/>
        </w:rPr>
        <w:footnoteRef/>
      </w:r>
      <w:r w:rsidRPr="001B1FD1">
        <w:t xml:space="preserve"> 47 U.S.C. § 405; 47 C.F.R. § 1.106.</w:t>
      </w:r>
    </w:p>
  </w:footnote>
  <w:footnote w:id="49">
    <w:p w14:paraId="65D5A31F" w14:textId="77777777" w:rsidR="00353DAF" w:rsidRPr="001B1FD1" w:rsidRDefault="00353DAF" w:rsidP="00972ABE">
      <w:pPr>
        <w:pStyle w:val="FootnoteText"/>
      </w:pPr>
      <w:r w:rsidRPr="001B1FD1">
        <w:rPr>
          <w:rStyle w:val="FootnoteReference"/>
        </w:rPr>
        <w:footnoteRef/>
      </w:r>
      <w:r w:rsidRPr="001B1FD1">
        <w:t xml:space="preserve"> 47 U.S.C. § 503(b); 47 C.F.R. §§ 0.111, 0.311, 1.80, 64.3001, 64.3002(d).</w:t>
      </w:r>
    </w:p>
  </w:footnote>
  <w:footnote w:id="50">
    <w:p w14:paraId="4FDFD160" w14:textId="77777777" w:rsidR="005224CB" w:rsidRPr="001B1FD1" w:rsidRDefault="005224CB" w:rsidP="00972ABE">
      <w:pPr>
        <w:pStyle w:val="FootnoteText"/>
      </w:pPr>
      <w:r w:rsidRPr="001B1FD1">
        <w:rPr>
          <w:rStyle w:val="FootnoteReference"/>
        </w:rPr>
        <w:footnoteRef/>
      </w:r>
      <w:r w:rsidRPr="001B1FD1">
        <w:t xml:space="preserve"> 47 C.F.R. § 1.80.</w:t>
      </w:r>
    </w:p>
  </w:footnote>
  <w:footnote w:id="51">
    <w:p w14:paraId="5870260B" w14:textId="77777777" w:rsidR="005224CB" w:rsidRPr="001B1FD1" w:rsidRDefault="005224CB" w:rsidP="00972ABE">
      <w:pPr>
        <w:pStyle w:val="FootnoteText"/>
      </w:pPr>
      <w:r w:rsidRPr="001B1FD1">
        <w:rPr>
          <w:rStyle w:val="FootnoteReference"/>
        </w:rPr>
        <w:footnoteRef/>
      </w:r>
      <w:r w:rsidRPr="001B1FD1">
        <w:t xml:space="preserve"> 47 U.S.C. § 504(a).</w:t>
      </w:r>
    </w:p>
  </w:footnote>
  <w:footnote w:id="52">
    <w:p w14:paraId="6170497D" w14:textId="77777777" w:rsidR="005224CB" w:rsidRPr="001B1FD1" w:rsidRDefault="005224CB" w:rsidP="00972ABE">
      <w:pPr>
        <w:pStyle w:val="FootnoteText"/>
      </w:pPr>
      <w:r w:rsidRPr="001B1FD1">
        <w:rPr>
          <w:rStyle w:val="FootnoteReference"/>
        </w:rPr>
        <w:footnoteRef/>
      </w:r>
      <w:r w:rsidRPr="001B1FD1">
        <w:t xml:space="preserve"> </w:t>
      </w:r>
      <w:r w:rsidRPr="001B1FD1">
        <w:rPr>
          <w:rFonts w:eastAsia="MS Mincho"/>
        </w:rPr>
        <w:t>An FCC Form 159 and detailed instructions for completing the form may be obtained at http://www.fcc.gov/Forms/Form159/159.pdf.</w:t>
      </w:r>
    </w:p>
  </w:footnote>
  <w:footnote w:id="53">
    <w:p w14:paraId="2BC023EB" w14:textId="77777777" w:rsidR="006C1286" w:rsidRPr="001B1FD1" w:rsidRDefault="006C1286" w:rsidP="00972ABE">
      <w:pPr>
        <w:pStyle w:val="FootnoteText"/>
      </w:pPr>
      <w:r w:rsidRPr="001B1FD1">
        <w:rPr>
          <w:rStyle w:val="FootnoteReference"/>
        </w:rPr>
        <w:footnoteRef/>
      </w:r>
      <w:r w:rsidRPr="001B1FD1">
        <w:t xml:space="preserve"> </w:t>
      </w:r>
      <w:r w:rsidRPr="001B1FD1">
        <w:rPr>
          <w:i/>
        </w:rPr>
        <w:t>See</w:t>
      </w:r>
      <w:r w:rsidRPr="001B1FD1">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B356" w14:textId="77777777" w:rsidR="00BB0D04" w:rsidRDefault="00BB0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9CBF" w14:textId="6CDCB903" w:rsidR="00193A4F" w:rsidRDefault="00193A4F" w:rsidP="00193A4F">
    <w:pPr>
      <w:pStyle w:val="Header"/>
      <w:rPr>
        <w:b w:val="0"/>
      </w:rPr>
    </w:pPr>
    <w:r w:rsidRPr="002A6579">
      <w:rPr>
        <w:noProof/>
      </w:rPr>
      <mc:AlternateContent>
        <mc:Choice Requires="wps">
          <w:drawing>
            <wp:anchor distT="0" distB="0" distL="114300" distR="114300" simplePos="0" relativeHeight="251661312" behindDoc="1" locked="0" layoutInCell="0" allowOverlap="1" wp14:anchorId="6014E345" wp14:editId="1C5FC49B">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81AC3E"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CF1B60">
      <w:rPr>
        <w:spacing w:val="-2"/>
      </w:rPr>
      <w:t>DA</w:t>
    </w:r>
    <w:r w:rsidRPr="004749BE">
      <w:rPr>
        <w:spacing w:val="-2"/>
      </w:rPr>
      <w:t xml:space="preserve"> </w:t>
    </w:r>
    <w:r w:rsidR="00510D7D">
      <w:rPr>
        <w:spacing w:val="-2"/>
      </w:rPr>
      <w:t>15-1221</w:t>
    </w:r>
  </w:p>
  <w:p w14:paraId="23005974" w14:textId="77777777" w:rsidR="00193A4F" w:rsidRDefault="00193A4F" w:rsidP="0019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693E" w14:textId="4E877A9B" w:rsidR="00E7655F" w:rsidRDefault="00E7655F" w:rsidP="00E7655F">
    <w:pPr>
      <w:pStyle w:val="Header"/>
      <w:rPr>
        <w:b w:val="0"/>
      </w:rPr>
    </w:pPr>
    <w:r w:rsidRPr="00193A4F">
      <w:rPr>
        <w:noProof/>
      </w:rPr>
      <mc:AlternateContent>
        <mc:Choice Requires="wps">
          <w:drawing>
            <wp:anchor distT="0" distB="0" distL="114300" distR="114300" simplePos="0" relativeHeight="251659264" behindDoc="1" locked="0" layoutInCell="0" allowOverlap="1" wp14:anchorId="21062F6C" wp14:editId="0556162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BFC29F"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F4143A">
      <w:rPr>
        <w:spacing w:val="-2"/>
      </w:rPr>
      <w:t>DA</w:t>
    </w:r>
    <w:r w:rsidRPr="002A6579">
      <w:rPr>
        <w:spacing w:val="-2"/>
      </w:rPr>
      <w:t xml:space="preserve"> </w:t>
    </w:r>
    <w:r w:rsidR="00510D7D">
      <w:rPr>
        <w:spacing w:val="-2"/>
      </w:rPr>
      <w:t>15-1221</w:t>
    </w:r>
  </w:p>
  <w:p w14:paraId="05AD2D7E" w14:textId="77777777" w:rsidR="0009224B" w:rsidRPr="006E5991" w:rsidRDefault="0009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7007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9"/>
  </w:num>
  <w:num w:numId="8">
    <w:abstractNumId w:val="5"/>
  </w:num>
  <w:num w:numId="9">
    <w:abstractNumId w:val="8"/>
  </w:num>
  <w:num w:numId="10">
    <w:abstractNumId w:val="8"/>
  </w:num>
  <w:num w:numId="11">
    <w:abstractNumId w:val="8"/>
    <w:lvlOverride w:ilvl="0">
      <w:startOverride w:val="1"/>
    </w:lvlOverride>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7"/>
  </w:num>
  <w:num w:numId="21">
    <w:abstractNumId w:val="4"/>
  </w:num>
  <w:num w:numId="22">
    <w:abstractNumId w:val="8"/>
    <w:lvlOverride w:ilvl="0">
      <w:startOverride w:val="1"/>
    </w:lvlOverride>
  </w:num>
  <w:num w:numId="23">
    <w:abstractNumId w:val="8"/>
  </w:num>
  <w:num w:numId="24">
    <w:abstractNumId w:val="4"/>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lvlOverride w:ilvl="0">
      <w:startOverride w:val="7"/>
    </w:lvlOverride>
  </w:num>
  <w:num w:numId="45">
    <w:abstractNumId w:val="4"/>
  </w:num>
  <w:num w:numId="46">
    <w:abstractNumId w:val="8"/>
  </w:num>
  <w:num w:numId="47">
    <w:abstractNumId w:val="8"/>
  </w:num>
  <w:num w:numId="48">
    <w:abstractNumId w:val="8"/>
  </w:num>
  <w:num w:numId="49">
    <w:abstractNumId w:val="4"/>
  </w:num>
  <w:num w:numId="50">
    <w:abstractNumId w:val="4"/>
  </w:num>
  <w:num w:numId="51">
    <w:abstractNumId w:val="4"/>
  </w:num>
  <w:num w:numId="52">
    <w:abstractNumId w:val="4"/>
  </w:num>
  <w:num w:numId="53">
    <w:abstractNumId w:val="4"/>
  </w:num>
  <w:num w:numId="54">
    <w:abstractNumId w:val="8"/>
    <w:lvlOverride w:ilvl="0">
      <w:startOverride w:val="1"/>
    </w:lvlOverride>
  </w:num>
  <w:num w:numId="55">
    <w:abstractNumId w:val="8"/>
  </w:num>
  <w:num w:numId="56">
    <w:abstractNumId w:val="8"/>
  </w:num>
  <w:num w:numId="57">
    <w:abstractNumId w:val="4"/>
  </w:num>
  <w:num w:numId="58">
    <w:abstractNumId w:val="4"/>
  </w:num>
  <w:num w:numId="59">
    <w:abstractNumId w:val="4"/>
  </w:num>
  <w:num w:numId="60">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0990"/>
    <w:rsid w:val="00003F3F"/>
    <w:rsid w:val="00004035"/>
    <w:rsid w:val="00004B27"/>
    <w:rsid w:val="0000707F"/>
    <w:rsid w:val="000118C1"/>
    <w:rsid w:val="0001505F"/>
    <w:rsid w:val="000202CD"/>
    <w:rsid w:val="000344D0"/>
    <w:rsid w:val="00036039"/>
    <w:rsid w:val="00036E17"/>
    <w:rsid w:val="00037F90"/>
    <w:rsid w:val="00040B8C"/>
    <w:rsid w:val="00041E25"/>
    <w:rsid w:val="000423E0"/>
    <w:rsid w:val="00045ADA"/>
    <w:rsid w:val="0005377B"/>
    <w:rsid w:val="00054C6F"/>
    <w:rsid w:val="000552F1"/>
    <w:rsid w:val="00061174"/>
    <w:rsid w:val="0006426E"/>
    <w:rsid w:val="00065D25"/>
    <w:rsid w:val="000700D0"/>
    <w:rsid w:val="00070C69"/>
    <w:rsid w:val="000727D9"/>
    <w:rsid w:val="00075CB6"/>
    <w:rsid w:val="000766B4"/>
    <w:rsid w:val="00082218"/>
    <w:rsid w:val="00084862"/>
    <w:rsid w:val="000861F8"/>
    <w:rsid w:val="000869D7"/>
    <w:rsid w:val="000875BF"/>
    <w:rsid w:val="0009085C"/>
    <w:rsid w:val="0009224B"/>
    <w:rsid w:val="00092FC5"/>
    <w:rsid w:val="00096D8C"/>
    <w:rsid w:val="00097124"/>
    <w:rsid w:val="000979B5"/>
    <w:rsid w:val="000A3765"/>
    <w:rsid w:val="000A4A0F"/>
    <w:rsid w:val="000B1F76"/>
    <w:rsid w:val="000B2412"/>
    <w:rsid w:val="000B3D42"/>
    <w:rsid w:val="000C0B65"/>
    <w:rsid w:val="000C0D26"/>
    <w:rsid w:val="000C16E9"/>
    <w:rsid w:val="000C2C75"/>
    <w:rsid w:val="000C6117"/>
    <w:rsid w:val="000D0042"/>
    <w:rsid w:val="000D4BF0"/>
    <w:rsid w:val="000D5041"/>
    <w:rsid w:val="000D61A0"/>
    <w:rsid w:val="000D652B"/>
    <w:rsid w:val="000D7B64"/>
    <w:rsid w:val="000E05FE"/>
    <w:rsid w:val="000E16BC"/>
    <w:rsid w:val="000E2358"/>
    <w:rsid w:val="000E28BB"/>
    <w:rsid w:val="000E3D42"/>
    <w:rsid w:val="000E6776"/>
    <w:rsid w:val="000F0298"/>
    <w:rsid w:val="000F0D53"/>
    <w:rsid w:val="000F40ED"/>
    <w:rsid w:val="000F527C"/>
    <w:rsid w:val="00101BA6"/>
    <w:rsid w:val="001023F5"/>
    <w:rsid w:val="0010485F"/>
    <w:rsid w:val="00110E19"/>
    <w:rsid w:val="00110F79"/>
    <w:rsid w:val="001114E8"/>
    <w:rsid w:val="00113A35"/>
    <w:rsid w:val="001143D7"/>
    <w:rsid w:val="00114FA6"/>
    <w:rsid w:val="00115BE5"/>
    <w:rsid w:val="00121FC6"/>
    <w:rsid w:val="00122BD5"/>
    <w:rsid w:val="00126CF9"/>
    <w:rsid w:val="00130E2F"/>
    <w:rsid w:val="00130EBE"/>
    <w:rsid w:val="001311A5"/>
    <w:rsid w:val="00133F79"/>
    <w:rsid w:val="00135C0D"/>
    <w:rsid w:val="00140A2D"/>
    <w:rsid w:val="00146C47"/>
    <w:rsid w:val="00152DC0"/>
    <w:rsid w:val="00156BA2"/>
    <w:rsid w:val="001573EF"/>
    <w:rsid w:val="00160A7F"/>
    <w:rsid w:val="001629BF"/>
    <w:rsid w:val="00162EA6"/>
    <w:rsid w:val="00163B01"/>
    <w:rsid w:val="00171118"/>
    <w:rsid w:val="00173C23"/>
    <w:rsid w:val="001801E4"/>
    <w:rsid w:val="00186D24"/>
    <w:rsid w:val="00193A4F"/>
    <w:rsid w:val="00194A66"/>
    <w:rsid w:val="00194ACA"/>
    <w:rsid w:val="00194C00"/>
    <w:rsid w:val="001977FB"/>
    <w:rsid w:val="001A14A1"/>
    <w:rsid w:val="001A22FA"/>
    <w:rsid w:val="001A3A65"/>
    <w:rsid w:val="001A4EDF"/>
    <w:rsid w:val="001A57FC"/>
    <w:rsid w:val="001B1FD1"/>
    <w:rsid w:val="001B295C"/>
    <w:rsid w:val="001B2C60"/>
    <w:rsid w:val="001B3094"/>
    <w:rsid w:val="001B5D22"/>
    <w:rsid w:val="001B6AB2"/>
    <w:rsid w:val="001B7FBF"/>
    <w:rsid w:val="001C27F0"/>
    <w:rsid w:val="001C442C"/>
    <w:rsid w:val="001C75DD"/>
    <w:rsid w:val="001C7672"/>
    <w:rsid w:val="001C79D8"/>
    <w:rsid w:val="001D0EDD"/>
    <w:rsid w:val="001D12F5"/>
    <w:rsid w:val="001D6BCF"/>
    <w:rsid w:val="001D7942"/>
    <w:rsid w:val="001E01CA"/>
    <w:rsid w:val="001E3DD3"/>
    <w:rsid w:val="001E4192"/>
    <w:rsid w:val="001E6015"/>
    <w:rsid w:val="0020059A"/>
    <w:rsid w:val="002020AE"/>
    <w:rsid w:val="002024C3"/>
    <w:rsid w:val="002031A1"/>
    <w:rsid w:val="00203AB6"/>
    <w:rsid w:val="00211865"/>
    <w:rsid w:val="00211EE5"/>
    <w:rsid w:val="0021282F"/>
    <w:rsid w:val="00213A1A"/>
    <w:rsid w:val="0021510C"/>
    <w:rsid w:val="00222858"/>
    <w:rsid w:val="00223624"/>
    <w:rsid w:val="002236D4"/>
    <w:rsid w:val="00225FF2"/>
    <w:rsid w:val="00230522"/>
    <w:rsid w:val="00242C09"/>
    <w:rsid w:val="0024446C"/>
    <w:rsid w:val="002447DE"/>
    <w:rsid w:val="00245D0B"/>
    <w:rsid w:val="00251755"/>
    <w:rsid w:val="00255EEE"/>
    <w:rsid w:val="00260126"/>
    <w:rsid w:val="00260B4D"/>
    <w:rsid w:val="00260F6B"/>
    <w:rsid w:val="00273F00"/>
    <w:rsid w:val="00275CF5"/>
    <w:rsid w:val="0028006D"/>
    <w:rsid w:val="00280664"/>
    <w:rsid w:val="0028301F"/>
    <w:rsid w:val="00285017"/>
    <w:rsid w:val="002856BD"/>
    <w:rsid w:val="00285D0C"/>
    <w:rsid w:val="00287817"/>
    <w:rsid w:val="00290899"/>
    <w:rsid w:val="00295039"/>
    <w:rsid w:val="00295223"/>
    <w:rsid w:val="002A0D0C"/>
    <w:rsid w:val="002A2D2E"/>
    <w:rsid w:val="002A3559"/>
    <w:rsid w:val="002A3D94"/>
    <w:rsid w:val="002A6579"/>
    <w:rsid w:val="002B7D13"/>
    <w:rsid w:val="002C00E8"/>
    <w:rsid w:val="002C3569"/>
    <w:rsid w:val="002D0E6B"/>
    <w:rsid w:val="002D351E"/>
    <w:rsid w:val="002D3A45"/>
    <w:rsid w:val="002D461B"/>
    <w:rsid w:val="002D5A45"/>
    <w:rsid w:val="002E0DD6"/>
    <w:rsid w:val="002E12FF"/>
    <w:rsid w:val="002E28FC"/>
    <w:rsid w:val="002E4088"/>
    <w:rsid w:val="002E5547"/>
    <w:rsid w:val="002F0D0A"/>
    <w:rsid w:val="00302AC0"/>
    <w:rsid w:val="00303E07"/>
    <w:rsid w:val="00303F13"/>
    <w:rsid w:val="003057CD"/>
    <w:rsid w:val="00310408"/>
    <w:rsid w:val="003120C5"/>
    <w:rsid w:val="003178AB"/>
    <w:rsid w:val="003225F2"/>
    <w:rsid w:val="003238A9"/>
    <w:rsid w:val="00323F7E"/>
    <w:rsid w:val="003314D9"/>
    <w:rsid w:val="003321C8"/>
    <w:rsid w:val="00337171"/>
    <w:rsid w:val="00341F36"/>
    <w:rsid w:val="00343749"/>
    <w:rsid w:val="00345BF3"/>
    <w:rsid w:val="00346022"/>
    <w:rsid w:val="003464F0"/>
    <w:rsid w:val="00347114"/>
    <w:rsid w:val="0034767D"/>
    <w:rsid w:val="003479D3"/>
    <w:rsid w:val="00347F25"/>
    <w:rsid w:val="00350348"/>
    <w:rsid w:val="00352C3E"/>
    <w:rsid w:val="00353745"/>
    <w:rsid w:val="00353A52"/>
    <w:rsid w:val="00353DAF"/>
    <w:rsid w:val="00356102"/>
    <w:rsid w:val="00357336"/>
    <w:rsid w:val="00357CD7"/>
    <w:rsid w:val="00361159"/>
    <w:rsid w:val="003660ED"/>
    <w:rsid w:val="0036719E"/>
    <w:rsid w:val="0037084B"/>
    <w:rsid w:val="0037308C"/>
    <w:rsid w:val="00374DB9"/>
    <w:rsid w:val="003764E6"/>
    <w:rsid w:val="0038388A"/>
    <w:rsid w:val="003922A9"/>
    <w:rsid w:val="0039699E"/>
    <w:rsid w:val="003972D1"/>
    <w:rsid w:val="003A0C6C"/>
    <w:rsid w:val="003A797F"/>
    <w:rsid w:val="003B0550"/>
    <w:rsid w:val="003B1F3A"/>
    <w:rsid w:val="003B694F"/>
    <w:rsid w:val="003C0FB6"/>
    <w:rsid w:val="003C1CBC"/>
    <w:rsid w:val="003C1E21"/>
    <w:rsid w:val="003C5C51"/>
    <w:rsid w:val="003D16DA"/>
    <w:rsid w:val="003D5745"/>
    <w:rsid w:val="003D5A01"/>
    <w:rsid w:val="003E042F"/>
    <w:rsid w:val="003E78BD"/>
    <w:rsid w:val="003F171C"/>
    <w:rsid w:val="003F194F"/>
    <w:rsid w:val="003F44D6"/>
    <w:rsid w:val="003F6BD2"/>
    <w:rsid w:val="00401ECD"/>
    <w:rsid w:val="00402558"/>
    <w:rsid w:val="004026B8"/>
    <w:rsid w:val="00403F25"/>
    <w:rsid w:val="00410091"/>
    <w:rsid w:val="00412FC5"/>
    <w:rsid w:val="0041447B"/>
    <w:rsid w:val="004213F4"/>
    <w:rsid w:val="00422276"/>
    <w:rsid w:val="004242F1"/>
    <w:rsid w:val="00426E52"/>
    <w:rsid w:val="00430EC6"/>
    <w:rsid w:val="00434BAC"/>
    <w:rsid w:val="00435A57"/>
    <w:rsid w:val="004373DB"/>
    <w:rsid w:val="00440212"/>
    <w:rsid w:val="00445A00"/>
    <w:rsid w:val="004519A1"/>
    <w:rsid w:val="00451B0F"/>
    <w:rsid w:val="0045371E"/>
    <w:rsid w:val="00453B0D"/>
    <w:rsid w:val="00471D3F"/>
    <w:rsid w:val="00472C19"/>
    <w:rsid w:val="00483C1A"/>
    <w:rsid w:val="0048401D"/>
    <w:rsid w:val="00486E95"/>
    <w:rsid w:val="0049313A"/>
    <w:rsid w:val="00493515"/>
    <w:rsid w:val="004954D4"/>
    <w:rsid w:val="004A1D0A"/>
    <w:rsid w:val="004B2A7F"/>
    <w:rsid w:val="004B3494"/>
    <w:rsid w:val="004B3B18"/>
    <w:rsid w:val="004B5176"/>
    <w:rsid w:val="004B6E32"/>
    <w:rsid w:val="004B7A49"/>
    <w:rsid w:val="004B7AA2"/>
    <w:rsid w:val="004C042A"/>
    <w:rsid w:val="004C2EE3"/>
    <w:rsid w:val="004C3F1F"/>
    <w:rsid w:val="004C5D00"/>
    <w:rsid w:val="004D7291"/>
    <w:rsid w:val="004E1D1C"/>
    <w:rsid w:val="004E36FF"/>
    <w:rsid w:val="004E4A22"/>
    <w:rsid w:val="004F1062"/>
    <w:rsid w:val="004F42B5"/>
    <w:rsid w:val="00502A65"/>
    <w:rsid w:val="005031F7"/>
    <w:rsid w:val="00503C39"/>
    <w:rsid w:val="00505C6F"/>
    <w:rsid w:val="00507981"/>
    <w:rsid w:val="00510D7D"/>
    <w:rsid w:val="00511968"/>
    <w:rsid w:val="00513BFB"/>
    <w:rsid w:val="00520FFA"/>
    <w:rsid w:val="005224CB"/>
    <w:rsid w:val="005224EB"/>
    <w:rsid w:val="00524382"/>
    <w:rsid w:val="005319D2"/>
    <w:rsid w:val="00534310"/>
    <w:rsid w:val="005362DF"/>
    <w:rsid w:val="00536D07"/>
    <w:rsid w:val="00543793"/>
    <w:rsid w:val="00546C2D"/>
    <w:rsid w:val="00551776"/>
    <w:rsid w:val="00552734"/>
    <w:rsid w:val="00554467"/>
    <w:rsid w:val="00555343"/>
    <w:rsid w:val="0055614C"/>
    <w:rsid w:val="0055746A"/>
    <w:rsid w:val="005605B5"/>
    <w:rsid w:val="00563C0D"/>
    <w:rsid w:val="00564BC6"/>
    <w:rsid w:val="00564ED1"/>
    <w:rsid w:val="00573650"/>
    <w:rsid w:val="00576A12"/>
    <w:rsid w:val="0058143D"/>
    <w:rsid w:val="00586D68"/>
    <w:rsid w:val="005879A7"/>
    <w:rsid w:val="005910AB"/>
    <w:rsid w:val="005962B9"/>
    <w:rsid w:val="005A50F5"/>
    <w:rsid w:val="005B284B"/>
    <w:rsid w:val="005C760D"/>
    <w:rsid w:val="005D43CD"/>
    <w:rsid w:val="005D70A6"/>
    <w:rsid w:val="005E14C2"/>
    <w:rsid w:val="005E5313"/>
    <w:rsid w:val="005E6DE0"/>
    <w:rsid w:val="005F23E7"/>
    <w:rsid w:val="005F4C94"/>
    <w:rsid w:val="005F5D7B"/>
    <w:rsid w:val="006028A3"/>
    <w:rsid w:val="0060413D"/>
    <w:rsid w:val="006049DC"/>
    <w:rsid w:val="006068F4"/>
    <w:rsid w:val="0060728C"/>
    <w:rsid w:val="00607BA5"/>
    <w:rsid w:val="0061180A"/>
    <w:rsid w:val="00612B34"/>
    <w:rsid w:val="0061343B"/>
    <w:rsid w:val="0061744B"/>
    <w:rsid w:val="00620339"/>
    <w:rsid w:val="00626EB6"/>
    <w:rsid w:val="006305B1"/>
    <w:rsid w:val="006328A3"/>
    <w:rsid w:val="006354AD"/>
    <w:rsid w:val="006356F1"/>
    <w:rsid w:val="0063600A"/>
    <w:rsid w:val="006377BB"/>
    <w:rsid w:val="00645247"/>
    <w:rsid w:val="00651C4C"/>
    <w:rsid w:val="00655D03"/>
    <w:rsid w:val="00656A0F"/>
    <w:rsid w:val="00656DDF"/>
    <w:rsid w:val="00657730"/>
    <w:rsid w:val="00662C60"/>
    <w:rsid w:val="0066784C"/>
    <w:rsid w:val="00675DC4"/>
    <w:rsid w:val="00676CDF"/>
    <w:rsid w:val="006770B5"/>
    <w:rsid w:val="00677BCD"/>
    <w:rsid w:val="0068011B"/>
    <w:rsid w:val="00683388"/>
    <w:rsid w:val="00683F84"/>
    <w:rsid w:val="006873D3"/>
    <w:rsid w:val="0069092F"/>
    <w:rsid w:val="006A0F10"/>
    <w:rsid w:val="006A1537"/>
    <w:rsid w:val="006A593E"/>
    <w:rsid w:val="006A6A81"/>
    <w:rsid w:val="006A6B3E"/>
    <w:rsid w:val="006B2271"/>
    <w:rsid w:val="006B3088"/>
    <w:rsid w:val="006B3C16"/>
    <w:rsid w:val="006C1286"/>
    <w:rsid w:val="006C3191"/>
    <w:rsid w:val="006C3B41"/>
    <w:rsid w:val="006D12DF"/>
    <w:rsid w:val="006D2CD1"/>
    <w:rsid w:val="006D5D26"/>
    <w:rsid w:val="006D6A5B"/>
    <w:rsid w:val="006E5991"/>
    <w:rsid w:val="006E724D"/>
    <w:rsid w:val="006F15ED"/>
    <w:rsid w:val="006F6E7B"/>
    <w:rsid w:val="006F7393"/>
    <w:rsid w:val="0070224F"/>
    <w:rsid w:val="0070565D"/>
    <w:rsid w:val="007115F7"/>
    <w:rsid w:val="0071242D"/>
    <w:rsid w:val="0071260A"/>
    <w:rsid w:val="007130FE"/>
    <w:rsid w:val="00713CC2"/>
    <w:rsid w:val="00714A37"/>
    <w:rsid w:val="00714EAE"/>
    <w:rsid w:val="007162AD"/>
    <w:rsid w:val="0072035E"/>
    <w:rsid w:val="007209DD"/>
    <w:rsid w:val="007225B2"/>
    <w:rsid w:val="007318D9"/>
    <w:rsid w:val="007357B7"/>
    <w:rsid w:val="00740F2F"/>
    <w:rsid w:val="007433C9"/>
    <w:rsid w:val="007448D0"/>
    <w:rsid w:val="007448F9"/>
    <w:rsid w:val="00746206"/>
    <w:rsid w:val="007470ED"/>
    <w:rsid w:val="00751C81"/>
    <w:rsid w:val="007539F3"/>
    <w:rsid w:val="00753DFE"/>
    <w:rsid w:val="00764217"/>
    <w:rsid w:val="00764FEF"/>
    <w:rsid w:val="00765DF5"/>
    <w:rsid w:val="00772F82"/>
    <w:rsid w:val="00776500"/>
    <w:rsid w:val="00785689"/>
    <w:rsid w:val="0079352A"/>
    <w:rsid w:val="0079754B"/>
    <w:rsid w:val="007A1E6D"/>
    <w:rsid w:val="007A357F"/>
    <w:rsid w:val="007A4D81"/>
    <w:rsid w:val="007B0EB2"/>
    <w:rsid w:val="007B128C"/>
    <w:rsid w:val="007B2F44"/>
    <w:rsid w:val="007B5A95"/>
    <w:rsid w:val="007B667F"/>
    <w:rsid w:val="007B71BE"/>
    <w:rsid w:val="007C3195"/>
    <w:rsid w:val="007C32A4"/>
    <w:rsid w:val="007C48BC"/>
    <w:rsid w:val="007D0E8E"/>
    <w:rsid w:val="007D10F1"/>
    <w:rsid w:val="007D28F3"/>
    <w:rsid w:val="007D4014"/>
    <w:rsid w:val="007D601D"/>
    <w:rsid w:val="007E7375"/>
    <w:rsid w:val="007E78D5"/>
    <w:rsid w:val="007F4B32"/>
    <w:rsid w:val="007F647F"/>
    <w:rsid w:val="00800AA8"/>
    <w:rsid w:val="00800B3C"/>
    <w:rsid w:val="00801F39"/>
    <w:rsid w:val="00802F41"/>
    <w:rsid w:val="00804E8A"/>
    <w:rsid w:val="00805EB1"/>
    <w:rsid w:val="008106F2"/>
    <w:rsid w:val="00810B6F"/>
    <w:rsid w:val="008110C5"/>
    <w:rsid w:val="00815A7F"/>
    <w:rsid w:val="008214E0"/>
    <w:rsid w:val="0082297D"/>
    <w:rsid w:val="00822CE0"/>
    <w:rsid w:val="00825C3E"/>
    <w:rsid w:val="008301D6"/>
    <w:rsid w:val="0083291F"/>
    <w:rsid w:val="00836499"/>
    <w:rsid w:val="0084109E"/>
    <w:rsid w:val="00841AB1"/>
    <w:rsid w:val="00842A05"/>
    <w:rsid w:val="0084590D"/>
    <w:rsid w:val="008469D5"/>
    <w:rsid w:val="0085328A"/>
    <w:rsid w:val="0085689F"/>
    <w:rsid w:val="0085789B"/>
    <w:rsid w:val="008618B5"/>
    <w:rsid w:val="00862005"/>
    <w:rsid w:val="00864DA0"/>
    <w:rsid w:val="0086501E"/>
    <w:rsid w:val="00866924"/>
    <w:rsid w:val="00870C7B"/>
    <w:rsid w:val="00872824"/>
    <w:rsid w:val="00877065"/>
    <w:rsid w:val="00877C81"/>
    <w:rsid w:val="00883BDC"/>
    <w:rsid w:val="008908CE"/>
    <w:rsid w:val="00890F0D"/>
    <w:rsid w:val="00893D15"/>
    <w:rsid w:val="0089401C"/>
    <w:rsid w:val="008A06E4"/>
    <w:rsid w:val="008A2437"/>
    <w:rsid w:val="008A36DD"/>
    <w:rsid w:val="008A59FA"/>
    <w:rsid w:val="008A5F2D"/>
    <w:rsid w:val="008A65B6"/>
    <w:rsid w:val="008A763D"/>
    <w:rsid w:val="008A7948"/>
    <w:rsid w:val="008B1311"/>
    <w:rsid w:val="008B5880"/>
    <w:rsid w:val="008B5B21"/>
    <w:rsid w:val="008C68F1"/>
    <w:rsid w:val="008C7956"/>
    <w:rsid w:val="008D11B8"/>
    <w:rsid w:val="008D1BE5"/>
    <w:rsid w:val="008D2AF2"/>
    <w:rsid w:val="008D5835"/>
    <w:rsid w:val="008D7278"/>
    <w:rsid w:val="008E026D"/>
    <w:rsid w:val="008E4283"/>
    <w:rsid w:val="008E4AAD"/>
    <w:rsid w:val="008E5715"/>
    <w:rsid w:val="008F086E"/>
    <w:rsid w:val="008F2C0D"/>
    <w:rsid w:val="008F3BD7"/>
    <w:rsid w:val="008F4857"/>
    <w:rsid w:val="00901425"/>
    <w:rsid w:val="00901FEE"/>
    <w:rsid w:val="009073C3"/>
    <w:rsid w:val="00913414"/>
    <w:rsid w:val="009139A1"/>
    <w:rsid w:val="00914D90"/>
    <w:rsid w:val="00916167"/>
    <w:rsid w:val="00917FA4"/>
    <w:rsid w:val="00920B75"/>
    <w:rsid w:val="0092117B"/>
    <w:rsid w:val="00921803"/>
    <w:rsid w:val="00921998"/>
    <w:rsid w:val="00926503"/>
    <w:rsid w:val="009326CE"/>
    <w:rsid w:val="00933174"/>
    <w:rsid w:val="00933976"/>
    <w:rsid w:val="00940FF6"/>
    <w:rsid w:val="00947353"/>
    <w:rsid w:val="009526F5"/>
    <w:rsid w:val="009542F2"/>
    <w:rsid w:val="00954668"/>
    <w:rsid w:val="00957D7C"/>
    <w:rsid w:val="00962C10"/>
    <w:rsid w:val="009637DA"/>
    <w:rsid w:val="00965C5A"/>
    <w:rsid w:val="009670AB"/>
    <w:rsid w:val="009676F3"/>
    <w:rsid w:val="0097057E"/>
    <w:rsid w:val="00972589"/>
    <w:rsid w:val="009726D8"/>
    <w:rsid w:val="00972ABE"/>
    <w:rsid w:val="0097651F"/>
    <w:rsid w:val="00981CD0"/>
    <w:rsid w:val="009862BF"/>
    <w:rsid w:val="00986FE3"/>
    <w:rsid w:val="00987DDE"/>
    <w:rsid w:val="00991638"/>
    <w:rsid w:val="009935A0"/>
    <w:rsid w:val="00995735"/>
    <w:rsid w:val="009A13FB"/>
    <w:rsid w:val="009A3CC1"/>
    <w:rsid w:val="009B08E7"/>
    <w:rsid w:val="009B149E"/>
    <w:rsid w:val="009B2B7A"/>
    <w:rsid w:val="009B48D0"/>
    <w:rsid w:val="009B6595"/>
    <w:rsid w:val="009B776C"/>
    <w:rsid w:val="009C3F66"/>
    <w:rsid w:val="009C5317"/>
    <w:rsid w:val="009D03B0"/>
    <w:rsid w:val="009D04F0"/>
    <w:rsid w:val="009D1C3F"/>
    <w:rsid w:val="009D2274"/>
    <w:rsid w:val="009D453D"/>
    <w:rsid w:val="009D7109"/>
    <w:rsid w:val="009E06A2"/>
    <w:rsid w:val="009E2C59"/>
    <w:rsid w:val="009E2D26"/>
    <w:rsid w:val="009E3A76"/>
    <w:rsid w:val="009E4163"/>
    <w:rsid w:val="009E5ADE"/>
    <w:rsid w:val="009E7242"/>
    <w:rsid w:val="009F67D4"/>
    <w:rsid w:val="009F76DB"/>
    <w:rsid w:val="00A04FE1"/>
    <w:rsid w:val="00A13864"/>
    <w:rsid w:val="00A13B29"/>
    <w:rsid w:val="00A14172"/>
    <w:rsid w:val="00A173E4"/>
    <w:rsid w:val="00A20F4A"/>
    <w:rsid w:val="00A21EEF"/>
    <w:rsid w:val="00A23B70"/>
    <w:rsid w:val="00A32C3B"/>
    <w:rsid w:val="00A357C2"/>
    <w:rsid w:val="00A3746B"/>
    <w:rsid w:val="00A40E63"/>
    <w:rsid w:val="00A45486"/>
    <w:rsid w:val="00A45F4F"/>
    <w:rsid w:val="00A52276"/>
    <w:rsid w:val="00A53566"/>
    <w:rsid w:val="00A571AA"/>
    <w:rsid w:val="00A57F92"/>
    <w:rsid w:val="00A600A9"/>
    <w:rsid w:val="00A61B3D"/>
    <w:rsid w:val="00A666CD"/>
    <w:rsid w:val="00A81EDF"/>
    <w:rsid w:val="00A9153F"/>
    <w:rsid w:val="00A91623"/>
    <w:rsid w:val="00A92546"/>
    <w:rsid w:val="00A925B9"/>
    <w:rsid w:val="00A93B24"/>
    <w:rsid w:val="00A95F90"/>
    <w:rsid w:val="00AA55B7"/>
    <w:rsid w:val="00AA5B9E"/>
    <w:rsid w:val="00AB02A7"/>
    <w:rsid w:val="00AB0C15"/>
    <w:rsid w:val="00AB2407"/>
    <w:rsid w:val="00AB2D46"/>
    <w:rsid w:val="00AB3155"/>
    <w:rsid w:val="00AB53DF"/>
    <w:rsid w:val="00AC2342"/>
    <w:rsid w:val="00AC2A65"/>
    <w:rsid w:val="00AC7A18"/>
    <w:rsid w:val="00AC7C6E"/>
    <w:rsid w:val="00AD269A"/>
    <w:rsid w:val="00AD26A3"/>
    <w:rsid w:val="00AD2FE0"/>
    <w:rsid w:val="00AD52EA"/>
    <w:rsid w:val="00AE005D"/>
    <w:rsid w:val="00AE0E09"/>
    <w:rsid w:val="00AE607F"/>
    <w:rsid w:val="00AE7FE7"/>
    <w:rsid w:val="00AF087B"/>
    <w:rsid w:val="00AF0A01"/>
    <w:rsid w:val="00AF6388"/>
    <w:rsid w:val="00B026F8"/>
    <w:rsid w:val="00B0271B"/>
    <w:rsid w:val="00B07E5C"/>
    <w:rsid w:val="00B131DF"/>
    <w:rsid w:val="00B13C07"/>
    <w:rsid w:val="00B147AB"/>
    <w:rsid w:val="00B147D3"/>
    <w:rsid w:val="00B165B0"/>
    <w:rsid w:val="00B16D72"/>
    <w:rsid w:val="00B20659"/>
    <w:rsid w:val="00B2377E"/>
    <w:rsid w:val="00B23CDC"/>
    <w:rsid w:val="00B27B32"/>
    <w:rsid w:val="00B317F9"/>
    <w:rsid w:val="00B32D11"/>
    <w:rsid w:val="00B35051"/>
    <w:rsid w:val="00B3506D"/>
    <w:rsid w:val="00B35485"/>
    <w:rsid w:val="00B37F19"/>
    <w:rsid w:val="00B40F89"/>
    <w:rsid w:val="00B41958"/>
    <w:rsid w:val="00B41B6E"/>
    <w:rsid w:val="00B41EE0"/>
    <w:rsid w:val="00B42792"/>
    <w:rsid w:val="00B44BDD"/>
    <w:rsid w:val="00B47B17"/>
    <w:rsid w:val="00B624B4"/>
    <w:rsid w:val="00B63185"/>
    <w:rsid w:val="00B731A5"/>
    <w:rsid w:val="00B7594D"/>
    <w:rsid w:val="00B811F7"/>
    <w:rsid w:val="00B8129F"/>
    <w:rsid w:val="00B81E0A"/>
    <w:rsid w:val="00B8352E"/>
    <w:rsid w:val="00B83977"/>
    <w:rsid w:val="00B86594"/>
    <w:rsid w:val="00B86C07"/>
    <w:rsid w:val="00B9302C"/>
    <w:rsid w:val="00B9371F"/>
    <w:rsid w:val="00B9404A"/>
    <w:rsid w:val="00B9450D"/>
    <w:rsid w:val="00B94C3A"/>
    <w:rsid w:val="00B95A4A"/>
    <w:rsid w:val="00B97820"/>
    <w:rsid w:val="00BA4BEA"/>
    <w:rsid w:val="00BA5DC6"/>
    <w:rsid w:val="00BA6196"/>
    <w:rsid w:val="00BA6ACC"/>
    <w:rsid w:val="00BB08C2"/>
    <w:rsid w:val="00BB0D04"/>
    <w:rsid w:val="00BC037B"/>
    <w:rsid w:val="00BC6D8C"/>
    <w:rsid w:val="00BC6FF4"/>
    <w:rsid w:val="00BC78DC"/>
    <w:rsid w:val="00BC7DE3"/>
    <w:rsid w:val="00BD07AE"/>
    <w:rsid w:val="00BD115F"/>
    <w:rsid w:val="00BD6CE6"/>
    <w:rsid w:val="00BE74EC"/>
    <w:rsid w:val="00BE7C46"/>
    <w:rsid w:val="00BF02DA"/>
    <w:rsid w:val="00BF1A08"/>
    <w:rsid w:val="00BF1A1C"/>
    <w:rsid w:val="00BF2B4C"/>
    <w:rsid w:val="00BF35C3"/>
    <w:rsid w:val="00BF48A0"/>
    <w:rsid w:val="00BF5886"/>
    <w:rsid w:val="00BF72B7"/>
    <w:rsid w:val="00BF7BD7"/>
    <w:rsid w:val="00C03BEA"/>
    <w:rsid w:val="00C04C9E"/>
    <w:rsid w:val="00C1193E"/>
    <w:rsid w:val="00C1207A"/>
    <w:rsid w:val="00C136AD"/>
    <w:rsid w:val="00C153F8"/>
    <w:rsid w:val="00C17E25"/>
    <w:rsid w:val="00C20BB7"/>
    <w:rsid w:val="00C2285B"/>
    <w:rsid w:val="00C23068"/>
    <w:rsid w:val="00C24527"/>
    <w:rsid w:val="00C34006"/>
    <w:rsid w:val="00C35607"/>
    <w:rsid w:val="00C41A95"/>
    <w:rsid w:val="00C426B1"/>
    <w:rsid w:val="00C43A2F"/>
    <w:rsid w:val="00C44125"/>
    <w:rsid w:val="00C444CA"/>
    <w:rsid w:val="00C452DD"/>
    <w:rsid w:val="00C46DB9"/>
    <w:rsid w:val="00C51113"/>
    <w:rsid w:val="00C56851"/>
    <w:rsid w:val="00C61852"/>
    <w:rsid w:val="00C6192F"/>
    <w:rsid w:val="00C63B0B"/>
    <w:rsid w:val="00C66160"/>
    <w:rsid w:val="00C665EF"/>
    <w:rsid w:val="00C66C7F"/>
    <w:rsid w:val="00C70D34"/>
    <w:rsid w:val="00C71684"/>
    <w:rsid w:val="00C721AC"/>
    <w:rsid w:val="00C75E3D"/>
    <w:rsid w:val="00C8166C"/>
    <w:rsid w:val="00C83C73"/>
    <w:rsid w:val="00C840F0"/>
    <w:rsid w:val="00C85F7F"/>
    <w:rsid w:val="00C90D6A"/>
    <w:rsid w:val="00C91AAA"/>
    <w:rsid w:val="00C938AE"/>
    <w:rsid w:val="00C93B17"/>
    <w:rsid w:val="00C94F1E"/>
    <w:rsid w:val="00C95F70"/>
    <w:rsid w:val="00C975ED"/>
    <w:rsid w:val="00C977AA"/>
    <w:rsid w:val="00CA23C9"/>
    <w:rsid w:val="00CA247E"/>
    <w:rsid w:val="00CA6277"/>
    <w:rsid w:val="00CB28B6"/>
    <w:rsid w:val="00CB4F27"/>
    <w:rsid w:val="00CB62EC"/>
    <w:rsid w:val="00CB63D1"/>
    <w:rsid w:val="00CC0CC1"/>
    <w:rsid w:val="00CC20DE"/>
    <w:rsid w:val="00CC2EC9"/>
    <w:rsid w:val="00CC618A"/>
    <w:rsid w:val="00CC72B6"/>
    <w:rsid w:val="00CE23C8"/>
    <w:rsid w:val="00CE7F7A"/>
    <w:rsid w:val="00CF1B60"/>
    <w:rsid w:val="00CF1FCC"/>
    <w:rsid w:val="00CF26FC"/>
    <w:rsid w:val="00CF4791"/>
    <w:rsid w:val="00D003D8"/>
    <w:rsid w:val="00D01B98"/>
    <w:rsid w:val="00D0218D"/>
    <w:rsid w:val="00D059C5"/>
    <w:rsid w:val="00D1063E"/>
    <w:rsid w:val="00D10AA4"/>
    <w:rsid w:val="00D128AC"/>
    <w:rsid w:val="00D13C0C"/>
    <w:rsid w:val="00D17EFA"/>
    <w:rsid w:val="00D20A45"/>
    <w:rsid w:val="00D20F8E"/>
    <w:rsid w:val="00D211E1"/>
    <w:rsid w:val="00D25FB5"/>
    <w:rsid w:val="00D26F9D"/>
    <w:rsid w:val="00D30AFD"/>
    <w:rsid w:val="00D364DA"/>
    <w:rsid w:val="00D413FB"/>
    <w:rsid w:val="00D42C7E"/>
    <w:rsid w:val="00D430D6"/>
    <w:rsid w:val="00D44223"/>
    <w:rsid w:val="00D461BF"/>
    <w:rsid w:val="00D4663E"/>
    <w:rsid w:val="00D54726"/>
    <w:rsid w:val="00D54B11"/>
    <w:rsid w:val="00D573FC"/>
    <w:rsid w:val="00D6033C"/>
    <w:rsid w:val="00D632D7"/>
    <w:rsid w:val="00D66312"/>
    <w:rsid w:val="00D67325"/>
    <w:rsid w:val="00D70954"/>
    <w:rsid w:val="00D81FF9"/>
    <w:rsid w:val="00D82649"/>
    <w:rsid w:val="00D8705C"/>
    <w:rsid w:val="00D8766F"/>
    <w:rsid w:val="00D914CF"/>
    <w:rsid w:val="00D91FEE"/>
    <w:rsid w:val="00D92343"/>
    <w:rsid w:val="00D92917"/>
    <w:rsid w:val="00D97104"/>
    <w:rsid w:val="00DA0D7A"/>
    <w:rsid w:val="00DA1BC9"/>
    <w:rsid w:val="00DA2529"/>
    <w:rsid w:val="00DB130A"/>
    <w:rsid w:val="00DB2EBB"/>
    <w:rsid w:val="00DC10A1"/>
    <w:rsid w:val="00DC16B7"/>
    <w:rsid w:val="00DC21E6"/>
    <w:rsid w:val="00DC5648"/>
    <w:rsid w:val="00DC655F"/>
    <w:rsid w:val="00DD0B59"/>
    <w:rsid w:val="00DD3655"/>
    <w:rsid w:val="00DD7EBD"/>
    <w:rsid w:val="00DE053A"/>
    <w:rsid w:val="00DE0B65"/>
    <w:rsid w:val="00DE0F43"/>
    <w:rsid w:val="00DE1294"/>
    <w:rsid w:val="00DE1D2E"/>
    <w:rsid w:val="00DE3EBF"/>
    <w:rsid w:val="00DE5673"/>
    <w:rsid w:val="00DF2E51"/>
    <w:rsid w:val="00DF62B6"/>
    <w:rsid w:val="00DF7411"/>
    <w:rsid w:val="00E0089C"/>
    <w:rsid w:val="00E025F4"/>
    <w:rsid w:val="00E04087"/>
    <w:rsid w:val="00E07225"/>
    <w:rsid w:val="00E10F52"/>
    <w:rsid w:val="00E1189D"/>
    <w:rsid w:val="00E11D23"/>
    <w:rsid w:val="00E123E6"/>
    <w:rsid w:val="00E179CA"/>
    <w:rsid w:val="00E2272B"/>
    <w:rsid w:val="00E302ED"/>
    <w:rsid w:val="00E35531"/>
    <w:rsid w:val="00E35EE6"/>
    <w:rsid w:val="00E463B3"/>
    <w:rsid w:val="00E466D3"/>
    <w:rsid w:val="00E468F5"/>
    <w:rsid w:val="00E5409F"/>
    <w:rsid w:val="00E550A1"/>
    <w:rsid w:val="00E57EA6"/>
    <w:rsid w:val="00E62460"/>
    <w:rsid w:val="00E63721"/>
    <w:rsid w:val="00E66844"/>
    <w:rsid w:val="00E66A2E"/>
    <w:rsid w:val="00E66CF5"/>
    <w:rsid w:val="00E72A40"/>
    <w:rsid w:val="00E72F5E"/>
    <w:rsid w:val="00E7655F"/>
    <w:rsid w:val="00E77F49"/>
    <w:rsid w:val="00E815FC"/>
    <w:rsid w:val="00E8352C"/>
    <w:rsid w:val="00E86EA6"/>
    <w:rsid w:val="00E90771"/>
    <w:rsid w:val="00E928D0"/>
    <w:rsid w:val="00E92F65"/>
    <w:rsid w:val="00E97AA4"/>
    <w:rsid w:val="00EA0825"/>
    <w:rsid w:val="00EA23C5"/>
    <w:rsid w:val="00EA4786"/>
    <w:rsid w:val="00EA6B58"/>
    <w:rsid w:val="00EB14ED"/>
    <w:rsid w:val="00EB266A"/>
    <w:rsid w:val="00EB6CCD"/>
    <w:rsid w:val="00EC0BC7"/>
    <w:rsid w:val="00EC5ED9"/>
    <w:rsid w:val="00ED3664"/>
    <w:rsid w:val="00EE3E9B"/>
    <w:rsid w:val="00EE4710"/>
    <w:rsid w:val="00EE6488"/>
    <w:rsid w:val="00EF0447"/>
    <w:rsid w:val="00EF1358"/>
    <w:rsid w:val="00EF61B1"/>
    <w:rsid w:val="00EF7696"/>
    <w:rsid w:val="00F001D0"/>
    <w:rsid w:val="00F021FA"/>
    <w:rsid w:val="00F0393A"/>
    <w:rsid w:val="00F03B46"/>
    <w:rsid w:val="00F052FC"/>
    <w:rsid w:val="00F118F8"/>
    <w:rsid w:val="00F13BA6"/>
    <w:rsid w:val="00F14441"/>
    <w:rsid w:val="00F3454F"/>
    <w:rsid w:val="00F3616F"/>
    <w:rsid w:val="00F4143A"/>
    <w:rsid w:val="00F4169E"/>
    <w:rsid w:val="00F4310A"/>
    <w:rsid w:val="00F45BE9"/>
    <w:rsid w:val="00F47415"/>
    <w:rsid w:val="00F4758C"/>
    <w:rsid w:val="00F5199B"/>
    <w:rsid w:val="00F548B2"/>
    <w:rsid w:val="00F56E9F"/>
    <w:rsid w:val="00F62E97"/>
    <w:rsid w:val="00F64209"/>
    <w:rsid w:val="00F6459A"/>
    <w:rsid w:val="00F6699A"/>
    <w:rsid w:val="00F740FD"/>
    <w:rsid w:val="00F74D2E"/>
    <w:rsid w:val="00F76B56"/>
    <w:rsid w:val="00F8048A"/>
    <w:rsid w:val="00F8237D"/>
    <w:rsid w:val="00F849F1"/>
    <w:rsid w:val="00F86BAB"/>
    <w:rsid w:val="00F90AF8"/>
    <w:rsid w:val="00F93BF5"/>
    <w:rsid w:val="00F93D21"/>
    <w:rsid w:val="00F94623"/>
    <w:rsid w:val="00F95565"/>
    <w:rsid w:val="00F966B9"/>
    <w:rsid w:val="00F9736C"/>
    <w:rsid w:val="00FA5359"/>
    <w:rsid w:val="00FB0554"/>
    <w:rsid w:val="00FB1F18"/>
    <w:rsid w:val="00FB2B17"/>
    <w:rsid w:val="00FB350B"/>
    <w:rsid w:val="00FB35A4"/>
    <w:rsid w:val="00FB70F0"/>
    <w:rsid w:val="00FC0F79"/>
    <w:rsid w:val="00FC3CF9"/>
    <w:rsid w:val="00FD0D34"/>
    <w:rsid w:val="00FD6219"/>
    <w:rsid w:val="00FD7D1B"/>
    <w:rsid w:val="00FE3CD8"/>
    <w:rsid w:val="00FE45C7"/>
    <w:rsid w:val="00FE7B23"/>
    <w:rsid w:val="00FF0889"/>
    <w:rsid w:val="00FF2776"/>
    <w:rsid w:val="07D7B16F"/>
    <w:rsid w:val="0A32126A"/>
    <w:rsid w:val="0BCFD124"/>
    <w:rsid w:val="0DD780E6"/>
    <w:rsid w:val="190D80AA"/>
    <w:rsid w:val="2060B862"/>
    <w:rsid w:val="2659AD98"/>
    <w:rsid w:val="307900A4"/>
    <w:rsid w:val="36FEC206"/>
    <w:rsid w:val="3AB82871"/>
    <w:rsid w:val="3DC2A834"/>
    <w:rsid w:val="48C57245"/>
    <w:rsid w:val="56DE6389"/>
    <w:rsid w:val="5D60B75F"/>
    <w:rsid w:val="5E955A4B"/>
    <w:rsid w:val="668FAA6C"/>
    <w:rsid w:val="6D681362"/>
    <w:rsid w:val="77171504"/>
    <w:rsid w:val="77D22E49"/>
    <w:rsid w:val="7A2618FA"/>
    <w:rsid w:val="7CE5C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7A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A5"/>
    <w:pPr>
      <w:widowControl w:val="0"/>
    </w:pPr>
    <w:rPr>
      <w:snapToGrid w:val="0"/>
      <w:kern w:val="28"/>
      <w:sz w:val="22"/>
    </w:rPr>
  </w:style>
  <w:style w:type="paragraph" w:styleId="Heading1">
    <w:name w:val="heading 1"/>
    <w:basedOn w:val="Normal"/>
    <w:next w:val="ParaNum"/>
    <w:link w:val="Heading1Char"/>
    <w:qFormat/>
    <w:rsid w:val="001311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311A5"/>
    <w:pPr>
      <w:keepNext/>
      <w:numPr>
        <w:ilvl w:val="1"/>
        <w:numId w:val="3"/>
      </w:numPr>
      <w:spacing w:after="120"/>
      <w:outlineLvl w:val="1"/>
    </w:pPr>
    <w:rPr>
      <w:b/>
    </w:rPr>
  </w:style>
  <w:style w:type="paragraph" w:styleId="Heading3">
    <w:name w:val="heading 3"/>
    <w:basedOn w:val="Normal"/>
    <w:next w:val="ParaNum"/>
    <w:qFormat/>
    <w:rsid w:val="001311A5"/>
    <w:pPr>
      <w:keepNext/>
      <w:numPr>
        <w:ilvl w:val="2"/>
        <w:numId w:val="3"/>
      </w:numPr>
      <w:tabs>
        <w:tab w:val="left" w:pos="2160"/>
      </w:tabs>
      <w:spacing w:after="120"/>
      <w:outlineLvl w:val="2"/>
    </w:pPr>
    <w:rPr>
      <w:b/>
    </w:rPr>
  </w:style>
  <w:style w:type="paragraph" w:styleId="Heading4">
    <w:name w:val="heading 4"/>
    <w:basedOn w:val="Normal"/>
    <w:next w:val="ParaNum"/>
    <w:qFormat/>
    <w:rsid w:val="001311A5"/>
    <w:pPr>
      <w:keepNext/>
      <w:numPr>
        <w:ilvl w:val="3"/>
        <w:numId w:val="3"/>
      </w:numPr>
      <w:tabs>
        <w:tab w:val="left" w:pos="2880"/>
      </w:tabs>
      <w:spacing w:after="120"/>
      <w:outlineLvl w:val="3"/>
    </w:pPr>
    <w:rPr>
      <w:b/>
    </w:rPr>
  </w:style>
  <w:style w:type="paragraph" w:styleId="Heading5">
    <w:name w:val="heading 5"/>
    <w:basedOn w:val="Normal"/>
    <w:next w:val="ParaNum"/>
    <w:qFormat/>
    <w:rsid w:val="001311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311A5"/>
    <w:pPr>
      <w:numPr>
        <w:ilvl w:val="5"/>
        <w:numId w:val="3"/>
      </w:numPr>
      <w:tabs>
        <w:tab w:val="left" w:pos="4320"/>
      </w:tabs>
      <w:spacing w:after="120"/>
      <w:outlineLvl w:val="5"/>
    </w:pPr>
    <w:rPr>
      <w:b/>
    </w:rPr>
  </w:style>
  <w:style w:type="paragraph" w:styleId="Heading7">
    <w:name w:val="heading 7"/>
    <w:basedOn w:val="Normal"/>
    <w:next w:val="ParaNum"/>
    <w:qFormat/>
    <w:rsid w:val="001311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311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311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11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1A5"/>
  </w:style>
  <w:style w:type="paragraph" w:customStyle="1" w:styleId="ParaNum">
    <w:name w:val="ParaNum"/>
    <w:basedOn w:val="Normal"/>
    <w:link w:val="ParaNumChar"/>
    <w:rsid w:val="001311A5"/>
    <w:pPr>
      <w:numPr>
        <w:numId w:val="2"/>
      </w:numPr>
      <w:tabs>
        <w:tab w:val="clear" w:pos="1080"/>
        <w:tab w:val="num" w:pos="1440"/>
      </w:tabs>
      <w:spacing w:after="120"/>
    </w:pPr>
  </w:style>
  <w:style w:type="paragraph" w:styleId="EndnoteText">
    <w:name w:val="endnote text"/>
    <w:basedOn w:val="Normal"/>
    <w:semiHidden/>
    <w:rsid w:val="001311A5"/>
    <w:rPr>
      <w:sz w:val="20"/>
    </w:rPr>
  </w:style>
  <w:style w:type="character" w:styleId="EndnoteReference">
    <w:name w:val="endnote reference"/>
    <w:semiHidden/>
    <w:rsid w:val="001311A5"/>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1311A5"/>
    <w:pPr>
      <w:spacing w:after="120"/>
    </w:pPr>
  </w:style>
  <w:style w:type="character" w:styleId="FootnoteReference">
    <w:name w:val="footnote reference"/>
    <w:aliases w:val="Style 4,Appel note de bas de p,Style 12,(NECG) Footnote Reference,Style 124,Style 13,o,fr,Style 3,FR,Style 17,Style 6,Footnote Reference/,Style 7"/>
    <w:rsid w:val="001311A5"/>
    <w:rPr>
      <w:rFonts w:ascii="Times New Roman" w:hAnsi="Times New Roman"/>
      <w:dstrike w:val="0"/>
      <w:color w:val="auto"/>
      <w:sz w:val="20"/>
      <w:vertAlign w:val="superscript"/>
    </w:rPr>
  </w:style>
  <w:style w:type="paragraph" w:styleId="TOC1">
    <w:name w:val="toc 1"/>
    <w:basedOn w:val="Normal"/>
    <w:next w:val="Normal"/>
    <w:semiHidden/>
    <w:rsid w:val="001311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311A5"/>
    <w:pPr>
      <w:tabs>
        <w:tab w:val="left" w:pos="720"/>
        <w:tab w:val="right" w:leader="dot" w:pos="9360"/>
      </w:tabs>
      <w:suppressAutoHyphens/>
      <w:ind w:left="720" w:right="720" w:hanging="360"/>
    </w:pPr>
    <w:rPr>
      <w:noProof/>
    </w:rPr>
  </w:style>
  <w:style w:type="paragraph" w:styleId="TOC3">
    <w:name w:val="toc 3"/>
    <w:basedOn w:val="Normal"/>
    <w:next w:val="Normal"/>
    <w:semiHidden/>
    <w:rsid w:val="001311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11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11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11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11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11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11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11A5"/>
    <w:pPr>
      <w:tabs>
        <w:tab w:val="right" w:pos="9360"/>
      </w:tabs>
      <w:suppressAutoHyphens/>
    </w:pPr>
  </w:style>
  <w:style w:type="character" w:customStyle="1" w:styleId="EquationCaption">
    <w:name w:val="_Equation Caption"/>
    <w:rsid w:val="001311A5"/>
  </w:style>
  <w:style w:type="paragraph" w:styleId="Header">
    <w:name w:val="header"/>
    <w:basedOn w:val="Normal"/>
    <w:link w:val="HeaderChar"/>
    <w:autoRedefine/>
    <w:rsid w:val="001311A5"/>
    <w:pPr>
      <w:tabs>
        <w:tab w:val="center" w:pos="4680"/>
        <w:tab w:val="right" w:pos="9360"/>
      </w:tabs>
    </w:pPr>
    <w:rPr>
      <w:b/>
    </w:rPr>
  </w:style>
  <w:style w:type="paragraph" w:styleId="Footer">
    <w:name w:val="footer"/>
    <w:basedOn w:val="Normal"/>
    <w:link w:val="FooterChar"/>
    <w:rsid w:val="001311A5"/>
    <w:pPr>
      <w:tabs>
        <w:tab w:val="center" w:pos="4320"/>
        <w:tab w:val="right" w:pos="8640"/>
      </w:tabs>
    </w:pPr>
  </w:style>
  <w:style w:type="character" w:styleId="PageNumber">
    <w:name w:val="page number"/>
    <w:basedOn w:val="DefaultParagraphFont"/>
    <w:rsid w:val="001311A5"/>
  </w:style>
  <w:style w:type="paragraph" w:styleId="BlockText">
    <w:name w:val="Block Text"/>
    <w:basedOn w:val="Normal"/>
    <w:rsid w:val="001311A5"/>
    <w:pPr>
      <w:spacing w:after="240"/>
      <w:ind w:left="1440" w:right="1440"/>
    </w:pPr>
  </w:style>
  <w:style w:type="paragraph" w:customStyle="1" w:styleId="Paratitle">
    <w:name w:val="Para title"/>
    <w:basedOn w:val="Normal"/>
    <w:rsid w:val="001311A5"/>
    <w:pPr>
      <w:tabs>
        <w:tab w:val="center" w:pos="9270"/>
      </w:tabs>
      <w:spacing w:after="240"/>
    </w:pPr>
    <w:rPr>
      <w:spacing w:val="-2"/>
    </w:rPr>
  </w:style>
  <w:style w:type="paragraph" w:customStyle="1" w:styleId="Bullet">
    <w:name w:val="Bullet"/>
    <w:basedOn w:val="Normal"/>
    <w:rsid w:val="001311A5"/>
    <w:pPr>
      <w:tabs>
        <w:tab w:val="left" w:pos="2160"/>
      </w:tabs>
      <w:spacing w:after="220"/>
      <w:ind w:left="2160" w:hanging="720"/>
    </w:pPr>
  </w:style>
  <w:style w:type="paragraph" w:customStyle="1" w:styleId="TableFormat">
    <w:name w:val="TableFormat"/>
    <w:basedOn w:val="Bullet"/>
    <w:rsid w:val="001311A5"/>
    <w:pPr>
      <w:tabs>
        <w:tab w:val="clear" w:pos="2160"/>
        <w:tab w:val="left" w:pos="5040"/>
      </w:tabs>
      <w:ind w:left="5040" w:hanging="3600"/>
    </w:pPr>
  </w:style>
  <w:style w:type="paragraph" w:customStyle="1" w:styleId="TOCTitle">
    <w:name w:val="TOC Title"/>
    <w:basedOn w:val="Normal"/>
    <w:rsid w:val="001311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11A5"/>
    <w:pPr>
      <w:jc w:val="center"/>
    </w:pPr>
    <w:rPr>
      <w:rFonts w:ascii="Times New Roman Bold" w:hAnsi="Times New Roman Bold"/>
      <w:b/>
      <w:bCs/>
      <w:caps/>
      <w:szCs w:val="22"/>
    </w:rPr>
  </w:style>
  <w:style w:type="character" w:styleId="Hyperlink">
    <w:name w:val="Hyperlink"/>
    <w:rsid w:val="001311A5"/>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cohovertext">
    <w:name w:val="co_hovertext"/>
    <w:basedOn w:val="DefaultParagraphFont"/>
    <w:rsid w:val="00BF7BD7"/>
  </w:style>
  <w:style w:type="character" w:customStyle="1" w:styleId="Heading1Char">
    <w:name w:val="Heading 1 Char"/>
    <w:link w:val="Heading1"/>
    <w:locked/>
    <w:rsid w:val="00551776"/>
    <w:rPr>
      <w:rFonts w:ascii="Times New Roman Bold" w:hAnsi="Times New Roman Bold"/>
      <w:b/>
      <w:caps/>
      <w:snapToGrid w:val="0"/>
      <w:kern w:val="28"/>
      <w:sz w:val="22"/>
    </w:rPr>
  </w:style>
  <w:style w:type="paragraph" w:styleId="Revision">
    <w:name w:val="Revision"/>
    <w:hidden/>
    <w:uiPriority w:val="99"/>
    <w:semiHidden/>
    <w:rsid w:val="00B63185"/>
    <w:rPr>
      <w:snapToGrid w:val="0"/>
      <w:kern w:val="28"/>
      <w:sz w:val="22"/>
    </w:rPr>
  </w:style>
  <w:style w:type="character" w:customStyle="1" w:styleId="cosearchterm7">
    <w:name w:val="co_searchterm7"/>
    <w:basedOn w:val="DefaultParagraphFont"/>
    <w:rsid w:val="008A06E4"/>
    <w:rPr>
      <w:b/>
      <w:bCs/>
      <w:color w:val="252525"/>
    </w:rPr>
  </w:style>
  <w:style w:type="paragraph" w:styleId="ListBullet">
    <w:name w:val="List Bullet"/>
    <w:basedOn w:val="Normal"/>
    <w:unhideWhenUsed/>
    <w:rsid w:val="00987DDE"/>
    <w:pPr>
      <w:numPr>
        <w:numId w:val="60"/>
      </w:numPr>
      <w:contextualSpacing/>
    </w:pPr>
  </w:style>
  <w:style w:type="character" w:customStyle="1" w:styleId="FooterChar">
    <w:name w:val="Footer Char"/>
    <w:basedOn w:val="DefaultParagraphFont"/>
    <w:link w:val="Footer"/>
    <w:rsid w:val="001D12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A5"/>
    <w:pPr>
      <w:widowControl w:val="0"/>
    </w:pPr>
    <w:rPr>
      <w:snapToGrid w:val="0"/>
      <w:kern w:val="28"/>
      <w:sz w:val="22"/>
    </w:rPr>
  </w:style>
  <w:style w:type="paragraph" w:styleId="Heading1">
    <w:name w:val="heading 1"/>
    <w:basedOn w:val="Normal"/>
    <w:next w:val="ParaNum"/>
    <w:link w:val="Heading1Char"/>
    <w:qFormat/>
    <w:rsid w:val="001311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311A5"/>
    <w:pPr>
      <w:keepNext/>
      <w:numPr>
        <w:ilvl w:val="1"/>
        <w:numId w:val="3"/>
      </w:numPr>
      <w:spacing w:after="120"/>
      <w:outlineLvl w:val="1"/>
    </w:pPr>
    <w:rPr>
      <w:b/>
    </w:rPr>
  </w:style>
  <w:style w:type="paragraph" w:styleId="Heading3">
    <w:name w:val="heading 3"/>
    <w:basedOn w:val="Normal"/>
    <w:next w:val="ParaNum"/>
    <w:qFormat/>
    <w:rsid w:val="001311A5"/>
    <w:pPr>
      <w:keepNext/>
      <w:numPr>
        <w:ilvl w:val="2"/>
        <w:numId w:val="3"/>
      </w:numPr>
      <w:tabs>
        <w:tab w:val="left" w:pos="2160"/>
      </w:tabs>
      <w:spacing w:after="120"/>
      <w:outlineLvl w:val="2"/>
    </w:pPr>
    <w:rPr>
      <w:b/>
    </w:rPr>
  </w:style>
  <w:style w:type="paragraph" w:styleId="Heading4">
    <w:name w:val="heading 4"/>
    <w:basedOn w:val="Normal"/>
    <w:next w:val="ParaNum"/>
    <w:qFormat/>
    <w:rsid w:val="001311A5"/>
    <w:pPr>
      <w:keepNext/>
      <w:numPr>
        <w:ilvl w:val="3"/>
        <w:numId w:val="3"/>
      </w:numPr>
      <w:tabs>
        <w:tab w:val="left" w:pos="2880"/>
      </w:tabs>
      <w:spacing w:after="120"/>
      <w:outlineLvl w:val="3"/>
    </w:pPr>
    <w:rPr>
      <w:b/>
    </w:rPr>
  </w:style>
  <w:style w:type="paragraph" w:styleId="Heading5">
    <w:name w:val="heading 5"/>
    <w:basedOn w:val="Normal"/>
    <w:next w:val="ParaNum"/>
    <w:qFormat/>
    <w:rsid w:val="001311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311A5"/>
    <w:pPr>
      <w:numPr>
        <w:ilvl w:val="5"/>
        <w:numId w:val="3"/>
      </w:numPr>
      <w:tabs>
        <w:tab w:val="left" w:pos="4320"/>
      </w:tabs>
      <w:spacing w:after="120"/>
      <w:outlineLvl w:val="5"/>
    </w:pPr>
    <w:rPr>
      <w:b/>
    </w:rPr>
  </w:style>
  <w:style w:type="paragraph" w:styleId="Heading7">
    <w:name w:val="heading 7"/>
    <w:basedOn w:val="Normal"/>
    <w:next w:val="ParaNum"/>
    <w:qFormat/>
    <w:rsid w:val="001311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311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311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11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1A5"/>
  </w:style>
  <w:style w:type="paragraph" w:customStyle="1" w:styleId="ParaNum">
    <w:name w:val="ParaNum"/>
    <w:basedOn w:val="Normal"/>
    <w:link w:val="ParaNumChar"/>
    <w:rsid w:val="001311A5"/>
    <w:pPr>
      <w:numPr>
        <w:numId w:val="2"/>
      </w:numPr>
      <w:tabs>
        <w:tab w:val="clear" w:pos="1080"/>
        <w:tab w:val="num" w:pos="1440"/>
      </w:tabs>
      <w:spacing w:after="120"/>
    </w:pPr>
  </w:style>
  <w:style w:type="paragraph" w:styleId="EndnoteText">
    <w:name w:val="endnote text"/>
    <w:basedOn w:val="Normal"/>
    <w:semiHidden/>
    <w:rsid w:val="001311A5"/>
    <w:rPr>
      <w:sz w:val="20"/>
    </w:rPr>
  </w:style>
  <w:style w:type="character" w:styleId="EndnoteReference">
    <w:name w:val="endnote reference"/>
    <w:semiHidden/>
    <w:rsid w:val="001311A5"/>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1311A5"/>
    <w:pPr>
      <w:spacing w:after="120"/>
    </w:pPr>
  </w:style>
  <w:style w:type="character" w:styleId="FootnoteReference">
    <w:name w:val="footnote reference"/>
    <w:aliases w:val="Style 4,Appel note de bas de p,Style 12,(NECG) Footnote Reference,Style 124,Style 13,o,fr,Style 3,FR,Style 17,Style 6,Footnote Reference/,Style 7"/>
    <w:rsid w:val="001311A5"/>
    <w:rPr>
      <w:rFonts w:ascii="Times New Roman" w:hAnsi="Times New Roman"/>
      <w:dstrike w:val="0"/>
      <w:color w:val="auto"/>
      <w:sz w:val="20"/>
      <w:vertAlign w:val="superscript"/>
    </w:rPr>
  </w:style>
  <w:style w:type="paragraph" w:styleId="TOC1">
    <w:name w:val="toc 1"/>
    <w:basedOn w:val="Normal"/>
    <w:next w:val="Normal"/>
    <w:semiHidden/>
    <w:rsid w:val="001311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311A5"/>
    <w:pPr>
      <w:tabs>
        <w:tab w:val="left" w:pos="720"/>
        <w:tab w:val="right" w:leader="dot" w:pos="9360"/>
      </w:tabs>
      <w:suppressAutoHyphens/>
      <w:ind w:left="720" w:right="720" w:hanging="360"/>
    </w:pPr>
    <w:rPr>
      <w:noProof/>
    </w:rPr>
  </w:style>
  <w:style w:type="paragraph" w:styleId="TOC3">
    <w:name w:val="toc 3"/>
    <w:basedOn w:val="Normal"/>
    <w:next w:val="Normal"/>
    <w:semiHidden/>
    <w:rsid w:val="001311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11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11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11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11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11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11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11A5"/>
    <w:pPr>
      <w:tabs>
        <w:tab w:val="right" w:pos="9360"/>
      </w:tabs>
      <w:suppressAutoHyphens/>
    </w:pPr>
  </w:style>
  <w:style w:type="character" w:customStyle="1" w:styleId="EquationCaption">
    <w:name w:val="_Equation Caption"/>
    <w:rsid w:val="001311A5"/>
  </w:style>
  <w:style w:type="paragraph" w:styleId="Header">
    <w:name w:val="header"/>
    <w:basedOn w:val="Normal"/>
    <w:link w:val="HeaderChar"/>
    <w:autoRedefine/>
    <w:rsid w:val="001311A5"/>
    <w:pPr>
      <w:tabs>
        <w:tab w:val="center" w:pos="4680"/>
        <w:tab w:val="right" w:pos="9360"/>
      </w:tabs>
    </w:pPr>
    <w:rPr>
      <w:b/>
    </w:rPr>
  </w:style>
  <w:style w:type="paragraph" w:styleId="Footer">
    <w:name w:val="footer"/>
    <w:basedOn w:val="Normal"/>
    <w:link w:val="FooterChar"/>
    <w:rsid w:val="001311A5"/>
    <w:pPr>
      <w:tabs>
        <w:tab w:val="center" w:pos="4320"/>
        <w:tab w:val="right" w:pos="8640"/>
      </w:tabs>
    </w:pPr>
  </w:style>
  <w:style w:type="character" w:styleId="PageNumber">
    <w:name w:val="page number"/>
    <w:basedOn w:val="DefaultParagraphFont"/>
    <w:rsid w:val="001311A5"/>
  </w:style>
  <w:style w:type="paragraph" w:styleId="BlockText">
    <w:name w:val="Block Text"/>
    <w:basedOn w:val="Normal"/>
    <w:rsid w:val="001311A5"/>
    <w:pPr>
      <w:spacing w:after="240"/>
      <w:ind w:left="1440" w:right="1440"/>
    </w:pPr>
  </w:style>
  <w:style w:type="paragraph" w:customStyle="1" w:styleId="Paratitle">
    <w:name w:val="Para title"/>
    <w:basedOn w:val="Normal"/>
    <w:rsid w:val="001311A5"/>
    <w:pPr>
      <w:tabs>
        <w:tab w:val="center" w:pos="9270"/>
      </w:tabs>
      <w:spacing w:after="240"/>
    </w:pPr>
    <w:rPr>
      <w:spacing w:val="-2"/>
    </w:rPr>
  </w:style>
  <w:style w:type="paragraph" w:customStyle="1" w:styleId="Bullet">
    <w:name w:val="Bullet"/>
    <w:basedOn w:val="Normal"/>
    <w:rsid w:val="001311A5"/>
    <w:pPr>
      <w:tabs>
        <w:tab w:val="left" w:pos="2160"/>
      </w:tabs>
      <w:spacing w:after="220"/>
      <w:ind w:left="2160" w:hanging="720"/>
    </w:pPr>
  </w:style>
  <w:style w:type="paragraph" w:customStyle="1" w:styleId="TableFormat">
    <w:name w:val="TableFormat"/>
    <w:basedOn w:val="Bullet"/>
    <w:rsid w:val="001311A5"/>
    <w:pPr>
      <w:tabs>
        <w:tab w:val="clear" w:pos="2160"/>
        <w:tab w:val="left" w:pos="5040"/>
      </w:tabs>
      <w:ind w:left="5040" w:hanging="3600"/>
    </w:pPr>
  </w:style>
  <w:style w:type="paragraph" w:customStyle="1" w:styleId="TOCTitle">
    <w:name w:val="TOC Title"/>
    <w:basedOn w:val="Normal"/>
    <w:rsid w:val="001311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11A5"/>
    <w:pPr>
      <w:jc w:val="center"/>
    </w:pPr>
    <w:rPr>
      <w:rFonts w:ascii="Times New Roman Bold" w:hAnsi="Times New Roman Bold"/>
      <w:b/>
      <w:bCs/>
      <w:caps/>
      <w:szCs w:val="22"/>
    </w:rPr>
  </w:style>
  <w:style w:type="character" w:styleId="Hyperlink">
    <w:name w:val="Hyperlink"/>
    <w:rsid w:val="001311A5"/>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cohovertext">
    <w:name w:val="co_hovertext"/>
    <w:basedOn w:val="DefaultParagraphFont"/>
    <w:rsid w:val="00BF7BD7"/>
  </w:style>
  <w:style w:type="character" w:customStyle="1" w:styleId="Heading1Char">
    <w:name w:val="Heading 1 Char"/>
    <w:link w:val="Heading1"/>
    <w:locked/>
    <w:rsid w:val="00551776"/>
    <w:rPr>
      <w:rFonts w:ascii="Times New Roman Bold" w:hAnsi="Times New Roman Bold"/>
      <w:b/>
      <w:caps/>
      <w:snapToGrid w:val="0"/>
      <w:kern w:val="28"/>
      <w:sz w:val="22"/>
    </w:rPr>
  </w:style>
  <w:style w:type="paragraph" w:styleId="Revision">
    <w:name w:val="Revision"/>
    <w:hidden/>
    <w:uiPriority w:val="99"/>
    <w:semiHidden/>
    <w:rsid w:val="00B63185"/>
    <w:rPr>
      <w:snapToGrid w:val="0"/>
      <w:kern w:val="28"/>
      <w:sz w:val="22"/>
    </w:rPr>
  </w:style>
  <w:style w:type="character" w:customStyle="1" w:styleId="cosearchterm7">
    <w:name w:val="co_searchterm7"/>
    <w:basedOn w:val="DefaultParagraphFont"/>
    <w:rsid w:val="008A06E4"/>
    <w:rPr>
      <w:b/>
      <w:bCs/>
      <w:color w:val="252525"/>
    </w:rPr>
  </w:style>
  <w:style w:type="paragraph" w:styleId="ListBullet">
    <w:name w:val="List Bullet"/>
    <w:basedOn w:val="Normal"/>
    <w:unhideWhenUsed/>
    <w:rsid w:val="00987DDE"/>
    <w:pPr>
      <w:numPr>
        <w:numId w:val="60"/>
      </w:numPr>
      <w:contextualSpacing/>
    </w:pPr>
  </w:style>
  <w:style w:type="character" w:customStyle="1" w:styleId="FooterChar">
    <w:name w:val="Footer Char"/>
    <w:basedOn w:val="DefaultParagraphFont"/>
    <w:link w:val="Footer"/>
    <w:rsid w:val="001D12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2314">
      <w:bodyDiv w:val="1"/>
      <w:marLeft w:val="0"/>
      <w:marRight w:val="0"/>
      <w:marTop w:val="0"/>
      <w:marBottom w:val="0"/>
      <w:divBdr>
        <w:top w:val="none" w:sz="0" w:space="0" w:color="auto"/>
        <w:left w:val="none" w:sz="0" w:space="0" w:color="auto"/>
        <w:bottom w:val="none" w:sz="0" w:space="0" w:color="auto"/>
        <w:right w:val="none" w:sz="0" w:space="0" w:color="auto"/>
      </w:divBdr>
    </w:div>
    <w:div w:id="1298490644">
      <w:bodyDiv w:val="1"/>
      <w:marLeft w:val="0"/>
      <w:marRight w:val="0"/>
      <w:marTop w:val="0"/>
      <w:marBottom w:val="0"/>
      <w:divBdr>
        <w:top w:val="none" w:sz="0" w:space="0" w:color="auto"/>
        <w:left w:val="none" w:sz="0" w:space="0" w:color="auto"/>
        <w:bottom w:val="none" w:sz="0" w:space="0" w:color="auto"/>
        <w:right w:val="none" w:sz="0" w:space="0" w:color="auto"/>
      </w:divBdr>
    </w:div>
    <w:div w:id="2027101042">
      <w:bodyDiv w:val="1"/>
      <w:marLeft w:val="0"/>
      <w:marRight w:val="0"/>
      <w:marTop w:val="0"/>
      <w:marBottom w:val="0"/>
      <w:divBdr>
        <w:top w:val="none" w:sz="0" w:space="0" w:color="auto"/>
        <w:left w:val="none" w:sz="0" w:space="0" w:color="auto"/>
        <w:bottom w:val="none" w:sz="0" w:space="0" w:color="auto"/>
        <w:right w:val="none" w:sz="0" w:space="0" w:color="auto"/>
      </w:divBdr>
    </w:div>
    <w:div w:id="21435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2.westlaw.com/find/default.wl?mt=Communications&amp;db=1077005&amp;rs=WLW15.07&amp;docname=UUID(I0295770AA1-1346A3A04E7-F3499B0C43C)&amp;rp=%2ffind%2fdefault.wl&amp;findtype=l&amp;ordoc=2032585764&amp;tc=-1&amp;vr=2.0&amp;fn=_top&amp;sv=Split&amp;tf=-1&amp;pbc=99C17589&amp;utid=1" TargetMode="External"/><Relationship Id="rId1" Type="http://schemas.openxmlformats.org/officeDocument/2006/relationships/hyperlink" Target="https://a.next.westlaw.com/Link/Document/FullText?findType=L&amp;pubNum=1000819&amp;cite=USPL106-81&amp;originatingDoc=Ib2c6c68c2be811dbbb4d83d7c3c3a165&amp;refType=LQ&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3406</Words>
  <Characters>19161</Characters>
  <Application>Microsoft Office Word</Application>
  <DocSecurity>0</DocSecurity>
  <Lines>280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2015-10-27T15:14:00Z</dcterms:created>
  <dcterms:modified xsi:type="dcterms:W3CDTF">2015-10-27T15:14:00Z</dcterms:modified>
  <cp:category> </cp:category>
  <cp:contentStatus> </cp:contentStatus>
</cp:coreProperties>
</file>