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20D2"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AD7241B" w14:textId="54EA4A8F" w:rsidR="00602577" w:rsidRPr="00E31F81" w:rsidRDefault="001E2648">
      <w:pPr>
        <w:jc w:val="right"/>
        <w:rPr>
          <w:szCs w:val="22"/>
        </w:rPr>
      </w:pPr>
      <w:r w:rsidRPr="00E31F81">
        <w:rPr>
          <w:szCs w:val="22"/>
        </w:rPr>
        <w:lastRenderedPageBreak/>
        <w:t>DA 15-</w:t>
      </w:r>
      <w:r w:rsidR="00FA3CD9" w:rsidRPr="00E31F81">
        <w:rPr>
          <w:szCs w:val="22"/>
        </w:rPr>
        <w:t>1223</w:t>
      </w:r>
    </w:p>
    <w:p w14:paraId="2A910E7B" w14:textId="681DD9B4" w:rsidR="001E2648" w:rsidRPr="00E31F81" w:rsidRDefault="001E2648" w:rsidP="001E2648">
      <w:pPr>
        <w:spacing w:before="60"/>
        <w:jc w:val="right"/>
        <w:rPr>
          <w:szCs w:val="22"/>
        </w:rPr>
      </w:pPr>
      <w:r w:rsidRPr="00E31F81">
        <w:rPr>
          <w:szCs w:val="22"/>
        </w:rPr>
        <w:t xml:space="preserve">October </w:t>
      </w:r>
      <w:r w:rsidR="00E30001" w:rsidRPr="00E31F81">
        <w:rPr>
          <w:szCs w:val="22"/>
        </w:rPr>
        <w:t>27</w:t>
      </w:r>
      <w:r w:rsidRPr="00E31F81">
        <w:rPr>
          <w:szCs w:val="22"/>
        </w:rPr>
        <w:t>, 2015</w:t>
      </w:r>
    </w:p>
    <w:p w14:paraId="19E5431A" w14:textId="77777777" w:rsidR="001E2648" w:rsidRDefault="001E2648" w:rsidP="001E2648">
      <w:pPr>
        <w:jc w:val="right"/>
        <w:rPr>
          <w:sz w:val="24"/>
        </w:rPr>
      </w:pPr>
    </w:p>
    <w:p w14:paraId="0B4BFBB0" w14:textId="77777777" w:rsidR="001E2648" w:rsidRDefault="001E2648" w:rsidP="001E2648">
      <w:pPr>
        <w:spacing w:after="240"/>
        <w:jc w:val="center"/>
        <w:rPr>
          <w:b/>
          <w:sz w:val="24"/>
        </w:rPr>
      </w:pPr>
      <w:r w:rsidRPr="003A1F87">
        <w:rPr>
          <w:b/>
          <w:sz w:val="24"/>
          <w:szCs w:val="24"/>
        </w:rPr>
        <w:t>WIRELESS TEL</w:t>
      </w:r>
      <w:r>
        <w:rPr>
          <w:b/>
          <w:sz w:val="24"/>
          <w:szCs w:val="24"/>
        </w:rPr>
        <w:t xml:space="preserve">ECOMMUNICATIONS BUREAU </w:t>
      </w:r>
      <w:r w:rsidR="00E527B4">
        <w:rPr>
          <w:b/>
          <w:sz w:val="24"/>
          <w:szCs w:val="24"/>
        </w:rPr>
        <w:t xml:space="preserve">ACTIONS ON </w:t>
      </w:r>
      <w:r>
        <w:rPr>
          <w:b/>
          <w:sz w:val="24"/>
          <w:szCs w:val="24"/>
        </w:rPr>
        <w:t>AWS-3 LICENSES</w:t>
      </w:r>
      <w:r>
        <w:rPr>
          <w:b/>
          <w:sz w:val="24"/>
          <w:szCs w:val="24"/>
        </w:rPr>
        <w:br/>
        <w:t xml:space="preserve">IN THE </w:t>
      </w:r>
      <w:r w:rsidR="00E527B4">
        <w:rPr>
          <w:b/>
          <w:sz w:val="24"/>
          <w:szCs w:val="24"/>
        </w:rPr>
        <w:t xml:space="preserve">1695-1710 MHz, </w:t>
      </w:r>
      <w:r>
        <w:rPr>
          <w:b/>
          <w:sz w:val="24"/>
          <w:szCs w:val="24"/>
        </w:rPr>
        <w:t>1755-1780 MHZ AND 2155-2180 MHZ BANDS</w:t>
      </w:r>
    </w:p>
    <w:p w14:paraId="7D034E19" w14:textId="77777777" w:rsidR="001E2648" w:rsidRPr="00E85D9E" w:rsidRDefault="001E2648" w:rsidP="001E2648">
      <w:pPr>
        <w:jc w:val="center"/>
        <w:rPr>
          <w:b/>
          <w:szCs w:val="22"/>
        </w:rPr>
      </w:pPr>
      <w:r w:rsidRPr="00E85D9E">
        <w:rPr>
          <w:b/>
          <w:szCs w:val="22"/>
        </w:rPr>
        <w:t xml:space="preserve">Auction </w:t>
      </w:r>
      <w:r>
        <w:rPr>
          <w:b/>
          <w:szCs w:val="22"/>
        </w:rPr>
        <w:t xml:space="preserve">No. </w:t>
      </w:r>
      <w:r w:rsidRPr="00E85D9E">
        <w:rPr>
          <w:b/>
          <w:szCs w:val="22"/>
        </w:rPr>
        <w:t>9</w:t>
      </w:r>
      <w:r>
        <w:rPr>
          <w:b/>
          <w:szCs w:val="22"/>
        </w:rPr>
        <w:t>7</w:t>
      </w:r>
    </w:p>
    <w:p w14:paraId="02D81A02" w14:textId="77777777" w:rsidR="001E2648" w:rsidRDefault="001E2648" w:rsidP="001E2648">
      <w:pPr>
        <w:jc w:val="center"/>
        <w:rPr>
          <w:sz w:val="24"/>
        </w:rPr>
      </w:pPr>
    </w:p>
    <w:p w14:paraId="376A7B32" w14:textId="77777777" w:rsidR="001E2648" w:rsidRPr="00944B56" w:rsidRDefault="001E2648" w:rsidP="001E2648">
      <w:pPr>
        <w:spacing w:before="120" w:after="240"/>
        <w:rPr>
          <w:b/>
          <w:szCs w:val="22"/>
        </w:rPr>
      </w:pPr>
      <w:r w:rsidRPr="00944B56">
        <w:rPr>
          <w:szCs w:val="22"/>
        </w:rPr>
        <w:t xml:space="preserve">Report No. </w:t>
      </w:r>
      <w:r w:rsidRPr="00944B56">
        <w:rPr>
          <w:b/>
          <w:szCs w:val="22"/>
        </w:rPr>
        <w:t>AUC-97 (Auction No. 97)</w:t>
      </w:r>
    </w:p>
    <w:p w14:paraId="58865595" w14:textId="32D0244E" w:rsidR="001E2648" w:rsidRDefault="001E2648" w:rsidP="0039522C">
      <w:pPr>
        <w:ind w:firstLine="720"/>
        <w:rPr>
          <w:szCs w:val="22"/>
        </w:rPr>
      </w:pPr>
      <w:r w:rsidRPr="00A946D7">
        <w:t xml:space="preserve">On </w:t>
      </w:r>
      <w:r>
        <w:t>January 29, 2015,</w:t>
      </w:r>
      <w:r w:rsidRPr="00A946D7">
        <w:t xml:space="preserve"> the Federal Communications Commission </w:t>
      </w:r>
      <w:r>
        <w:t xml:space="preserve">(“Commission”) </w:t>
      </w:r>
      <w:r w:rsidRPr="00A946D7">
        <w:t xml:space="preserve">completed </w:t>
      </w:r>
      <w:r>
        <w:t>an</w:t>
      </w:r>
      <w:r w:rsidRPr="00A946D7">
        <w:t xml:space="preserve"> auction </w:t>
      </w:r>
      <w:r>
        <w:t>of Advanced Wireless Service licenses in the 1695-1710 MHz, 1755-1780 MHz and 2155-2180 MHz bands (collectively, the</w:t>
      </w:r>
      <w:r w:rsidR="00203BFB">
        <w:t xml:space="preserve"> “AWS-3” bands).</w:t>
      </w:r>
      <w:r w:rsidRPr="00E85D9E">
        <w:rPr>
          <w:rStyle w:val="FootnoteReference"/>
          <w:szCs w:val="22"/>
        </w:rPr>
        <w:footnoteReference w:id="1"/>
      </w:r>
      <w:r w:rsidR="0039522C">
        <w:t xml:space="preserve">  </w:t>
      </w:r>
      <w:r>
        <w:rPr>
          <w:szCs w:val="22"/>
        </w:rPr>
        <w:t>After a preliminary review of the FCC long-form applications (FCC Form 601), 30 applications were accepted for filing.</w:t>
      </w:r>
      <w:r>
        <w:rPr>
          <w:rStyle w:val="FootnoteReference"/>
          <w:szCs w:val="22"/>
        </w:rPr>
        <w:footnoteReference w:id="2"/>
      </w:r>
      <w:r>
        <w:rPr>
          <w:szCs w:val="22"/>
        </w:rPr>
        <w:t xml:space="preserve">  Eleven application</w:t>
      </w:r>
      <w:r w:rsidR="0039522C">
        <w:rPr>
          <w:szCs w:val="22"/>
        </w:rPr>
        <w:t>s were granted on April 8, 2015.</w:t>
      </w:r>
      <w:r>
        <w:rPr>
          <w:rStyle w:val="FootnoteReference"/>
          <w:szCs w:val="22"/>
        </w:rPr>
        <w:footnoteReference w:id="3"/>
      </w:r>
      <w:r>
        <w:rPr>
          <w:szCs w:val="22"/>
        </w:rPr>
        <w:t xml:space="preserve"> </w:t>
      </w:r>
      <w:r w:rsidR="0039522C">
        <w:rPr>
          <w:szCs w:val="22"/>
        </w:rPr>
        <w:t xml:space="preserve"> </w:t>
      </w:r>
      <w:r>
        <w:rPr>
          <w:szCs w:val="22"/>
        </w:rPr>
        <w:t xml:space="preserve">Two applications </w:t>
      </w:r>
      <w:r w:rsidR="00E527B4">
        <w:rPr>
          <w:szCs w:val="22"/>
        </w:rPr>
        <w:t>were granted on August 24, 2015,</w:t>
      </w:r>
      <w:r>
        <w:rPr>
          <w:rStyle w:val="FootnoteReference"/>
          <w:szCs w:val="22"/>
        </w:rPr>
        <w:footnoteReference w:id="4"/>
      </w:r>
      <w:r w:rsidR="00E527B4">
        <w:rPr>
          <w:szCs w:val="22"/>
        </w:rPr>
        <w:t xml:space="preserve"> and three applications were granted on October 15, 2015.</w:t>
      </w:r>
      <w:r w:rsidR="00E527B4">
        <w:rPr>
          <w:rStyle w:val="FootnoteReference"/>
          <w:szCs w:val="22"/>
        </w:rPr>
        <w:footnoteReference w:id="5"/>
      </w:r>
    </w:p>
    <w:p w14:paraId="348E273F" w14:textId="77777777" w:rsidR="001E2648" w:rsidRDefault="001E2648" w:rsidP="001E2648">
      <w:pPr>
        <w:rPr>
          <w:szCs w:val="22"/>
        </w:rPr>
      </w:pPr>
    </w:p>
    <w:p w14:paraId="0E916A2C" w14:textId="12180307" w:rsidR="00AA3B28" w:rsidRDefault="001E2648" w:rsidP="0009458D">
      <w:pPr>
        <w:ind w:firstLine="720"/>
        <w:rPr>
          <w:szCs w:val="22"/>
        </w:rPr>
      </w:pPr>
      <w:r w:rsidRPr="00E47855">
        <w:t>Upon further review and examination, the applications listed in Attachment A have been found to be complete and in conformance with the Commission’s rules.</w:t>
      </w:r>
      <w:r>
        <w:t xml:space="preserve">  </w:t>
      </w:r>
      <w:r>
        <w:rPr>
          <w:szCs w:val="22"/>
        </w:rPr>
        <w:t xml:space="preserve">Furthermore, the Commission has received full payment, as required by Section 1.2109(a) of its rules, for the </w:t>
      </w:r>
      <w:r w:rsidR="00052CA7">
        <w:rPr>
          <w:szCs w:val="22"/>
        </w:rPr>
        <w:t>licenses listed in Attachment A,</w:t>
      </w:r>
      <w:r>
        <w:rPr>
          <w:rStyle w:val="FootnoteReference"/>
          <w:szCs w:val="22"/>
        </w:rPr>
        <w:footnoteReference w:id="6"/>
      </w:r>
      <w:r>
        <w:rPr>
          <w:szCs w:val="22"/>
        </w:rPr>
        <w:t xml:space="preserve"> </w:t>
      </w:r>
      <w:r>
        <w:t>there are no petitions to deny or other requests pending th</w:t>
      </w:r>
      <w:r w:rsidR="0009458D">
        <w:t xml:space="preserve">at would prevent grant of these </w:t>
      </w:r>
      <w:r>
        <w:lastRenderedPageBreak/>
        <w:t xml:space="preserve">licenses, and we find that granting </w:t>
      </w:r>
      <w:r w:rsidR="00EC02A2">
        <w:t xml:space="preserve">in part </w:t>
      </w:r>
      <w:r>
        <w:t>the appl</w:t>
      </w:r>
      <w:r w:rsidR="004F6CEC">
        <w:t xml:space="preserve">ications </w:t>
      </w:r>
      <w:r w:rsidR="00954DA0">
        <w:t xml:space="preserve">for the licenses </w:t>
      </w:r>
      <w:r w:rsidR="004F6CEC">
        <w:t xml:space="preserve">listed in Attachment A, subject to conditions, </w:t>
      </w:r>
      <w:r>
        <w:t>serves the public interest, convenience, and necessity.</w:t>
      </w:r>
      <w:r w:rsidR="002075F3">
        <w:rPr>
          <w:rStyle w:val="FootnoteReference"/>
        </w:rPr>
        <w:footnoteReference w:id="7"/>
      </w:r>
      <w:r w:rsidR="00701564">
        <w:t xml:space="preserve"> </w:t>
      </w:r>
      <w:r>
        <w:t xml:space="preserve"> Accordingly, by this Public Notice, we announce the grant</w:t>
      </w:r>
      <w:r w:rsidR="00083DFE">
        <w:t>,</w:t>
      </w:r>
      <w:r>
        <w:t xml:space="preserve"> </w:t>
      </w:r>
      <w:r w:rsidR="00EC02A2">
        <w:t>subject to conditions</w:t>
      </w:r>
      <w:r w:rsidR="00083DFE">
        <w:t>,</w:t>
      </w:r>
      <w:r w:rsidR="00EC02A2">
        <w:t xml:space="preserve"> </w:t>
      </w:r>
      <w:r>
        <w:t xml:space="preserve">of the licenses listed in Attachment A.  We grant these licenses </w:t>
      </w:r>
      <w:r w:rsidR="00EC02A2">
        <w:t xml:space="preserve">subject to conditions </w:t>
      </w:r>
      <w:r>
        <w:t xml:space="preserve">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sidR="00440804">
        <w:rPr>
          <w:szCs w:val="22"/>
        </w:rPr>
        <w:t xml:space="preserve">  Attachment B is the same list as in Attachment A, sorted by market.  </w:t>
      </w:r>
    </w:p>
    <w:p w14:paraId="0EE923C6" w14:textId="77777777" w:rsidR="00440804" w:rsidRDefault="00440804" w:rsidP="0009458D">
      <w:pPr>
        <w:ind w:firstLine="720"/>
        <w:rPr>
          <w:szCs w:val="22"/>
        </w:rPr>
      </w:pPr>
    </w:p>
    <w:p w14:paraId="7BA2C823" w14:textId="3541B814" w:rsidR="00AA3B28" w:rsidRDefault="00AA3B28" w:rsidP="0009458D">
      <w:pPr>
        <w:ind w:firstLine="720"/>
        <w:rPr>
          <w:szCs w:val="22"/>
        </w:rPr>
      </w:pPr>
      <w:r>
        <w:rPr>
          <w:szCs w:val="22"/>
        </w:rPr>
        <w:t>The Commission did not receive full payment, as required by Section 1.2109(a) of its rules, for the licenses listed in Attachment </w:t>
      </w:r>
      <w:r w:rsidR="00440804">
        <w:rPr>
          <w:szCs w:val="22"/>
        </w:rPr>
        <w:t>C</w:t>
      </w:r>
      <w:r>
        <w:rPr>
          <w:szCs w:val="22"/>
        </w:rPr>
        <w:t xml:space="preserve">.  In accordance with Section 1.2109(c) of the Commission’s rules, </w:t>
      </w:r>
      <w:r w:rsidR="004F1B6D">
        <w:rPr>
          <w:szCs w:val="22"/>
        </w:rPr>
        <w:t>47 </w:t>
      </w:r>
      <w:r w:rsidRPr="00AA3B28">
        <w:rPr>
          <w:szCs w:val="22"/>
        </w:rPr>
        <w:t>C.F.R. § 1.2109(c)</w:t>
      </w:r>
      <w:r>
        <w:rPr>
          <w:szCs w:val="22"/>
        </w:rPr>
        <w:t>,</w:t>
      </w:r>
      <w:r w:rsidRPr="00AA3B28">
        <w:rPr>
          <w:szCs w:val="22"/>
        </w:rPr>
        <w:t xml:space="preserve"> </w:t>
      </w:r>
      <w:r>
        <w:rPr>
          <w:szCs w:val="22"/>
        </w:rPr>
        <w:t xml:space="preserve">the applications </w:t>
      </w:r>
      <w:r w:rsidR="00954DA0">
        <w:rPr>
          <w:szCs w:val="22"/>
        </w:rPr>
        <w:t xml:space="preserve">are dismissed in part </w:t>
      </w:r>
      <w:r>
        <w:rPr>
          <w:szCs w:val="22"/>
        </w:rPr>
        <w:t xml:space="preserve">for </w:t>
      </w:r>
      <w:r w:rsidR="00083DFE">
        <w:rPr>
          <w:szCs w:val="22"/>
        </w:rPr>
        <w:t xml:space="preserve">the licenses listed in Attachment </w:t>
      </w:r>
      <w:r w:rsidR="00440804">
        <w:rPr>
          <w:szCs w:val="22"/>
        </w:rPr>
        <w:t>C</w:t>
      </w:r>
      <w:r w:rsidR="00954DA0">
        <w:rPr>
          <w:szCs w:val="22"/>
        </w:rPr>
        <w:t xml:space="preserve">.  </w:t>
      </w:r>
      <w:r w:rsidR="00440804">
        <w:rPr>
          <w:szCs w:val="22"/>
        </w:rPr>
        <w:t>Attachment D is the same list as in Attachment C,</w:t>
      </w:r>
      <w:r w:rsidR="00FE153D">
        <w:rPr>
          <w:szCs w:val="22"/>
        </w:rPr>
        <w:t xml:space="preserve"> </w:t>
      </w:r>
      <w:r w:rsidR="00440804">
        <w:rPr>
          <w:szCs w:val="22"/>
        </w:rPr>
        <w:t>sorted by market.</w:t>
      </w:r>
    </w:p>
    <w:p w14:paraId="2EE4E2B9" w14:textId="77777777" w:rsidR="001E2648" w:rsidRDefault="001E2648" w:rsidP="001E2648">
      <w:pPr>
        <w:rPr>
          <w:szCs w:val="22"/>
        </w:rPr>
      </w:pPr>
    </w:p>
    <w:p w14:paraId="1DDA9E5D" w14:textId="77777777" w:rsidR="001E2648" w:rsidRDefault="001E2648" w:rsidP="001E2648">
      <w:pPr>
        <w:rPr>
          <w:szCs w:val="22"/>
        </w:rPr>
      </w:pPr>
      <w:r>
        <w:rPr>
          <w:szCs w:val="22"/>
        </w:rPr>
        <w:tab/>
        <w:t xml:space="preserve">This Public Notice includes </w:t>
      </w:r>
      <w:r w:rsidR="00EC02A2">
        <w:rPr>
          <w:szCs w:val="22"/>
        </w:rPr>
        <w:t xml:space="preserve">four </w:t>
      </w:r>
      <w:r>
        <w:rPr>
          <w:szCs w:val="22"/>
        </w:rPr>
        <w:t>attachments:</w:t>
      </w:r>
    </w:p>
    <w:p w14:paraId="66FA1061" w14:textId="77777777" w:rsidR="001E2648" w:rsidRDefault="001E2648" w:rsidP="001E2648">
      <w:pPr>
        <w:rPr>
          <w:szCs w:val="22"/>
        </w:rPr>
      </w:pPr>
    </w:p>
    <w:p w14:paraId="225334BA" w14:textId="1E01985C" w:rsidR="001E2648" w:rsidRDefault="00D93C43" w:rsidP="007E789F">
      <w:pPr>
        <w:ind w:left="1440" w:hanging="1440"/>
        <w:rPr>
          <w:szCs w:val="22"/>
        </w:rPr>
      </w:pPr>
      <w:r>
        <w:rPr>
          <w:szCs w:val="22"/>
        </w:rPr>
        <w:t>Attachment A:</w:t>
      </w:r>
      <w:r>
        <w:rPr>
          <w:szCs w:val="22"/>
        </w:rPr>
        <w:tab/>
      </w:r>
      <w:r w:rsidR="001E2648" w:rsidRPr="00F73C58">
        <w:rPr>
          <w:szCs w:val="22"/>
        </w:rPr>
        <w:t>Auction 9</w:t>
      </w:r>
      <w:r w:rsidR="001E2648">
        <w:rPr>
          <w:szCs w:val="22"/>
        </w:rPr>
        <w:t>7</w:t>
      </w:r>
      <w:r w:rsidR="001E2648" w:rsidRPr="00F73C58">
        <w:rPr>
          <w:szCs w:val="22"/>
        </w:rPr>
        <w:t xml:space="preserve"> Application</w:t>
      </w:r>
      <w:r w:rsidR="001E2648">
        <w:rPr>
          <w:szCs w:val="22"/>
        </w:rPr>
        <w:t>s</w:t>
      </w:r>
      <w:r w:rsidR="001E2648" w:rsidRPr="00F73C58">
        <w:rPr>
          <w:szCs w:val="22"/>
        </w:rPr>
        <w:t xml:space="preserve"> </w:t>
      </w:r>
      <w:r w:rsidR="001E2648">
        <w:rPr>
          <w:szCs w:val="22"/>
        </w:rPr>
        <w:t xml:space="preserve">and Corresponding Licenses </w:t>
      </w:r>
      <w:r w:rsidR="007E789F">
        <w:rPr>
          <w:szCs w:val="22"/>
        </w:rPr>
        <w:br/>
      </w:r>
      <w:r w:rsidR="001E2648">
        <w:rPr>
          <w:szCs w:val="22"/>
        </w:rPr>
        <w:t xml:space="preserve">Granted </w:t>
      </w:r>
      <w:r w:rsidR="007E789F">
        <w:rPr>
          <w:szCs w:val="22"/>
        </w:rPr>
        <w:t xml:space="preserve">in Part </w:t>
      </w:r>
      <w:r w:rsidR="001E2648">
        <w:rPr>
          <w:szCs w:val="22"/>
        </w:rPr>
        <w:t xml:space="preserve">on October </w:t>
      </w:r>
      <w:r w:rsidR="00E30001">
        <w:rPr>
          <w:szCs w:val="22"/>
        </w:rPr>
        <w:t>27</w:t>
      </w:r>
      <w:r w:rsidR="007E789F">
        <w:rPr>
          <w:szCs w:val="22"/>
        </w:rPr>
        <w:t>, 2015—</w:t>
      </w:r>
      <w:r w:rsidR="001E2648" w:rsidRPr="00F73C58">
        <w:rPr>
          <w:szCs w:val="22"/>
        </w:rPr>
        <w:t xml:space="preserve">Sorted by </w:t>
      </w:r>
      <w:r w:rsidR="001E2648">
        <w:rPr>
          <w:szCs w:val="22"/>
        </w:rPr>
        <w:t xml:space="preserve">Licensee </w:t>
      </w:r>
    </w:p>
    <w:p w14:paraId="6D1A9517" w14:textId="77777777" w:rsidR="001E2648" w:rsidRDefault="001E2648" w:rsidP="001E2648">
      <w:pPr>
        <w:rPr>
          <w:szCs w:val="22"/>
        </w:rPr>
      </w:pPr>
    </w:p>
    <w:p w14:paraId="2FD6852C" w14:textId="4E94B465" w:rsidR="001E2648" w:rsidRDefault="001E2648" w:rsidP="007E789F">
      <w:pPr>
        <w:ind w:left="1440" w:hanging="1440"/>
        <w:rPr>
          <w:szCs w:val="22"/>
        </w:rPr>
      </w:pPr>
      <w:r w:rsidRPr="00F73C58">
        <w:rPr>
          <w:szCs w:val="22"/>
        </w:rPr>
        <w:t xml:space="preserve">Attachment </w:t>
      </w:r>
      <w:r w:rsidR="00440804">
        <w:rPr>
          <w:szCs w:val="22"/>
        </w:rPr>
        <w:t>B</w:t>
      </w:r>
      <w:r w:rsidR="00D93C43">
        <w:rPr>
          <w:szCs w:val="22"/>
        </w:rPr>
        <w:t>:</w:t>
      </w:r>
      <w:r w:rsidR="00D93C43">
        <w:rPr>
          <w:szCs w:val="22"/>
        </w:rPr>
        <w:tab/>
      </w:r>
      <w:r w:rsidRPr="00F73C58">
        <w:rPr>
          <w:szCs w:val="22"/>
        </w:rPr>
        <w:t>Auction 9</w:t>
      </w:r>
      <w:r>
        <w:rPr>
          <w:szCs w:val="22"/>
        </w:rPr>
        <w:t>7</w:t>
      </w:r>
      <w:r w:rsidRPr="00F73C58">
        <w:rPr>
          <w:szCs w:val="22"/>
        </w:rPr>
        <w:t xml:space="preserve"> Application</w:t>
      </w:r>
      <w:r>
        <w:rPr>
          <w:szCs w:val="22"/>
        </w:rPr>
        <w:t>s</w:t>
      </w:r>
      <w:r w:rsidRPr="00F73C58">
        <w:rPr>
          <w:szCs w:val="22"/>
        </w:rPr>
        <w:t xml:space="preserve"> </w:t>
      </w:r>
      <w:r>
        <w:rPr>
          <w:szCs w:val="22"/>
        </w:rPr>
        <w:t>and</w:t>
      </w:r>
      <w:r w:rsidR="007E789F">
        <w:rPr>
          <w:szCs w:val="22"/>
        </w:rPr>
        <w:t xml:space="preserve"> Corresponding Licenses</w:t>
      </w:r>
      <w:r w:rsidR="007E789F">
        <w:rPr>
          <w:szCs w:val="22"/>
        </w:rPr>
        <w:br/>
      </w:r>
      <w:r>
        <w:rPr>
          <w:szCs w:val="22"/>
        </w:rPr>
        <w:t xml:space="preserve">Granted </w:t>
      </w:r>
      <w:r w:rsidR="007E789F">
        <w:rPr>
          <w:szCs w:val="22"/>
        </w:rPr>
        <w:t xml:space="preserve">in Part </w:t>
      </w:r>
      <w:r>
        <w:rPr>
          <w:szCs w:val="22"/>
        </w:rPr>
        <w:t>on October</w:t>
      </w:r>
      <w:r w:rsidR="00E30001">
        <w:rPr>
          <w:szCs w:val="22"/>
        </w:rPr>
        <w:t xml:space="preserve"> 27</w:t>
      </w:r>
      <w:r>
        <w:rPr>
          <w:szCs w:val="22"/>
        </w:rPr>
        <w:t>, 2015</w:t>
      </w:r>
      <w:r w:rsidR="007E789F">
        <w:rPr>
          <w:szCs w:val="22"/>
        </w:rPr>
        <w:t>—Sorted by Market</w:t>
      </w:r>
    </w:p>
    <w:p w14:paraId="53BFBF87" w14:textId="77777777" w:rsidR="001E2648" w:rsidRDefault="001E2648" w:rsidP="001E2648">
      <w:pPr>
        <w:rPr>
          <w:szCs w:val="22"/>
        </w:rPr>
      </w:pPr>
    </w:p>
    <w:p w14:paraId="27AD1602" w14:textId="64DD219E" w:rsidR="007E789F" w:rsidRDefault="00D93C43" w:rsidP="004F1B6D">
      <w:pPr>
        <w:ind w:left="1440" w:hanging="1440"/>
        <w:rPr>
          <w:szCs w:val="22"/>
        </w:rPr>
      </w:pPr>
      <w:r>
        <w:rPr>
          <w:szCs w:val="22"/>
        </w:rPr>
        <w:t xml:space="preserve">Attachment </w:t>
      </w:r>
      <w:r w:rsidR="00440804">
        <w:rPr>
          <w:szCs w:val="22"/>
        </w:rPr>
        <w:t>C</w:t>
      </w:r>
      <w:r>
        <w:rPr>
          <w:szCs w:val="22"/>
        </w:rPr>
        <w:t>:</w:t>
      </w:r>
      <w:r>
        <w:rPr>
          <w:szCs w:val="22"/>
        </w:rPr>
        <w:tab/>
      </w:r>
      <w:r w:rsidR="00AC3C3E" w:rsidRPr="00F73C58">
        <w:rPr>
          <w:szCs w:val="22"/>
        </w:rPr>
        <w:t>Auction 9</w:t>
      </w:r>
      <w:r w:rsidR="00AC3C3E">
        <w:rPr>
          <w:szCs w:val="22"/>
        </w:rPr>
        <w:t>7</w:t>
      </w:r>
      <w:r w:rsidR="00AC3C3E" w:rsidRPr="00F73C58">
        <w:rPr>
          <w:szCs w:val="22"/>
        </w:rPr>
        <w:t xml:space="preserve"> Application</w:t>
      </w:r>
      <w:r w:rsidR="00AC3C3E">
        <w:rPr>
          <w:szCs w:val="22"/>
        </w:rPr>
        <w:t>s</w:t>
      </w:r>
      <w:r w:rsidR="007E789F">
        <w:rPr>
          <w:szCs w:val="22"/>
        </w:rPr>
        <w:t xml:space="preserve"> for Corresponding Licenses</w:t>
      </w:r>
    </w:p>
    <w:p w14:paraId="7E237003" w14:textId="53D2C835" w:rsidR="00AC3C3E" w:rsidRDefault="007E789F" w:rsidP="007E789F">
      <w:pPr>
        <w:ind w:left="720" w:firstLine="720"/>
        <w:rPr>
          <w:szCs w:val="22"/>
        </w:rPr>
      </w:pPr>
      <w:r>
        <w:rPr>
          <w:szCs w:val="22"/>
        </w:rPr>
        <w:t xml:space="preserve">Dismissed in Part </w:t>
      </w:r>
      <w:r w:rsidR="00AC3C3E">
        <w:rPr>
          <w:szCs w:val="22"/>
        </w:rPr>
        <w:t xml:space="preserve">on October </w:t>
      </w:r>
      <w:r w:rsidR="00E30001">
        <w:rPr>
          <w:szCs w:val="22"/>
        </w:rPr>
        <w:t>27</w:t>
      </w:r>
      <w:r w:rsidR="00AC3C3E">
        <w:rPr>
          <w:szCs w:val="22"/>
        </w:rPr>
        <w:t>, 2015</w:t>
      </w:r>
      <w:r>
        <w:rPr>
          <w:szCs w:val="22"/>
        </w:rPr>
        <w:t>—</w:t>
      </w:r>
      <w:r w:rsidR="00AC3C3E" w:rsidRPr="00F73C58">
        <w:rPr>
          <w:szCs w:val="22"/>
        </w:rPr>
        <w:t xml:space="preserve">Sorted by </w:t>
      </w:r>
      <w:r w:rsidR="004F6CEC">
        <w:rPr>
          <w:szCs w:val="22"/>
        </w:rPr>
        <w:t>Applicant</w:t>
      </w:r>
    </w:p>
    <w:p w14:paraId="308D185B" w14:textId="77777777" w:rsidR="00AC3C3E" w:rsidRDefault="00AC3C3E" w:rsidP="001E2648">
      <w:pPr>
        <w:rPr>
          <w:szCs w:val="22"/>
        </w:rPr>
      </w:pPr>
    </w:p>
    <w:p w14:paraId="2FEC18E0" w14:textId="6474688B" w:rsidR="00AC3C3E" w:rsidRDefault="00AC3C3E" w:rsidP="007E789F">
      <w:pPr>
        <w:ind w:left="1440" w:hanging="1440"/>
        <w:rPr>
          <w:szCs w:val="22"/>
        </w:rPr>
      </w:pPr>
      <w:r>
        <w:rPr>
          <w:szCs w:val="22"/>
        </w:rPr>
        <w:t xml:space="preserve">Attachment </w:t>
      </w:r>
      <w:r w:rsidR="00440804">
        <w:rPr>
          <w:szCs w:val="22"/>
        </w:rPr>
        <w:t>D</w:t>
      </w:r>
      <w:r w:rsidR="00D93C43">
        <w:rPr>
          <w:szCs w:val="22"/>
        </w:rPr>
        <w:t>:</w:t>
      </w:r>
      <w:r w:rsidR="00D93C43">
        <w:rPr>
          <w:szCs w:val="22"/>
        </w:rPr>
        <w:tab/>
      </w:r>
      <w:r w:rsidRPr="00F73C58">
        <w:rPr>
          <w:szCs w:val="22"/>
        </w:rPr>
        <w:t>Auction 9</w:t>
      </w:r>
      <w:r>
        <w:rPr>
          <w:szCs w:val="22"/>
        </w:rPr>
        <w:t>7</w:t>
      </w:r>
      <w:r w:rsidRPr="00F73C58">
        <w:rPr>
          <w:szCs w:val="22"/>
        </w:rPr>
        <w:t xml:space="preserve"> Application</w:t>
      </w:r>
      <w:r>
        <w:rPr>
          <w:szCs w:val="22"/>
        </w:rPr>
        <w:t>s</w:t>
      </w:r>
      <w:r w:rsidRPr="00F73C58">
        <w:rPr>
          <w:szCs w:val="22"/>
        </w:rPr>
        <w:t xml:space="preserve"> </w:t>
      </w:r>
      <w:r>
        <w:rPr>
          <w:szCs w:val="22"/>
        </w:rPr>
        <w:t>for Correspo</w:t>
      </w:r>
      <w:r w:rsidR="007E789F">
        <w:rPr>
          <w:szCs w:val="22"/>
        </w:rPr>
        <w:t>nding Licenses</w:t>
      </w:r>
      <w:r w:rsidR="007E789F">
        <w:rPr>
          <w:szCs w:val="22"/>
        </w:rPr>
        <w:br/>
        <w:t xml:space="preserve">Dismissed in Part </w:t>
      </w:r>
      <w:r>
        <w:rPr>
          <w:szCs w:val="22"/>
        </w:rPr>
        <w:t xml:space="preserve">on October </w:t>
      </w:r>
      <w:r w:rsidR="00E30001">
        <w:rPr>
          <w:szCs w:val="22"/>
        </w:rPr>
        <w:t>27</w:t>
      </w:r>
      <w:r>
        <w:rPr>
          <w:szCs w:val="22"/>
        </w:rPr>
        <w:t>, 2015</w:t>
      </w:r>
      <w:r w:rsidR="004A7F92">
        <w:rPr>
          <w:szCs w:val="22"/>
        </w:rPr>
        <w:t>—</w:t>
      </w:r>
      <w:r w:rsidRPr="00F73C58">
        <w:rPr>
          <w:szCs w:val="22"/>
        </w:rPr>
        <w:t xml:space="preserve">Sorted by </w:t>
      </w:r>
      <w:r w:rsidR="004F6CEC">
        <w:rPr>
          <w:szCs w:val="22"/>
        </w:rPr>
        <w:t>Market</w:t>
      </w:r>
    </w:p>
    <w:p w14:paraId="0F831D99" w14:textId="77777777" w:rsidR="00AC3C3E" w:rsidRDefault="00AC3C3E" w:rsidP="001E2648">
      <w:pPr>
        <w:rPr>
          <w:szCs w:val="22"/>
        </w:rPr>
      </w:pPr>
    </w:p>
    <w:p w14:paraId="3413305A" w14:textId="74350CE3" w:rsidR="001E2648" w:rsidRDefault="001E2648" w:rsidP="001E2648">
      <w:pPr>
        <w:ind w:firstLine="720"/>
        <w:rPr>
          <w:szCs w:val="22"/>
        </w:rPr>
      </w:pPr>
      <w:r>
        <w:rPr>
          <w:szCs w:val="22"/>
        </w:rPr>
        <w:t xml:space="preserve">Please contact </w:t>
      </w:r>
      <w:r w:rsidRPr="000E7278">
        <w:rPr>
          <w:szCs w:val="22"/>
        </w:rPr>
        <w:t>Genevieve Ross</w:t>
      </w:r>
      <w:r>
        <w:rPr>
          <w:szCs w:val="22"/>
        </w:rPr>
        <w:t xml:space="preserve">, Wireless Telecommunications Bureau, Broadband Division, (202) 418-1305 or </w:t>
      </w:r>
      <w:hyperlink r:id="rId14" w:history="1">
        <w:r w:rsidRPr="005D1CCB">
          <w:rPr>
            <w:rStyle w:val="Hyperlink"/>
            <w:szCs w:val="22"/>
          </w:rPr>
          <w:t>genevieve.ross@fcc.gov</w:t>
        </w:r>
      </w:hyperlink>
      <w:r>
        <w:rPr>
          <w:szCs w:val="22"/>
        </w:rPr>
        <w:t xml:space="preserve"> for questions regarding legal matters or licensing issues.</w:t>
      </w:r>
    </w:p>
    <w:p w14:paraId="5F32C842" w14:textId="77777777" w:rsidR="001E2648" w:rsidRDefault="001E2648" w:rsidP="001E2648">
      <w:pPr>
        <w:rPr>
          <w:szCs w:val="22"/>
        </w:rPr>
      </w:pPr>
    </w:p>
    <w:p w14:paraId="3A396478" w14:textId="77777777" w:rsidR="001E2648" w:rsidRPr="00701564" w:rsidRDefault="001E2648" w:rsidP="00701564">
      <w:pPr>
        <w:autoSpaceDE w:val="0"/>
        <w:autoSpaceDN w:val="0"/>
        <w:adjustRightInd w:val="0"/>
        <w:jc w:val="center"/>
        <w:rPr>
          <w:b/>
          <w:szCs w:val="22"/>
        </w:rPr>
      </w:pPr>
      <w:r>
        <w:rPr>
          <w:b/>
          <w:szCs w:val="22"/>
        </w:rPr>
        <w:t>- FCC -</w:t>
      </w:r>
    </w:p>
    <w:sectPr w:rsidR="001E2648" w:rsidRPr="00701564" w:rsidSect="0065124D">
      <w:type w:val="continuous"/>
      <w:pgSz w:w="12240" w:h="15840" w:code="1"/>
      <w:pgMar w:top="153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9C561" w14:textId="77777777" w:rsidR="00FA0776" w:rsidRDefault="00FA0776">
      <w:r>
        <w:separator/>
      </w:r>
    </w:p>
  </w:endnote>
  <w:endnote w:type="continuationSeparator" w:id="0">
    <w:p w14:paraId="75E44000" w14:textId="77777777" w:rsidR="00FA0776" w:rsidRDefault="00FA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8464" w14:textId="77777777" w:rsidR="005A4D21" w:rsidRDefault="005A4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81FF" w14:textId="77777777" w:rsidR="0009458D" w:rsidRDefault="0009458D" w:rsidP="0009458D">
    <w:pPr>
      <w:pStyle w:val="Footer"/>
      <w:jc w:val="center"/>
    </w:pPr>
    <w:r>
      <w:fldChar w:fldCharType="begin"/>
    </w:r>
    <w:r>
      <w:instrText xml:space="preserve"> PAGE   \* MERGEFORMAT </w:instrText>
    </w:r>
    <w:r>
      <w:fldChar w:fldCharType="separate"/>
    </w:r>
    <w:r w:rsidR="00A3580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9F33" w14:textId="77777777" w:rsidR="005A4D21" w:rsidRDefault="005A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7CFD5" w14:textId="77777777" w:rsidR="00FA0776" w:rsidRDefault="00FA0776">
      <w:r>
        <w:separator/>
      </w:r>
    </w:p>
  </w:footnote>
  <w:footnote w:type="continuationSeparator" w:id="0">
    <w:p w14:paraId="54F044C2" w14:textId="77777777" w:rsidR="00FA0776" w:rsidRDefault="00FA0776">
      <w:r>
        <w:continuationSeparator/>
      </w:r>
    </w:p>
  </w:footnote>
  <w:footnote w:id="1">
    <w:p w14:paraId="491200F4" w14:textId="77777777" w:rsidR="001E2648" w:rsidRPr="00944B56" w:rsidRDefault="001E2648" w:rsidP="001E2648">
      <w:pPr>
        <w:pStyle w:val="FootnoteText"/>
        <w:rPr>
          <w:sz w:val="20"/>
        </w:rPr>
      </w:pPr>
      <w:r w:rsidRPr="00944B56">
        <w:rPr>
          <w:rStyle w:val="FootnoteReference"/>
          <w:sz w:val="20"/>
        </w:rPr>
        <w:footnoteRef/>
      </w:r>
      <w:r w:rsidRPr="00944B56">
        <w:rPr>
          <w:sz w:val="20"/>
        </w:rPr>
        <w:t xml:space="preserve"> Auction of Advanced Wireless Services (AWS-3) Closes; Winning Bidders Announced for Auction 97, </w:t>
      </w:r>
      <w:r w:rsidRPr="00944B56">
        <w:rPr>
          <w:i/>
          <w:sz w:val="20"/>
        </w:rPr>
        <w:t>Public Notice</w:t>
      </w:r>
      <w:r w:rsidRPr="00944B56">
        <w:rPr>
          <w:sz w:val="20"/>
        </w:rPr>
        <w:t xml:space="preserve">, DA 15-131 (WTB rel. Jan. 30, 2015).   </w:t>
      </w:r>
    </w:p>
  </w:footnote>
  <w:footnote w:id="2">
    <w:p w14:paraId="52BB60F7" w14:textId="77777777" w:rsidR="001E2648" w:rsidRPr="00944B56" w:rsidRDefault="001E2648" w:rsidP="001E2648">
      <w:pPr>
        <w:pStyle w:val="FootnoteText"/>
        <w:rPr>
          <w:sz w:val="20"/>
        </w:rPr>
      </w:pPr>
      <w:r w:rsidRPr="00944B56">
        <w:rPr>
          <w:rStyle w:val="FootnoteReference"/>
          <w:sz w:val="20"/>
        </w:rPr>
        <w:footnoteRef/>
      </w:r>
      <w:r w:rsidRPr="00944B56">
        <w:rPr>
          <w:sz w:val="20"/>
        </w:rPr>
        <w:t xml:space="preserve"> Wireless Telecommunications Bureau Announces that Applications for AWS-3 Licenses in the 1755-1780 MHz and 2155-2180 MHz Bands are Accepted for Filing, </w:t>
      </w:r>
      <w:r w:rsidRPr="00944B56">
        <w:rPr>
          <w:i/>
          <w:sz w:val="20"/>
        </w:rPr>
        <w:t>Public Notice</w:t>
      </w:r>
      <w:r w:rsidRPr="00944B56">
        <w:rPr>
          <w:sz w:val="20"/>
        </w:rPr>
        <w:t>, DA 15-302 (WTB rel. Mar. 10, 2015)</w:t>
      </w:r>
      <w:r>
        <w:rPr>
          <w:sz w:val="20"/>
        </w:rPr>
        <w:t xml:space="preserve">; </w:t>
      </w:r>
      <w:r w:rsidRPr="00944B56">
        <w:rPr>
          <w:sz w:val="20"/>
        </w:rPr>
        <w:t xml:space="preserve">Wireless Telecommunications Bureau Announces that Applications for AWS-3 Licenses in the 1695-1710 MHz, 1755-1780 MHz and 2155-2180 MHz Bands are Accepted for Filing, </w:t>
      </w:r>
      <w:r w:rsidRPr="00944B56">
        <w:rPr>
          <w:i/>
          <w:sz w:val="20"/>
        </w:rPr>
        <w:t>Public Notice</w:t>
      </w:r>
      <w:r w:rsidRPr="00944B56">
        <w:rPr>
          <w:sz w:val="20"/>
        </w:rPr>
        <w:t xml:space="preserve">, DA 15-503 (WTB rel. Apr. 29, 2015) (collectively, the </w:t>
      </w:r>
      <w:r w:rsidRPr="00944B56">
        <w:rPr>
          <w:i/>
          <w:sz w:val="20"/>
        </w:rPr>
        <w:t>AFF Public Notices</w:t>
      </w:r>
      <w:r w:rsidRPr="00944B56">
        <w:rPr>
          <w:sz w:val="20"/>
        </w:rPr>
        <w:t>).</w:t>
      </w:r>
      <w:r>
        <w:rPr>
          <w:sz w:val="20"/>
        </w:rPr>
        <w:t xml:space="preserve">  </w:t>
      </w:r>
      <w:r w:rsidRPr="00AE5FD3">
        <w:rPr>
          <w:sz w:val="20"/>
        </w:rPr>
        <w:t xml:space="preserve">Subsequent public notices will announce the grant </w:t>
      </w:r>
      <w:r>
        <w:rPr>
          <w:sz w:val="20"/>
        </w:rPr>
        <w:t xml:space="preserve">of </w:t>
      </w:r>
      <w:r w:rsidRPr="00AE5FD3">
        <w:rPr>
          <w:sz w:val="20"/>
        </w:rPr>
        <w:t>o</w:t>
      </w:r>
      <w:r>
        <w:rPr>
          <w:sz w:val="20"/>
        </w:rPr>
        <w:t xml:space="preserve">ther pending applications listed on the </w:t>
      </w:r>
      <w:r w:rsidRPr="00AE5FD3">
        <w:rPr>
          <w:i/>
          <w:sz w:val="20"/>
        </w:rPr>
        <w:t>AFF Public Notices</w:t>
      </w:r>
      <w:r>
        <w:rPr>
          <w:sz w:val="20"/>
        </w:rPr>
        <w:t>,</w:t>
      </w:r>
      <w:r w:rsidRPr="00944B56">
        <w:rPr>
          <w:sz w:val="20"/>
        </w:rPr>
        <w:t xml:space="preserve"> as well as the acceptance for filing of the one </w:t>
      </w:r>
      <w:r>
        <w:rPr>
          <w:sz w:val="20"/>
        </w:rPr>
        <w:t xml:space="preserve">pending </w:t>
      </w:r>
      <w:r w:rsidRPr="00944B56">
        <w:rPr>
          <w:sz w:val="20"/>
        </w:rPr>
        <w:t xml:space="preserve">long-form application not included on the </w:t>
      </w:r>
      <w:r w:rsidRPr="00944B56">
        <w:rPr>
          <w:i/>
          <w:sz w:val="20"/>
        </w:rPr>
        <w:t>AFF Public Notices</w:t>
      </w:r>
      <w:r w:rsidRPr="00944B56">
        <w:rPr>
          <w:sz w:val="20"/>
        </w:rPr>
        <w:t>.</w:t>
      </w:r>
    </w:p>
  </w:footnote>
  <w:footnote w:id="3">
    <w:p w14:paraId="7983B2C7" w14:textId="77777777"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432</w:t>
      </w:r>
      <w:r w:rsidRPr="00944B56">
        <w:rPr>
          <w:sz w:val="20"/>
        </w:rPr>
        <w:t xml:space="preserve"> (WTB rel. </w:t>
      </w:r>
      <w:r>
        <w:rPr>
          <w:sz w:val="20"/>
        </w:rPr>
        <w:t>Apr. 8, 2015</w:t>
      </w:r>
      <w:r w:rsidRPr="00944B56">
        <w:rPr>
          <w:sz w:val="20"/>
        </w:rPr>
        <w:t>)</w:t>
      </w:r>
      <w:r>
        <w:rPr>
          <w:sz w:val="20"/>
        </w:rPr>
        <w:t xml:space="preserve">.  </w:t>
      </w:r>
    </w:p>
  </w:footnote>
  <w:footnote w:id="4">
    <w:p w14:paraId="4C6E6E55" w14:textId="77777777"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952</w:t>
      </w:r>
      <w:r w:rsidRPr="00944B56">
        <w:rPr>
          <w:sz w:val="20"/>
        </w:rPr>
        <w:t xml:space="preserve"> (WTB rel. </w:t>
      </w:r>
      <w:r>
        <w:rPr>
          <w:sz w:val="20"/>
        </w:rPr>
        <w:t>Aug. 24, 2015</w:t>
      </w:r>
      <w:r w:rsidRPr="00944B56">
        <w:rPr>
          <w:sz w:val="20"/>
        </w:rPr>
        <w:t>)</w:t>
      </w:r>
      <w:r>
        <w:rPr>
          <w:sz w:val="20"/>
        </w:rPr>
        <w:t>.</w:t>
      </w:r>
      <w:r w:rsidR="00701564">
        <w:rPr>
          <w:sz w:val="20"/>
        </w:rPr>
        <w:t xml:space="preserve"> </w:t>
      </w:r>
    </w:p>
  </w:footnote>
  <w:footnote w:id="5">
    <w:p w14:paraId="438B9E67" w14:textId="77777777" w:rsidR="00E527B4" w:rsidRDefault="00E527B4">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1184</w:t>
      </w:r>
      <w:r w:rsidRPr="00944B56">
        <w:rPr>
          <w:sz w:val="20"/>
        </w:rPr>
        <w:t xml:space="preserve"> (WTB rel. </w:t>
      </w:r>
      <w:r>
        <w:rPr>
          <w:sz w:val="20"/>
        </w:rPr>
        <w:t>Oct. 15, 2015</w:t>
      </w:r>
      <w:r w:rsidRPr="00944B56">
        <w:rPr>
          <w:sz w:val="20"/>
        </w:rPr>
        <w:t>)</w:t>
      </w:r>
      <w:r>
        <w:rPr>
          <w:sz w:val="20"/>
        </w:rPr>
        <w:t>.</w:t>
      </w:r>
    </w:p>
  </w:footnote>
  <w:footnote w:id="6">
    <w:p w14:paraId="5E48A1FE" w14:textId="68575533" w:rsidR="001E2648" w:rsidRPr="00944B56" w:rsidRDefault="001E2648" w:rsidP="00FA3CD9">
      <w:pPr>
        <w:pStyle w:val="FootnoteText"/>
        <w:tabs>
          <w:tab w:val="left" w:pos="3800"/>
        </w:tabs>
        <w:rPr>
          <w:sz w:val="20"/>
        </w:rPr>
      </w:pPr>
      <w:r w:rsidRPr="00944B56">
        <w:rPr>
          <w:rStyle w:val="FootnoteReference"/>
          <w:sz w:val="20"/>
        </w:rPr>
        <w:footnoteRef/>
      </w:r>
      <w:r w:rsidRPr="00944B56">
        <w:rPr>
          <w:sz w:val="20"/>
        </w:rPr>
        <w:t xml:space="preserve"> 47 C.F.R. § 1.2109(a).  </w:t>
      </w:r>
    </w:p>
  </w:footnote>
  <w:footnote w:id="7">
    <w:p w14:paraId="682974F1" w14:textId="67EB4B7B" w:rsidR="002075F3" w:rsidRPr="00516E03" w:rsidRDefault="002075F3" w:rsidP="00E21CCC">
      <w:pPr>
        <w:pStyle w:val="FootnoteText"/>
        <w:rPr>
          <w:sz w:val="20"/>
        </w:rPr>
      </w:pPr>
      <w:r>
        <w:rPr>
          <w:rStyle w:val="FootnoteReference"/>
        </w:rPr>
        <w:footnoteRef/>
      </w:r>
      <w:r>
        <w:t xml:space="preserve"> </w:t>
      </w:r>
      <w:r w:rsidR="00E21CCC" w:rsidRPr="00E21CCC">
        <w:rPr>
          <w:i/>
          <w:sz w:val="20"/>
        </w:rPr>
        <w:t>See</w:t>
      </w:r>
      <w:r w:rsidR="00E21CCC" w:rsidRPr="00E21CCC">
        <w:rPr>
          <w:sz w:val="20"/>
        </w:rPr>
        <w:t xml:space="preserve"> Northstar Wireless, LLC, SNR Wireless LicenseCo, LLC, Applications for New Licenses in the 1695-1710 MHz,</w:t>
      </w:r>
      <w:r w:rsidR="00E21CCC">
        <w:rPr>
          <w:sz w:val="20"/>
        </w:rPr>
        <w:t xml:space="preserve"> </w:t>
      </w:r>
      <w:r w:rsidR="00E21CCC" w:rsidRPr="00E21CCC">
        <w:rPr>
          <w:sz w:val="20"/>
        </w:rPr>
        <w:t>and 1755-1780 MHz and 2155-2180 MHz Bands</w:t>
      </w:r>
      <w:r w:rsidR="00E21CCC">
        <w:rPr>
          <w:sz w:val="20"/>
        </w:rPr>
        <w:t xml:space="preserve">, </w:t>
      </w:r>
      <w:r w:rsidRPr="00E21CCC">
        <w:rPr>
          <w:i/>
          <w:sz w:val="20"/>
        </w:rPr>
        <w:t>Memorandum Opinion and Order</w:t>
      </w:r>
      <w:r w:rsidRPr="00516E03">
        <w:rPr>
          <w:sz w:val="20"/>
        </w:rPr>
        <w:t>, FCC 15-104 (rel. Aug. 18, 2015</w:t>
      </w:r>
      <w:r w:rsidR="002254D1" w:rsidRPr="00516E03">
        <w:rPr>
          <w:sz w:val="20"/>
        </w:rPr>
        <w:t>)</w:t>
      </w:r>
      <w:r w:rsidR="00E21CCC">
        <w:rPr>
          <w:sz w:val="20"/>
        </w:rPr>
        <w:t xml:space="preserve">.  </w:t>
      </w:r>
      <w:r w:rsidR="00E21CCC" w:rsidRPr="00E21CCC">
        <w:rPr>
          <w:i/>
          <w:sz w:val="20"/>
        </w:rPr>
        <w:t>See also</w:t>
      </w:r>
      <w:r w:rsidR="00E21CCC">
        <w:rPr>
          <w:sz w:val="20"/>
        </w:rPr>
        <w:t xml:space="preserve"> </w:t>
      </w:r>
      <w:r w:rsidR="002254D1" w:rsidRPr="00516E03">
        <w:rPr>
          <w:sz w:val="20"/>
        </w:rPr>
        <w:t xml:space="preserve">Letter to Mark F. Dever, </w:t>
      </w:r>
      <w:r w:rsidR="00E00195" w:rsidRPr="00516E03">
        <w:rPr>
          <w:sz w:val="20"/>
        </w:rPr>
        <w:t xml:space="preserve">Esq., </w:t>
      </w:r>
      <w:r w:rsidR="002254D1" w:rsidRPr="00516E03">
        <w:rPr>
          <w:sz w:val="20"/>
        </w:rPr>
        <w:t xml:space="preserve">Counsel </w:t>
      </w:r>
      <w:r w:rsidR="00E00195" w:rsidRPr="00516E03">
        <w:rPr>
          <w:sz w:val="20"/>
        </w:rPr>
        <w:t xml:space="preserve">for </w:t>
      </w:r>
      <w:r w:rsidR="002254D1" w:rsidRPr="00516E03">
        <w:rPr>
          <w:sz w:val="20"/>
        </w:rPr>
        <w:t>Northstar Wireless, LLC</w:t>
      </w:r>
      <w:r w:rsidR="00E00195" w:rsidRPr="00516E03">
        <w:rPr>
          <w:sz w:val="20"/>
        </w:rPr>
        <w:t>,</w:t>
      </w:r>
      <w:r w:rsidR="002254D1" w:rsidRPr="00516E03">
        <w:rPr>
          <w:sz w:val="20"/>
        </w:rPr>
        <w:t xml:space="preserve"> from Roger</w:t>
      </w:r>
      <w:r w:rsidR="00E00195" w:rsidRPr="00516E03">
        <w:rPr>
          <w:sz w:val="20"/>
        </w:rPr>
        <w:t xml:space="preserve"> C. </w:t>
      </w:r>
      <w:r w:rsidR="002254D1" w:rsidRPr="00516E03">
        <w:rPr>
          <w:sz w:val="20"/>
        </w:rPr>
        <w:t>Sherman, Chief, Wire</w:t>
      </w:r>
      <w:r w:rsidR="00E00195" w:rsidRPr="00516E03">
        <w:rPr>
          <w:sz w:val="20"/>
        </w:rPr>
        <w:t>less</w:t>
      </w:r>
      <w:r w:rsidR="002254D1" w:rsidRPr="00516E03">
        <w:rPr>
          <w:sz w:val="20"/>
        </w:rPr>
        <w:t xml:space="preserve"> Teleco</w:t>
      </w:r>
      <w:r w:rsidR="00E6606E">
        <w:rPr>
          <w:sz w:val="20"/>
        </w:rPr>
        <w:t>mmunications Bureau, DA 15-1108</w:t>
      </w:r>
      <w:r w:rsidR="002254D1" w:rsidRPr="00516E03">
        <w:rPr>
          <w:sz w:val="20"/>
        </w:rPr>
        <w:t xml:space="preserve"> (rel. Oct. 1, 2015</w:t>
      </w:r>
      <w:r w:rsidR="00E6606E">
        <w:rPr>
          <w:sz w:val="20"/>
        </w:rPr>
        <w:t>)</w:t>
      </w:r>
      <w:r w:rsidR="002254D1" w:rsidRPr="00516E03">
        <w:rPr>
          <w:sz w:val="20"/>
        </w:rPr>
        <w:t xml:space="preserve">, and Letter to Ari </w:t>
      </w:r>
      <w:r w:rsidR="00E00195" w:rsidRPr="00516E03">
        <w:rPr>
          <w:sz w:val="20"/>
        </w:rPr>
        <w:t>Q. Fitzgerald, Esq., Counsel for SNR Wireless LicenseCo, LLC, from Roger C. Sherman, Chief, Wireless Telecommunications Bureau, DA 15-1109 (rel. Oct. 1, 2015</w:t>
      </w:r>
      <w:r w:rsidR="00E6606E">
        <w:rPr>
          <w:sz w:val="20"/>
        </w:rPr>
        <w:t>)</w:t>
      </w:r>
      <w:r w:rsidR="00E00195" w:rsidRPr="00516E03">
        <w:rPr>
          <w:sz w:val="20"/>
        </w:rPr>
        <w:t>.</w:t>
      </w:r>
      <w:r w:rsidR="00E21CCC">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1F201" w14:textId="77777777" w:rsidR="005A4D21" w:rsidRDefault="005A4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D44F" w14:textId="77777777" w:rsidR="005A4D21" w:rsidRDefault="005A4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F08E" w14:textId="77777777" w:rsidR="00602577" w:rsidRDefault="00A3580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E96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07272FB6" w14:textId="77777777" w:rsidR="00602577" w:rsidRDefault="00A3580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1DE2C705">
        <v:line id="_x0000_s2052" style="position:absolute;left:0;text-align:left;z-index:251657216" from="37.6pt,54.95pt" to="501.1pt,55.15pt" o:allowincell="f"/>
      </w:pict>
    </w:r>
    <w:r>
      <w:rPr>
        <w:rFonts w:ascii="News Gothic MT" w:hAnsi="News Gothic MT"/>
        <w:b/>
        <w:noProof/>
        <w:sz w:val="24"/>
      </w:rPr>
      <w:pict w14:anchorId="1FF9C663">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53D8AB0C" w14:textId="77777777" w:rsidR="00602577" w:rsidRDefault="00602577">
                <w:pPr>
                  <w:rPr>
                    <w:rFonts w:ascii="Arial" w:hAnsi="Arial"/>
                    <w:b/>
                  </w:rPr>
                </w:pPr>
                <w:r>
                  <w:rPr>
                    <w:rFonts w:ascii="Arial" w:hAnsi="Arial"/>
                    <w:b/>
                  </w:rPr>
                  <w:t>Federal Communications Commission</w:t>
                </w:r>
              </w:p>
              <w:p w14:paraId="3A26C40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3A0944"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4C3C86F3">
        <v:shape id="_x0000_s2053" type="#_x0000_t202" style="position:absolute;left:0;text-align:left;margin-left:301.5pt;margin-top:10.25pt;width:207.95pt;height:43.2pt;z-index:251658240" o:allowincell="f" stroked="f">
          <v:textbox style="mso-next-textbox:#_x0000_s2053" inset=",0,,0">
            <w:txbxContent>
              <w:p w14:paraId="7B42EA6C" w14:textId="77777777" w:rsidR="00602577" w:rsidRDefault="00602577">
                <w:pPr>
                  <w:spacing w:before="40"/>
                  <w:jc w:val="right"/>
                  <w:rPr>
                    <w:rFonts w:ascii="Arial" w:hAnsi="Arial"/>
                    <w:b/>
                    <w:sz w:val="16"/>
                  </w:rPr>
                </w:pPr>
                <w:r>
                  <w:rPr>
                    <w:rFonts w:ascii="Arial" w:hAnsi="Arial"/>
                    <w:b/>
                    <w:sz w:val="16"/>
                  </w:rPr>
                  <w:t>News Media Information 202 / 418-0500</w:t>
                </w:r>
              </w:p>
              <w:p w14:paraId="51283C4D"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F9E349C" w14:textId="77777777" w:rsidR="00602577" w:rsidRDefault="00602577">
                <w:pPr>
                  <w:jc w:val="right"/>
                  <w:rPr>
                    <w:rFonts w:ascii="Arial" w:hAnsi="Arial"/>
                    <w:b/>
                    <w:sz w:val="16"/>
                  </w:rPr>
                </w:pPr>
                <w:r>
                  <w:rPr>
                    <w:rFonts w:ascii="Arial" w:hAnsi="Arial"/>
                    <w:b/>
                    <w:sz w:val="16"/>
                  </w:rPr>
                  <w:t>TTY: 1-888-835-5322</w:t>
                </w:r>
              </w:p>
              <w:p w14:paraId="435507F5" w14:textId="77777777" w:rsidR="00602577" w:rsidRDefault="00602577">
                <w:pPr>
                  <w:jc w:val="right"/>
                </w:pPr>
              </w:p>
            </w:txbxContent>
          </v:textbox>
        </v:shape>
      </w:pict>
    </w:r>
  </w:p>
  <w:p w14:paraId="055E0E78"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648"/>
    <w:rsid w:val="000265AE"/>
    <w:rsid w:val="00034972"/>
    <w:rsid w:val="00052CA7"/>
    <w:rsid w:val="00083DFE"/>
    <w:rsid w:val="000917AE"/>
    <w:rsid w:val="0009458D"/>
    <w:rsid w:val="00147D1F"/>
    <w:rsid w:val="001E2648"/>
    <w:rsid w:val="00203BFB"/>
    <w:rsid w:val="002075F3"/>
    <w:rsid w:val="002254D1"/>
    <w:rsid w:val="002F6B88"/>
    <w:rsid w:val="0039522C"/>
    <w:rsid w:val="00440804"/>
    <w:rsid w:val="00485201"/>
    <w:rsid w:val="004A7F92"/>
    <w:rsid w:val="004F1B6D"/>
    <w:rsid w:val="004F6CEC"/>
    <w:rsid w:val="00516E03"/>
    <w:rsid w:val="00544A41"/>
    <w:rsid w:val="005669E7"/>
    <w:rsid w:val="005A4D21"/>
    <w:rsid w:val="005D14FF"/>
    <w:rsid w:val="00602577"/>
    <w:rsid w:val="0065124D"/>
    <w:rsid w:val="00685631"/>
    <w:rsid w:val="006A1226"/>
    <w:rsid w:val="006F20E5"/>
    <w:rsid w:val="00701564"/>
    <w:rsid w:val="00740D13"/>
    <w:rsid w:val="007E789F"/>
    <w:rsid w:val="00835799"/>
    <w:rsid w:val="008F3428"/>
    <w:rsid w:val="00954DA0"/>
    <w:rsid w:val="009D3DD4"/>
    <w:rsid w:val="009F5357"/>
    <w:rsid w:val="00A3580C"/>
    <w:rsid w:val="00A408CE"/>
    <w:rsid w:val="00AA3B28"/>
    <w:rsid w:val="00AC3C3E"/>
    <w:rsid w:val="00AD7B65"/>
    <w:rsid w:val="00B71376"/>
    <w:rsid w:val="00D17DC0"/>
    <w:rsid w:val="00D60EFF"/>
    <w:rsid w:val="00D93C43"/>
    <w:rsid w:val="00DE096D"/>
    <w:rsid w:val="00DF6F73"/>
    <w:rsid w:val="00E00195"/>
    <w:rsid w:val="00E21CCC"/>
    <w:rsid w:val="00E30001"/>
    <w:rsid w:val="00E31F81"/>
    <w:rsid w:val="00E527B4"/>
    <w:rsid w:val="00E6606E"/>
    <w:rsid w:val="00EC02A2"/>
    <w:rsid w:val="00F70982"/>
    <w:rsid w:val="00FA0776"/>
    <w:rsid w:val="00FA3CD9"/>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FE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1E2648"/>
    <w:rPr>
      <w:sz w:val="22"/>
    </w:rPr>
  </w:style>
  <w:style w:type="character" w:customStyle="1" w:styleId="FooterChar">
    <w:name w:val="Footer Char"/>
    <w:link w:val="Footer"/>
    <w:uiPriority w:val="99"/>
    <w:rsid w:val="0009458D"/>
    <w:rPr>
      <w:sz w:val="22"/>
    </w:rPr>
  </w:style>
  <w:style w:type="character" w:styleId="CommentReference">
    <w:name w:val="annotation reference"/>
    <w:uiPriority w:val="99"/>
    <w:semiHidden/>
    <w:unhideWhenUsed/>
    <w:rsid w:val="002F6B88"/>
    <w:rPr>
      <w:sz w:val="16"/>
      <w:szCs w:val="16"/>
    </w:rPr>
  </w:style>
  <w:style w:type="paragraph" w:styleId="CommentText">
    <w:name w:val="annotation text"/>
    <w:basedOn w:val="Normal"/>
    <w:link w:val="CommentTextChar"/>
    <w:uiPriority w:val="99"/>
    <w:semiHidden/>
    <w:unhideWhenUsed/>
    <w:rsid w:val="002F6B88"/>
    <w:rPr>
      <w:sz w:val="20"/>
    </w:rPr>
  </w:style>
  <w:style w:type="character" w:customStyle="1" w:styleId="CommentTextChar">
    <w:name w:val="Comment Text Char"/>
    <w:basedOn w:val="DefaultParagraphFont"/>
    <w:link w:val="CommentText"/>
    <w:uiPriority w:val="99"/>
    <w:semiHidden/>
    <w:rsid w:val="002F6B88"/>
  </w:style>
  <w:style w:type="paragraph" w:styleId="CommentSubject">
    <w:name w:val="annotation subject"/>
    <w:basedOn w:val="CommentText"/>
    <w:next w:val="CommentText"/>
    <w:link w:val="CommentSubjectChar"/>
    <w:uiPriority w:val="99"/>
    <w:semiHidden/>
    <w:unhideWhenUsed/>
    <w:rsid w:val="002F6B88"/>
    <w:rPr>
      <w:b/>
      <w:bCs/>
    </w:rPr>
  </w:style>
  <w:style w:type="character" w:customStyle="1" w:styleId="CommentSubjectChar">
    <w:name w:val="Comment Subject Char"/>
    <w:link w:val="CommentSubject"/>
    <w:uiPriority w:val="99"/>
    <w:semiHidden/>
    <w:rsid w:val="002F6B88"/>
    <w:rPr>
      <w:b/>
      <w:bCs/>
    </w:rPr>
  </w:style>
  <w:style w:type="paragraph" w:styleId="BalloonText">
    <w:name w:val="Balloon Text"/>
    <w:basedOn w:val="Normal"/>
    <w:link w:val="BalloonTextChar"/>
    <w:uiPriority w:val="99"/>
    <w:semiHidden/>
    <w:unhideWhenUsed/>
    <w:rsid w:val="002F6B88"/>
    <w:rPr>
      <w:rFonts w:ascii="Segoe UI" w:hAnsi="Segoe UI" w:cs="Segoe UI"/>
      <w:sz w:val="18"/>
      <w:szCs w:val="18"/>
    </w:rPr>
  </w:style>
  <w:style w:type="character" w:customStyle="1" w:styleId="BalloonTextChar">
    <w:name w:val="Balloon Text Char"/>
    <w:link w:val="BalloonText"/>
    <w:uiPriority w:val="99"/>
    <w:semiHidden/>
    <w:rsid w:val="002F6B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evieve.ro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2408</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2015-10-27T21:03:00Z</dcterms:created>
  <dcterms:modified xsi:type="dcterms:W3CDTF">2015-10-27T21:03:00Z</dcterms:modified>
  <cp:category> </cp:category>
  <cp:contentStatus> </cp:contentStatus>
</cp:coreProperties>
</file>