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C5598"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499C60B7" w14:textId="6E0F67F0" w:rsidR="00B44C24" w:rsidRPr="00A06955" w:rsidRDefault="00B44C24" w:rsidP="00EA2E0A">
      <w:pPr>
        <w:ind w:left="5040"/>
        <w:jc w:val="right"/>
        <w:rPr>
          <w:rFonts w:ascii="Times New Roman Bold" w:hAnsi="Times New Roman Bold"/>
          <w:b/>
        </w:rPr>
      </w:pPr>
      <w:r w:rsidRPr="00A06955">
        <w:rPr>
          <w:rFonts w:ascii="Times New Roman Bold" w:hAnsi="Times New Roman Bold"/>
          <w:b/>
        </w:rPr>
        <w:lastRenderedPageBreak/>
        <w:t xml:space="preserve">DA </w:t>
      </w:r>
      <w:r w:rsidR="00617637">
        <w:rPr>
          <w:rFonts w:ascii="Times New Roman Bold" w:hAnsi="Times New Roman Bold"/>
          <w:b/>
        </w:rPr>
        <w:t>15-1238</w:t>
      </w:r>
    </w:p>
    <w:p w14:paraId="0F3724AD" w14:textId="54F5B823" w:rsidR="00B44C24" w:rsidRPr="00A06955" w:rsidRDefault="00B44C24" w:rsidP="00EA2E0A">
      <w:pPr>
        <w:ind w:left="5760" w:firstLine="720"/>
        <w:jc w:val="right"/>
        <w:rPr>
          <w:rFonts w:ascii="Times New Roman Bold" w:hAnsi="Times New Roman Bold"/>
          <w:b/>
        </w:rPr>
      </w:pPr>
      <w:r w:rsidRPr="00A06955">
        <w:rPr>
          <w:rFonts w:ascii="Times New Roman Bold" w:hAnsi="Times New Roman Bold"/>
          <w:b/>
        </w:rPr>
        <w:t xml:space="preserve">Released:  </w:t>
      </w:r>
      <w:r w:rsidR="005C76A8">
        <w:rPr>
          <w:rFonts w:ascii="Times New Roman Bold" w:hAnsi="Times New Roman Bold"/>
          <w:b/>
        </w:rPr>
        <w:t>October</w:t>
      </w:r>
      <w:r w:rsidR="00FB241B">
        <w:rPr>
          <w:rFonts w:ascii="Times New Roman Bold" w:hAnsi="Times New Roman Bold"/>
          <w:b/>
        </w:rPr>
        <w:t xml:space="preserve"> 30</w:t>
      </w:r>
      <w:r w:rsidR="00BD797E">
        <w:rPr>
          <w:rFonts w:ascii="Times New Roman Bold" w:hAnsi="Times New Roman Bold"/>
          <w:b/>
        </w:rPr>
        <w:t>, 2015</w:t>
      </w:r>
    </w:p>
    <w:p w14:paraId="5186AC4E" w14:textId="77777777" w:rsidR="00B44C24" w:rsidRPr="00E50B4A" w:rsidRDefault="00B44C24" w:rsidP="00B44C24">
      <w:pPr>
        <w:spacing w:before="60"/>
        <w:jc w:val="right"/>
        <w:rPr>
          <w:rFonts w:ascii="Times New Roman Bold" w:hAnsi="Times New Roman Bold"/>
          <w:b/>
        </w:rPr>
      </w:pPr>
    </w:p>
    <w:p w14:paraId="368D13AA" w14:textId="77777777" w:rsidR="00B44C24" w:rsidRPr="00E50B4A" w:rsidRDefault="00CA07E4" w:rsidP="00B44C24">
      <w:pPr>
        <w:spacing w:before="60"/>
        <w:jc w:val="center"/>
        <w:rPr>
          <w:rFonts w:ascii="Times New Roman Bold" w:hAnsi="Times New Roman Bold"/>
          <w:b/>
        </w:rPr>
      </w:pPr>
      <w:r>
        <w:rPr>
          <w:rFonts w:ascii="Times New Roman Bold" w:hAnsi="Times New Roman Bold"/>
          <w:b/>
        </w:rPr>
        <w:t>MEDIA BUREAU FINALIZES REIMBURSEMENT FORM FOR SUBMISSION TO OMB</w:t>
      </w:r>
      <w:r w:rsidR="0004042D">
        <w:rPr>
          <w:rFonts w:ascii="Times New Roman Bold" w:hAnsi="Times New Roman Bold"/>
          <w:b/>
        </w:rPr>
        <w:t xml:space="preserve"> AND ADOPTS CATALOG OF EXPENSES</w:t>
      </w:r>
    </w:p>
    <w:p w14:paraId="5D3826BD" w14:textId="77777777" w:rsidR="00B44C24" w:rsidRPr="00E50B4A" w:rsidRDefault="00B44C24" w:rsidP="00BD797E">
      <w:pPr>
        <w:spacing w:before="60"/>
        <w:jc w:val="center"/>
        <w:rPr>
          <w:rFonts w:ascii="Times New Roman Bold" w:hAnsi="Times New Roman Bold"/>
          <w:b/>
        </w:rPr>
      </w:pPr>
      <w:r>
        <w:rPr>
          <w:rFonts w:ascii="Times New Roman Bold" w:hAnsi="Times New Roman Bold"/>
          <w:b/>
        </w:rPr>
        <w:t xml:space="preserve">GN </w:t>
      </w:r>
      <w:r w:rsidRPr="00E50B4A">
        <w:rPr>
          <w:rFonts w:ascii="Times New Roman Bold" w:hAnsi="Times New Roman Bold"/>
          <w:b/>
        </w:rPr>
        <w:t xml:space="preserve">Docket No. </w:t>
      </w:r>
      <w:r>
        <w:rPr>
          <w:rFonts w:ascii="Times New Roman Bold" w:hAnsi="Times New Roman Bold"/>
          <w:b/>
        </w:rPr>
        <w:t>12</w:t>
      </w:r>
      <w:r w:rsidRPr="00E50B4A">
        <w:rPr>
          <w:rFonts w:ascii="Times New Roman Bold" w:hAnsi="Times New Roman Bold"/>
          <w:b/>
        </w:rPr>
        <w:t>-</w:t>
      </w:r>
      <w:r>
        <w:rPr>
          <w:rFonts w:ascii="Times New Roman Bold" w:hAnsi="Times New Roman Bold"/>
          <w:b/>
        </w:rPr>
        <w:t>2</w:t>
      </w:r>
      <w:r w:rsidRPr="00E50B4A">
        <w:rPr>
          <w:rFonts w:ascii="Times New Roman Bold" w:hAnsi="Times New Roman Bold"/>
          <w:b/>
        </w:rPr>
        <w:t xml:space="preserve">68 </w:t>
      </w:r>
    </w:p>
    <w:p w14:paraId="4E331386" w14:textId="77777777" w:rsidR="00B44C24" w:rsidRPr="00E50B4A" w:rsidRDefault="00B44C24" w:rsidP="00B44C24">
      <w:pPr>
        <w:spacing w:before="60"/>
        <w:rPr>
          <w:rFonts w:ascii="Times New Roman Bold" w:hAnsi="Times New Roman Bold"/>
          <w:sz w:val="24"/>
        </w:rPr>
      </w:pPr>
    </w:p>
    <w:p w14:paraId="1880E6FB" w14:textId="06797351" w:rsidR="00F83E74" w:rsidRDefault="0034231B" w:rsidP="00E816FC">
      <w:pPr>
        <w:pStyle w:val="Paranum"/>
        <w:widowControl/>
        <w:numPr>
          <w:ilvl w:val="0"/>
          <w:numId w:val="0"/>
        </w:numPr>
        <w:ind w:firstLine="720"/>
        <w:jc w:val="left"/>
      </w:pPr>
      <w:r>
        <w:t xml:space="preserve">In the </w:t>
      </w:r>
      <w:r w:rsidR="00777D51" w:rsidRPr="004B2436">
        <w:rPr>
          <w:i/>
        </w:rPr>
        <w:t xml:space="preserve">Incentive </w:t>
      </w:r>
      <w:r w:rsidR="002C327C">
        <w:rPr>
          <w:i/>
        </w:rPr>
        <w:t>Auction R&amp;O</w:t>
      </w:r>
      <w:r w:rsidR="00777D51">
        <w:t>,</w:t>
      </w:r>
      <w:r w:rsidR="004B2436">
        <w:rPr>
          <w:rStyle w:val="FootnoteReference"/>
        </w:rPr>
        <w:footnoteReference w:id="1"/>
      </w:r>
      <w:r w:rsidR="00777D51">
        <w:t xml:space="preserve"> the Commission </w:t>
      </w:r>
      <w:r w:rsidR="004B2436">
        <w:t xml:space="preserve">established the </w:t>
      </w:r>
      <w:r w:rsidR="00951D05">
        <w:t xml:space="preserve">post-auction </w:t>
      </w:r>
      <w:r w:rsidR="004B2436">
        <w:t xml:space="preserve">process </w:t>
      </w:r>
      <w:r w:rsidR="00591C28">
        <w:t xml:space="preserve">for reimbursing </w:t>
      </w:r>
      <w:r w:rsidR="00D25FDF">
        <w:t xml:space="preserve">eligible </w:t>
      </w:r>
      <w:r w:rsidR="00777D51">
        <w:t xml:space="preserve">broadcasters and MVPDs </w:t>
      </w:r>
      <w:r w:rsidR="00D25FDF">
        <w:t xml:space="preserve">from the $1.75 billion TV Broadcaster Relocation Fund </w:t>
      </w:r>
      <w:r w:rsidR="00B42411">
        <w:t xml:space="preserve">(“Fund”) </w:t>
      </w:r>
      <w:r w:rsidR="00D25FDF">
        <w:t>established in the Spectrum Act.</w:t>
      </w:r>
      <w:r w:rsidR="00D25FDF">
        <w:rPr>
          <w:rStyle w:val="FootnoteReference"/>
        </w:rPr>
        <w:footnoteReference w:id="2"/>
      </w:r>
      <w:r w:rsidR="00D25FDF">
        <w:t xml:space="preserve">  </w:t>
      </w:r>
      <w:r w:rsidR="00951D05">
        <w:t>The Commission delegated authority to the Me</w:t>
      </w:r>
      <w:r w:rsidR="00B42411">
        <w:t>dia Bureau to develop the form to be used by entities to claim reimbursement from the Fund</w:t>
      </w:r>
      <w:r w:rsidR="00AA076D">
        <w:t>,</w:t>
      </w:r>
      <w:r w:rsidR="00951D05">
        <w:t xml:space="preserve"> </w:t>
      </w:r>
      <w:r w:rsidR="002B2CB8">
        <w:t xml:space="preserve">to develop a catalog of eligible </w:t>
      </w:r>
      <w:r w:rsidR="00407F2A">
        <w:t>expenses</w:t>
      </w:r>
      <w:r w:rsidR="00AA076D">
        <w:t xml:space="preserve">, </w:t>
      </w:r>
      <w:r w:rsidR="00951D05">
        <w:t xml:space="preserve">and </w:t>
      </w:r>
      <w:r w:rsidR="00B42411">
        <w:t>to make other determinations regarding eligible costs and the reimbursement process</w:t>
      </w:r>
      <w:r w:rsidR="00951D05">
        <w:t>.</w:t>
      </w:r>
      <w:r w:rsidR="00B42411">
        <w:rPr>
          <w:rStyle w:val="FootnoteReference"/>
        </w:rPr>
        <w:footnoteReference w:id="3"/>
      </w:r>
      <w:r w:rsidR="00951D05">
        <w:t xml:space="preserve"> </w:t>
      </w:r>
      <w:r w:rsidR="00657B36">
        <w:t xml:space="preserve"> </w:t>
      </w:r>
      <w:r w:rsidR="00B42411">
        <w:t xml:space="preserve">In this Public Notice, we </w:t>
      </w:r>
      <w:r w:rsidR="00453A4D">
        <w:t>announce th</w:t>
      </w:r>
      <w:r w:rsidR="00CA07E4">
        <w:t>at the final version</w:t>
      </w:r>
      <w:r w:rsidR="00453A4D">
        <w:t xml:space="preserve"> of the Reimbursement Form, FCC Form 2100, Schedule 399</w:t>
      </w:r>
      <w:r w:rsidR="006641CB">
        <w:t xml:space="preserve"> (Reimbursement Form or Form)</w:t>
      </w:r>
      <w:r w:rsidR="00453A4D">
        <w:t xml:space="preserve">, </w:t>
      </w:r>
      <w:r w:rsidR="00E619E0">
        <w:t xml:space="preserve">which is attached as Appendix A, </w:t>
      </w:r>
      <w:r w:rsidR="00CA07E4">
        <w:t xml:space="preserve">will be submitted </w:t>
      </w:r>
      <w:r w:rsidR="00453A4D">
        <w:t xml:space="preserve">to the Office of Management and Budget </w:t>
      </w:r>
      <w:r w:rsidR="00F906A0">
        <w:t xml:space="preserve">(OMB) </w:t>
      </w:r>
      <w:r w:rsidR="00453A4D">
        <w:t>for approval under the Paperwork Reduction Act</w:t>
      </w:r>
      <w:r w:rsidR="00401A34">
        <w:t xml:space="preserve">.  We also </w:t>
      </w:r>
      <w:r w:rsidR="00AA076D">
        <w:t>adopt</w:t>
      </w:r>
      <w:r w:rsidR="003E237E">
        <w:t xml:space="preserve"> </w:t>
      </w:r>
      <w:r w:rsidR="00E15535">
        <w:t>a catalog</w:t>
      </w:r>
      <w:r w:rsidR="00AA076D">
        <w:t xml:space="preserve"> of </w:t>
      </w:r>
      <w:r w:rsidR="00407F2A">
        <w:t>expense</w:t>
      </w:r>
      <w:r w:rsidR="00E15535">
        <w:t>s, which is embedded in the For</w:t>
      </w:r>
      <w:r w:rsidR="002C6D1B">
        <w:t>m</w:t>
      </w:r>
      <w:r w:rsidR="00A863C9" w:rsidRPr="00E017A5">
        <w:rPr>
          <w:szCs w:val="22"/>
        </w:rPr>
        <w:t>.</w:t>
      </w:r>
      <w:r w:rsidR="00E619E0">
        <w:rPr>
          <w:rStyle w:val="FootnoteReference"/>
          <w:szCs w:val="22"/>
        </w:rPr>
        <w:footnoteReference w:id="4"/>
      </w:r>
      <w:r w:rsidR="00A863C9" w:rsidRPr="00E017A5">
        <w:rPr>
          <w:szCs w:val="22"/>
        </w:rPr>
        <w:t xml:space="preserve">  </w:t>
      </w:r>
      <w:r w:rsidR="00AD436C">
        <w:rPr>
          <w:szCs w:val="22"/>
        </w:rPr>
        <w:t>As the Commission has explained, t</w:t>
      </w:r>
      <w:r w:rsidR="00A863C9" w:rsidRPr="00E017A5">
        <w:rPr>
          <w:szCs w:val="22"/>
        </w:rPr>
        <w:t xml:space="preserve">he catalog of expenses </w:t>
      </w:r>
      <w:r w:rsidR="00E017A5" w:rsidRPr="00E017A5">
        <w:rPr>
          <w:szCs w:val="22"/>
        </w:rPr>
        <w:t xml:space="preserve">is </w:t>
      </w:r>
      <w:r w:rsidR="00D333B5">
        <w:rPr>
          <w:szCs w:val="22"/>
        </w:rPr>
        <w:t xml:space="preserve">not </w:t>
      </w:r>
      <w:r w:rsidR="00E017A5" w:rsidRPr="00E017A5">
        <w:rPr>
          <w:szCs w:val="22"/>
        </w:rPr>
        <w:t>intended to be a definitive list of all reimbursable expenses.</w:t>
      </w:r>
      <w:r w:rsidR="00582DAE">
        <w:rPr>
          <w:rStyle w:val="FootnoteReference"/>
          <w:szCs w:val="22"/>
        </w:rPr>
        <w:footnoteReference w:id="5"/>
      </w:r>
      <w:r w:rsidR="00680DAE">
        <w:rPr>
          <w:szCs w:val="22"/>
        </w:rPr>
        <w:t xml:space="preserve">  </w:t>
      </w:r>
      <w:r w:rsidR="00E017A5" w:rsidRPr="00E017A5">
        <w:rPr>
          <w:szCs w:val="22"/>
        </w:rPr>
        <w:t xml:space="preserve">Rather, </w:t>
      </w:r>
      <w:r w:rsidR="00680DAE">
        <w:rPr>
          <w:szCs w:val="22"/>
        </w:rPr>
        <w:t xml:space="preserve">it </w:t>
      </w:r>
      <w:r w:rsidR="00A863C9">
        <w:t xml:space="preserve">is a means of </w:t>
      </w:r>
      <w:r w:rsidR="00481C68">
        <w:t>facilitat</w:t>
      </w:r>
      <w:r w:rsidR="00A863C9">
        <w:t>ing</w:t>
      </w:r>
      <w:r w:rsidR="00481C68">
        <w:t xml:space="preserve"> the</w:t>
      </w:r>
      <w:r w:rsidR="00A863C9">
        <w:t xml:space="preserve"> reimbursement </w:t>
      </w:r>
      <w:r w:rsidR="00481C68">
        <w:t xml:space="preserve">process of claiming reimbursement </w:t>
      </w:r>
      <w:r w:rsidR="00A863C9">
        <w:t xml:space="preserve">by setting forth categories of expenses that are </w:t>
      </w:r>
      <w:r w:rsidR="00D333B5">
        <w:t xml:space="preserve">most </w:t>
      </w:r>
      <w:r w:rsidR="00A863C9">
        <w:t xml:space="preserve">likely </w:t>
      </w:r>
      <w:r w:rsidR="00481C68">
        <w:t>to be commonly incurred by relocated broadcasters</w:t>
      </w:r>
      <w:r w:rsidR="00D333B5">
        <w:t xml:space="preserve"> and MVPDs</w:t>
      </w:r>
      <w:r w:rsidR="009F2404">
        <w:t xml:space="preserve">.  The Form itself provides broadcasters and MVPDs with the ability </w:t>
      </w:r>
      <w:r w:rsidR="00AD436C">
        <w:t>to seek re</w:t>
      </w:r>
      <w:r w:rsidR="009F2404">
        <w:t xml:space="preserve">imbursement for </w:t>
      </w:r>
      <w:r w:rsidR="009F2404">
        <w:lastRenderedPageBreak/>
        <w:t>expenses other than those listed in the catalog</w:t>
      </w:r>
      <w:r w:rsidR="00481C68">
        <w:t>.</w:t>
      </w:r>
      <w:r w:rsidR="00AA076D">
        <w:t xml:space="preserve"> </w:t>
      </w:r>
      <w:r w:rsidR="001E68EC">
        <w:t xml:space="preserve"> </w:t>
      </w:r>
      <w:r w:rsidR="002C6D1B">
        <w:t xml:space="preserve">Finally, we </w:t>
      </w:r>
      <w:r w:rsidR="00401A34">
        <w:t>pr</w:t>
      </w:r>
      <w:r w:rsidR="00D25FDF">
        <w:t>ov</w:t>
      </w:r>
      <w:r w:rsidR="00825976">
        <w:t xml:space="preserve">ide additional information clarifying </w:t>
      </w:r>
      <w:r w:rsidR="00D25FDF">
        <w:t>how the Form will be used during the reimbursement period.</w:t>
      </w:r>
    </w:p>
    <w:p w14:paraId="2429E2DB" w14:textId="77777777" w:rsidR="00C4178A" w:rsidRDefault="00FE7CD3" w:rsidP="00B85CE0">
      <w:pPr>
        <w:pStyle w:val="Paranum"/>
        <w:widowControl/>
        <w:numPr>
          <w:ilvl w:val="0"/>
          <w:numId w:val="0"/>
        </w:numPr>
        <w:ind w:firstLine="720"/>
        <w:jc w:val="left"/>
        <w:rPr>
          <w:spacing w:val="-3"/>
          <w:szCs w:val="22"/>
        </w:rPr>
      </w:pPr>
      <w:r w:rsidRPr="00FE7CD3">
        <w:rPr>
          <w:i/>
        </w:rPr>
        <w:t>FCC Form 2100, Schedule 399</w:t>
      </w:r>
      <w:r>
        <w:rPr>
          <w:i/>
        </w:rPr>
        <w:t>.</w:t>
      </w:r>
      <w:r>
        <w:t xml:space="preserve">  </w:t>
      </w:r>
      <w:r w:rsidR="00B26BC7">
        <w:t xml:space="preserve">After considering the </w:t>
      </w:r>
      <w:r>
        <w:t xml:space="preserve">public comments </w:t>
      </w:r>
      <w:r w:rsidR="006641CB">
        <w:t>on a draft of the Form</w:t>
      </w:r>
      <w:r w:rsidR="00DE2158">
        <w:t xml:space="preserve"> released in 2014</w:t>
      </w:r>
      <w:r w:rsidR="006641CB">
        <w:rPr>
          <w:rStyle w:val="FootnoteReference"/>
        </w:rPr>
        <w:footnoteReference w:id="6"/>
      </w:r>
      <w:r>
        <w:t xml:space="preserve"> and further refining th</w:t>
      </w:r>
      <w:r w:rsidR="00F906A0">
        <w:t>e reimbursement process, the Media Bureau has</w:t>
      </w:r>
      <w:r w:rsidR="00F72F8B">
        <w:t xml:space="preserve"> </w:t>
      </w:r>
      <w:r w:rsidR="00AE2B7B">
        <w:t>made certain changes to the</w:t>
      </w:r>
      <w:r>
        <w:t xml:space="preserve"> </w:t>
      </w:r>
      <w:r w:rsidR="006641CB">
        <w:t>FCC Form 2100, Schedule 399</w:t>
      </w:r>
      <w:r w:rsidR="00AE2B7B">
        <w:t>.</w:t>
      </w:r>
      <w:r w:rsidR="00F906A0">
        <w:t xml:space="preserve"> </w:t>
      </w:r>
      <w:r w:rsidR="00F906A0" w:rsidRPr="00A7568F">
        <w:rPr>
          <w:spacing w:val="-3"/>
          <w:szCs w:val="22"/>
        </w:rPr>
        <w:t xml:space="preserve"> </w:t>
      </w:r>
      <w:r w:rsidR="00ED5714">
        <w:rPr>
          <w:spacing w:val="-3"/>
          <w:szCs w:val="22"/>
        </w:rPr>
        <w:t>In general,</w:t>
      </w:r>
      <w:r w:rsidR="001A6676">
        <w:rPr>
          <w:spacing w:val="-3"/>
          <w:szCs w:val="22"/>
        </w:rPr>
        <w:t xml:space="preserve"> comments on</w:t>
      </w:r>
      <w:r w:rsidR="002B1712">
        <w:rPr>
          <w:spacing w:val="-3"/>
          <w:szCs w:val="22"/>
        </w:rPr>
        <w:t xml:space="preserve"> the draft Form consisted of requests that we add </w:t>
      </w:r>
      <w:r w:rsidR="00ED5714">
        <w:rPr>
          <w:spacing w:val="-3"/>
          <w:szCs w:val="22"/>
        </w:rPr>
        <w:t>potent</w:t>
      </w:r>
      <w:r w:rsidR="00047BF1">
        <w:rPr>
          <w:spacing w:val="-3"/>
          <w:szCs w:val="22"/>
        </w:rPr>
        <w:t xml:space="preserve">ial expenditures to the catalog of </w:t>
      </w:r>
      <w:r w:rsidR="00407F2A">
        <w:rPr>
          <w:spacing w:val="-3"/>
          <w:szCs w:val="22"/>
        </w:rPr>
        <w:t>expenses</w:t>
      </w:r>
      <w:r w:rsidR="00DB6867">
        <w:rPr>
          <w:rStyle w:val="FootnoteReference"/>
          <w:spacing w:val="-3"/>
          <w:szCs w:val="22"/>
        </w:rPr>
        <w:footnoteReference w:id="7"/>
      </w:r>
      <w:r w:rsidR="00ED5714">
        <w:rPr>
          <w:spacing w:val="-3"/>
          <w:szCs w:val="22"/>
        </w:rPr>
        <w:t xml:space="preserve"> and </w:t>
      </w:r>
      <w:r w:rsidR="002B1712">
        <w:rPr>
          <w:spacing w:val="-3"/>
          <w:szCs w:val="22"/>
        </w:rPr>
        <w:t>suggestions for making the on-line version of the Rei</w:t>
      </w:r>
      <w:r w:rsidR="001A6676">
        <w:rPr>
          <w:spacing w:val="-3"/>
          <w:szCs w:val="22"/>
        </w:rPr>
        <w:t>mbursement Form user-friendly.</w:t>
      </w:r>
      <w:r w:rsidR="009B623F">
        <w:rPr>
          <w:rStyle w:val="FootnoteReference"/>
          <w:spacing w:val="-3"/>
          <w:szCs w:val="22"/>
        </w:rPr>
        <w:footnoteReference w:id="8"/>
      </w:r>
      <w:r w:rsidR="001A6676">
        <w:rPr>
          <w:spacing w:val="-3"/>
          <w:szCs w:val="22"/>
        </w:rPr>
        <w:t xml:space="preserve">  </w:t>
      </w:r>
      <w:r w:rsidR="00E07DA4">
        <w:rPr>
          <w:spacing w:val="-3"/>
          <w:szCs w:val="22"/>
        </w:rPr>
        <w:t xml:space="preserve">First, </w:t>
      </w:r>
      <w:r w:rsidR="00F475E9">
        <w:rPr>
          <w:spacing w:val="-3"/>
          <w:szCs w:val="22"/>
        </w:rPr>
        <w:t>based on the Widelity Report and the record,</w:t>
      </w:r>
      <w:r w:rsidR="00F475E9" w:rsidRPr="009E4169">
        <w:rPr>
          <w:rStyle w:val="FootnoteReference"/>
          <w:spacing w:val="-3"/>
          <w:szCs w:val="22"/>
        </w:rPr>
        <w:footnoteReference w:id="9"/>
      </w:r>
      <w:r w:rsidR="00F475E9" w:rsidRPr="009E4169">
        <w:rPr>
          <w:spacing w:val="-3"/>
          <w:szCs w:val="22"/>
        </w:rPr>
        <w:t xml:space="preserve"> w</w:t>
      </w:r>
      <w:r w:rsidR="00F475E9">
        <w:rPr>
          <w:spacing w:val="-3"/>
          <w:szCs w:val="22"/>
        </w:rPr>
        <w:t xml:space="preserve">e </w:t>
      </w:r>
      <w:r w:rsidR="00407F2A">
        <w:rPr>
          <w:spacing w:val="-3"/>
          <w:szCs w:val="22"/>
        </w:rPr>
        <w:t xml:space="preserve">adopt a </w:t>
      </w:r>
      <w:r w:rsidR="00047BF1">
        <w:rPr>
          <w:spacing w:val="-3"/>
          <w:szCs w:val="22"/>
        </w:rPr>
        <w:t xml:space="preserve">catalog of </w:t>
      </w:r>
      <w:r w:rsidR="00407F2A">
        <w:rPr>
          <w:spacing w:val="-3"/>
          <w:szCs w:val="22"/>
        </w:rPr>
        <w:t>expenses</w:t>
      </w:r>
      <w:r w:rsidR="00E07DA4">
        <w:rPr>
          <w:spacing w:val="-3"/>
          <w:szCs w:val="22"/>
        </w:rPr>
        <w:t>, which is embedded in the Form</w:t>
      </w:r>
      <w:r w:rsidR="00407F2A">
        <w:rPr>
          <w:spacing w:val="-3"/>
          <w:szCs w:val="22"/>
        </w:rPr>
        <w:t xml:space="preserve">.  This catalog </w:t>
      </w:r>
      <w:r w:rsidR="0058356E">
        <w:rPr>
          <w:spacing w:val="-3"/>
          <w:szCs w:val="22"/>
        </w:rPr>
        <w:t xml:space="preserve">includes categories for </w:t>
      </w:r>
      <w:r w:rsidR="00DD640F">
        <w:rPr>
          <w:spacing w:val="-3"/>
          <w:szCs w:val="22"/>
        </w:rPr>
        <w:t xml:space="preserve">those </w:t>
      </w:r>
      <w:r w:rsidR="00E07DA4">
        <w:rPr>
          <w:spacing w:val="-3"/>
          <w:szCs w:val="22"/>
        </w:rPr>
        <w:t>expense</w:t>
      </w:r>
      <w:r w:rsidR="00DD640F">
        <w:rPr>
          <w:spacing w:val="-3"/>
          <w:szCs w:val="22"/>
        </w:rPr>
        <w:t>s that</w:t>
      </w:r>
      <w:r w:rsidR="00E07DA4">
        <w:rPr>
          <w:spacing w:val="-3"/>
          <w:szCs w:val="22"/>
        </w:rPr>
        <w:t xml:space="preserve"> rel</w:t>
      </w:r>
      <w:r w:rsidR="00DD640F">
        <w:rPr>
          <w:spacing w:val="-3"/>
          <w:szCs w:val="22"/>
        </w:rPr>
        <w:t>ocated broadcasters and MVPDs will</w:t>
      </w:r>
      <w:r w:rsidR="00E07DA4">
        <w:rPr>
          <w:spacing w:val="-3"/>
          <w:szCs w:val="22"/>
        </w:rPr>
        <w:t xml:space="preserve"> most commonly incur as a result of the channel repack. </w:t>
      </w:r>
      <w:r w:rsidR="00407F2A">
        <w:rPr>
          <w:spacing w:val="-3"/>
          <w:szCs w:val="22"/>
        </w:rPr>
        <w:t xml:space="preserve"> </w:t>
      </w:r>
      <w:r w:rsidR="0058356E">
        <w:rPr>
          <w:spacing w:val="-3"/>
          <w:szCs w:val="22"/>
        </w:rPr>
        <w:t>W</w:t>
      </w:r>
      <w:r w:rsidR="00223497">
        <w:rPr>
          <w:spacing w:val="-3"/>
          <w:szCs w:val="22"/>
        </w:rPr>
        <w:t>here a</w:t>
      </w:r>
      <w:r w:rsidR="00235260">
        <w:rPr>
          <w:spacing w:val="-3"/>
          <w:szCs w:val="22"/>
        </w:rPr>
        <w:t xml:space="preserve">ppropriate, </w:t>
      </w:r>
      <w:r w:rsidR="0058356E">
        <w:rPr>
          <w:spacing w:val="-3"/>
          <w:szCs w:val="22"/>
        </w:rPr>
        <w:t xml:space="preserve">we </w:t>
      </w:r>
      <w:r w:rsidR="00D55DBC">
        <w:rPr>
          <w:spacing w:val="-3"/>
          <w:szCs w:val="22"/>
        </w:rPr>
        <w:t>modified the catalog to add a s</w:t>
      </w:r>
      <w:r w:rsidR="0058356E">
        <w:rPr>
          <w:spacing w:val="-3"/>
          <w:szCs w:val="22"/>
        </w:rPr>
        <w:t>pecific type of equipment</w:t>
      </w:r>
      <w:r w:rsidR="00407F2A">
        <w:rPr>
          <w:spacing w:val="-3"/>
          <w:szCs w:val="22"/>
        </w:rPr>
        <w:t>.</w:t>
      </w:r>
      <w:r w:rsidR="00D55DBC">
        <w:rPr>
          <w:rStyle w:val="FootnoteReference"/>
          <w:spacing w:val="-3"/>
          <w:szCs w:val="22"/>
        </w:rPr>
        <w:footnoteReference w:id="10"/>
      </w:r>
      <w:r w:rsidR="0058356E">
        <w:rPr>
          <w:spacing w:val="-3"/>
          <w:szCs w:val="22"/>
        </w:rPr>
        <w:t xml:space="preserve"> </w:t>
      </w:r>
      <w:r w:rsidR="00407F2A">
        <w:rPr>
          <w:spacing w:val="-3"/>
          <w:szCs w:val="22"/>
        </w:rPr>
        <w:t xml:space="preserve"> </w:t>
      </w:r>
    </w:p>
    <w:p w14:paraId="75F0C3D2" w14:textId="3D83FE31" w:rsidR="00FE7CD3" w:rsidRPr="00FE7CD3" w:rsidRDefault="00D333B5" w:rsidP="00B85CE0">
      <w:pPr>
        <w:pStyle w:val="Paranum"/>
        <w:widowControl/>
        <w:numPr>
          <w:ilvl w:val="0"/>
          <w:numId w:val="0"/>
        </w:numPr>
        <w:ind w:firstLine="720"/>
        <w:jc w:val="left"/>
      </w:pPr>
      <w:r>
        <w:rPr>
          <w:spacing w:val="-3"/>
          <w:szCs w:val="22"/>
        </w:rPr>
        <w:t xml:space="preserve">As stated above, </w:t>
      </w:r>
      <w:r w:rsidR="00AC1D37">
        <w:rPr>
          <w:spacing w:val="-3"/>
          <w:szCs w:val="22"/>
        </w:rPr>
        <w:t xml:space="preserve">the catalog is not intended to be exhaustive of the expenses eligible for reimbursement.  </w:t>
      </w:r>
      <w:r w:rsidR="00C4178A">
        <w:rPr>
          <w:spacing w:val="-3"/>
          <w:szCs w:val="22"/>
        </w:rPr>
        <w:t xml:space="preserve">Instead, the catalog is designed to be used as a guide to add structure to the process of claiming reimbursement for equipment and services commonly required when constructing new broadcast facilities. </w:t>
      </w:r>
      <w:r w:rsidR="00680DAE">
        <w:rPr>
          <w:spacing w:val="-3"/>
          <w:szCs w:val="22"/>
        </w:rPr>
        <w:t xml:space="preserve"> </w:t>
      </w:r>
      <w:r w:rsidR="00C4178A">
        <w:rPr>
          <w:spacing w:val="-3"/>
          <w:szCs w:val="22"/>
        </w:rPr>
        <w:t>Accordingly, t</w:t>
      </w:r>
      <w:r w:rsidR="007E3CED">
        <w:rPr>
          <w:spacing w:val="-3"/>
          <w:szCs w:val="22"/>
        </w:rPr>
        <w:t xml:space="preserve">he Reimbursement Form </w:t>
      </w:r>
      <w:r w:rsidR="00235260">
        <w:rPr>
          <w:spacing w:val="-3"/>
          <w:szCs w:val="22"/>
        </w:rPr>
        <w:t>includ</w:t>
      </w:r>
      <w:r w:rsidR="007E3CED">
        <w:rPr>
          <w:spacing w:val="-3"/>
          <w:szCs w:val="22"/>
        </w:rPr>
        <w:t>es</w:t>
      </w:r>
      <w:r w:rsidR="00235260">
        <w:rPr>
          <w:spacing w:val="-3"/>
          <w:szCs w:val="22"/>
        </w:rPr>
        <w:t xml:space="preserve"> a catch-all entry (labe</w:t>
      </w:r>
      <w:r w:rsidR="00047BF1">
        <w:rPr>
          <w:spacing w:val="-3"/>
          <w:szCs w:val="22"/>
        </w:rPr>
        <w:t>led “other”) within each cost</w:t>
      </w:r>
      <w:r w:rsidR="00235260">
        <w:rPr>
          <w:spacing w:val="-3"/>
          <w:szCs w:val="22"/>
        </w:rPr>
        <w:t xml:space="preserve"> category</w:t>
      </w:r>
      <w:r w:rsidR="007E3CED">
        <w:rPr>
          <w:spacing w:val="-3"/>
          <w:szCs w:val="22"/>
        </w:rPr>
        <w:t xml:space="preserve"> which will allow </w:t>
      </w:r>
      <w:r w:rsidR="00235260">
        <w:rPr>
          <w:spacing w:val="-3"/>
          <w:szCs w:val="22"/>
        </w:rPr>
        <w:t>app</w:t>
      </w:r>
      <w:r w:rsidR="00047BF1">
        <w:rPr>
          <w:spacing w:val="-3"/>
          <w:szCs w:val="22"/>
        </w:rPr>
        <w:t xml:space="preserve">licants to submit </w:t>
      </w:r>
      <w:r w:rsidR="00235260">
        <w:rPr>
          <w:spacing w:val="-3"/>
          <w:szCs w:val="22"/>
        </w:rPr>
        <w:t xml:space="preserve">other expenses not </w:t>
      </w:r>
      <w:r w:rsidR="007E3CED">
        <w:rPr>
          <w:spacing w:val="-3"/>
          <w:szCs w:val="22"/>
        </w:rPr>
        <w:t xml:space="preserve">specifically </w:t>
      </w:r>
      <w:r w:rsidR="00235260">
        <w:rPr>
          <w:spacing w:val="-3"/>
          <w:szCs w:val="22"/>
        </w:rPr>
        <w:t>listed</w:t>
      </w:r>
      <w:r w:rsidR="003A1AE0">
        <w:rPr>
          <w:spacing w:val="-3"/>
          <w:szCs w:val="22"/>
        </w:rPr>
        <w:t xml:space="preserve"> in the catalog</w:t>
      </w:r>
      <w:r w:rsidR="00235260">
        <w:rPr>
          <w:spacing w:val="-3"/>
          <w:szCs w:val="22"/>
        </w:rPr>
        <w:t>.</w:t>
      </w:r>
      <w:r w:rsidR="00170DAC">
        <w:rPr>
          <w:rStyle w:val="FootnoteReference"/>
          <w:spacing w:val="-3"/>
          <w:szCs w:val="22"/>
        </w:rPr>
        <w:footnoteReference w:id="11"/>
      </w:r>
      <w:r w:rsidR="00235260">
        <w:rPr>
          <w:spacing w:val="-3"/>
          <w:szCs w:val="22"/>
        </w:rPr>
        <w:t xml:space="preserve">  </w:t>
      </w:r>
      <w:r w:rsidR="00855738">
        <w:rPr>
          <w:spacing w:val="-3"/>
          <w:szCs w:val="22"/>
        </w:rPr>
        <w:t xml:space="preserve">We </w:t>
      </w:r>
      <w:r w:rsidR="00855738">
        <w:rPr>
          <w:spacing w:val="-3"/>
          <w:szCs w:val="22"/>
        </w:rPr>
        <w:lastRenderedPageBreak/>
        <w:t xml:space="preserve">believe this approach provides sufficient flexibility for applicants to </w:t>
      </w:r>
      <w:r w:rsidR="00290DA0">
        <w:rPr>
          <w:spacing w:val="-3"/>
          <w:szCs w:val="22"/>
        </w:rPr>
        <w:t xml:space="preserve">seek </w:t>
      </w:r>
      <w:r w:rsidR="00855738">
        <w:rPr>
          <w:spacing w:val="-3"/>
          <w:szCs w:val="22"/>
        </w:rPr>
        <w:t>reimburs</w:t>
      </w:r>
      <w:r w:rsidR="00290DA0">
        <w:rPr>
          <w:spacing w:val="-3"/>
          <w:szCs w:val="22"/>
        </w:rPr>
        <w:t>ement</w:t>
      </w:r>
      <w:r w:rsidR="00855738">
        <w:rPr>
          <w:spacing w:val="-3"/>
          <w:szCs w:val="22"/>
        </w:rPr>
        <w:t xml:space="preserve"> </w:t>
      </w:r>
      <w:r w:rsidR="00290DA0">
        <w:rPr>
          <w:spacing w:val="-3"/>
          <w:szCs w:val="22"/>
        </w:rPr>
        <w:t xml:space="preserve">for any </w:t>
      </w:r>
      <w:r w:rsidR="00855738">
        <w:rPr>
          <w:spacing w:val="-3"/>
          <w:szCs w:val="22"/>
        </w:rPr>
        <w:t>expense without searching through a</w:t>
      </w:r>
      <w:r w:rsidR="00D0008D">
        <w:rPr>
          <w:spacing w:val="-3"/>
          <w:szCs w:val="22"/>
        </w:rPr>
        <w:t>n expansive catalog that includes every conceivable potential cost, including those that might be claimed by only a small sub-secti</w:t>
      </w:r>
      <w:r w:rsidR="00855738">
        <w:rPr>
          <w:spacing w:val="-3"/>
          <w:szCs w:val="22"/>
        </w:rPr>
        <w:t>on of broadcasters.</w:t>
      </w:r>
      <w:r w:rsidR="00D0008D">
        <w:rPr>
          <w:spacing w:val="-3"/>
          <w:szCs w:val="22"/>
        </w:rPr>
        <w:t xml:space="preserve">  </w:t>
      </w:r>
      <w:r w:rsidR="00AE4C9B">
        <w:rPr>
          <w:spacing w:val="-3"/>
          <w:szCs w:val="22"/>
        </w:rPr>
        <w:t xml:space="preserve">Second, in response to comments regarding the </w:t>
      </w:r>
      <w:r w:rsidR="008651BB">
        <w:rPr>
          <w:spacing w:val="-3"/>
          <w:szCs w:val="22"/>
        </w:rPr>
        <w:t xml:space="preserve">functionality of the </w:t>
      </w:r>
      <w:r w:rsidR="00AE4C9B">
        <w:rPr>
          <w:spacing w:val="-3"/>
          <w:szCs w:val="22"/>
        </w:rPr>
        <w:t xml:space="preserve">on-line </w:t>
      </w:r>
      <w:r w:rsidR="008651BB">
        <w:rPr>
          <w:spacing w:val="-3"/>
          <w:szCs w:val="22"/>
        </w:rPr>
        <w:t>F</w:t>
      </w:r>
      <w:r w:rsidR="00AE4C9B">
        <w:rPr>
          <w:spacing w:val="-3"/>
          <w:szCs w:val="22"/>
        </w:rPr>
        <w:t xml:space="preserve">orm, our goal is to establish a simple submission process for broadcasters and MVPDs filing required information, while facilitating </w:t>
      </w:r>
      <w:r w:rsidR="00732876">
        <w:rPr>
          <w:spacing w:val="-3"/>
          <w:szCs w:val="22"/>
        </w:rPr>
        <w:t>expedient</w:t>
      </w:r>
      <w:r w:rsidR="00AE4C9B">
        <w:rPr>
          <w:spacing w:val="-3"/>
          <w:szCs w:val="22"/>
        </w:rPr>
        <w:t xml:space="preserve"> administrative review of the information submitted.</w:t>
      </w:r>
      <w:r w:rsidR="00235260">
        <w:rPr>
          <w:spacing w:val="-3"/>
          <w:szCs w:val="22"/>
        </w:rPr>
        <w:t xml:space="preserve">  As we finalize development of the on-line Form, </w:t>
      </w:r>
      <w:r w:rsidR="00732876">
        <w:rPr>
          <w:spacing w:val="-3"/>
          <w:szCs w:val="22"/>
        </w:rPr>
        <w:t xml:space="preserve">we will take into consideration the practical suggestions offered by commenters to enhance the functionality of the Form.  </w:t>
      </w:r>
      <w:r w:rsidR="00A10FF4">
        <w:rPr>
          <w:spacing w:val="-3"/>
          <w:szCs w:val="22"/>
        </w:rPr>
        <w:t xml:space="preserve">Finally, we note that, in </w:t>
      </w:r>
      <w:r w:rsidR="006A03FE">
        <w:rPr>
          <w:spacing w:val="-3"/>
          <w:szCs w:val="22"/>
        </w:rPr>
        <w:t>the final version of the Form</w:t>
      </w:r>
      <w:r w:rsidR="00A10FF4">
        <w:rPr>
          <w:spacing w:val="-3"/>
          <w:szCs w:val="22"/>
        </w:rPr>
        <w:t xml:space="preserve"> we have added </w:t>
      </w:r>
      <w:r w:rsidR="006A03FE">
        <w:rPr>
          <w:spacing w:val="-3"/>
          <w:szCs w:val="22"/>
        </w:rPr>
        <w:t>a few additional data points to facilitate administration and processing of expense requests</w:t>
      </w:r>
      <w:r w:rsidR="00A10FF4">
        <w:rPr>
          <w:spacing w:val="-3"/>
          <w:szCs w:val="22"/>
        </w:rPr>
        <w:t>,</w:t>
      </w:r>
      <w:r w:rsidR="00837467" w:rsidRPr="00837467">
        <w:rPr>
          <w:rStyle w:val="FootnoteReference"/>
          <w:spacing w:val="-3"/>
          <w:szCs w:val="22"/>
        </w:rPr>
        <w:t xml:space="preserve"> </w:t>
      </w:r>
      <w:r w:rsidR="00837467">
        <w:rPr>
          <w:rStyle w:val="FootnoteReference"/>
          <w:spacing w:val="-3"/>
          <w:szCs w:val="22"/>
        </w:rPr>
        <w:footnoteReference w:id="12"/>
      </w:r>
      <w:r w:rsidR="00A10FF4">
        <w:rPr>
          <w:spacing w:val="-3"/>
          <w:szCs w:val="22"/>
        </w:rPr>
        <w:t xml:space="preserve"> and deleted some that are no longer required</w:t>
      </w:r>
      <w:r w:rsidR="006A03FE">
        <w:rPr>
          <w:spacing w:val="-3"/>
          <w:szCs w:val="22"/>
        </w:rPr>
        <w:t>.</w:t>
      </w:r>
      <w:r w:rsidR="006A03FE">
        <w:rPr>
          <w:rStyle w:val="FootnoteReference"/>
          <w:spacing w:val="-3"/>
          <w:szCs w:val="22"/>
        </w:rPr>
        <w:footnoteReference w:id="13"/>
      </w:r>
    </w:p>
    <w:p w14:paraId="30954E72" w14:textId="77777777" w:rsidR="00C56801" w:rsidRDefault="0021029D" w:rsidP="00E816FC">
      <w:pPr>
        <w:pStyle w:val="Paranum"/>
        <w:widowControl/>
        <w:numPr>
          <w:ilvl w:val="0"/>
          <w:numId w:val="0"/>
        </w:numPr>
        <w:ind w:firstLine="720"/>
        <w:jc w:val="left"/>
      </w:pPr>
      <w:r w:rsidRPr="0021029D">
        <w:rPr>
          <w:i/>
        </w:rPr>
        <w:t>Banking and Payment Information</w:t>
      </w:r>
      <w:r>
        <w:t xml:space="preserve">.  </w:t>
      </w:r>
      <w:r w:rsidR="001C403A">
        <w:t>All eligible broadcasters and MVPDs will receive an initial allocation of funds based on estimated costs.</w:t>
      </w:r>
      <w:r w:rsidR="00C72CFF">
        <w:rPr>
          <w:rStyle w:val="FootnoteReference"/>
        </w:rPr>
        <w:footnoteReference w:id="14"/>
      </w:r>
      <w:r w:rsidR="001C403A">
        <w:t xml:space="preserve">  This money, which will be held in the U.S. Treasury, wil</w:t>
      </w:r>
      <w:r w:rsidR="001119D9">
        <w:t>l be available for draw down as the entities incur expenses</w:t>
      </w:r>
      <w:r w:rsidR="00010B94">
        <w:t>.</w:t>
      </w:r>
      <w:r w:rsidR="001119D9">
        <w:rPr>
          <w:rStyle w:val="FootnoteReference"/>
        </w:rPr>
        <w:footnoteReference w:id="15"/>
      </w:r>
      <w:r w:rsidR="001C403A">
        <w:t xml:space="preserve"> </w:t>
      </w:r>
      <w:r w:rsidR="001119D9">
        <w:t xml:space="preserve"> </w:t>
      </w:r>
      <w:r w:rsidR="00515565">
        <w:t>The Reimbursement Form has been updated to reflect that the Media Bureau, w</w:t>
      </w:r>
      <w:r w:rsidR="00047BF1">
        <w:t>orking with the Commission’s Office of Managing Director (OMD)</w:t>
      </w:r>
      <w:r w:rsidR="00515565">
        <w:t>, will disburse reimbursement payments via</w:t>
      </w:r>
      <w:r w:rsidR="00C56801">
        <w:t xml:space="preserve"> the agency’</w:t>
      </w:r>
      <w:r w:rsidR="00966187">
        <w:t>s internal vendor payment system</w:t>
      </w:r>
      <w:r w:rsidR="001119D9">
        <w:t>.</w:t>
      </w:r>
      <w:r w:rsidR="00C56801">
        <w:t xml:space="preserve">  </w:t>
      </w:r>
      <w:r w:rsidR="001C403A">
        <w:t>Although t</w:t>
      </w:r>
      <w:r w:rsidR="004E0049">
        <w:t xml:space="preserve">he Media Bureau stated previously </w:t>
      </w:r>
      <w:r w:rsidR="0030619E">
        <w:t xml:space="preserve">that </w:t>
      </w:r>
      <w:r w:rsidR="00C56801">
        <w:t xml:space="preserve">payments from the Fund would </w:t>
      </w:r>
      <w:r w:rsidR="00537ABB">
        <w:t xml:space="preserve">be processed through the </w:t>
      </w:r>
      <w:r w:rsidR="009C4777">
        <w:t>U.S</w:t>
      </w:r>
      <w:r w:rsidR="00047BF1">
        <w:t>. Treasury Departmen</w:t>
      </w:r>
      <w:r w:rsidR="004E0049">
        <w:t>t’s Automated Standard Application for Payments (ASAP) system</w:t>
      </w:r>
      <w:r w:rsidR="001119D9">
        <w:t>,</w:t>
      </w:r>
      <w:r w:rsidR="00047BF1">
        <w:rPr>
          <w:rStyle w:val="FootnoteReference"/>
        </w:rPr>
        <w:footnoteReference w:id="16"/>
      </w:r>
      <w:r w:rsidR="002B2F5A">
        <w:t xml:space="preserve"> </w:t>
      </w:r>
      <w:r w:rsidR="004E0049">
        <w:t xml:space="preserve">we have determined that </w:t>
      </w:r>
      <w:r w:rsidR="00855738">
        <w:t xml:space="preserve">an in-house disbursement process is a more efficient approach that, among other benefits, is easier and less expensive to implement (thus reducing waste) and eliminates the need for recipients to enroll in Treasury’s ASAP system.  Also, </w:t>
      </w:r>
      <w:r w:rsidR="000D67EE">
        <w:t>using the Commission’</w:t>
      </w:r>
      <w:r w:rsidR="00966187">
        <w:t>s in-house</w:t>
      </w:r>
      <w:r w:rsidR="000D67EE">
        <w:t xml:space="preserve"> payment mechanism </w:t>
      </w:r>
      <w:r w:rsidR="004E0049">
        <w:t xml:space="preserve">will provide the Commission with more oversight over the establishment of accounts, </w:t>
      </w:r>
      <w:r w:rsidR="002B29A7">
        <w:t>further</w:t>
      </w:r>
      <w:r w:rsidR="004E0049">
        <w:t xml:space="preserve"> enhancing our ability to prevent waste, fraud and abuse.</w:t>
      </w:r>
      <w:r w:rsidR="003A7FF3">
        <w:rPr>
          <w:rStyle w:val="FootnoteReference"/>
        </w:rPr>
        <w:footnoteReference w:id="17"/>
      </w:r>
      <w:r w:rsidR="004E0049">
        <w:t xml:space="preserve">  </w:t>
      </w:r>
      <w:r w:rsidR="009C4777">
        <w:t>Instead</w:t>
      </w:r>
      <w:r w:rsidR="002B29A7">
        <w:t xml:space="preserve"> of using Treasury’s ASAP system</w:t>
      </w:r>
      <w:r w:rsidR="009C4777">
        <w:t xml:space="preserve">, </w:t>
      </w:r>
      <w:r w:rsidR="00010B94">
        <w:t>eligible</w:t>
      </w:r>
      <w:r w:rsidR="00C56801">
        <w:t xml:space="preserve"> broadcast stat</w:t>
      </w:r>
      <w:r w:rsidR="00966187">
        <w:t xml:space="preserve">ions and MVPDs will submit </w:t>
      </w:r>
      <w:r w:rsidR="00C56801">
        <w:t xml:space="preserve">information </w:t>
      </w:r>
      <w:r w:rsidR="009C4777">
        <w:t xml:space="preserve">for the </w:t>
      </w:r>
      <w:r w:rsidR="00966187">
        <w:t xml:space="preserve">bank </w:t>
      </w:r>
      <w:r w:rsidR="009C4777">
        <w:t xml:space="preserve">account </w:t>
      </w:r>
      <w:r w:rsidR="000D67EE">
        <w:t xml:space="preserve">for which they wish to </w:t>
      </w:r>
      <w:r w:rsidR="00966187">
        <w:t>receive</w:t>
      </w:r>
      <w:r w:rsidR="000D67EE">
        <w:t xml:space="preserve"> reimbursement payments</w:t>
      </w:r>
      <w:r w:rsidR="005C5B09">
        <w:t xml:space="preserve"> through</w:t>
      </w:r>
      <w:r w:rsidR="000D67EE">
        <w:t xml:space="preserve"> the Commission’s </w:t>
      </w:r>
      <w:r w:rsidR="00966187">
        <w:t>Registration System (</w:t>
      </w:r>
      <w:r w:rsidR="009C4777">
        <w:t>CORE</w:t>
      </w:r>
      <w:r w:rsidR="000D67EE">
        <w:t>S</w:t>
      </w:r>
      <w:r w:rsidR="00966187">
        <w:t>)</w:t>
      </w:r>
      <w:r w:rsidR="000D67EE">
        <w:t xml:space="preserve">.  </w:t>
      </w:r>
      <w:r w:rsidR="005C5B09">
        <w:t xml:space="preserve">To provide additional visibility into </w:t>
      </w:r>
      <w:r w:rsidR="009D1DC0">
        <w:t>payment process, O</w:t>
      </w:r>
      <w:r w:rsidR="005C5B09">
        <w:t>MD is</w:t>
      </w:r>
      <w:r w:rsidR="000D67EE">
        <w:t xml:space="preserve"> in the process of implementing a user portal that will allow recipients to </w:t>
      </w:r>
      <w:r w:rsidR="005C5B09">
        <w:t>track</w:t>
      </w:r>
      <w:r w:rsidR="000D67EE">
        <w:t xml:space="preserve"> their </w:t>
      </w:r>
      <w:r w:rsidR="002B29A7">
        <w:t>expense reimbursement</w:t>
      </w:r>
      <w:r w:rsidR="000D67EE">
        <w:t xml:space="preserve"> history.</w:t>
      </w:r>
      <w:r w:rsidR="001429D8">
        <w:t xml:space="preserve">  </w:t>
      </w:r>
      <w:r w:rsidR="002B29A7">
        <w:t xml:space="preserve">As a result, recipients will be utilizing a system that is functionally equivalent to Treasury’s ASAP system.  </w:t>
      </w:r>
      <w:r w:rsidR="001429D8">
        <w:t xml:space="preserve">We </w:t>
      </w:r>
      <w:r w:rsidR="009D1DC0">
        <w:t xml:space="preserve">will release additional information regarding the submission of banking information closer to the start of the reimbursement period.  </w:t>
      </w:r>
    </w:p>
    <w:p w14:paraId="6AEF2854" w14:textId="1A38C1A4" w:rsidR="00655EE5" w:rsidRDefault="00655EE5" w:rsidP="00E816FC">
      <w:pPr>
        <w:pStyle w:val="Paranum"/>
        <w:widowControl/>
        <w:numPr>
          <w:ilvl w:val="0"/>
          <w:numId w:val="0"/>
        </w:numPr>
        <w:ind w:firstLine="720"/>
        <w:jc w:val="left"/>
      </w:pPr>
      <w:r>
        <w:rPr>
          <w:i/>
        </w:rPr>
        <w:t xml:space="preserve">Multiple </w:t>
      </w:r>
      <w:r w:rsidR="00537ABB" w:rsidRPr="00537ABB">
        <w:rPr>
          <w:i/>
        </w:rPr>
        <w:t>Submission</w:t>
      </w:r>
      <w:r w:rsidR="00FB3B6C">
        <w:rPr>
          <w:i/>
        </w:rPr>
        <w:t>s</w:t>
      </w:r>
      <w:r>
        <w:rPr>
          <w:i/>
        </w:rPr>
        <w:t xml:space="preserve"> of Reimbursement Form</w:t>
      </w:r>
      <w:r w:rsidR="00537ABB">
        <w:t>.</w:t>
      </w:r>
      <w:r w:rsidR="00092BEC">
        <w:t xml:space="preserve">  </w:t>
      </w:r>
      <w:r w:rsidR="00D333B5">
        <w:t xml:space="preserve"> E</w:t>
      </w:r>
      <w:r w:rsidR="00010B94">
        <w:t xml:space="preserve">ligible entities will draw down money from their Fund allocation as they incur expenses.  This means that a </w:t>
      </w:r>
      <w:r w:rsidR="005F5056">
        <w:t>broadcaster or MVPD</w:t>
      </w:r>
      <w:r w:rsidR="009D3BC3">
        <w:t xml:space="preserve"> will </w:t>
      </w:r>
      <w:r w:rsidR="00010B94">
        <w:t xml:space="preserve">have to </w:t>
      </w:r>
      <w:r w:rsidR="00047BF1">
        <w:t>submit information on t</w:t>
      </w:r>
      <w:r w:rsidR="009D3BC3">
        <w:t>he R</w:t>
      </w:r>
      <w:r w:rsidR="005F5056">
        <w:t xml:space="preserve">eimbursement Form </w:t>
      </w:r>
      <w:r w:rsidR="003C7FA1">
        <w:t>each time it makes a request for reimbursement from the Fund, not only at the beginning and end of the reimbursement period.  A</w:t>
      </w:r>
      <w:r w:rsidR="0085320F">
        <w:t xml:space="preserve">ctual </w:t>
      </w:r>
      <w:r w:rsidR="005F5056">
        <w:t>cost documentation showing the entity</w:t>
      </w:r>
      <w:r w:rsidR="004C6C8E">
        <w:t xml:space="preserve"> incurred an expense</w:t>
      </w:r>
      <w:r w:rsidR="005F5056">
        <w:t xml:space="preserve"> associated with channel reassignment</w:t>
      </w:r>
      <w:r w:rsidR="003C7FA1">
        <w:t xml:space="preserve"> must accompany every reimbursement request</w:t>
      </w:r>
      <w:r w:rsidR="009D3BC3">
        <w:t xml:space="preserve">.  </w:t>
      </w:r>
      <w:r>
        <w:t>At the beginning of the reimbursement period, a</w:t>
      </w:r>
      <w:r w:rsidR="009D3BC3">
        <w:t xml:space="preserve">n </w:t>
      </w:r>
      <w:r w:rsidR="00216F90">
        <w:t xml:space="preserve">eligible entity will </w:t>
      </w:r>
      <w:r w:rsidR="003C7FA1">
        <w:t>log in to the Media Bureau’s Licensing and Management S</w:t>
      </w:r>
      <w:r>
        <w:t xml:space="preserve">ystem </w:t>
      </w:r>
      <w:r w:rsidR="003C7FA1">
        <w:t xml:space="preserve">(LMS) </w:t>
      </w:r>
      <w:r>
        <w:t>to</w:t>
      </w:r>
      <w:r w:rsidR="00216F90">
        <w:t xml:space="preserve"> submit its</w:t>
      </w:r>
      <w:r w:rsidR="009D3BC3">
        <w:t xml:space="preserve"> </w:t>
      </w:r>
      <w:r w:rsidR="00216F90">
        <w:t>estimated costs</w:t>
      </w:r>
      <w:r>
        <w:t>.  Periodically thereafter, each time an entity seeks reimbursement for specific costs incurred</w:t>
      </w:r>
      <w:r w:rsidR="005F5056">
        <w:t xml:space="preserve"> during construction</w:t>
      </w:r>
      <w:r>
        <w:t xml:space="preserve">, it will update its Reimbursement Form by identifying the equipment or service for which it seeks reimbursement and uploading cost documentation, such as an invoice from a vendor.  </w:t>
      </w:r>
      <w:r w:rsidR="00A863C9">
        <w:t>Pursuant to our process, b</w:t>
      </w:r>
      <w:r w:rsidR="002A4490">
        <w:t>roadcasters and MVPDs will have the flexibility to</w:t>
      </w:r>
      <w:r w:rsidR="00404C87">
        <w:t xml:space="preserve"> submit</w:t>
      </w:r>
      <w:r w:rsidR="002A4490">
        <w:t xml:space="preserve"> each invoice</w:t>
      </w:r>
      <w:r w:rsidR="00404C87">
        <w:t xml:space="preserve"> for payment</w:t>
      </w:r>
      <w:r w:rsidR="002A4490">
        <w:t xml:space="preserve"> upon receipt from the vendor</w:t>
      </w:r>
      <w:r w:rsidR="00404C87">
        <w:t xml:space="preserve"> (submitting the Reimbursement Form and cost documentation each time </w:t>
      </w:r>
      <w:r w:rsidR="00A863C9">
        <w:t>they</w:t>
      </w:r>
      <w:r w:rsidR="00404C87">
        <w:t xml:space="preserve"> incur an expense)</w:t>
      </w:r>
      <w:r w:rsidR="002A4490">
        <w:t xml:space="preserve">, or to pay </w:t>
      </w:r>
      <w:r w:rsidR="00A863C9">
        <w:t>their</w:t>
      </w:r>
      <w:r w:rsidR="002A4490">
        <w:t xml:space="preserve"> vendors directly and subm</w:t>
      </w:r>
      <w:r w:rsidR="00404C87">
        <w:t>it claims in batches</w:t>
      </w:r>
      <w:r w:rsidR="00A863C9">
        <w:t>.</w:t>
      </w:r>
      <w:r w:rsidR="009953CC">
        <w:rPr>
          <w:rStyle w:val="FootnoteReference"/>
        </w:rPr>
        <w:footnoteReference w:id="18"/>
      </w:r>
      <w:r w:rsidR="00A863C9">
        <w:t xml:space="preserve"> </w:t>
      </w:r>
      <w:r w:rsidR="00404C87">
        <w:t xml:space="preserve"> </w:t>
      </w:r>
      <w:r w:rsidR="002A4490">
        <w:t xml:space="preserve"> </w:t>
      </w:r>
      <w:r>
        <w:t>Th</w:t>
      </w:r>
      <w:r w:rsidR="0034582B">
        <w:t>e online version of the Reimbursement Form with</w:t>
      </w:r>
      <w:r w:rsidR="003C7FA1">
        <w:t>in LMS</w:t>
      </w:r>
      <w:r w:rsidR="0034582B">
        <w:t xml:space="preserve"> will be </w:t>
      </w:r>
      <w:r w:rsidR="00BB2999">
        <w:t>desi</w:t>
      </w:r>
      <w:r w:rsidR="00EB0B46">
        <w:t>gned so that the user can navigate directly to</w:t>
      </w:r>
      <w:r w:rsidR="00E052C3">
        <w:t xml:space="preserve"> any section of the Form</w:t>
      </w:r>
      <w:r w:rsidR="00EB0B46">
        <w:t>, and can easily view previous submissions.</w:t>
      </w:r>
    </w:p>
    <w:p w14:paraId="73EB1234" w14:textId="77777777" w:rsidR="00537ABB" w:rsidRDefault="00537ABB" w:rsidP="00E816FC">
      <w:pPr>
        <w:pStyle w:val="Paranum"/>
        <w:widowControl/>
        <w:numPr>
          <w:ilvl w:val="0"/>
          <w:numId w:val="0"/>
        </w:numPr>
        <w:ind w:firstLine="720"/>
        <w:jc w:val="left"/>
      </w:pPr>
      <w:r w:rsidRPr="00537ABB">
        <w:rPr>
          <w:i/>
        </w:rPr>
        <w:t>Treatment of Certain Information as Confidential</w:t>
      </w:r>
      <w:r>
        <w:t>.</w:t>
      </w:r>
      <w:r w:rsidR="0085320F">
        <w:t xml:space="preserve">  The Media Bureau</w:t>
      </w:r>
      <w:r w:rsidR="00114703">
        <w:t xml:space="preserve"> sought comment on whether </w:t>
      </w:r>
      <w:r w:rsidR="003C71E2">
        <w:t>any</w:t>
      </w:r>
      <w:r w:rsidR="00114703">
        <w:t xml:space="preserve"> data s</w:t>
      </w:r>
      <w:r w:rsidR="003C71E2">
        <w:t>ubmitted</w:t>
      </w:r>
      <w:r w:rsidR="00114703">
        <w:t xml:space="preserve"> on the Reimbursement Fo</w:t>
      </w:r>
      <w:r w:rsidR="003C71E2">
        <w:t>rm should be considered confidential or not subject to public disclosure.</w:t>
      </w:r>
      <w:r w:rsidR="003C71E2">
        <w:rPr>
          <w:rStyle w:val="FootnoteReference"/>
        </w:rPr>
        <w:footnoteReference w:id="19"/>
      </w:r>
      <w:r w:rsidR="003C71E2">
        <w:t xml:space="preserve">  </w:t>
      </w:r>
      <w:r w:rsidR="00E052C3">
        <w:t xml:space="preserve">We conclude that the cost documentation submitted by entities seeking reimbursement for actual costs (for example, invoices), as well as </w:t>
      </w:r>
      <w:r w:rsidR="002631DA">
        <w:t>the name</w:t>
      </w:r>
      <w:r w:rsidR="00C808DF">
        <w:t>, address, and other identifying information pertaining to</w:t>
      </w:r>
      <w:r w:rsidR="002631DA">
        <w:t xml:space="preserve"> the vendor providing equipment or service to a specific broadcaster or MVPD,</w:t>
      </w:r>
      <w:r w:rsidR="00E052C3">
        <w:t xml:space="preserve"> will not be made publicly available</w:t>
      </w:r>
      <w:r w:rsidR="005A18CA">
        <w:t>.</w:t>
      </w:r>
      <w:r w:rsidR="005A18CA">
        <w:rPr>
          <w:rStyle w:val="FootnoteReference"/>
        </w:rPr>
        <w:footnoteReference w:id="20"/>
      </w:r>
      <w:r w:rsidR="005A18CA">
        <w:t xml:space="preserve">  </w:t>
      </w:r>
      <w:r w:rsidR="005A18CA" w:rsidRPr="00763974">
        <w:rPr>
          <w:szCs w:val="22"/>
        </w:rPr>
        <w:t>We find that copies of invoices and the name</w:t>
      </w:r>
      <w:r w:rsidR="00C808DF">
        <w:rPr>
          <w:szCs w:val="22"/>
        </w:rPr>
        <w:t>,</w:t>
      </w:r>
      <w:r w:rsidR="00C808DF" w:rsidRPr="00C808DF">
        <w:t xml:space="preserve"> </w:t>
      </w:r>
      <w:r w:rsidR="00C808DF">
        <w:t>address, and other identifying information pertaining to</w:t>
      </w:r>
      <w:r w:rsidR="005A18CA" w:rsidRPr="00763974">
        <w:rPr>
          <w:szCs w:val="22"/>
        </w:rPr>
        <w:t xml:space="preserve"> the vendor from which a broadcaster or MVPD purchases equipment or services </w:t>
      </w:r>
      <w:r w:rsidR="00496AAF">
        <w:rPr>
          <w:szCs w:val="22"/>
        </w:rPr>
        <w:t>are</w:t>
      </w:r>
      <w:r w:rsidR="005A18CA" w:rsidRPr="00763974">
        <w:rPr>
          <w:szCs w:val="22"/>
        </w:rPr>
        <w:t xml:space="preserve"> confidential commercial </w:t>
      </w:r>
      <w:r w:rsidR="00CF0C72" w:rsidRPr="00763974">
        <w:rPr>
          <w:szCs w:val="22"/>
        </w:rPr>
        <w:t>information</w:t>
      </w:r>
      <w:r w:rsidR="005A18CA" w:rsidRPr="00763974">
        <w:rPr>
          <w:szCs w:val="22"/>
        </w:rPr>
        <w:t xml:space="preserve"> and </w:t>
      </w:r>
      <w:r w:rsidR="005A18CA" w:rsidRPr="00496AAF">
        <w:rPr>
          <w:szCs w:val="22"/>
        </w:rPr>
        <w:t xml:space="preserve">therefore </w:t>
      </w:r>
      <w:r w:rsidR="005A18CA" w:rsidRPr="00763974">
        <w:rPr>
          <w:szCs w:val="22"/>
        </w:rPr>
        <w:t xml:space="preserve">not routinely available for public inspection pursuant to </w:t>
      </w:r>
      <w:r w:rsidR="00C808DF">
        <w:rPr>
          <w:szCs w:val="22"/>
        </w:rPr>
        <w:t>Exemption 4</w:t>
      </w:r>
      <w:r w:rsidR="005A18CA" w:rsidRPr="00763974">
        <w:rPr>
          <w:szCs w:val="22"/>
        </w:rPr>
        <w:t>.</w:t>
      </w:r>
      <w:r w:rsidR="00763974">
        <w:rPr>
          <w:rStyle w:val="FootnoteReference"/>
          <w:szCs w:val="22"/>
        </w:rPr>
        <w:footnoteReference w:id="21"/>
      </w:r>
      <w:r w:rsidR="005A18CA" w:rsidRPr="00763974">
        <w:rPr>
          <w:szCs w:val="22"/>
        </w:rPr>
        <w:t xml:space="preserve">  </w:t>
      </w:r>
      <w:r w:rsidR="00C74C1C">
        <w:rPr>
          <w:szCs w:val="22"/>
        </w:rPr>
        <w:t>W</w:t>
      </w:r>
      <w:r w:rsidR="005A18CA" w:rsidRPr="00496AAF">
        <w:rPr>
          <w:szCs w:val="22"/>
        </w:rPr>
        <w:t xml:space="preserve">e expect that </w:t>
      </w:r>
      <w:r w:rsidR="00496AAF">
        <w:rPr>
          <w:szCs w:val="22"/>
        </w:rPr>
        <w:t xml:space="preserve">publicly </w:t>
      </w:r>
      <w:r w:rsidR="00763974" w:rsidRPr="00496AAF">
        <w:rPr>
          <w:szCs w:val="22"/>
        </w:rPr>
        <w:t xml:space="preserve">identifying </w:t>
      </w:r>
      <w:r w:rsidR="005A18CA" w:rsidRPr="00496AAF">
        <w:rPr>
          <w:szCs w:val="22"/>
        </w:rPr>
        <w:t xml:space="preserve">the rates charged by specific vendors </w:t>
      </w:r>
      <w:r w:rsidR="00CF0C72" w:rsidRPr="00496AAF">
        <w:rPr>
          <w:szCs w:val="22"/>
        </w:rPr>
        <w:t>may hinder</w:t>
      </w:r>
      <w:r w:rsidR="005A18CA" w:rsidRPr="00496AAF">
        <w:rPr>
          <w:szCs w:val="22"/>
        </w:rPr>
        <w:t xml:space="preserve"> </w:t>
      </w:r>
      <w:r w:rsidR="00A314C9" w:rsidRPr="00496AAF">
        <w:rPr>
          <w:szCs w:val="22"/>
        </w:rPr>
        <w:t>competiti</w:t>
      </w:r>
      <w:r w:rsidR="00CF0C72" w:rsidRPr="00496AAF">
        <w:rPr>
          <w:szCs w:val="22"/>
        </w:rPr>
        <w:t>on in the market for transition-related equipment and services</w:t>
      </w:r>
      <w:r w:rsidR="00A314C9">
        <w:t xml:space="preserve">.  </w:t>
      </w:r>
      <w:r w:rsidR="00C74C1C" w:rsidRPr="00763974">
        <w:rPr>
          <w:szCs w:val="22"/>
        </w:rPr>
        <w:t xml:space="preserve">Moreover, we expect to receive </w:t>
      </w:r>
      <w:r w:rsidR="00C74C1C" w:rsidRPr="00496AAF">
        <w:rPr>
          <w:szCs w:val="22"/>
        </w:rPr>
        <w:t xml:space="preserve">thousands of </w:t>
      </w:r>
      <w:r w:rsidR="00C74C1C">
        <w:rPr>
          <w:szCs w:val="22"/>
        </w:rPr>
        <w:t>requests for reimbursement with cost documentation attached</w:t>
      </w:r>
      <w:r w:rsidR="00C74C1C" w:rsidRPr="00496AAF">
        <w:rPr>
          <w:szCs w:val="22"/>
        </w:rPr>
        <w:t>.  To reduce the burdens on broadcasters and MVPDs, we decline to require individual requests for confidentiality</w:t>
      </w:r>
      <w:r w:rsidR="00C74C1C">
        <w:rPr>
          <w:szCs w:val="22"/>
        </w:rPr>
        <w:t xml:space="preserve"> of</w:t>
      </w:r>
      <w:r w:rsidR="00C74C1C" w:rsidRPr="00496AAF">
        <w:rPr>
          <w:szCs w:val="22"/>
        </w:rPr>
        <w:t xml:space="preserve"> </w:t>
      </w:r>
      <w:r w:rsidR="00C74C1C">
        <w:rPr>
          <w:szCs w:val="22"/>
        </w:rPr>
        <w:t xml:space="preserve">cost documentation </w:t>
      </w:r>
      <w:r w:rsidR="00C74C1C" w:rsidRPr="00496AAF">
        <w:rPr>
          <w:szCs w:val="22"/>
        </w:rPr>
        <w:t xml:space="preserve">to be submitted with each reimbursement request.  </w:t>
      </w:r>
      <w:r w:rsidR="00DF554B">
        <w:t xml:space="preserve">Apart from these </w:t>
      </w:r>
      <w:r w:rsidR="00A314C9">
        <w:t>limitations, w</w:t>
      </w:r>
      <w:r w:rsidR="00E052C3">
        <w:t xml:space="preserve">e reiterate </w:t>
      </w:r>
      <w:r w:rsidR="00A314C9">
        <w:t xml:space="preserve">that we will err on the side of transparency and disclosure in making information, particularly </w:t>
      </w:r>
      <w:r w:rsidR="00E052C3">
        <w:t>the amount disbursed to each broadcast station and</w:t>
      </w:r>
      <w:r w:rsidR="00A314C9">
        <w:t xml:space="preserve"> MVPD,</w:t>
      </w:r>
      <w:r w:rsidR="00E052C3">
        <w:t xml:space="preserve"> available</w:t>
      </w:r>
      <w:r w:rsidR="00A314C9">
        <w:t xml:space="preserve"> to the public</w:t>
      </w:r>
      <w:r w:rsidR="00E052C3">
        <w:t>.</w:t>
      </w:r>
      <w:r w:rsidR="00E052C3">
        <w:rPr>
          <w:rStyle w:val="FootnoteReference"/>
        </w:rPr>
        <w:footnoteReference w:id="22"/>
      </w:r>
      <w:r w:rsidR="005A18CA">
        <w:t xml:space="preserve">  For example, we will make publicly </w:t>
      </w:r>
      <w:r w:rsidR="00C74C1C">
        <w:t xml:space="preserve">available </w:t>
      </w:r>
      <w:r w:rsidR="00A81DA0">
        <w:t xml:space="preserve">through LMS </w:t>
      </w:r>
      <w:r w:rsidR="005A18CA">
        <w:t xml:space="preserve">the amount </w:t>
      </w:r>
      <w:r w:rsidR="00CF0C72">
        <w:t xml:space="preserve">for which </w:t>
      </w:r>
      <w:r w:rsidR="005A18CA">
        <w:t xml:space="preserve">a broadcaster </w:t>
      </w:r>
      <w:r w:rsidR="00CD7A86">
        <w:t xml:space="preserve">has </w:t>
      </w:r>
      <w:r w:rsidR="00C808DF">
        <w:t xml:space="preserve">requested reimbursement, as well </w:t>
      </w:r>
      <w:r w:rsidR="00756D54">
        <w:t xml:space="preserve">the amount </w:t>
      </w:r>
      <w:r w:rsidR="0060317A">
        <w:t>disb</w:t>
      </w:r>
      <w:r w:rsidR="005A18CA">
        <w:t>ursed</w:t>
      </w:r>
      <w:r w:rsidR="00756D54">
        <w:t>,</w:t>
      </w:r>
      <w:r w:rsidR="005A18CA">
        <w:t xml:space="preserve"> for a piece of equipment</w:t>
      </w:r>
      <w:r w:rsidR="00756D54">
        <w:t xml:space="preserve"> or service</w:t>
      </w:r>
      <w:r w:rsidR="00CF0C72">
        <w:t xml:space="preserve">, but </w:t>
      </w:r>
      <w:r w:rsidR="00496AAF">
        <w:t xml:space="preserve">we </w:t>
      </w:r>
      <w:r w:rsidR="00CF0C72">
        <w:t>will not make publicly available the invoice or the name</w:t>
      </w:r>
      <w:r w:rsidR="00C808DF">
        <w:t>,</w:t>
      </w:r>
      <w:r w:rsidR="00C808DF" w:rsidRPr="00C808DF">
        <w:t xml:space="preserve"> </w:t>
      </w:r>
      <w:r w:rsidR="00C808DF">
        <w:t>address, or other identifying information pertaining to</w:t>
      </w:r>
      <w:r w:rsidR="00CF0C72">
        <w:t xml:space="preserve"> the vendor.</w:t>
      </w:r>
      <w:r w:rsidR="00DC0EF6">
        <w:rPr>
          <w:rStyle w:val="FootnoteReference"/>
        </w:rPr>
        <w:footnoteReference w:id="23"/>
      </w:r>
      <w:r w:rsidR="005A18CA">
        <w:t xml:space="preserve"> </w:t>
      </w:r>
      <w:r w:rsidR="00E052C3">
        <w:t xml:space="preserve">  </w:t>
      </w:r>
    </w:p>
    <w:p w14:paraId="1C26401E" w14:textId="5D5F2489" w:rsidR="00B44C24" w:rsidRDefault="00B44C24" w:rsidP="00B44C24">
      <w:pPr>
        <w:pStyle w:val="Paranum"/>
        <w:widowControl/>
        <w:numPr>
          <w:ilvl w:val="0"/>
          <w:numId w:val="0"/>
        </w:numPr>
        <w:ind w:firstLine="720"/>
        <w:jc w:val="left"/>
      </w:pPr>
      <w:r w:rsidRPr="008B3A7D">
        <w:t xml:space="preserve">For </w:t>
      </w:r>
      <w:r>
        <w:t xml:space="preserve">additional information on this proceeding, </w:t>
      </w:r>
      <w:r w:rsidRPr="008B3A7D">
        <w:t xml:space="preserve">contact </w:t>
      </w:r>
      <w:r>
        <w:t xml:space="preserve">Pamela Gallant, </w:t>
      </w:r>
      <w:hyperlink r:id="rId14" w:history="1">
        <w:r w:rsidR="002B6355" w:rsidRPr="002B6355">
          <w:rPr>
            <w:rStyle w:val="Hyperlink"/>
          </w:rPr>
          <w:t>Pamela.Gallant@fcc.gov</w:t>
        </w:r>
      </w:hyperlink>
      <w:r>
        <w:t>, (202- 418-0614</w:t>
      </w:r>
      <w:r w:rsidR="002C327C">
        <w:t xml:space="preserve">) </w:t>
      </w:r>
      <w:r w:rsidRPr="008B3A7D">
        <w:t>of the Media Bureau</w:t>
      </w:r>
      <w:r w:rsidR="002C327C">
        <w:t>, Video</w:t>
      </w:r>
      <w:r>
        <w:t xml:space="preserve"> Division. </w:t>
      </w:r>
      <w:r w:rsidR="00CB1B82">
        <w:t xml:space="preserve"> </w:t>
      </w:r>
      <w:r w:rsidRPr="008B3A7D">
        <w:t xml:space="preserve">Press </w:t>
      </w:r>
      <w:r>
        <w:t xml:space="preserve">contact: </w:t>
      </w:r>
      <w:r w:rsidRPr="008B3A7D">
        <w:t>Janice Wise</w:t>
      </w:r>
      <w:r>
        <w:t>,</w:t>
      </w:r>
      <w:r w:rsidRPr="008B3A7D">
        <w:t xml:space="preserve"> </w:t>
      </w:r>
      <w:hyperlink r:id="rId15" w:history="1">
        <w:r w:rsidR="0081360B" w:rsidRPr="00B76013">
          <w:rPr>
            <w:rStyle w:val="Hyperlink"/>
          </w:rPr>
          <w:t>Janice.Wise@fcc.gov</w:t>
        </w:r>
      </w:hyperlink>
      <w:r w:rsidR="0081360B">
        <w:t>, (</w:t>
      </w:r>
      <w:r w:rsidRPr="008B3A7D">
        <w:t>202</w:t>
      </w:r>
      <w:r>
        <w:t>-</w:t>
      </w:r>
      <w:r w:rsidRPr="008B3A7D">
        <w:t xml:space="preserve"> 418-8165</w:t>
      </w:r>
      <w:r>
        <w:t>)</w:t>
      </w:r>
      <w:r w:rsidRPr="008B3A7D">
        <w:t>.</w:t>
      </w:r>
    </w:p>
    <w:p w14:paraId="02766FAE" w14:textId="77777777" w:rsidR="00B44C24" w:rsidRPr="005F3D8F" w:rsidRDefault="00B44C24" w:rsidP="00B44C24">
      <w:pPr>
        <w:pStyle w:val="Paranum"/>
        <w:widowControl/>
        <w:numPr>
          <w:ilvl w:val="0"/>
          <w:numId w:val="0"/>
        </w:numPr>
        <w:jc w:val="center"/>
      </w:pPr>
      <w:r>
        <w:t xml:space="preserve">- </w:t>
      </w:r>
      <w:r w:rsidRPr="005F3D8F">
        <w:t>FCC</w:t>
      </w:r>
      <w:r>
        <w:t xml:space="preserve"> -</w:t>
      </w:r>
    </w:p>
    <w:p w14:paraId="14A72335" w14:textId="77777777" w:rsidR="00B44C24" w:rsidRPr="005F3D8F" w:rsidRDefault="00B44C24" w:rsidP="00B44C24">
      <w:pPr>
        <w:pStyle w:val="Paranum"/>
        <w:widowControl/>
        <w:numPr>
          <w:ilvl w:val="0"/>
          <w:numId w:val="0"/>
        </w:numPr>
        <w:ind w:left="3600"/>
      </w:pPr>
    </w:p>
    <w:sectPr w:rsidR="00B44C24" w:rsidRPr="005F3D8F" w:rsidSect="00EB3AB2">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3C6FF" w14:textId="77777777" w:rsidR="00F54263" w:rsidRDefault="00F54263">
      <w:r>
        <w:separator/>
      </w:r>
    </w:p>
  </w:endnote>
  <w:endnote w:type="continuationSeparator" w:id="0">
    <w:p w14:paraId="5D44049C" w14:textId="77777777" w:rsidR="00F54263" w:rsidRDefault="00F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90D6" w14:textId="77777777" w:rsidR="00425A02" w:rsidRDefault="00425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75854"/>
      <w:docPartObj>
        <w:docPartGallery w:val="Page Numbers (Bottom of Page)"/>
        <w:docPartUnique/>
      </w:docPartObj>
    </w:sdtPr>
    <w:sdtEndPr>
      <w:rPr>
        <w:noProof/>
      </w:rPr>
    </w:sdtEndPr>
    <w:sdtContent>
      <w:p w14:paraId="5E8A939B" w14:textId="77777777" w:rsidR="00EB3AB2" w:rsidRDefault="00EB3AB2">
        <w:pPr>
          <w:pStyle w:val="Footer"/>
          <w:jc w:val="center"/>
        </w:pPr>
        <w:r>
          <w:fldChar w:fldCharType="begin"/>
        </w:r>
        <w:r>
          <w:instrText xml:space="preserve"> PAGE   \* MERGEFORMAT </w:instrText>
        </w:r>
        <w:r>
          <w:fldChar w:fldCharType="separate"/>
        </w:r>
        <w:r w:rsidR="005D38F0">
          <w:rPr>
            <w:noProof/>
          </w:rPr>
          <w:t>2</w:t>
        </w:r>
        <w:r>
          <w:rPr>
            <w:noProof/>
          </w:rPr>
          <w:fldChar w:fldCharType="end"/>
        </w:r>
      </w:p>
    </w:sdtContent>
  </w:sdt>
  <w:p w14:paraId="054D7D66" w14:textId="77777777" w:rsidR="00EB3AB2" w:rsidRDefault="00EB3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4302" w14:textId="77777777" w:rsidR="00425A02" w:rsidRDefault="00425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DBB03" w14:textId="77777777" w:rsidR="00F54263" w:rsidRDefault="00F54263">
      <w:r>
        <w:separator/>
      </w:r>
    </w:p>
  </w:footnote>
  <w:footnote w:type="continuationSeparator" w:id="0">
    <w:p w14:paraId="0597C9EB" w14:textId="77777777" w:rsidR="00F54263" w:rsidRDefault="00F54263">
      <w:r>
        <w:continuationSeparator/>
      </w:r>
    </w:p>
  </w:footnote>
  <w:footnote w:id="1">
    <w:p w14:paraId="53C0D542" w14:textId="77777777" w:rsidR="004B2436" w:rsidRPr="002C327C" w:rsidRDefault="004B2436" w:rsidP="000248E1">
      <w:pPr>
        <w:pStyle w:val="FootnoteText"/>
        <w:ind w:left="720"/>
        <w:rPr>
          <w:sz w:val="20"/>
        </w:rPr>
      </w:pPr>
      <w:r w:rsidRPr="002C327C">
        <w:rPr>
          <w:rStyle w:val="FootnoteReference"/>
          <w:sz w:val="20"/>
        </w:rPr>
        <w:footnoteRef/>
      </w:r>
      <w:r w:rsidRPr="002C327C">
        <w:rPr>
          <w:sz w:val="20"/>
        </w:rPr>
        <w:t xml:space="preserve"> </w:t>
      </w:r>
      <w:r w:rsidR="002C327C" w:rsidRPr="002C327C">
        <w:rPr>
          <w:i/>
          <w:sz w:val="20"/>
        </w:rPr>
        <w:t>Expanding the Economic and Innovation Opportunities of Spectrum Through Incentive Auctions</w:t>
      </w:r>
      <w:r w:rsidR="002C327C" w:rsidRPr="002C327C">
        <w:rPr>
          <w:sz w:val="20"/>
        </w:rPr>
        <w:t xml:space="preserve">, GN Docket No. 12-268, Report and Order, 29 FCC Rcd 6567 (2014), </w:t>
      </w:r>
      <w:r w:rsidR="002C327C" w:rsidRPr="002C327C">
        <w:rPr>
          <w:i/>
          <w:sz w:val="20"/>
        </w:rPr>
        <w:t>affirmed, National Association of Broadcasters v. FCC</w:t>
      </w:r>
      <w:r w:rsidR="002C327C" w:rsidRPr="002C327C">
        <w:rPr>
          <w:sz w:val="20"/>
        </w:rPr>
        <w:t>, No. 14-1154 (D.C. Cir. June 12, 2015) (“</w:t>
      </w:r>
      <w:r w:rsidR="002C327C" w:rsidRPr="002C327C">
        <w:rPr>
          <w:i/>
          <w:sz w:val="20"/>
        </w:rPr>
        <w:t>Incentive Auction R&amp;O</w:t>
      </w:r>
      <w:r w:rsidR="006F5FE3">
        <w:rPr>
          <w:sz w:val="20"/>
        </w:rPr>
        <w:t xml:space="preserve">”); </w:t>
      </w:r>
      <w:r w:rsidR="006F5FE3" w:rsidRPr="006F5FE3">
        <w:rPr>
          <w:i/>
          <w:sz w:val="20"/>
        </w:rPr>
        <w:t>see also</w:t>
      </w:r>
      <w:r w:rsidR="006F5FE3" w:rsidRPr="006F5FE3">
        <w:rPr>
          <w:sz w:val="20"/>
        </w:rPr>
        <w:t xml:space="preserve"> </w:t>
      </w:r>
      <w:r w:rsidR="006F5FE3" w:rsidRPr="006F5FE3">
        <w:rPr>
          <w:i/>
          <w:sz w:val="20"/>
        </w:rPr>
        <w:t>Expanding the Economic and Innovation Opportunities of Spectrum Through Incentive Auctions</w:t>
      </w:r>
      <w:r w:rsidR="006F5FE3" w:rsidRPr="006F5FE3">
        <w:rPr>
          <w:sz w:val="20"/>
        </w:rPr>
        <w:t>, GN Docket 12-268, Second Order on Reconsideration, FCC 15-69, 30 FCC Rcd 6746 (2015).</w:t>
      </w:r>
    </w:p>
  </w:footnote>
  <w:footnote w:id="2">
    <w:p w14:paraId="27C236DF" w14:textId="77777777" w:rsidR="00D25FDF" w:rsidRPr="00B42411" w:rsidRDefault="00D25FDF" w:rsidP="000248E1">
      <w:pPr>
        <w:pStyle w:val="FootnoteText"/>
        <w:spacing w:after="120"/>
        <w:ind w:left="720"/>
        <w:rPr>
          <w:sz w:val="20"/>
        </w:rPr>
      </w:pPr>
      <w:r w:rsidRPr="002C327C">
        <w:rPr>
          <w:rStyle w:val="FootnoteReference"/>
          <w:sz w:val="20"/>
        </w:rPr>
        <w:footnoteRef/>
      </w:r>
      <w:r w:rsidRPr="002C327C">
        <w:rPr>
          <w:sz w:val="20"/>
        </w:rPr>
        <w:t xml:space="preserve"> Middle Class Tax Relief and Job Creation Act of 2012, Pub. L. No. 112-96, §§ 6402, 6403, 125 Stat. 156 (2012) (“Spectrum Act”) at § 6403(d)(1); 47 U.S.C. § 309(j)(8)(G)(iii)(I).  The Spectrum Act requires that the Commission “reimburse costs reasonably incurred by” broadcast television licensees that are reassigned to new channels as a result of the incentive auction.  </w:t>
      </w:r>
      <w:r w:rsidR="005B7820">
        <w:rPr>
          <w:sz w:val="20"/>
        </w:rPr>
        <w:t>47 U.S.C.</w:t>
      </w:r>
      <w:r w:rsidRPr="002C327C">
        <w:rPr>
          <w:sz w:val="20"/>
        </w:rPr>
        <w:t xml:space="preserve"> § </w:t>
      </w:r>
      <w:r w:rsidR="005B7820">
        <w:rPr>
          <w:sz w:val="20"/>
        </w:rPr>
        <w:t>1452</w:t>
      </w:r>
      <w:r w:rsidRPr="002C327C">
        <w:rPr>
          <w:sz w:val="20"/>
        </w:rPr>
        <w:t xml:space="preserve">(b)(4)(A)(i).  In addition, the Spectrum Act requires the Commission to reimburse MVPDs that reasonably incur costs in order to continue to carry the signals of licensees </w:t>
      </w:r>
      <w:r w:rsidRPr="00B42411">
        <w:rPr>
          <w:sz w:val="20"/>
        </w:rPr>
        <w:t xml:space="preserve">reassigned to new channels as a result of the reverse auction or repacking process.  </w:t>
      </w:r>
      <w:r w:rsidRPr="00B42411">
        <w:rPr>
          <w:i/>
          <w:sz w:val="20"/>
        </w:rPr>
        <w:t>Id</w:t>
      </w:r>
      <w:r w:rsidRPr="00B42411">
        <w:rPr>
          <w:sz w:val="20"/>
        </w:rPr>
        <w:t xml:space="preserve">. at § </w:t>
      </w:r>
      <w:r w:rsidR="005B7820">
        <w:rPr>
          <w:sz w:val="20"/>
        </w:rPr>
        <w:t>1452</w:t>
      </w:r>
      <w:r w:rsidRPr="00B42411">
        <w:rPr>
          <w:sz w:val="20"/>
        </w:rPr>
        <w:t>(b)(4)(A)(ii).</w:t>
      </w:r>
    </w:p>
  </w:footnote>
  <w:footnote w:id="3">
    <w:p w14:paraId="60BFC015" w14:textId="5D255748" w:rsidR="00B42411" w:rsidRDefault="00B42411" w:rsidP="000248E1">
      <w:pPr>
        <w:pStyle w:val="FootnoteText"/>
        <w:ind w:left="720"/>
      </w:pPr>
      <w:r w:rsidRPr="00B42411">
        <w:rPr>
          <w:rStyle w:val="FootnoteReference"/>
          <w:sz w:val="20"/>
        </w:rPr>
        <w:footnoteRef/>
      </w:r>
      <w:r w:rsidRPr="00B42411">
        <w:rPr>
          <w:sz w:val="20"/>
        </w:rPr>
        <w:t xml:space="preserve"> </w:t>
      </w:r>
      <w:r w:rsidRPr="00B42411">
        <w:rPr>
          <w:i/>
          <w:sz w:val="20"/>
        </w:rPr>
        <w:t>Incentive Auction R&amp;O</w:t>
      </w:r>
      <w:r w:rsidR="00DB6867">
        <w:rPr>
          <w:sz w:val="20"/>
        </w:rPr>
        <w:t xml:space="preserve">, 29 FCC Rcd </w:t>
      </w:r>
      <w:r w:rsidR="002B6355">
        <w:rPr>
          <w:sz w:val="20"/>
        </w:rPr>
        <w:t xml:space="preserve">at </w:t>
      </w:r>
      <w:r w:rsidR="00DB6867">
        <w:rPr>
          <w:sz w:val="20"/>
        </w:rPr>
        <w:t>6820</w:t>
      </w:r>
      <w:r w:rsidR="008C5F98">
        <w:rPr>
          <w:sz w:val="20"/>
        </w:rPr>
        <w:t xml:space="preserve">, </w:t>
      </w:r>
      <w:r w:rsidRPr="00B42411">
        <w:rPr>
          <w:sz w:val="20"/>
        </w:rPr>
        <w:t>para. 619.</w:t>
      </w:r>
    </w:p>
  </w:footnote>
  <w:footnote w:id="4">
    <w:p w14:paraId="7C49A145" w14:textId="03AA1B18" w:rsidR="00E619E0" w:rsidRPr="002B6355" w:rsidRDefault="00E619E0" w:rsidP="002B6355">
      <w:pPr>
        <w:pStyle w:val="FootnoteText"/>
        <w:ind w:left="720"/>
        <w:rPr>
          <w:sz w:val="20"/>
        </w:rPr>
      </w:pPr>
      <w:r w:rsidRPr="002B6355">
        <w:rPr>
          <w:rStyle w:val="FootnoteReference"/>
          <w:sz w:val="20"/>
        </w:rPr>
        <w:footnoteRef/>
      </w:r>
      <w:r w:rsidRPr="002B6355">
        <w:rPr>
          <w:sz w:val="20"/>
        </w:rPr>
        <w:t xml:space="preserve"> </w:t>
      </w:r>
      <w:r w:rsidRPr="00E619E0">
        <w:rPr>
          <w:sz w:val="20"/>
        </w:rPr>
        <w:t>T</w:t>
      </w:r>
      <w:r w:rsidRPr="0088411F">
        <w:rPr>
          <w:sz w:val="20"/>
        </w:rPr>
        <w:t xml:space="preserve">he paper version of </w:t>
      </w:r>
      <w:r w:rsidR="0088411F">
        <w:rPr>
          <w:sz w:val="20"/>
        </w:rPr>
        <w:t xml:space="preserve">the </w:t>
      </w:r>
      <w:r w:rsidRPr="0088411F">
        <w:rPr>
          <w:sz w:val="20"/>
        </w:rPr>
        <w:t>Form attached</w:t>
      </w:r>
      <w:r w:rsidR="0088411F">
        <w:rPr>
          <w:sz w:val="20"/>
        </w:rPr>
        <w:t xml:space="preserve"> as</w:t>
      </w:r>
      <w:r w:rsidRPr="0088411F">
        <w:rPr>
          <w:sz w:val="20"/>
        </w:rPr>
        <w:t xml:space="preserve"> A</w:t>
      </w:r>
      <w:r w:rsidRPr="002B6355">
        <w:rPr>
          <w:sz w:val="20"/>
        </w:rPr>
        <w:t xml:space="preserve">ppendix A is a representation of the data points contained in the electronic version of the form.  </w:t>
      </w:r>
    </w:p>
  </w:footnote>
  <w:footnote w:id="5">
    <w:p w14:paraId="116B3DD3" w14:textId="0EB753CB" w:rsidR="00582DAE" w:rsidRDefault="00582DAE" w:rsidP="000248E1">
      <w:pPr>
        <w:pStyle w:val="FootnoteText"/>
        <w:ind w:left="720"/>
      </w:pPr>
      <w:r>
        <w:rPr>
          <w:rStyle w:val="FootnoteReference"/>
        </w:rPr>
        <w:footnoteRef/>
      </w:r>
      <w:r>
        <w:t xml:space="preserve"> </w:t>
      </w:r>
      <w:r w:rsidRPr="002B6355">
        <w:rPr>
          <w:i/>
          <w:sz w:val="20"/>
        </w:rPr>
        <w:t>See</w:t>
      </w:r>
      <w:r w:rsidRPr="00582DAE">
        <w:rPr>
          <w:i/>
          <w:sz w:val="20"/>
        </w:rPr>
        <w:t xml:space="preserve"> </w:t>
      </w:r>
      <w:r w:rsidR="002B6355">
        <w:rPr>
          <w:i/>
          <w:sz w:val="20"/>
        </w:rPr>
        <w:t>Incentive Auction R</w:t>
      </w:r>
      <w:r w:rsidR="002B6355" w:rsidRPr="002B6355">
        <w:rPr>
          <w:i/>
          <w:sz w:val="20"/>
        </w:rPr>
        <w:t>&amp;O</w:t>
      </w:r>
      <w:r w:rsidR="002B6355">
        <w:rPr>
          <w:sz w:val="20"/>
        </w:rPr>
        <w:t>, 29 FCC Rcd</w:t>
      </w:r>
      <w:r w:rsidRPr="00582DAE">
        <w:rPr>
          <w:sz w:val="20"/>
        </w:rPr>
        <w:t xml:space="preserve"> at </w:t>
      </w:r>
      <w:r>
        <w:rPr>
          <w:sz w:val="20"/>
        </w:rPr>
        <w:t xml:space="preserve">6817-18, para. </w:t>
      </w:r>
      <w:r w:rsidRPr="00582DAE">
        <w:rPr>
          <w:sz w:val="20"/>
        </w:rPr>
        <w:t>611 (stating that the catalog “will contain a list of many, but not necessarily all, of the modifications” an eligible entity may have to make).</w:t>
      </w:r>
    </w:p>
  </w:footnote>
  <w:footnote w:id="6">
    <w:p w14:paraId="19FEAEC6" w14:textId="77777777" w:rsidR="006641CB" w:rsidRPr="006641CB" w:rsidRDefault="006641CB" w:rsidP="006641CB">
      <w:pPr>
        <w:pStyle w:val="FootnoteText"/>
        <w:spacing w:after="0"/>
        <w:rPr>
          <w:sz w:val="20"/>
        </w:rPr>
      </w:pPr>
      <w:r>
        <w:rPr>
          <w:rStyle w:val="FootnoteReference"/>
        </w:rPr>
        <w:footnoteRef/>
      </w:r>
      <w:r>
        <w:t xml:space="preserve"> </w:t>
      </w:r>
      <w:r w:rsidRPr="00DB6867">
        <w:rPr>
          <w:i/>
          <w:sz w:val="20"/>
        </w:rPr>
        <w:t>Media Bureau Seeks Comment on Draft TV Broadcaster Relocation Fund Reimbursement Form</w:t>
      </w:r>
    </w:p>
    <w:p w14:paraId="5A839BC6" w14:textId="77777777" w:rsidR="006641CB" w:rsidRDefault="00DB6867" w:rsidP="006641CB">
      <w:pPr>
        <w:pStyle w:val="FootnoteText"/>
        <w:spacing w:after="0"/>
        <w:rPr>
          <w:sz w:val="20"/>
        </w:rPr>
      </w:pPr>
      <w:r>
        <w:rPr>
          <w:sz w:val="20"/>
        </w:rPr>
        <w:t>GN Docket No. 12-268, Public Notice, 29 FCC Rcd 11451</w:t>
      </w:r>
      <w:r w:rsidR="006641CB" w:rsidRPr="006641CB">
        <w:rPr>
          <w:sz w:val="20"/>
        </w:rPr>
        <w:t xml:space="preserve"> (2014)</w:t>
      </w:r>
      <w:r w:rsidR="003C71E2">
        <w:rPr>
          <w:sz w:val="20"/>
        </w:rPr>
        <w:t xml:space="preserve"> (“</w:t>
      </w:r>
      <w:r w:rsidR="003931A3">
        <w:rPr>
          <w:i/>
          <w:sz w:val="20"/>
        </w:rPr>
        <w:t xml:space="preserve">Draft Reimbursement </w:t>
      </w:r>
      <w:r w:rsidR="003C71E2" w:rsidRPr="00DB6867">
        <w:rPr>
          <w:i/>
          <w:sz w:val="20"/>
        </w:rPr>
        <w:t>Form PN</w:t>
      </w:r>
      <w:r w:rsidR="003C71E2">
        <w:rPr>
          <w:sz w:val="20"/>
        </w:rPr>
        <w:t>”)</w:t>
      </w:r>
      <w:r w:rsidR="006641CB" w:rsidRPr="006641CB">
        <w:rPr>
          <w:sz w:val="20"/>
        </w:rPr>
        <w:t>.</w:t>
      </w:r>
      <w:r w:rsidR="001E5136">
        <w:rPr>
          <w:sz w:val="20"/>
        </w:rPr>
        <w:t xml:space="preserve">  Although that Public Notice sought comment on the draft Form and confidentiality, several commenters addressed issues relating to the reimbursement process that were outside the scope of the Public Notice</w:t>
      </w:r>
      <w:r w:rsidR="001E5136" w:rsidRPr="007E3CED">
        <w:rPr>
          <w:i/>
          <w:sz w:val="20"/>
        </w:rPr>
        <w:t xml:space="preserve">.  </w:t>
      </w:r>
      <w:r w:rsidR="007E3CED" w:rsidRPr="007E3CED">
        <w:rPr>
          <w:i/>
          <w:sz w:val="20"/>
        </w:rPr>
        <w:t>See, e.g.</w:t>
      </w:r>
      <w:r w:rsidR="007E3CED">
        <w:rPr>
          <w:sz w:val="20"/>
        </w:rPr>
        <w:t>, National Association of Broadcasters (NAB) Comments at 4-5; The Public Broadcasting Service, Corporation for Public Broadcasting Service, and Association of Public Television Stations (PBS/CPB/APT</w:t>
      </w:r>
      <w:r w:rsidR="007C5D10">
        <w:rPr>
          <w:sz w:val="20"/>
        </w:rPr>
        <w:t>S</w:t>
      </w:r>
      <w:r w:rsidR="007E3CED">
        <w:rPr>
          <w:sz w:val="20"/>
        </w:rPr>
        <w:t xml:space="preserve">) Comments at 5, 7-8.  </w:t>
      </w:r>
      <w:r w:rsidR="001E5136">
        <w:rPr>
          <w:sz w:val="20"/>
        </w:rPr>
        <w:t xml:space="preserve">The Media Bureau will address </w:t>
      </w:r>
      <w:r w:rsidR="007E3CED">
        <w:rPr>
          <w:sz w:val="20"/>
        </w:rPr>
        <w:t>additional</w:t>
      </w:r>
      <w:r w:rsidR="001E5136">
        <w:rPr>
          <w:sz w:val="20"/>
        </w:rPr>
        <w:t xml:space="preserve"> issues </w:t>
      </w:r>
      <w:r w:rsidR="007E3CED">
        <w:rPr>
          <w:sz w:val="20"/>
        </w:rPr>
        <w:t xml:space="preserve">pertaining to the reimbursement process </w:t>
      </w:r>
      <w:r w:rsidR="001E5136">
        <w:rPr>
          <w:sz w:val="20"/>
        </w:rPr>
        <w:t xml:space="preserve">in a series of Public Notices designed to provide additional information and notice about </w:t>
      </w:r>
      <w:r w:rsidR="008C1B0E">
        <w:rPr>
          <w:sz w:val="20"/>
        </w:rPr>
        <w:t xml:space="preserve">the reimbursement process.  </w:t>
      </w:r>
    </w:p>
    <w:p w14:paraId="05FBDD77" w14:textId="77777777" w:rsidR="006641CB" w:rsidRPr="006641CB" w:rsidRDefault="006641CB" w:rsidP="006641CB">
      <w:pPr>
        <w:pStyle w:val="FootnoteText"/>
        <w:spacing w:after="0"/>
        <w:rPr>
          <w:sz w:val="20"/>
        </w:rPr>
      </w:pPr>
    </w:p>
  </w:footnote>
  <w:footnote w:id="7">
    <w:p w14:paraId="2A6BCC3D" w14:textId="77777777" w:rsidR="00DB6867" w:rsidRPr="00DB6867" w:rsidRDefault="00DB6867">
      <w:pPr>
        <w:pStyle w:val="FootnoteText"/>
        <w:rPr>
          <w:sz w:val="20"/>
        </w:rPr>
      </w:pPr>
      <w:r>
        <w:rPr>
          <w:rStyle w:val="FootnoteReference"/>
        </w:rPr>
        <w:footnoteRef/>
      </w:r>
      <w:r w:rsidR="00F475E9">
        <w:t xml:space="preserve"> </w:t>
      </w:r>
      <w:r>
        <w:rPr>
          <w:sz w:val="20"/>
        </w:rPr>
        <w:t>Cohen</w:t>
      </w:r>
      <w:r w:rsidR="003931A3">
        <w:rPr>
          <w:sz w:val="20"/>
        </w:rPr>
        <w:t>,</w:t>
      </w:r>
      <w:r>
        <w:rPr>
          <w:sz w:val="20"/>
        </w:rPr>
        <w:t xml:space="preserve"> Dippell </w:t>
      </w:r>
      <w:r w:rsidR="003931A3">
        <w:rPr>
          <w:sz w:val="20"/>
        </w:rPr>
        <w:t xml:space="preserve">and Everist, P.C. </w:t>
      </w:r>
      <w:r w:rsidR="00F475E9">
        <w:rPr>
          <w:sz w:val="20"/>
        </w:rPr>
        <w:t xml:space="preserve">(Cohen Dippell) Comments </w:t>
      </w:r>
      <w:r>
        <w:rPr>
          <w:sz w:val="20"/>
        </w:rPr>
        <w:t xml:space="preserve">at 3; </w:t>
      </w:r>
      <w:r w:rsidR="00F475E9" w:rsidRPr="009E4169">
        <w:rPr>
          <w:sz w:val="20"/>
        </w:rPr>
        <w:t>PBS/CPB/APT</w:t>
      </w:r>
      <w:r w:rsidR="007C5D10">
        <w:rPr>
          <w:sz w:val="20"/>
        </w:rPr>
        <w:t>S</w:t>
      </w:r>
      <w:r w:rsidR="00F475E9" w:rsidRPr="009E4169">
        <w:rPr>
          <w:sz w:val="20"/>
        </w:rPr>
        <w:t xml:space="preserve"> Comments </w:t>
      </w:r>
      <w:r w:rsidR="003931A3" w:rsidRPr="009E4169">
        <w:rPr>
          <w:sz w:val="20"/>
        </w:rPr>
        <w:t xml:space="preserve">at </w:t>
      </w:r>
      <w:r w:rsidR="009E4169" w:rsidRPr="009E4169">
        <w:rPr>
          <w:sz w:val="20"/>
        </w:rPr>
        <w:t xml:space="preserve">2, </w:t>
      </w:r>
      <w:r w:rsidR="009E4169">
        <w:rPr>
          <w:sz w:val="20"/>
        </w:rPr>
        <w:t>5-</w:t>
      </w:r>
      <w:r w:rsidR="003931A3" w:rsidRPr="009E4169">
        <w:rPr>
          <w:sz w:val="20"/>
        </w:rPr>
        <w:t>6</w:t>
      </w:r>
      <w:r w:rsidR="003931A3">
        <w:rPr>
          <w:sz w:val="20"/>
        </w:rPr>
        <w:t xml:space="preserve">; </w:t>
      </w:r>
      <w:r w:rsidR="00F475E9">
        <w:rPr>
          <w:sz w:val="20"/>
        </w:rPr>
        <w:t xml:space="preserve">NAB Comments </w:t>
      </w:r>
      <w:r>
        <w:rPr>
          <w:sz w:val="20"/>
        </w:rPr>
        <w:t xml:space="preserve">at </w:t>
      </w:r>
      <w:r w:rsidR="009E4169">
        <w:rPr>
          <w:sz w:val="20"/>
        </w:rPr>
        <w:t>7-</w:t>
      </w:r>
      <w:r>
        <w:rPr>
          <w:sz w:val="20"/>
        </w:rPr>
        <w:t>8.</w:t>
      </w:r>
    </w:p>
  </w:footnote>
  <w:footnote w:id="8">
    <w:p w14:paraId="048707DF" w14:textId="77777777" w:rsidR="009B623F" w:rsidRDefault="009B623F">
      <w:pPr>
        <w:pStyle w:val="FootnoteText"/>
      </w:pPr>
      <w:r>
        <w:rPr>
          <w:rStyle w:val="FootnoteReference"/>
        </w:rPr>
        <w:footnoteRef/>
      </w:r>
      <w:r>
        <w:t xml:space="preserve"> </w:t>
      </w:r>
      <w:r w:rsidR="00C72CFF">
        <w:rPr>
          <w:sz w:val="20"/>
        </w:rPr>
        <w:t>Cohen Dippell Co</w:t>
      </w:r>
      <w:r w:rsidR="00F475E9">
        <w:rPr>
          <w:sz w:val="20"/>
        </w:rPr>
        <w:t>mments at 2; PBS/CPB/APT</w:t>
      </w:r>
      <w:r w:rsidR="007C5D10">
        <w:rPr>
          <w:sz w:val="20"/>
        </w:rPr>
        <w:t>S</w:t>
      </w:r>
      <w:r w:rsidR="00F475E9">
        <w:rPr>
          <w:sz w:val="20"/>
        </w:rPr>
        <w:t xml:space="preserve"> Comments at 3-5; NAB Comments at 8.</w:t>
      </w:r>
    </w:p>
  </w:footnote>
  <w:footnote w:id="9">
    <w:p w14:paraId="4B45A2F8" w14:textId="7A4618B4" w:rsidR="00F475E9" w:rsidRPr="00F475E9" w:rsidRDefault="00F475E9">
      <w:pPr>
        <w:pStyle w:val="FootnoteText"/>
        <w:rPr>
          <w:sz w:val="20"/>
        </w:rPr>
      </w:pPr>
      <w:r>
        <w:rPr>
          <w:rStyle w:val="FootnoteReference"/>
        </w:rPr>
        <w:footnoteRef/>
      </w:r>
      <w:r>
        <w:t xml:space="preserve"> </w:t>
      </w:r>
      <w:r w:rsidR="007C5D10">
        <w:rPr>
          <w:sz w:val="20"/>
        </w:rPr>
        <w:t>Prior to developing the Form, t</w:t>
      </w:r>
      <w:r w:rsidR="0058356E" w:rsidRPr="0058356E">
        <w:rPr>
          <w:sz w:val="20"/>
        </w:rPr>
        <w:t>he M</w:t>
      </w:r>
      <w:r w:rsidR="0058356E">
        <w:rPr>
          <w:sz w:val="20"/>
        </w:rPr>
        <w:t xml:space="preserve">edia Bureau sought comment </w:t>
      </w:r>
      <w:r w:rsidR="009E4169">
        <w:rPr>
          <w:sz w:val="20"/>
        </w:rPr>
        <w:t xml:space="preserve">on </w:t>
      </w:r>
      <w:r w:rsidR="0058356E">
        <w:rPr>
          <w:sz w:val="20"/>
        </w:rPr>
        <w:t>the Widelity Report, which included a catalog of e</w:t>
      </w:r>
      <w:r w:rsidR="00047BF1">
        <w:rPr>
          <w:sz w:val="20"/>
        </w:rPr>
        <w:t>ligible expenses</w:t>
      </w:r>
      <w:r w:rsidR="0058356E">
        <w:rPr>
          <w:sz w:val="20"/>
        </w:rPr>
        <w:t xml:space="preserve"> and estimated costs.  </w:t>
      </w:r>
      <w:r w:rsidR="009E261E" w:rsidRPr="0058356E">
        <w:rPr>
          <w:i/>
          <w:sz w:val="20"/>
        </w:rPr>
        <w:t>Media Bureau Seeks Comment on Widelity Report and Catalog of Potential Expenses and Estimated Costs</w:t>
      </w:r>
      <w:r w:rsidR="009E261E" w:rsidRPr="0058356E">
        <w:rPr>
          <w:sz w:val="20"/>
        </w:rPr>
        <w:t>, GN Docket No. 12-268, Public Notice, 29 FCC Rcd 2989 (201</w:t>
      </w:r>
      <w:r w:rsidR="009E261E">
        <w:rPr>
          <w:sz w:val="20"/>
        </w:rPr>
        <w:t>4) (“</w:t>
      </w:r>
      <w:r w:rsidR="009E261E" w:rsidRPr="00D43EDC">
        <w:rPr>
          <w:i/>
          <w:sz w:val="20"/>
        </w:rPr>
        <w:t>Widelity Report PN</w:t>
      </w:r>
      <w:r w:rsidR="009E261E">
        <w:rPr>
          <w:sz w:val="20"/>
        </w:rPr>
        <w:t>)</w:t>
      </w:r>
      <w:r w:rsidR="001E68EC" w:rsidRPr="00D43EDC">
        <w:rPr>
          <w:i/>
          <w:sz w:val="20"/>
        </w:rPr>
        <w:t>; See also</w:t>
      </w:r>
      <w:r w:rsidR="001E68EC">
        <w:rPr>
          <w:sz w:val="20"/>
        </w:rPr>
        <w:t xml:space="preserve"> </w:t>
      </w:r>
      <w:r w:rsidR="0058356E" w:rsidRPr="0058356E">
        <w:rPr>
          <w:i/>
          <w:sz w:val="20"/>
        </w:rPr>
        <w:t>Media Bureau Seeks Comment on Catalog of Eligible Expenses and Other Issues Related to the Reimbursement of Broadcaster Channel Reassignment Costs</w:t>
      </w:r>
      <w:r w:rsidR="0058356E" w:rsidRPr="0058356E">
        <w:rPr>
          <w:sz w:val="20"/>
        </w:rPr>
        <w:t xml:space="preserve">, GN Docket No. 12-268, Public Notice, 28 FCC Rcd 13787 (2013).  </w:t>
      </w:r>
      <w:r w:rsidR="009564C8">
        <w:rPr>
          <w:sz w:val="20"/>
        </w:rPr>
        <w:t xml:space="preserve">We will adopt the baseline estimated costs for the expenses </w:t>
      </w:r>
      <w:r w:rsidR="001F0C72">
        <w:rPr>
          <w:sz w:val="20"/>
        </w:rPr>
        <w:t xml:space="preserve">in the catalog </w:t>
      </w:r>
      <w:r w:rsidR="009564C8">
        <w:rPr>
          <w:sz w:val="20"/>
        </w:rPr>
        <w:t xml:space="preserve">in a future Public Notice.  Before doing so, we intend to seek comment on </w:t>
      </w:r>
      <w:r w:rsidR="00A17EAF">
        <w:rPr>
          <w:sz w:val="20"/>
        </w:rPr>
        <w:t xml:space="preserve">the appropriate means of adjusting </w:t>
      </w:r>
      <w:r w:rsidR="007C5D10">
        <w:rPr>
          <w:sz w:val="20"/>
        </w:rPr>
        <w:t xml:space="preserve">the baseline costs for the commonly purchased equipment and services included in the catalog </w:t>
      </w:r>
      <w:r w:rsidR="00A17EAF">
        <w:rPr>
          <w:sz w:val="20"/>
        </w:rPr>
        <w:t>from</w:t>
      </w:r>
      <w:r w:rsidR="007C5D10">
        <w:rPr>
          <w:sz w:val="20"/>
        </w:rPr>
        <w:t xml:space="preserve"> year-</w:t>
      </w:r>
      <w:r w:rsidR="00A17EAF">
        <w:rPr>
          <w:sz w:val="20"/>
        </w:rPr>
        <w:t>to</w:t>
      </w:r>
      <w:r w:rsidR="007C5D10">
        <w:rPr>
          <w:sz w:val="20"/>
        </w:rPr>
        <w:t>-year.</w:t>
      </w:r>
    </w:p>
  </w:footnote>
  <w:footnote w:id="10">
    <w:p w14:paraId="4989DD55" w14:textId="77777777" w:rsidR="00D55DBC" w:rsidRPr="00D55DBC" w:rsidRDefault="00D55DBC">
      <w:pPr>
        <w:pStyle w:val="FootnoteText"/>
        <w:rPr>
          <w:sz w:val="20"/>
        </w:rPr>
      </w:pPr>
      <w:r>
        <w:rPr>
          <w:rStyle w:val="FootnoteReference"/>
        </w:rPr>
        <w:footnoteRef/>
      </w:r>
      <w:r>
        <w:t xml:space="preserve"> </w:t>
      </w:r>
      <w:r>
        <w:rPr>
          <w:sz w:val="20"/>
        </w:rPr>
        <w:t>For example, we added waveguide</w:t>
      </w:r>
      <w:r w:rsidR="00A10FF4">
        <w:rPr>
          <w:sz w:val="20"/>
        </w:rPr>
        <w:t xml:space="preserve"> as a type of</w:t>
      </w:r>
      <w:r>
        <w:rPr>
          <w:sz w:val="20"/>
        </w:rPr>
        <w:t xml:space="preserve"> transmission line </w:t>
      </w:r>
      <w:r w:rsidR="00A10FF4">
        <w:rPr>
          <w:sz w:val="20"/>
        </w:rPr>
        <w:t>(</w:t>
      </w:r>
      <w:r w:rsidR="007C5D10">
        <w:rPr>
          <w:sz w:val="20"/>
        </w:rPr>
        <w:t xml:space="preserve">PBS/CPB/APTS </w:t>
      </w:r>
      <w:r w:rsidR="00A10FF4">
        <w:rPr>
          <w:sz w:val="20"/>
        </w:rPr>
        <w:t xml:space="preserve">Comments at </w:t>
      </w:r>
      <w:r w:rsidR="007C5D10">
        <w:rPr>
          <w:sz w:val="20"/>
        </w:rPr>
        <w:t>6</w:t>
      </w:r>
      <w:r w:rsidR="00A10FF4">
        <w:rPr>
          <w:sz w:val="20"/>
        </w:rPr>
        <w:t xml:space="preserve">) </w:t>
      </w:r>
      <w:r w:rsidR="00BC4C03">
        <w:rPr>
          <w:sz w:val="20"/>
        </w:rPr>
        <w:t xml:space="preserve">within </w:t>
      </w:r>
      <w:r w:rsidR="00823510">
        <w:rPr>
          <w:sz w:val="20"/>
        </w:rPr>
        <w:t xml:space="preserve">III.B.1.3.c, </w:t>
      </w:r>
      <w:r w:rsidR="00BC4C03">
        <w:rPr>
          <w:sz w:val="20"/>
        </w:rPr>
        <w:t>“Other Transmitter Costs</w:t>
      </w:r>
      <w:r w:rsidR="007C5D10">
        <w:rPr>
          <w:sz w:val="20"/>
        </w:rPr>
        <w:t>.</w:t>
      </w:r>
      <w:r w:rsidR="00BC4C03">
        <w:rPr>
          <w:sz w:val="20"/>
        </w:rPr>
        <w:t xml:space="preserve">”  </w:t>
      </w:r>
      <w:r>
        <w:rPr>
          <w:sz w:val="20"/>
        </w:rPr>
        <w:t xml:space="preserve">  </w:t>
      </w:r>
    </w:p>
  </w:footnote>
  <w:footnote w:id="11">
    <w:p w14:paraId="48FCEC88" w14:textId="097F441A" w:rsidR="00170DAC" w:rsidRPr="00AA076D" w:rsidRDefault="00170DAC">
      <w:pPr>
        <w:pStyle w:val="FootnoteText"/>
        <w:rPr>
          <w:sz w:val="20"/>
        </w:rPr>
      </w:pPr>
      <w:r>
        <w:rPr>
          <w:rStyle w:val="FootnoteReference"/>
        </w:rPr>
        <w:footnoteRef/>
      </w:r>
      <w:r>
        <w:t xml:space="preserve"> </w:t>
      </w:r>
      <w:r w:rsidR="00DD2E5B">
        <w:rPr>
          <w:sz w:val="20"/>
        </w:rPr>
        <w:t xml:space="preserve">Many </w:t>
      </w:r>
      <w:r w:rsidR="00BC4267">
        <w:rPr>
          <w:sz w:val="20"/>
        </w:rPr>
        <w:t xml:space="preserve">of the </w:t>
      </w:r>
      <w:r w:rsidR="001616E8">
        <w:rPr>
          <w:sz w:val="20"/>
        </w:rPr>
        <w:t>potential expenses</w:t>
      </w:r>
      <w:r w:rsidR="00657EAC">
        <w:rPr>
          <w:sz w:val="20"/>
        </w:rPr>
        <w:t xml:space="preserve"> </w:t>
      </w:r>
      <w:r w:rsidR="00DD2E5B">
        <w:rPr>
          <w:sz w:val="20"/>
        </w:rPr>
        <w:t>singled out by comment</w:t>
      </w:r>
      <w:r w:rsidR="00AC1D37">
        <w:rPr>
          <w:sz w:val="20"/>
        </w:rPr>
        <w:t>er</w:t>
      </w:r>
      <w:r w:rsidR="00DD2E5B">
        <w:rPr>
          <w:sz w:val="20"/>
        </w:rPr>
        <w:t>s could be submitted</w:t>
      </w:r>
      <w:r w:rsidR="00657EAC">
        <w:rPr>
          <w:sz w:val="20"/>
        </w:rPr>
        <w:t xml:space="preserve"> in one of the catch-all categories </w:t>
      </w:r>
      <w:r w:rsidR="00DD2E5B">
        <w:rPr>
          <w:sz w:val="20"/>
        </w:rPr>
        <w:t>of</w:t>
      </w:r>
      <w:r w:rsidR="00657EAC">
        <w:rPr>
          <w:sz w:val="20"/>
        </w:rPr>
        <w:t xml:space="preserve"> the Form</w:t>
      </w:r>
      <w:r w:rsidR="00BC4267">
        <w:rPr>
          <w:sz w:val="20"/>
        </w:rPr>
        <w:t>, for example:</w:t>
      </w:r>
      <w:r w:rsidR="006A03FE">
        <w:rPr>
          <w:sz w:val="20"/>
        </w:rPr>
        <w:t xml:space="preserve">  </w:t>
      </w:r>
      <w:r w:rsidR="00BC004B">
        <w:rPr>
          <w:sz w:val="20"/>
        </w:rPr>
        <w:t>land for new tower or facilities (</w:t>
      </w:r>
      <w:r w:rsidR="006B5B00">
        <w:rPr>
          <w:sz w:val="20"/>
        </w:rPr>
        <w:t>NAB Comments at 7-8)</w:t>
      </w:r>
      <w:r w:rsidR="00A210A5">
        <w:rPr>
          <w:sz w:val="20"/>
        </w:rPr>
        <w:t xml:space="preserve"> (</w:t>
      </w:r>
      <w:r w:rsidR="0070349E">
        <w:rPr>
          <w:sz w:val="20"/>
        </w:rPr>
        <w:t>III.B.4.3.d.1,</w:t>
      </w:r>
      <w:r w:rsidR="00A210A5">
        <w:rPr>
          <w:sz w:val="20"/>
        </w:rPr>
        <w:t>“Other Tower Expenses Not Listed”)</w:t>
      </w:r>
      <w:r w:rsidR="006B5B00">
        <w:rPr>
          <w:sz w:val="20"/>
        </w:rPr>
        <w:t xml:space="preserve">; </w:t>
      </w:r>
      <w:r w:rsidR="00BC4267">
        <w:rPr>
          <w:sz w:val="20"/>
        </w:rPr>
        <w:t>v</w:t>
      </w:r>
      <w:r w:rsidR="00BC4267" w:rsidRPr="00BC4267">
        <w:rPr>
          <w:sz w:val="20"/>
        </w:rPr>
        <w:t>oltage regulators, surge protectors, generators, uninterruptable power supplies and other back-up power</w:t>
      </w:r>
      <w:r w:rsidR="00BC4267">
        <w:rPr>
          <w:sz w:val="20"/>
        </w:rPr>
        <w:t xml:space="preserve"> (PBS/CPB/APTS Comments at 7)</w:t>
      </w:r>
      <w:r w:rsidR="00A210A5">
        <w:rPr>
          <w:sz w:val="20"/>
        </w:rPr>
        <w:t xml:space="preserve"> (</w:t>
      </w:r>
      <w:r w:rsidR="0070349E">
        <w:rPr>
          <w:sz w:val="20"/>
        </w:rPr>
        <w:t>III.B.1.3.c.1,</w:t>
      </w:r>
      <w:r w:rsidR="00A210A5">
        <w:rPr>
          <w:sz w:val="20"/>
        </w:rPr>
        <w:t>“other electrical service” in “Other Transmitter Costs”)</w:t>
      </w:r>
      <w:r w:rsidR="00BC4267">
        <w:rPr>
          <w:sz w:val="20"/>
        </w:rPr>
        <w:t xml:space="preserve">; architectural and engineering services (NAB </w:t>
      </w:r>
      <w:r w:rsidR="00AC1D37">
        <w:rPr>
          <w:sz w:val="20"/>
        </w:rPr>
        <w:t xml:space="preserve">Comments </w:t>
      </w:r>
      <w:r w:rsidR="00BC4267">
        <w:rPr>
          <w:sz w:val="20"/>
        </w:rPr>
        <w:t>at 8)</w:t>
      </w:r>
      <w:r w:rsidR="00045ECD">
        <w:rPr>
          <w:sz w:val="20"/>
        </w:rPr>
        <w:t xml:space="preserve"> </w:t>
      </w:r>
      <w:r w:rsidR="00A210A5">
        <w:rPr>
          <w:sz w:val="20"/>
        </w:rPr>
        <w:t>(</w:t>
      </w:r>
      <w:r w:rsidR="0070349E">
        <w:rPr>
          <w:sz w:val="20"/>
        </w:rPr>
        <w:t>III.B.5.1.b.1,</w:t>
      </w:r>
      <w:r w:rsidR="00A210A5">
        <w:rPr>
          <w:sz w:val="20"/>
        </w:rPr>
        <w:t>“Other Professional Service Expenses Not Listed”)</w:t>
      </w:r>
      <w:r w:rsidR="00C4178A">
        <w:rPr>
          <w:sz w:val="20"/>
        </w:rPr>
        <w:t>; grant-related expenses (NAB Comments at 7-8)(</w:t>
      </w:r>
      <w:r w:rsidR="002A4490">
        <w:rPr>
          <w:sz w:val="20"/>
        </w:rPr>
        <w:t>III.B.6.1.b.1 “Other Expenses,” “Other Miscellaneous Expenses Not Listed”)</w:t>
      </w:r>
      <w:r w:rsidR="00A210A5">
        <w:rPr>
          <w:sz w:val="20"/>
        </w:rPr>
        <w:t>.</w:t>
      </w:r>
      <w:r w:rsidR="00BC4267">
        <w:rPr>
          <w:sz w:val="20"/>
        </w:rPr>
        <w:t xml:space="preserve">  Some commenters suggested adding expenses that were already included in</w:t>
      </w:r>
      <w:r w:rsidR="00520E56">
        <w:rPr>
          <w:sz w:val="20"/>
        </w:rPr>
        <w:t xml:space="preserve"> th</w:t>
      </w:r>
      <w:r w:rsidR="00BC4267">
        <w:rPr>
          <w:sz w:val="20"/>
        </w:rPr>
        <w:t>e draft Form and are incorporated into</w:t>
      </w:r>
      <w:r w:rsidR="00520E56">
        <w:rPr>
          <w:sz w:val="20"/>
        </w:rPr>
        <w:t xml:space="preserve"> the final version</w:t>
      </w:r>
      <w:r w:rsidR="00A210A5">
        <w:rPr>
          <w:sz w:val="20"/>
        </w:rPr>
        <w:t>, for example</w:t>
      </w:r>
      <w:r w:rsidR="00520E56">
        <w:rPr>
          <w:sz w:val="20"/>
        </w:rPr>
        <w:t xml:space="preserve">:  </w:t>
      </w:r>
      <w:r w:rsidR="00A210A5">
        <w:rPr>
          <w:sz w:val="20"/>
        </w:rPr>
        <w:t>coverage verification (PBS/CPB/APTS Comments at 7) (</w:t>
      </w:r>
      <w:r w:rsidR="00A210A5" w:rsidRPr="00AA076D">
        <w:rPr>
          <w:i/>
          <w:sz w:val="20"/>
        </w:rPr>
        <w:t>see</w:t>
      </w:r>
      <w:r w:rsidR="00A210A5">
        <w:rPr>
          <w:sz w:val="20"/>
        </w:rPr>
        <w:t xml:space="preserve"> </w:t>
      </w:r>
      <w:r w:rsidR="0070349E">
        <w:rPr>
          <w:sz w:val="20"/>
        </w:rPr>
        <w:t>III.B.5.1.a.4,</w:t>
      </w:r>
      <w:r w:rsidR="00A210A5">
        <w:rPr>
          <w:sz w:val="20"/>
        </w:rPr>
        <w:t>“comprehensive coverage verification via field study” in “RF Engineering Studies”); environmental studies and FAA assessment (Cohen Dippell Comments at 2) (</w:t>
      </w:r>
      <w:r w:rsidR="00A210A5" w:rsidRPr="00AA076D">
        <w:rPr>
          <w:i/>
          <w:sz w:val="20"/>
        </w:rPr>
        <w:t>see</w:t>
      </w:r>
      <w:r w:rsidR="00A210A5">
        <w:rPr>
          <w:sz w:val="20"/>
        </w:rPr>
        <w:t xml:space="preserve"> </w:t>
      </w:r>
      <w:r w:rsidR="0070349E">
        <w:rPr>
          <w:sz w:val="20"/>
        </w:rPr>
        <w:t>III.B.5.1.a.3,</w:t>
      </w:r>
      <w:r w:rsidR="00A210A5">
        <w:rPr>
          <w:sz w:val="20"/>
        </w:rPr>
        <w:t xml:space="preserve">“NEPA Section 106 environmental review”, “environment assessment” and “FAA Consultation (including preparation of FAA Form 7460)” in “Attorney and Other Outside Consultant Costs”); </w:t>
      </w:r>
      <w:r w:rsidR="00045ECD">
        <w:rPr>
          <w:sz w:val="20"/>
        </w:rPr>
        <w:t xml:space="preserve">and </w:t>
      </w:r>
      <w:r w:rsidR="00045ECD" w:rsidRPr="00045ECD">
        <w:rPr>
          <w:sz w:val="20"/>
        </w:rPr>
        <w:t>expenses resulting from removing and disposing of equipment being replaced</w:t>
      </w:r>
      <w:r w:rsidR="00045ECD">
        <w:rPr>
          <w:sz w:val="20"/>
        </w:rPr>
        <w:t xml:space="preserve"> (PBS/CPB/APTS Comments at 6) (</w:t>
      </w:r>
      <w:r w:rsidR="00045ECD" w:rsidRPr="00AA076D">
        <w:rPr>
          <w:i/>
          <w:sz w:val="20"/>
        </w:rPr>
        <w:t xml:space="preserve">see </w:t>
      </w:r>
      <w:r w:rsidR="00045ECD">
        <w:rPr>
          <w:sz w:val="20"/>
        </w:rPr>
        <w:t>III.B.6.1.a.4</w:t>
      </w:r>
      <w:r w:rsidR="004E506B">
        <w:rPr>
          <w:sz w:val="20"/>
        </w:rPr>
        <w:t>,</w:t>
      </w:r>
      <w:r w:rsidR="00045ECD">
        <w:rPr>
          <w:sz w:val="20"/>
        </w:rPr>
        <w:t xml:space="preserve"> “disposal costs” in “Other Miscellaneous Expenses”).</w:t>
      </w:r>
    </w:p>
  </w:footnote>
  <w:footnote w:id="12">
    <w:p w14:paraId="2A0AF167" w14:textId="77777777" w:rsidR="00837467" w:rsidRDefault="00837467" w:rsidP="00837467">
      <w:pPr>
        <w:pStyle w:val="FootnoteText"/>
      </w:pPr>
      <w:r>
        <w:rPr>
          <w:rStyle w:val="FootnoteReference"/>
        </w:rPr>
        <w:footnoteRef/>
      </w:r>
      <w:r>
        <w:t xml:space="preserve"> </w:t>
      </w:r>
      <w:r w:rsidR="00BE4A04" w:rsidRPr="00AA076D">
        <w:rPr>
          <w:sz w:val="20"/>
        </w:rPr>
        <w:t>Specifically, w</w:t>
      </w:r>
      <w:r w:rsidR="0077661F">
        <w:rPr>
          <w:sz w:val="20"/>
        </w:rPr>
        <w:t>e</w:t>
      </w:r>
      <w:r w:rsidR="00BE4A04" w:rsidRPr="00AA076D">
        <w:rPr>
          <w:sz w:val="20"/>
        </w:rPr>
        <w:t xml:space="preserve"> added the following</w:t>
      </w:r>
      <w:r w:rsidRPr="00AA076D">
        <w:rPr>
          <w:sz w:val="20"/>
        </w:rPr>
        <w:t xml:space="preserve">:  fields that require the user to identify which banking account and contact address from those stored in </w:t>
      </w:r>
      <w:r w:rsidR="00AC1D37">
        <w:rPr>
          <w:sz w:val="20"/>
        </w:rPr>
        <w:t xml:space="preserve">the </w:t>
      </w:r>
      <w:r w:rsidRPr="00AA076D">
        <w:rPr>
          <w:sz w:val="20"/>
        </w:rPr>
        <w:t>CORES system will be used for payment</w:t>
      </w:r>
      <w:r w:rsidR="00BE4A04" w:rsidRPr="00AA076D">
        <w:rPr>
          <w:sz w:val="20"/>
        </w:rPr>
        <w:t xml:space="preserve"> (</w:t>
      </w:r>
      <w:r w:rsidR="00BE4A04" w:rsidRPr="00AA076D">
        <w:rPr>
          <w:i/>
          <w:sz w:val="20"/>
        </w:rPr>
        <w:t>see</w:t>
      </w:r>
      <w:r w:rsidR="00BE4A04" w:rsidRPr="00AA076D">
        <w:rPr>
          <w:sz w:val="20"/>
        </w:rPr>
        <w:t xml:space="preserve"> discussion of banking and payment information, </w:t>
      </w:r>
      <w:r w:rsidR="00BE4A04" w:rsidRPr="00AA076D">
        <w:rPr>
          <w:i/>
          <w:sz w:val="20"/>
        </w:rPr>
        <w:t>infra</w:t>
      </w:r>
      <w:r w:rsidR="00BE4A04" w:rsidRPr="00AA076D">
        <w:rPr>
          <w:sz w:val="20"/>
        </w:rPr>
        <w:t>)</w:t>
      </w:r>
      <w:r w:rsidRPr="00AA076D">
        <w:rPr>
          <w:sz w:val="20"/>
        </w:rPr>
        <w:t xml:space="preserve">; a question asking whether a station’s existing antenna is located near an antenna farm; </w:t>
      </w:r>
      <w:r w:rsidR="00657F33">
        <w:rPr>
          <w:sz w:val="20"/>
        </w:rPr>
        <w:t xml:space="preserve">the </w:t>
      </w:r>
      <w:r w:rsidR="00BE4A04" w:rsidRPr="00AA076D">
        <w:rPr>
          <w:sz w:val="20"/>
        </w:rPr>
        <w:t>name of vendor providing the equipment or service and</w:t>
      </w:r>
      <w:r w:rsidR="00657F33">
        <w:rPr>
          <w:sz w:val="20"/>
        </w:rPr>
        <w:t>, if provided on its invoice, the vendor’s employer identification number (</w:t>
      </w:r>
      <w:r w:rsidR="00BE4A04" w:rsidRPr="00AA076D">
        <w:rPr>
          <w:sz w:val="20"/>
        </w:rPr>
        <w:t>EIN</w:t>
      </w:r>
      <w:r w:rsidR="00657F33">
        <w:rPr>
          <w:sz w:val="20"/>
        </w:rPr>
        <w:t>)</w:t>
      </w:r>
      <w:r w:rsidR="00BE4A04" w:rsidRPr="00AA076D">
        <w:rPr>
          <w:sz w:val="20"/>
        </w:rPr>
        <w:t xml:space="preserve"> or </w:t>
      </w:r>
      <w:r w:rsidR="00657F33">
        <w:rPr>
          <w:sz w:val="20"/>
        </w:rPr>
        <w:t xml:space="preserve">taxpayer identification number (TIN) </w:t>
      </w:r>
      <w:r w:rsidR="00BE4A04" w:rsidRPr="00AA076D">
        <w:rPr>
          <w:sz w:val="20"/>
        </w:rPr>
        <w:t xml:space="preserve">(vendor name and EIN/TIN will not be viewable by the public; </w:t>
      </w:r>
      <w:r w:rsidR="00BE4A04" w:rsidRPr="00AA076D">
        <w:rPr>
          <w:i/>
          <w:sz w:val="20"/>
        </w:rPr>
        <w:t>see</w:t>
      </w:r>
      <w:r w:rsidR="00BE4A04" w:rsidRPr="00AA076D">
        <w:rPr>
          <w:sz w:val="20"/>
        </w:rPr>
        <w:t xml:space="preserve"> discussion of confidentiality, </w:t>
      </w:r>
      <w:r w:rsidR="00BE4A04" w:rsidRPr="00AA076D">
        <w:rPr>
          <w:i/>
          <w:sz w:val="20"/>
        </w:rPr>
        <w:t>infra</w:t>
      </w:r>
      <w:r w:rsidR="00BE4A04" w:rsidRPr="00AA076D">
        <w:rPr>
          <w:sz w:val="20"/>
        </w:rPr>
        <w:t>)</w:t>
      </w:r>
      <w:r w:rsidR="00DC2689">
        <w:rPr>
          <w:sz w:val="20"/>
        </w:rPr>
        <w:t>;</w:t>
      </w:r>
      <w:r w:rsidR="00B10CCB">
        <w:rPr>
          <w:sz w:val="20"/>
        </w:rPr>
        <w:t xml:space="preserve"> </w:t>
      </w:r>
      <w:r w:rsidR="00DC2689">
        <w:rPr>
          <w:sz w:val="20"/>
        </w:rPr>
        <w:t>and invoice number and invoice amount.</w:t>
      </w:r>
      <w:r w:rsidR="000103C9">
        <w:rPr>
          <w:sz w:val="20"/>
        </w:rPr>
        <w:t xml:space="preserve">  In addition, the instructions to the Form remind recipients that, consistent with 47 C.F,R. 73.3700(e)(5), they must file progress reports, at a date and frequency to be determined by the Media Bureau. Entities will upload progress reports to LMS as supporting documentation (</w:t>
      </w:r>
      <w:r w:rsidR="000103C9" w:rsidRPr="007E6D9E">
        <w:rPr>
          <w:i/>
          <w:sz w:val="20"/>
        </w:rPr>
        <w:t>i.e.</w:t>
      </w:r>
      <w:r w:rsidR="000103C9">
        <w:rPr>
          <w:sz w:val="20"/>
        </w:rPr>
        <w:t xml:space="preserve">, a separate document) during the reimbursement period, as directed by the Media Bureau.  </w:t>
      </w:r>
    </w:p>
  </w:footnote>
  <w:footnote w:id="13">
    <w:p w14:paraId="00DBC7A6" w14:textId="77777777" w:rsidR="006A03FE" w:rsidRPr="00AA076D" w:rsidRDefault="006A03FE">
      <w:pPr>
        <w:pStyle w:val="FootnoteText"/>
        <w:rPr>
          <w:sz w:val="20"/>
        </w:rPr>
      </w:pPr>
      <w:r w:rsidRPr="00AA076D">
        <w:rPr>
          <w:rStyle w:val="FootnoteReference"/>
          <w:sz w:val="20"/>
        </w:rPr>
        <w:footnoteRef/>
      </w:r>
      <w:r w:rsidRPr="00AA076D">
        <w:rPr>
          <w:sz w:val="20"/>
        </w:rPr>
        <w:t xml:space="preserve"> </w:t>
      </w:r>
      <w:r w:rsidR="00093FF2">
        <w:rPr>
          <w:sz w:val="20"/>
        </w:rPr>
        <w:t>Treasury ASAP account and contact information and certification is no longer required (</w:t>
      </w:r>
      <w:r w:rsidR="00093FF2" w:rsidRPr="001A7A63">
        <w:rPr>
          <w:i/>
          <w:sz w:val="20"/>
        </w:rPr>
        <w:t>see</w:t>
      </w:r>
      <w:r w:rsidR="00093FF2" w:rsidRPr="001A7A63">
        <w:rPr>
          <w:sz w:val="20"/>
        </w:rPr>
        <w:t xml:space="preserve"> discussion of banking and payment information, </w:t>
      </w:r>
      <w:r w:rsidR="00093FF2" w:rsidRPr="001A7A63">
        <w:rPr>
          <w:i/>
          <w:sz w:val="20"/>
        </w:rPr>
        <w:t>infra</w:t>
      </w:r>
      <w:r w:rsidR="00093FF2" w:rsidRPr="001A7A63">
        <w:rPr>
          <w:sz w:val="20"/>
        </w:rPr>
        <w:t>)</w:t>
      </w:r>
      <w:r w:rsidR="00093FF2">
        <w:rPr>
          <w:sz w:val="20"/>
        </w:rPr>
        <w:t xml:space="preserve">.  </w:t>
      </w:r>
      <w:r w:rsidR="00EC13DC">
        <w:rPr>
          <w:sz w:val="20"/>
        </w:rPr>
        <w:t xml:space="preserve"> </w:t>
      </w:r>
      <w:r w:rsidR="00093FF2">
        <w:rPr>
          <w:sz w:val="20"/>
        </w:rPr>
        <w:t xml:space="preserve"> </w:t>
      </w:r>
    </w:p>
  </w:footnote>
  <w:footnote w:id="14">
    <w:p w14:paraId="0A86ECDF" w14:textId="77777777" w:rsidR="00C72CFF" w:rsidRPr="00C72CFF" w:rsidRDefault="00C72CFF">
      <w:pPr>
        <w:pStyle w:val="FootnoteText"/>
      </w:pPr>
      <w:r w:rsidRPr="00C72CFF">
        <w:rPr>
          <w:rStyle w:val="FootnoteReference"/>
          <w:sz w:val="20"/>
        </w:rPr>
        <w:footnoteRef/>
      </w:r>
      <w:r w:rsidRPr="00C72CFF">
        <w:rPr>
          <w:sz w:val="20"/>
        </w:rPr>
        <w:t xml:space="preserve"> </w:t>
      </w:r>
      <w:r w:rsidRPr="00B42411">
        <w:rPr>
          <w:i/>
          <w:sz w:val="20"/>
        </w:rPr>
        <w:t>Incentive Auction R&amp;O</w:t>
      </w:r>
      <w:r>
        <w:rPr>
          <w:sz w:val="20"/>
        </w:rPr>
        <w:t xml:space="preserve">, 29 FCC </w:t>
      </w:r>
      <w:r w:rsidRPr="001119D9">
        <w:rPr>
          <w:sz w:val="20"/>
        </w:rPr>
        <w:t xml:space="preserve">Rcd </w:t>
      </w:r>
      <w:r w:rsidR="001119D9" w:rsidRPr="001119D9">
        <w:rPr>
          <w:sz w:val="20"/>
        </w:rPr>
        <w:t>6816</w:t>
      </w:r>
      <w:r w:rsidRPr="001119D9">
        <w:rPr>
          <w:sz w:val="20"/>
        </w:rPr>
        <w:t xml:space="preserve">, </w:t>
      </w:r>
      <w:r w:rsidR="001119D9" w:rsidRPr="001119D9">
        <w:rPr>
          <w:sz w:val="20"/>
        </w:rPr>
        <w:t>para.</w:t>
      </w:r>
      <w:r w:rsidR="001119D9">
        <w:rPr>
          <w:sz w:val="20"/>
        </w:rPr>
        <w:t xml:space="preserve"> 609</w:t>
      </w:r>
      <w:r w:rsidRPr="00B42411">
        <w:rPr>
          <w:sz w:val="20"/>
        </w:rPr>
        <w:t>.</w:t>
      </w:r>
    </w:p>
  </w:footnote>
  <w:footnote w:id="15">
    <w:p w14:paraId="7539D803" w14:textId="77777777" w:rsidR="001119D9" w:rsidRPr="001119D9" w:rsidRDefault="001119D9">
      <w:pPr>
        <w:pStyle w:val="FootnoteText"/>
        <w:rPr>
          <w:sz w:val="20"/>
        </w:rPr>
      </w:pPr>
      <w:r w:rsidRPr="007E3CED">
        <w:rPr>
          <w:rStyle w:val="FootnoteReference"/>
          <w:sz w:val="20"/>
        </w:rPr>
        <w:footnoteRef/>
      </w:r>
      <w:r w:rsidRPr="001119D9">
        <w:rPr>
          <w:i/>
          <w:sz w:val="20"/>
        </w:rPr>
        <w:t xml:space="preserve"> </w:t>
      </w:r>
      <w:r>
        <w:rPr>
          <w:i/>
          <w:sz w:val="20"/>
        </w:rPr>
        <w:t>Id</w:t>
      </w:r>
      <w:r>
        <w:rPr>
          <w:sz w:val="20"/>
        </w:rPr>
        <w:t>.</w:t>
      </w:r>
    </w:p>
  </w:footnote>
  <w:footnote w:id="16">
    <w:p w14:paraId="4720EEDA" w14:textId="77777777" w:rsidR="00047BF1" w:rsidRPr="00047BF1" w:rsidRDefault="00047BF1">
      <w:pPr>
        <w:pStyle w:val="FootnoteText"/>
        <w:rPr>
          <w:sz w:val="20"/>
        </w:rPr>
      </w:pPr>
      <w:r>
        <w:rPr>
          <w:rStyle w:val="FootnoteReference"/>
        </w:rPr>
        <w:footnoteRef/>
      </w:r>
      <w:r>
        <w:t xml:space="preserve"> </w:t>
      </w:r>
      <w:r w:rsidRPr="00047BF1">
        <w:rPr>
          <w:i/>
          <w:sz w:val="20"/>
        </w:rPr>
        <w:t>See Draft Reimbursement Form PN</w:t>
      </w:r>
      <w:r>
        <w:rPr>
          <w:sz w:val="20"/>
        </w:rPr>
        <w:t>, 29</w:t>
      </w:r>
      <w:r w:rsidR="00E23A13">
        <w:rPr>
          <w:sz w:val="20"/>
        </w:rPr>
        <w:t xml:space="preserve"> FCC Rcd</w:t>
      </w:r>
      <w:r w:rsidR="00F8317D">
        <w:rPr>
          <w:sz w:val="20"/>
        </w:rPr>
        <w:t xml:space="preserve"> at 11452</w:t>
      </w:r>
      <w:r>
        <w:rPr>
          <w:sz w:val="20"/>
        </w:rPr>
        <w:t xml:space="preserve">.  </w:t>
      </w:r>
      <w:r w:rsidR="00FB3B6C" w:rsidRPr="005D761C">
        <w:rPr>
          <w:i/>
          <w:sz w:val="20"/>
        </w:rPr>
        <w:t>See also</w:t>
      </w:r>
      <w:r w:rsidR="00FB3B6C">
        <w:rPr>
          <w:sz w:val="20"/>
        </w:rPr>
        <w:t xml:space="preserve">, </w:t>
      </w:r>
      <w:r w:rsidR="005D761C" w:rsidRPr="005D761C">
        <w:rPr>
          <w:i/>
          <w:sz w:val="20"/>
        </w:rPr>
        <w:t>Incentive Auction R&amp;O</w:t>
      </w:r>
      <w:r w:rsidR="005D761C">
        <w:rPr>
          <w:sz w:val="20"/>
        </w:rPr>
        <w:t>, 29 FCC Rcd 6816, para. 609</w:t>
      </w:r>
      <w:r w:rsidR="00FB3B6C">
        <w:rPr>
          <w:sz w:val="20"/>
        </w:rPr>
        <w:t>.</w:t>
      </w:r>
    </w:p>
  </w:footnote>
  <w:footnote w:id="17">
    <w:p w14:paraId="5577F7E3" w14:textId="77777777" w:rsidR="003A7FF3" w:rsidRPr="00C72CFF" w:rsidRDefault="003A7FF3">
      <w:pPr>
        <w:pStyle w:val="FootnoteText"/>
        <w:rPr>
          <w:sz w:val="20"/>
        </w:rPr>
      </w:pPr>
      <w:r w:rsidRPr="00C72CFF">
        <w:rPr>
          <w:rStyle w:val="FootnoteReference"/>
          <w:sz w:val="20"/>
        </w:rPr>
        <w:footnoteRef/>
      </w:r>
      <w:r w:rsidRPr="00C72CFF">
        <w:rPr>
          <w:sz w:val="20"/>
        </w:rPr>
        <w:t xml:space="preserve"> </w:t>
      </w:r>
      <w:r w:rsidRPr="00C72CFF">
        <w:rPr>
          <w:i/>
          <w:sz w:val="20"/>
        </w:rPr>
        <w:t>See Incentive Auction R&amp;O</w:t>
      </w:r>
      <w:r>
        <w:rPr>
          <w:sz w:val="20"/>
        </w:rPr>
        <w:t>, 29 FCC Rcd 6820 at para. 619 (“Finally, w</w:t>
      </w:r>
      <w:r w:rsidRPr="003A7FF3">
        <w:rPr>
          <w:sz w:val="20"/>
        </w:rPr>
        <w:t xml:space="preserve">e delegate authority to the Media Bureau to adopt the necessary policies and procedures relating to allocations, draw downs, payments, obligations, and expenditures of money from the Reimbursement Fund in order to protect against waste, fraud, and abuse and </w:t>
      </w:r>
      <w:r>
        <w:rPr>
          <w:sz w:val="20"/>
        </w:rPr>
        <w:t xml:space="preserve">in the event of bankruptcy. (footnote omitted) </w:t>
      </w:r>
      <w:r w:rsidRPr="003A7FF3">
        <w:rPr>
          <w:sz w:val="20"/>
        </w:rPr>
        <w:t>Given the importance of maintaining the integrity of the Fund, the Media Bureau will consult with the Office of General Counsel and the Office of the Managing Director in acting pursuant to this delegation.</w:t>
      </w:r>
      <w:r>
        <w:rPr>
          <w:sz w:val="20"/>
        </w:rPr>
        <w:t>”).</w:t>
      </w:r>
    </w:p>
  </w:footnote>
  <w:footnote w:id="18">
    <w:p w14:paraId="766D9F5F" w14:textId="77777777" w:rsidR="009953CC" w:rsidRPr="00D43EDC" w:rsidRDefault="009953CC">
      <w:pPr>
        <w:pStyle w:val="FootnoteText"/>
        <w:rPr>
          <w:sz w:val="20"/>
        </w:rPr>
      </w:pPr>
      <w:r w:rsidRPr="00D43EDC">
        <w:rPr>
          <w:rStyle w:val="FootnoteReference"/>
          <w:sz w:val="20"/>
        </w:rPr>
        <w:footnoteRef/>
      </w:r>
      <w:r w:rsidRPr="00D43EDC">
        <w:rPr>
          <w:sz w:val="20"/>
        </w:rPr>
        <w:t xml:space="preserve"> Under the latter approach, the entity would make an out-of-pocket payment to its vendor prior to being reimbursed from the Fund, but would avoid the need to file frequent claims.</w:t>
      </w:r>
    </w:p>
  </w:footnote>
  <w:footnote w:id="19">
    <w:p w14:paraId="6687EC88" w14:textId="77777777" w:rsidR="003C71E2" w:rsidRDefault="003C71E2">
      <w:pPr>
        <w:pStyle w:val="FootnoteText"/>
      </w:pPr>
      <w:r>
        <w:rPr>
          <w:rStyle w:val="FootnoteReference"/>
        </w:rPr>
        <w:footnoteRef/>
      </w:r>
      <w:r>
        <w:t xml:space="preserve"> </w:t>
      </w:r>
      <w:r w:rsidRPr="00F8317D">
        <w:rPr>
          <w:i/>
          <w:sz w:val="20"/>
        </w:rPr>
        <w:t>D</w:t>
      </w:r>
      <w:r w:rsidR="00F8317D" w:rsidRPr="00F8317D">
        <w:rPr>
          <w:i/>
          <w:sz w:val="20"/>
        </w:rPr>
        <w:t>raft Reimbursement Form PN</w:t>
      </w:r>
      <w:r w:rsidR="00F8317D">
        <w:rPr>
          <w:sz w:val="20"/>
        </w:rPr>
        <w:t>, 29 FCC Rcd at 11453</w:t>
      </w:r>
      <w:r w:rsidRPr="00944A86">
        <w:rPr>
          <w:sz w:val="20"/>
        </w:rPr>
        <w:t>.</w:t>
      </w:r>
      <w:r w:rsidR="00944A86" w:rsidRPr="00944A86">
        <w:rPr>
          <w:sz w:val="20"/>
        </w:rPr>
        <w:t xml:space="preserve">  We received one comment on this issue. </w:t>
      </w:r>
      <w:r w:rsidR="00944A86">
        <w:rPr>
          <w:sz w:val="20"/>
        </w:rPr>
        <w:t xml:space="preserve"> </w:t>
      </w:r>
      <w:r w:rsidR="00944A86" w:rsidRPr="00944A86">
        <w:rPr>
          <w:i/>
          <w:sz w:val="20"/>
        </w:rPr>
        <w:t>See</w:t>
      </w:r>
      <w:r w:rsidR="00944A86">
        <w:rPr>
          <w:sz w:val="20"/>
        </w:rPr>
        <w:t xml:space="preserve"> Cohen Dippell Comments at 3 (stating that all outside professional services and other expenses reported in Sections III.B.5 and III.B.6 of the Form are proprietary and should be confidential).</w:t>
      </w:r>
    </w:p>
  </w:footnote>
  <w:footnote w:id="20">
    <w:p w14:paraId="078A0257" w14:textId="77777777" w:rsidR="005A18CA" w:rsidRPr="00496AAF" w:rsidRDefault="005A18CA">
      <w:pPr>
        <w:pStyle w:val="FootnoteText"/>
        <w:rPr>
          <w:sz w:val="20"/>
        </w:rPr>
      </w:pPr>
      <w:r>
        <w:rPr>
          <w:rStyle w:val="FootnoteReference"/>
        </w:rPr>
        <w:footnoteRef/>
      </w:r>
      <w:r>
        <w:t xml:space="preserve"> </w:t>
      </w:r>
      <w:r w:rsidR="00496AAF" w:rsidRPr="00496AAF">
        <w:rPr>
          <w:i/>
          <w:sz w:val="20"/>
        </w:rPr>
        <w:t>See</w:t>
      </w:r>
      <w:r w:rsidR="00496AAF" w:rsidRPr="00496AAF">
        <w:rPr>
          <w:sz w:val="20"/>
        </w:rPr>
        <w:t xml:space="preserve"> </w:t>
      </w:r>
      <w:r w:rsidR="00763974" w:rsidRPr="00496AAF">
        <w:rPr>
          <w:sz w:val="20"/>
        </w:rPr>
        <w:t>47 C.F.R. § 0.457(d)(2)</w:t>
      </w:r>
      <w:r w:rsidR="00763974" w:rsidRPr="00496AAF">
        <w:rPr>
          <w:color w:val="252525"/>
          <w:sz w:val="20"/>
        </w:rPr>
        <w:t xml:space="preserve"> (“In the absence of a request for non-disclosure, the Commission may . . . determine on its own motion that the materials should not be routinely available for public inspection.”)</w:t>
      </w:r>
      <w:r w:rsidR="00496AAF" w:rsidRPr="00496AAF">
        <w:rPr>
          <w:color w:val="252525"/>
          <w:sz w:val="20"/>
        </w:rPr>
        <w:t xml:space="preserve">; </w:t>
      </w:r>
      <w:r w:rsidR="00496AAF" w:rsidRPr="00496AAF">
        <w:rPr>
          <w:i/>
          <w:color w:val="252525"/>
          <w:sz w:val="20"/>
        </w:rPr>
        <w:t>id</w:t>
      </w:r>
      <w:r w:rsidR="00496AAF" w:rsidRPr="00496AAF">
        <w:rPr>
          <w:color w:val="252525"/>
          <w:sz w:val="20"/>
        </w:rPr>
        <w:t>. § 0.459(f).</w:t>
      </w:r>
    </w:p>
  </w:footnote>
  <w:footnote w:id="21">
    <w:p w14:paraId="54886A6B" w14:textId="77777777" w:rsidR="00763974" w:rsidRPr="00496AAF" w:rsidRDefault="00763974">
      <w:pPr>
        <w:pStyle w:val="FootnoteText"/>
        <w:rPr>
          <w:sz w:val="20"/>
        </w:rPr>
      </w:pPr>
      <w:r>
        <w:rPr>
          <w:rStyle w:val="FootnoteReference"/>
        </w:rPr>
        <w:footnoteRef/>
      </w:r>
      <w:r>
        <w:t xml:space="preserve"> </w:t>
      </w:r>
      <w:r w:rsidRPr="00496AAF">
        <w:rPr>
          <w:sz w:val="20"/>
        </w:rPr>
        <w:t xml:space="preserve">5 U.S.C. § 552(b)(4) (exempting from disclosure </w:t>
      </w:r>
      <w:r w:rsidRPr="00496AAF">
        <w:rPr>
          <w:rStyle w:val="apple-converted-space"/>
          <w:color w:val="252525"/>
          <w:sz w:val="20"/>
        </w:rPr>
        <w:t> </w:t>
      </w:r>
      <w:r w:rsidRPr="00496AAF">
        <w:rPr>
          <w:color w:val="252525"/>
          <w:sz w:val="20"/>
        </w:rPr>
        <w:t>“trade secrets and commercial or financial information obtained from a person and privileged or confidential”</w:t>
      </w:r>
      <w:r w:rsidR="00496AAF" w:rsidRPr="00496AAF">
        <w:rPr>
          <w:color w:val="252525"/>
          <w:sz w:val="20"/>
        </w:rPr>
        <w:t xml:space="preserve">).  </w:t>
      </w:r>
      <w:r w:rsidR="00496AAF" w:rsidRPr="00496AAF">
        <w:rPr>
          <w:i/>
          <w:color w:val="252525"/>
          <w:sz w:val="20"/>
        </w:rPr>
        <w:t>See also</w:t>
      </w:r>
      <w:r w:rsidR="00496AAF" w:rsidRPr="00496AAF">
        <w:rPr>
          <w:color w:val="252525"/>
          <w:sz w:val="20"/>
        </w:rPr>
        <w:t xml:space="preserve"> 47 C.F.R. § 0.457(d).</w:t>
      </w:r>
    </w:p>
  </w:footnote>
  <w:footnote w:id="22">
    <w:p w14:paraId="10676829" w14:textId="77777777" w:rsidR="00E052C3" w:rsidRDefault="00E052C3">
      <w:pPr>
        <w:pStyle w:val="FootnoteText"/>
      </w:pPr>
      <w:r>
        <w:rPr>
          <w:rStyle w:val="FootnoteReference"/>
        </w:rPr>
        <w:footnoteRef/>
      </w:r>
      <w:r>
        <w:t xml:space="preserve"> </w:t>
      </w:r>
      <w:r w:rsidRPr="00E052C3">
        <w:rPr>
          <w:i/>
          <w:sz w:val="20"/>
        </w:rPr>
        <w:t xml:space="preserve">Incentive Auction R&amp;O, </w:t>
      </w:r>
      <w:r w:rsidR="008C5F98">
        <w:rPr>
          <w:sz w:val="20"/>
        </w:rPr>
        <w:t xml:space="preserve">29 FCC Rcd at 6817, para. </w:t>
      </w:r>
      <w:r w:rsidRPr="00E052C3">
        <w:rPr>
          <w:sz w:val="20"/>
        </w:rPr>
        <w:t>610 n. 1724</w:t>
      </w:r>
      <w:r w:rsidR="005A18CA">
        <w:rPr>
          <w:sz w:val="20"/>
        </w:rPr>
        <w:t>.</w:t>
      </w:r>
    </w:p>
  </w:footnote>
  <w:footnote w:id="23">
    <w:p w14:paraId="6A13A5D6" w14:textId="77777777" w:rsidR="00DC0EF6" w:rsidRPr="00AA076D" w:rsidRDefault="00DC0EF6">
      <w:pPr>
        <w:pStyle w:val="FootnoteText"/>
        <w:rPr>
          <w:sz w:val="20"/>
        </w:rPr>
      </w:pPr>
      <w:r w:rsidRPr="00AA076D">
        <w:rPr>
          <w:rStyle w:val="FootnoteReference"/>
          <w:sz w:val="20"/>
        </w:rPr>
        <w:footnoteRef/>
      </w:r>
      <w:r w:rsidRPr="00AA076D">
        <w:rPr>
          <w:sz w:val="20"/>
        </w:rPr>
        <w:t xml:space="preserve"> The actions in this Public Notice have not changed our Final Regulatory Flexibility Analysis (FRFA), which was set forth in the </w:t>
      </w:r>
      <w:r w:rsidRPr="00AA076D">
        <w:rPr>
          <w:i/>
          <w:sz w:val="20"/>
        </w:rPr>
        <w:t>Incentive Auction Report and Order</w:t>
      </w:r>
      <w:r w:rsidRPr="00AA076D">
        <w:rPr>
          <w:sz w:val="20"/>
        </w:rPr>
        <w:t>.</w:t>
      </w:r>
      <w:r w:rsidRPr="00AA076D">
        <w:rPr>
          <w:i/>
          <w:sz w:val="20"/>
        </w:rPr>
        <w:t xml:space="preserve"> </w:t>
      </w:r>
      <w:r w:rsidRPr="00AA076D">
        <w:rPr>
          <w:sz w:val="20"/>
        </w:rPr>
        <w:t xml:space="preserve"> </w:t>
      </w:r>
      <w:r w:rsidRPr="00AA076D">
        <w:rPr>
          <w:i/>
          <w:sz w:val="20"/>
        </w:rPr>
        <w:t>See Incentive Auction Report and Order</w:t>
      </w:r>
      <w:r w:rsidRPr="00AA076D">
        <w:rPr>
          <w:sz w:val="20"/>
        </w:rPr>
        <w:t xml:space="preserve">, </w:t>
      </w:r>
      <w:r w:rsidRPr="00AA076D">
        <w:rPr>
          <w:spacing w:val="-2"/>
          <w:sz w:val="20"/>
        </w:rPr>
        <w:t xml:space="preserve">29 FCC Rcd at 6947, Appendix 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6D17" w14:textId="77777777" w:rsidR="00425A02" w:rsidRDefault="00425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0CAE" w14:textId="77777777" w:rsidR="00425A02" w:rsidRDefault="00425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B46E" w14:textId="77777777" w:rsidR="00602577" w:rsidRPr="00075BA5" w:rsidRDefault="000674D6">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27224538" wp14:editId="68C64C42">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sidRPr="00075BA5">
      <w:rPr>
        <w:rFonts w:ascii="Arial" w:hAnsi="Arial" w:cs="Arial"/>
        <w:b/>
        <w:kern w:val="28"/>
        <w:sz w:val="96"/>
      </w:rPr>
      <w:t>PUBLIC NOTICE</w:t>
    </w:r>
  </w:p>
  <w:p w14:paraId="2429B96D" w14:textId="77777777" w:rsidR="00602577" w:rsidRDefault="000674D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A6874CB" wp14:editId="34554A0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600D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706479C" wp14:editId="56F60DAD">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8CC7C" w14:textId="77777777" w:rsidR="00602577" w:rsidRDefault="00602577">
                          <w:pPr>
                            <w:rPr>
                              <w:rFonts w:ascii="Arial" w:hAnsi="Arial"/>
                              <w:b/>
                            </w:rPr>
                          </w:pPr>
                          <w:r>
                            <w:rPr>
                              <w:rFonts w:ascii="Arial" w:hAnsi="Arial"/>
                              <w:b/>
                            </w:rPr>
                            <w:t>Federal Communications Commission</w:t>
                          </w:r>
                        </w:p>
                        <w:p w14:paraId="50E9744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71DDF32"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06479C"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1098CC7C" w14:textId="77777777" w:rsidR="00602577" w:rsidRDefault="00602577">
                    <w:pPr>
                      <w:rPr>
                        <w:rFonts w:ascii="Arial" w:hAnsi="Arial"/>
                        <w:b/>
                      </w:rPr>
                    </w:pPr>
                    <w:r>
                      <w:rPr>
                        <w:rFonts w:ascii="Arial" w:hAnsi="Arial"/>
                        <w:b/>
                      </w:rPr>
                      <w:t>Federal Communications Commission</w:t>
                    </w:r>
                  </w:p>
                  <w:p w14:paraId="50E9744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71DDF32"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877962A" wp14:editId="5EC8ADCF">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0ACCD" w14:textId="77777777" w:rsidR="00602577" w:rsidRDefault="00602577">
                          <w:pPr>
                            <w:spacing w:before="40"/>
                            <w:jc w:val="right"/>
                            <w:rPr>
                              <w:rFonts w:ascii="Arial" w:hAnsi="Arial"/>
                              <w:b/>
                              <w:sz w:val="16"/>
                            </w:rPr>
                          </w:pPr>
                          <w:r>
                            <w:rPr>
                              <w:rFonts w:ascii="Arial" w:hAnsi="Arial"/>
                              <w:b/>
                              <w:sz w:val="16"/>
                            </w:rPr>
                            <w:t>News Media Information 202 / 418-0500</w:t>
                          </w:r>
                        </w:p>
                        <w:p w14:paraId="6A01F595"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8374F69" w14:textId="77777777" w:rsidR="00602577" w:rsidRDefault="00602577">
                          <w:pPr>
                            <w:jc w:val="right"/>
                            <w:rPr>
                              <w:rFonts w:ascii="Arial" w:hAnsi="Arial"/>
                              <w:b/>
                              <w:sz w:val="16"/>
                            </w:rPr>
                          </w:pPr>
                          <w:r>
                            <w:rPr>
                              <w:rFonts w:ascii="Arial" w:hAnsi="Arial"/>
                              <w:b/>
                              <w:sz w:val="16"/>
                            </w:rPr>
                            <w:t>TTY: 1-888-835-5322</w:t>
                          </w:r>
                        </w:p>
                        <w:p w14:paraId="2CEE59C5"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77962A"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1850ACCD" w14:textId="77777777" w:rsidR="00602577" w:rsidRDefault="00602577">
                    <w:pPr>
                      <w:spacing w:before="40"/>
                      <w:jc w:val="right"/>
                      <w:rPr>
                        <w:rFonts w:ascii="Arial" w:hAnsi="Arial"/>
                        <w:b/>
                        <w:sz w:val="16"/>
                      </w:rPr>
                    </w:pPr>
                    <w:r>
                      <w:rPr>
                        <w:rFonts w:ascii="Arial" w:hAnsi="Arial"/>
                        <w:b/>
                        <w:sz w:val="16"/>
                      </w:rPr>
                      <w:t>News Media Information 202 / 418-0500</w:t>
                    </w:r>
                  </w:p>
                  <w:p w14:paraId="6A01F595"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8374F69" w14:textId="77777777" w:rsidR="00602577" w:rsidRDefault="00602577">
                    <w:pPr>
                      <w:jc w:val="right"/>
                      <w:rPr>
                        <w:rFonts w:ascii="Arial" w:hAnsi="Arial"/>
                        <w:b/>
                        <w:sz w:val="16"/>
                      </w:rPr>
                    </w:pPr>
                    <w:r>
                      <w:rPr>
                        <w:rFonts w:ascii="Arial" w:hAnsi="Arial"/>
                        <w:b/>
                        <w:sz w:val="16"/>
                      </w:rPr>
                      <w:t>TTY: 1-888-835-5322</w:t>
                    </w:r>
                  </w:p>
                  <w:p w14:paraId="2CEE59C5" w14:textId="77777777" w:rsidR="00602577" w:rsidRDefault="00602577">
                    <w:pPr>
                      <w:jc w:val="right"/>
                    </w:pPr>
                  </w:p>
                </w:txbxContent>
              </v:textbox>
            </v:shape>
          </w:pict>
        </mc:Fallback>
      </mc:AlternateContent>
    </w:r>
  </w:p>
  <w:p w14:paraId="6FBB5FCA"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24"/>
    <w:rsid w:val="00004F65"/>
    <w:rsid w:val="000103C9"/>
    <w:rsid w:val="00010B94"/>
    <w:rsid w:val="000248E1"/>
    <w:rsid w:val="000265AE"/>
    <w:rsid w:val="0004042D"/>
    <w:rsid w:val="00045ECD"/>
    <w:rsid w:val="00047BF1"/>
    <w:rsid w:val="000519D7"/>
    <w:rsid w:val="000674D6"/>
    <w:rsid w:val="00075168"/>
    <w:rsid w:val="00075BA5"/>
    <w:rsid w:val="00092BEC"/>
    <w:rsid w:val="00093FF2"/>
    <w:rsid w:val="000A4776"/>
    <w:rsid w:val="000B3750"/>
    <w:rsid w:val="000C52E3"/>
    <w:rsid w:val="000D67EE"/>
    <w:rsid w:val="001119D9"/>
    <w:rsid w:val="00114703"/>
    <w:rsid w:val="001326D9"/>
    <w:rsid w:val="001429D8"/>
    <w:rsid w:val="001521AD"/>
    <w:rsid w:val="001541B9"/>
    <w:rsid w:val="001616E8"/>
    <w:rsid w:val="00170DAC"/>
    <w:rsid w:val="00171BB0"/>
    <w:rsid w:val="00182091"/>
    <w:rsid w:val="001A6676"/>
    <w:rsid w:val="001B6AA8"/>
    <w:rsid w:val="001C403A"/>
    <w:rsid w:val="001E5136"/>
    <w:rsid w:val="001E68EC"/>
    <w:rsid w:val="001F0C72"/>
    <w:rsid w:val="002025D1"/>
    <w:rsid w:val="0021029D"/>
    <w:rsid w:val="00213EA3"/>
    <w:rsid w:val="0021443F"/>
    <w:rsid w:val="00216F90"/>
    <w:rsid w:val="00223497"/>
    <w:rsid w:val="00232BF8"/>
    <w:rsid w:val="00235260"/>
    <w:rsid w:val="002410D0"/>
    <w:rsid w:val="002631DA"/>
    <w:rsid w:val="00290DA0"/>
    <w:rsid w:val="00295E89"/>
    <w:rsid w:val="002A4490"/>
    <w:rsid w:val="002B1712"/>
    <w:rsid w:val="002B259F"/>
    <w:rsid w:val="002B29A7"/>
    <w:rsid w:val="002B2CB8"/>
    <w:rsid w:val="002B2F5A"/>
    <w:rsid w:val="002B6355"/>
    <w:rsid w:val="002C327C"/>
    <w:rsid w:val="002C4F1C"/>
    <w:rsid w:val="002C6D1B"/>
    <w:rsid w:val="002D1F23"/>
    <w:rsid w:val="002D4E01"/>
    <w:rsid w:val="003025CE"/>
    <w:rsid w:val="0030619E"/>
    <w:rsid w:val="00306F40"/>
    <w:rsid w:val="0031303F"/>
    <w:rsid w:val="003166AB"/>
    <w:rsid w:val="0032194F"/>
    <w:rsid w:val="003368A5"/>
    <w:rsid w:val="0034231B"/>
    <w:rsid w:val="0034582B"/>
    <w:rsid w:val="00361925"/>
    <w:rsid w:val="003718DE"/>
    <w:rsid w:val="00371A83"/>
    <w:rsid w:val="003931A3"/>
    <w:rsid w:val="003A1AE0"/>
    <w:rsid w:val="003A7FF3"/>
    <w:rsid w:val="003B19DA"/>
    <w:rsid w:val="003B7828"/>
    <w:rsid w:val="003C71E2"/>
    <w:rsid w:val="003C7FA1"/>
    <w:rsid w:val="003D4595"/>
    <w:rsid w:val="003E237E"/>
    <w:rsid w:val="003E63EE"/>
    <w:rsid w:val="00401A34"/>
    <w:rsid w:val="00403601"/>
    <w:rsid w:val="0040452E"/>
    <w:rsid w:val="00404C87"/>
    <w:rsid w:val="00407F2A"/>
    <w:rsid w:val="004206A9"/>
    <w:rsid w:val="004220A7"/>
    <w:rsid w:val="00425A02"/>
    <w:rsid w:val="00434B9D"/>
    <w:rsid w:val="00453A4D"/>
    <w:rsid w:val="00453CB3"/>
    <w:rsid w:val="00455378"/>
    <w:rsid w:val="00463BEC"/>
    <w:rsid w:val="00467F9B"/>
    <w:rsid w:val="00480152"/>
    <w:rsid w:val="00481C68"/>
    <w:rsid w:val="00496AAF"/>
    <w:rsid w:val="004B2436"/>
    <w:rsid w:val="004B41BE"/>
    <w:rsid w:val="004B75B7"/>
    <w:rsid w:val="004C1003"/>
    <w:rsid w:val="004C171B"/>
    <w:rsid w:val="004C6C8E"/>
    <w:rsid w:val="004E0049"/>
    <w:rsid w:val="004E212A"/>
    <w:rsid w:val="004E506B"/>
    <w:rsid w:val="004E6D17"/>
    <w:rsid w:val="004E7E29"/>
    <w:rsid w:val="004F0702"/>
    <w:rsid w:val="004F1C6D"/>
    <w:rsid w:val="004F31E8"/>
    <w:rsid w:val="004F4F98"/>
    <w:rsid w:val="00502882"/>
    <w:rsid w:val="00510907"/>
    <w:rsid w:val="00515565"/>
    <w:rsid w:val="00520E56"/>
    <w:rsid w:val="00537ABB"/>
    <w:rsid w:val="00537C4A"/>
    <w:rsid w:val="00541722"/>
    <w:rsid w:val="00542E74"/>
    <w:rsid w:val="00563837"/>
    <w:rsid w:val="00563933"/>
    <w:rsid w:val="00582DAE"/>
    <w:rsid w:val="0058356E"/>
    <w:rsid w:val="00591C28"/>
    <w:rsid w:val="005A18CA"/>
    <w:rsid w:val="005A3BF9"/>
    <w:rsid w:val="005B4034"/>
    <w:rsid w:val="005B7820"/>
    <w:rsid w:val="005C5B09"/>
    <w:rsid w:val="005C76A8"/>
    <w:rsid w:val="005D38F0"/>
    <w:rsid w:val="005D761C"/>
    <w:rsid w:val="005E5E31"/>
    <w:rsid w:val="005F5056"/>
    <w:rsid w:val="005F6B4F"/>
    <w:rsid w:val="00602577"/>
    <w:rsid w:val="0060317A"/>
    <w:rsid w:val="00610A51"/>
    <w:rsid w:val="00610B6E"/>
    <w:rsid w:val="00617637"/>
    <w:rsid w:val="006176B2"/>
    <w:rsid w:val="00635577"/>
    <w:rsid w:val="00646DF9"/>
    <w:rsid w:val="00653179"/>
    <w:rsid w:val="00655EE5"/>
    <w:rsid w:val="00657B36"/>
    <w:rsid w:val="00657EAC"/>
    <w:rsid w:val="00657F33"/>
    <w:rsid w:val="00662F9C"/>
    <w:rsid w:val="006641CB"/>
    <w:rsid w:val="00680DAE"/>
    <w:rsid w:val="0068256A"/>
    <w:rsid w:val="006923CE"/>
    <w:rsid w:val="006A03FE"/>
    <w:rsid w:val="006A39B3"/>
    <w:rsid w:val="006A71F5"/>
    <w:rsid w:val="006B5B00"/>
    <w:rsid w:val="006E1C46"/>
    <w:rsid w:val="006F305F"/>
    <w:rsid w:val="006F5FE3"/>
    <w:rsid w:val="0070349E"/>
    <w:rsid w:val="00705FBA"/>
    <w:rsid w:val="007221DB"/>
    <w:rsid w:val="00732876"/>
    <w:rsid w:val="00742AD1"/>
    <w:rsid w:val="00756D54"/>
    <w:rsid w:val="0075745F"/>
    <w:rsid w:val="00760688"/>
    <w:rsid w:val="00763974"/>
    <w:rsid w:val="0077215A"/>
    <w:rsid w:val="0077661F"/>
    <w:rsid w:val="00777D51"/>
    <w:rsid w:val="007A1564"/>
    <w:rsid w:val="007B5771"/>
    <w:rsid w:val="007C0332"/>
    <w:rsid w:val="007C5D10"/>
    <w:rsid w:val="007C77AB"/>
    <w:rsid w:val="007E3CED"/>
    <w:rsid w:val="007E6D9E"/>
    <w:rsid w:val="00807F8B"/>
    <w:rsid w:val="0081360B"/>
    <w:rsid w:val="00813AF9"/>
    <w:rsid w:val="00816A82"/>
    <w:rsid w:val="00823510"/>
    <w:rsid w:val="00825976"/>
    <w:rsid w:val="00837467"/>
    <w:rsid w:val="008469F9"/>
    <w:rsid w:val="0085320F"/>
    <w:rsid w:val="00855738"/>
    <w:rsid w:val="008651BB"/>
    <w:rsid w:val="00867449"/>
    <w:rsid w:val="00870E18"/>
    <w:rsid w:val="0088411F"/>
    <w:rsid w:val="008853EA"/>
    <w:rsid w:val="008B7A14"/>
    <w:rsid w:val="008C1B0E"/>
    <w:rsid w:val="008C5F98"/>
    <w:rsid w:val="008D0B84"/>
    <w:rsid w:val="008F7106"/>
    <w:rsid w:val="00911B50"/>
    <w:rsid w:val="009274E3"/>
    <w:rsid w:val="00932B30"/>
    <w:rsid w:val="00944A86"/>
    <w:rsid w:val="00951D05"/>
    <w:rsid w:val="009564C8"/>
    <w:rsid w:val="009613CA"/>
    <w:rsid w:val="00966187"/>
    <w:rsid w:val="00971A80"/>
    <w:rsid w:val="009770E3"/>
    <w:rsid w:val="009931F6"/>
    <w:rsid w:val="009953CC"/>
    <w:rsid w:val="009B3624"/>
    <w:rsid w:val="009B623F"/>
    <w:rsid w:val="009C4777"/>
    <w:rsid w:val="009D1DC0"/>
    <w:rsid w:val="009D3BC3"/>
    <w:rsid w:val="009E261E"/>
    <w:rsid w:val="009E4169"/>
    <w:rsid w:val="009F2404"/>
    <w:rsid w:val="009F3992"/>
    <w:rsid w:val="009F4F05"/>
    <w:rsid w:val="009F72E7"/>
    <w:rsid w:val="00A10FF4"/>
    <w:rsid w:val="00A15EF3"/>
    <w:rsid w:val="00A17EAF"/>
    <w:rsid w:val="00A210A5"/>
    <w:rsid w:val="00A314C9"/>
    <w:rsid w:val="00A52A72"/>
    <w:rsid w:val="00A63B52"/>
    <w:rsid w:val="00A7709D"/>
    <w:rsid w:val="00A81DA0"/>
    <w:rsid w:val="00A863C9"/>
    <w:rsid w:val="00A91650"/>
    <w:rsid w:val="00AA076D"/>
    <w:rsid w:val="00AA24DF"/>
    <w:rsid w:val="00AB7B3B"/>
    <w:rsid w:val="00AC1D37"/>
    <w:rsid w:val="00AD436C"/>
    <w:rsid w:val="00AE2B7B"/>
    <w:rsid w:val="00AE4C9B"/>
    <w:rsid w:val="00B10CCB"/>
    <w:rsid w:val="00B17431"/>
    <w:rsid w:val="00B26BC7"/>
    <w:rsid w:val="00B42411"/>
    <w:rsid w:val="00B44C24"/>
    <w:rsid w:val="00B4770B"/>
    <w:rsid w:val="00B5688F"/>
    <w:rsid w:val="00B639B3"/>
    <w:rsid w:val="00B85CE0"/>
    <w:rsid w:val="00BA1D0D"/>
    <w:rsid w:val="00BA6103"/>
    <w:rsid w:val="00BB2999"/>
    <w:rsid w:val="00BC004B"/>
    <w:rsid w:val="00BC280B"/>
    <w:rsid w:val="00BC4198"/>
    <w:rsid w:val="00BC4267"/>
    <w:rsid w:val="00BC4C03"/>
    <w:rsid w:val="00BD61ED"/>
    <w:rsid w:val="00BD797E"/>
    <w:rsid w:val="00BE4A04"/>
    <w:rsid w:val="00C07B96"/>
    <w:rsid w:val="00C13D23"/>
    <w:rsid w:val="00C4178A"/>
    <w:rsid w:val="00C4203F"/>
    <w:rsid w:val="00C4362F"/>
    <w:rsid w:val="00C518BC"/>
    <w:rsid w:val="00C561B5"/>
    <w:rsid w:val="00C56801"/>
    <w:rsid w:val="00C57D95"/>
    <w:rsid w:val="00C6200C"/>
    <w:rsid w:val="00C72CFF"/>
    <w:rsid w:val="00C73E9E"/>
    <w:rsid w:val="00C74C1C"/>
    <w:rsid w:val="00C808DF"/>
    <w:rsid w:val="00CA07E4"/>
    <w:rsid w:val="00CA4A29"/>
    <w:rsid w:val="00CB1B82"/>
    <w:rsid w:val="00CD07C6"/>
    <w:rsid w:val="00CD7A86"/>
    <w:rsid w:val="00CF0C72"/>
    <w:rsid w:val="00D0008D"/>
    <w:rsid w:val="00D17DC0"/>
    <w:rsid w:val="00D25FDF"/>
    <w:rsid w:val="00D30FD3"/>
    <w:rsid w:val="00D333B5"/>
    <w:rsid w:val="00D36CC5"/>
    <w:rsid w:val="00D42307"/>
    <w:rsid w:val="00D43EDC"/>
    <w:rsid w:val="00D51712"/>
    <w:rsid w:val="00D55DBC"/>
    <w:rsid w:val="00D60EFF"/>
    <w:rsid w:val="00D61DC6"/>
    <w:rsid w:val="00D802E2"/>
    <w:rsid w:val="00D84876"/>
    <w:rsid w:val="00DA3625"/>
    <w:rsid w:val="00DB6867"/>
    <w:rsid w:val="00DC0EF6"/>
    <w:rsid w:val="00DC2689"/>
    <w:rsid w:val="00DD2E5B"/>
    <w:rsid w:val="00DD640F"/>
    <w:rsid w:val="00DE2158"/>
    <w:rsid w:val="00DF554B"/>
    <w:rsid w:val="00E017A5"/>
    <w:rsid w:val="00E052C3"/>
    <w:rsid w:val="00E07DA4"/>
    <w:rsid w:val="00E13018"/>
    <w:rsid w:val="00E15535"/>
    <w:rsid w:val="00E23A13"/>
    <w:rsid w:val="00E3296E"/>
    <w:rsid w:val="00E434E7"/>
    <w:rsid w:val="00E46E23"/>
    <w:rsid w:val="00E50B23"/>
    <w:rsid w:val="00E619E0"/>
    <w:rsid w:val="00E67AB4"/>
    <w:rsid w:val="00E816FC"/>
    <w:rsid w:val="00EA1305"/>
    <w:rsid w:val="00EA2E0A"/>
    <w:rsid w:val="00EB0B46"/>
    <w:rsid w:val="00EB374E"/>
    <w:rsid w:val="00EB3AB2"/>
    <w:rsid w:val="00EC13DC"/>
    <w:rsid w:val="00ED5714"/>
    <w:rsid w:val="00ED5FF7"/>
    <w:rsid w:val="00EE298C"/>
    <w:rsid w:val="00EE671D"/>
    <w:rsid w:val="00F20CB9"/>
    <w:rsid w:val="00F25D2C"/>
    <w:rsid w:val="00F42600"/>
    <w:rsid w:val="00F426EF"/>
    <w:rsid w:val="00F46284"/>
    <w:rsid w:val="00F475E9"/>
    <w:rsid w:val="00F54263"/>
    <w:rsid w:val="00F72F8B"/>
    <w:rsid w:val="00F8317D"/>
    <w:rsid w:val="00F83E74"/>
    <w:rsid w:val="00F906A0"/>
    <w:rsid w:val="00FB241B"/>
    <w:rsid w:val="00FB3B6C"/>
    <w:rsid w:val="00FC664B"/>
    <w:rsid w:val="00FE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12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
    <w:uiPriority w:val="99"/>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uiPriority w:val="99"/>
    <w:locked/>
    <w:rsid w:val="00B44C24"/>
    <w:rPr>
      <w:sz w:val="22"/>
    </w:rPr>
  </w:style>
  <w:style w:type="paragraph" w:styleId="BalloonText">
    <w:name w:val="Balloon Text"/>
    <w:basedOn w:val="Normal"/>
    <w:link w:val="BalloonTextChar"/>
    <w:uiPriority w:val="99"/>
    <w:semiHidden/>
    <w:unhideWhenUsed/>
    <w:rsid w:val="006A71F5"/>
    <w:rPr>
      <w:rFonts w:ascii="Tahoma" w:hAnsi="Tahoma" w:cs="Tahoma"/>
      <w:sz w:val="16"/>
      <w:szCs w:val="16"/>
    </w:rPr>
  </w:style>
  <w:style w:type="character" w:customStyle="1" w:styleId="BalloonTextChar">
    <w:name w:val="Balloon Text Char"/>
    <w:basedOn w:val="DefaultParagraphFont"/>
    <w:link w:val="BalloonText"/>
    <w:uiPriority w:val="99"/>
    <w:semiHidden/>
    <w:rsid w:val="006A71F5"/>
    <w:rPr>
      <w:rFonts w:ascii="Tahoma" w:hAnsi="Tahoma" w:cs="Tahoma"/>
      <w:sz w:val="16"/>
      <w:szCs w:val="16"/>
    </w:rPr>
  </w:style>
  <w:style w:type="character" w:styleId="CommentReference">
    <w:name w:val="annotation reference"/>
    <w:basedOn w:val="DefaultParagraphFont"/>
    <w:uiPriority w:val="99"/>
    <w:semiHidden/>
    <w:unhideWhenUsed/>
    <w:rsid w:val="00662F9C"/>
    <w:rPr>
      <w:sz w:val="16"/>
      <w:szCs w:val="16"/>
    </w:rPr>
  </w:style>
  <w:style w:type="paragraph" w:styleId="CommentText">
    <w:name w:val="annotation text"/>
    <w:basedOn w:val="Normal"/>
    <w:link w:val="CommentTextChar"/>
    <w:uiPriority w:val="99"/>
    <w:semiHidden/>
    <w:unhideWhenUsed/>
    <w:rsid w:val="00662F9C"/>
    <w:rPr>
      <w:sz w:val="20"/>
    </w:rPr>
  </w:style>
  <w:style w:type="character" w:customStyle="1" w:styleId="CommentTextChar">
    <w:name w:val="Comment Text Char"/>
    <w:basedOn w:val="DefaultParagraphFont"/>
    <w:link w:val="CommentText"/>
    <w:uiPriority w:val="99"/>
    <w:semiHidden/>
    <w:rsid w:val="00662F9C"/>
  </w:style>
  <w:style w:type="paragraph" w:styleId="CommentSubject">
    <w:name w:val="annotation subject"/>
    <w:basedOn w:val="CommentText"/>
    <w:next w:val="CommentText"/>
    <w:link w:val="CommentSubjectChar"/>
    <w:uiPriority w:val="99"/>
    <w:semiHidden/>
    <w:unhideWhenUsed/>
    <w:rsid w:val="00662F9C"/>
    <w:rPr>
      <w:b/>
      <w:bCs/>
    </w:rPr>
  </w:style>
  <w:style w:type="character" w:customStyle="1" w:styleId="CommentSubjectChar">
    <w:name w:val="Comment Subject Char"/>
    <w:basedOn w:val="CommentTextChar"/>
    <w:link w:val="CommentSubject"/>
    <w:uiPriority w:val="99"/>
    <w:semiHidden/>
    <w:rsid w:val="00662F9C"/>
    <w:rPr>
      <w:b/>
      <w:bCs/>
    </w:rPr>
  </w:style>
  <w:style w:type="character" w:customStyle="1" w:styleId="HeaderChar">
    <w:name w:val="Header Char"/>
    <w:basedOn w:val="DefaultParagraphFont"/>
    <w:link w:val="Header"/>
    <w:uiPriority w:val="99"/>
    <w:rsid w:val="00EB3AB2"/>
    <w:rPr>
      <w:sz w:val="22"/>
    </w:rPr>
  </w:style>
  <w:style w:type="character" w:customStyle="1" w:styleId="FooterChar">
    <w:name w:val="Footer Char"/>
    <w:basedOn w:val="DefaultParagraphFont"/>
    <w:link w:val="Footer"/>
    <w:uiPriority w:val="99"/>
    <w:rsid w:val="00EB3AB2"/>
    <w:rPr>
      <w:sz w:val="22"/>
    </w:rPr>
  </w:style>
  <w:style w:type="character" w:customStyle="1" w:styleId="apple-converted-space">
    <w:name w:val="apple-converted-space"/>
    <w:basedOn w:val="DefaultParagraphFont"/>
    <w:rsid w:val="00763974"/>
  </w:style>
  <w:style w:type="paragraph" w:styleId="Revision">
    <w:name w:val="Revision"/>
    <w:hidden/>
    <w:uiPriority w:val="99"/>
    <w:semiHidden/>
    <w:rsid w:val="0085573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
    <w:uiPriority w:val="99"/>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uiPriority w:val="99"/>
    <w:locked/>
    <w:rsid w:val="00B44C24"/>
    <w:rPr>
      <w:sz w:val="22"/>
    </w:rPr>
  </w:style>
  <w:style w:type="paragraph" w:styleId="BalloonText">
    <w:name w:val="Balloon Text"/>
    <w:basedOn w:val="Normal"/>
    <w:link w:val="BalloonTextChar"/>
    <w:uiPriority w:val="99"/>
    <w:semiHidden/>
    <w:unhideWhenUsed/>
    <w:rsid w:val="006A71F5"/>
    <w:rPr>
      <w:rFonts w:ascii="Tahoma" w:hAnsi="Tahoma" w:cs="Tahoma"/>
      <w:sz w:val="16"/>
      <w:szCs w:val="16"/>
    </w:rPr>
  </w:style>
  <w:style w:type="character" w:customStyle="1" w:styleId="BalloonTextChar">
    <w:name w:val="Balloon Text Char"/>
    <w:basedOn w:val="DefaultParagraphFont"/>
    <w:link w:val="BalloonText"/>
    <w:uiPriority w:val="99"/>
    <w:semiHidden/>
    <w:rsid w:val="006A71F5"/>
    <w:rPr>
      <w:rFonts w:ascii="Tahoma" w:hAnsi="Tahoma" w:cs="Tahoma"/>
      <w:sz w:val="16"/>
      <w:szCs w:val="16"/>
    </w:rPr>
  </w:style>
  <w:style w:type="character" w:styleId="CommentReference">
    <w:name w:val="annotation reference"/>
    <w:basedOn w:val="DefaultParagraphFont"/>
    <w:uiPriority w:val="99"/>
    <w:semiHidden/>
    <w:unhideWhenUsed/>
    <w:rsid w:val="00662F9C"/>
    <w:rPr>
      <w:sz w:val="16"/>
      <w:szCs w:val="16"/>
    </w:rPr>
  </w:style>
  <w:style w:type="paragraph" w:styleId="CommentText">
    <w:name w:val="annotation text"/>
    <w:basedOn w:val="Normal"/>
    <w:link w:val="CommentTextChar"/>
    <w:uiPriority w:val="99"/>
    <w:semiHidden/>
    <w:unhideWhenUsed/>
    <w:rsid w:val="00662F9C"/>
    <w:rPr>
      <w:sz w:val="20"/>
    </w:rPr>
  </w:style>
  <w:style w:type="character" w:customStyle="1" w:styleId="CommentTextChar">
    <w:name w:val="Comment Text Char"/>
    <w:basedOn w:val="DefaultParagraphFont"/>
    <w:link w:val="CommentText"/>
    <w:uiPriority w:val="99"/>
    <w:semiHidden/>
    <w:rsid w:val="00662F9C"/>
  </w:style>
  <w:style w:type="paragraph" w:styleId="CommentSubject">
    <w:name w:val="annotation subject"/>
    <w:basedOn w:val="CommentText"/>
    <w:next w:val="CommentText"/>
    <w:link w:val="CommentSubjectChar"/>
    <w:uiPriority w:val="99"/>
    <w:semiHidden/>
    <w:unhideWhenUsed/>
    <w:rsid w:val="00662F9C"/>
    <w:rPr>
      <w:b/>
      <w:bCs/>
    </w:rPr>
  </w:style>
  <w:style w:type="character" w:customStyle="1" w:styleId="CommentSubjectChar">
    <w:name w:val="Comment Subject Char"/>
    <w:basedOn w:val="CommentTextChar"/>
    <w:link w:val="CommentSubject"/>
    <w:uiPriority w:val="99"/>
    <w:semiHidden/>
    <w:rsid w:val="00662F9C"/>
    <w:rPr>
      <w:b/>
      <w:bCs/>
    </w:rPr>
  </w:style>
  <w:style w:type="character" w:customStyle="1" w:styleId="HeaderChar">
    <w:name w:val="Header Char"/>
    <w:basedOn w:val="DefaultParagraphFont"/>
    <w:link w:val="Header"/>
    <w:uiPriority w:val="99"/>
    <w:rsid w:val="00EB3AB2"/>
    <w:rPr>
      <w:sz w:val="22"/>
    </w:rPr>
  </w:style>
  <w:style w:type="character" w:customStyle="1" w:styleId="FooterChar">
    <w:name w:val="Footer Char"/>
    <w:basedOn w:val="DefaultParagraphFont"/>
    <w:link w:val="Footer"/>
    <w:uiPriority w:val="99"/>
    <w:rsid w:val="00EB3AB2"/>
    <w:rPr>
      <w:sz w:val="22"/>
    </w:rPr>
  </w:style>
  <w:style w:type="character" w:customStyle="1" w:styleId="apple-converted-space">
    <w:name w:val="apple-converted-space"/>
    <w:basedOn w:val="DefaultParagraphFont"/>
    <w:rsid w:val="00763974"/>
  </w:style>
  <w:style w:type="paragraph" w:styleId="Revision">
    <w:name w:val="Revision"/>
    <w:hidden/>
    <w:uiPriority w:val="99"/>
    <w:semiHidden/>
    <w:rsid w:val="008557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nice.Wise@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Pamela.Gallant@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1369</Words>
  <Characters>7749</Characters>
  <Application>Microsoft Office Word</Application>
  <DocSecurity>0</DocSecurity>
  <Lines>101</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2014-03-20T18:39:00Z</cp:lastPrinted>
  <dcterms:created xsi:type="dcterms:W3CDTF">2015-10-30T19:44:00Z</dcterms:created>
  <dcterms:modified xsi:type="dcterms:W3CDTF">2015-10-30T19:44:00Z</dcterms:modified>
  <cp:category> </cp:category>
  <cp:contentStatus> </cp:contentStatus>
</cp:coreProperties>
</file>