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BEB84" w14:textId="77777777" w:rsidR="001606BD" w:rsidRDefault="001606BD" w:rsidP="001606B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1A7279A" w14:textId="77777777" w:rsidR="001606BD" w:rsidRDefault="001606BD" w:rsidP="001606BD">
      <w:pPr>
        <w:pStyle w:val="StyleBoldCentered"/>
        <w:widowControl/>
      </w:pPr>
      <w:r>
        <w:t>F</w:t>
      </w:r>
      <w:r>
        <w:rPr>
          <w:caps w:val="0"/>
        </w:rPr>
        <w:t>ederal Communications Commission</w:t>
      </w:r>
    </w:p>
    <w:p w14:paraId="64A73A80" w14:textId="77777777" w:rsidR="00921803" w:rsidRDefault="001606BD" w:rsidP="00921803">
      <w:pPr>
        <w:pStyle w:val="StyleBoldCentered"/>
      </w:pPr>
      <w:r w:rsidRPr="000637CA">
        <w:rPr>
          <w:caps w:val="0"/>
        </w:rPr>
        <w:t>Washington</w:t>
      </w:r>
      <w:r>
        <w:t>, D.C. 20554</w:t>
      </w:r>
    </w:p>
    <w:p w14:paraId="7E7C2E7E" w14:textId="77777777" w:rsidR="004C2EE3" w:rsidRDefault="004C2EE3" w:rsidP="0070224F"/>
    <w:p w14:paraId="7D108A7C" w14:textId="77777777" w:rsidR="00D970D5" w:rsidRDefault="00D970D5" w:rsidP="0070224F"/>
    <w:tbl>
      <w:tblPr>
        <w:tblW w:w="0" w:type="auto"/>
        <w:tblLayout w:type="fixed"/>
        <w:tblLook w:val="0000" w:firstRow="0" w:lastRow="0" w:firstColumn="0" w:lastColumn="0" w:noHBand="0" w:noVBand="0"/>
      </w:tblPr>
      <w:tblGrid>
        <w:gridCol w:w="4698"/>
        <w:gridCol w:w="630"/>
        <w:gridCol w:w="4248"/>
      </w:tblGrid>
      <w:tr w:rsidR="004C2EE3" w14:paraId="24A47851" w14:textId="77777777">
        <w:tc>
          <w:tcPr>
            <w:tcW w:w="4698" w:type="dxa"/>
          </w:tcPr>
          <w:p w14:paraId="7E9DBAD8" w14:textId="678FC37B" w:rsidR="004C2EE3" w:rsidRDefault="004C2EE3">
            <w:pPr>
              <w:tabs>
                <w:tab w:val="center" w:pos="4680"/>
              </w:tabs>
              <w:suppressAutoHyphens/>
              <w:rPr>
                <w:spacing w:val="-2"/>
              </w:rPr>
            </w:pPr>
            <w:r>
              <w:rPr>
                <w:spacing w:val="-2"/>
              </w:rPr>
              <w:t>In the Matter of</w:t>
            </w:r>
          </w:p>
          <w:p w14:paraId="0415DDCB" w14:textId="77777777" w:rsidR="004C2EE3" w:rsidRDefault="004C2EE3">
            <w:pPr>
              <w:tabs>
                <w:tab w:val="center" w:pos="4680"/>
              </w:tabs>
              <w:suppressAutoHyphens/>
              <w:rPr>
                <w:spacing w:val="-2"/>
              </w:rPr>
            </w:pPr>
          </w:p>
          <w:p w14:paraId="55EA68D2" w14:textId="77777777" w:rsidR="004C2EE3" w:rsidRDefault="00631AB7" w:rsidP="007115F7">
            <w:pPr>
              <w:tabs>
                <w:tab w:val="center" w:pos="4680"/>
              </w:tabs>
              <w:suppressAutoHyphens/>
              <w:rPr>
                <w:spacing w:val="-2"/>
              </w:rPr>
            </w:pPr>
            <w:r>
              <w:rPr>
                <w:spacing w:val="-2"/>
              </w:rPr>
              <w:t>Special Access for Price Cap Local Exchange Carriers</w:t>
            </w:r>
          </w:p>
          <w:p w14:paraId="1CC42359" w14:textId="77777777" w:rsidR="00631AB7" w:rsidRDefault="00631AB7" w:rsidP="007115F7">
            <w:pPr>
              <w:tabs>
                <w:tab w:val="center" w:pos="4680"/>
              </w:tabs>
              <w:suppressAutoHyphens/>
              <w:rPr>
                <w:spacing w:val="-2"/>
              </w:rPr>
            </w:pPr>
          </w:p>
          <w:p w14:paraId="2B8CC5C1" w14:textId="77777777" w:rsidR="00631AB7" w:rsidRDefault="00631AB7" w:rsidP="007115F7">
            <w:pPr>
              <w:tabs>
                <w:tab w:val="center" w:pos="4680"/>
              </w:tabs>
              <w:suppressAutoHyphens/>
              <w:rPr>
                <w:spacing w:val="-2"/>
              </w:rPr>
            </w:pPr>
            <w:r>
              <w:rPr>
                <w:spacing w:val="-2"/>
              </w:rPr>
              <w:t xml:space="preserve">AT&amp;T Corporation Petition for Rulemaking to Reform Regulation of Incumbent Local Exchange Carrier Rates for Interstate Special Access </w:t>
            </w:r>
          </w:p>
          <w:p w14:paraId="528B4E56" w14:textId="77777777" w:rsidR="00631AB7" w:rsidRPr="007115F7" w:rsidRDefault="00631AB7" w:rsidP="007115F7">
            <w:pPr>
              <w:tabs>
                <w:tab w:val="center" w:pos="4680"/>
              </w:tabs>
              <w:suppressAutoHyphens/>
              <w:rPr>
                <w:spacing w:val="-2"/>
              </w:rPr>
            </w:pPr>
            <w:r>
              <w:rPr>
                <w:spacing w:val="-2"/>
              </w:rPr>
              <w:t>Services</w:t>
            </w:r>
          </w:p>
        </w:tc>
        <w:tc>
          <w:tcPr>
            <w:tcW w:w="630" w:type="dxa"/>
          </w:tcPr>
          <w:p w14:paraId="45490F2F" w14:textId="77777777" w:rsidR="004C2EE3" w:rsidRDefault="004C2EE3">
            <w:pPr>
              <w:tabs>
                <w:tab w:val="center" w:pos="4680"/>
              </w:tabs>
              <w:suppressAutoHyphens/>
              <w:rPr>
                <w:b/>
                <w:spacing w:val="-2"/>
              </w:rPr>
            </w:pPr>
            <w:r>
              <w:rPr>
                <w:b/>
                <w:spacing w:val="-2"/>
              </w:rPr>
              <w:t>)</w:t>
            </w:r>
          </w:p>
          <w:p w14:paraId="1ED86507" w14:textId="77777777" w:rsidR="004C2EE3" w:rsidRDefault="004C2EE3">
            <w:pPr>
              <w:tabs>
                <w:tab w:val="center" w:pos="4680"/>
              </w:tabs>
              <w:suppressAutoHyphens/>
              <w:rPr>
                <w:b/>
                <w:spacing w:val="-2"/>
              </w:rPr>
            </w:pPr>
            <w:r>
              <w:rPr>
                <w:b/>
                <w:spacing w:val="-2"/>
              </w:rPr>
              <w:t>)</w:t>
            </w:r>
          </w:p>
          <w:p w14:paraId="6EA8870C" w14:textId="77777777" w:rsidR="004C2EE3" w:rsidRDefault="004C2EE3">
            <w:pPr>
              <w:tabs>
                <w:tab w:val="center" w:pos="4680"/>
              </w:tabs>
              <w:suppressAutoHyphens/>
              <w:rPr>
                <w:b/>
                <w:spacing w:val="-2"/>
              </w:rPr>
            </w:pPr>
            <w:r>
              <w:rPr>
                <w:b/>
                <w:spacing w:val="-2"/>
              </w:rPr>
              <w:t>)</w:t>
            </w:r>
          </w:p>
          <w:p w14:paraId="5251B877" w14:textId="77777777" w:rsidR="004C2EE3" w:rsidRDefault="004C2EE3">
            <w:pPr>
              <w:tabs>
                <w:tab w:val="center" w:pos="4680"/>
              </w:tabs>
              <w:suppressAutoHyphens/>
              <w:rPr>
                <w:b/>
                <w:spacing w:val="-2"/>
              </w:rPr>
            </w:pPr>
            <w:r>
              <w:rPr>
                <w:b/>
                <w:spacing w:val="-2"/>
              </w:rPr>
              <w:t>)</w:t>
            </w:r>
          </w:p>
          <w:p w14:paraId="241E96A8" w14:textId="77777777" w:rsidR="004C2EE3" w:rsidRDefault="004C2EE3">
            <w:pPr>
              <w:tabs>
                <w:tab w:val="center" w:pos="4680"/>
              </w:tabs>
              <w:suppressAutoHyphens/>
              <w:rPr>
                <w:b/>
                <w:spacing w:val="-2"/>
              </w:rPr>
            </w:pPr>
            <w:r>
              <w:rPr>
                <w:b/>
                <w:spacing w:val="-2"/>
              </w:rPr>
              <w:t>)</w:t>
            </w:r>
          </w:p>
          <w:p w14:paraId="44867450" w14:textId="77777777" w:rsidR="004C2EE3" w:rsidRDefault="004C2EE3">
            <w:pPr>
              <w:tabs>
                <w:tab w:val="center" w:pos="4680"/>
              </w:tabs>
              <w:suppressAutoHyphens/>
              <w:rPr>
                <w:b/>
                <w:spacing w:val="-2"/>
              </w:rPr>
            </w:pPr>
            <w:r>
              <w:rPr>
                <w:b/>
                <w:spacing w:val="-2"/>
              </w:rPr>
              <w:t>)</w:t>
            </w:r>
          </w:p>
          <w:p w14:paraId="7528ED43" w14:textId="77777777" w:rsidR="004C2EE3" w:rsidRDefault="004C2EE3">
            <w:pPr>
              <w:tabs>
                <w:tab w:val="center" w:pos="4680"/>
              </w:tabs>
              <w:suppressAutoHyphens/>
              <w:rPr>
                <w:b/>
                <w:spacing w:val="-2"/>
              </w:rPr>
            </w:pPr>
            <w:r>
              <w:rPr>
                <w:b/>
                <w:spacing w:val="-2"/>
              </w:rPr>
              <w:t>)</w:t>
            </w:r>
          </w:p>
          <w:p w14:paraId="3E231921" w14:textId="77777777" w:rsidR="004C2EE3" w:rsidRDefault="004C2EE3">
            <w:pPr>
              <w:tabs>
                <w:tab w:val="center" w:pos="4680"/>
              </w:tabs>
              <w:suppressAutoHyphens/>
              <w:rPr>
                <w:b/>
                <w:spacing w:val="-2"/>
              </w:rPr>
            </w:pPr>
            <w:r>
              <w:rPr>
                <w:b/>
                <w:spacing w:val="-2"/>
              </w:rPr>
              <w:t>)</w:t>
            </w:r>
          </w:p>
          <w:p w14:paraId="6387CF24" w14:textId="77777777" w:rsidR="004C2EE3" w:rsidRDefault="004C2EE3">
            <w:pPr>
              <w:tabs>
                <w:tab w:val="center" w:pos="4680"/>
              </w:tabs>
              <w:suppressAutoHyphens/>
              <w:rPr>
                <w:spacing w:val="-2"/>
              </w:rPr>
            </w:pPr>
            <w:r>
              <w:rPr>
                <w:b/>
                <w:spacing w:val="-2"/>
              </w:rPr>
              <w:t>)</w:t>
            </w:r>
          </w:p>
        </w:tc>
        <w:tc>
          <w:tcPr>
            <w:tcW w:w="4248" w:type="dxa"/>
          </w:tcPr>
          <w:p w14:paraId="6C229535" w14:textId="77777777" w:rsidR="004C2EE3" w:rsidRDefault="004C2EE3">
            <w:pPr>
              <w:tabs>
                <w:tab w:val="center" w:pos="4680"/>
              </w:tabs>
              <w:suppressAutoHyphens/>
              <w:rPr>
                <w:spacing w:val="-2"/>
              </w:rPr>
            </w:pPr>
          </w:p>
          <w:p w14:paraId="05C2F922" w14:textId="77777777" w:rsidR="004C2EE3" w:rsidRDefault="004C2EE3">
            <w:pPr>
              <w:pStyle w:val="TOAHeading"/>
              <w:tabs>
                <w:tab w:val="clear" w:pos="9360"/>
                <w:tab w:val="center" w:pos="4680"/>
              </w:tabs>
              <w:rPr>
                <w:spacing w:val="-2"/>
              </w:rPr>
            </w:pPr>
          </w:p>
          <w:p w14:paraId="23DC4FF7" w14:textId="77777777" w:rsidR="004C2EE3" w:rsidRDefault="00631AB7">
            <w:pPr>
              <w:tabs>
                <w:tab w:val="center" w:pos="4680"/>
              </w:tabs>
              <w:suppressAutoHyphens/>
              <w:rPr>
                <w:spacing w:val="-2"/>
              </w:rPr>
            </w:pPr>
            <w:r>
              <w:rPr>
                <w:spacing w:val="-2"/>
              </w:rPr>
              <w:t>WC Docket No. 05-25</w:t>
            </w:r>
          </w:p>
          <w:p w14:paraId="55F47C90" w14:textId="77777777" w:rsidR="00631AB7" w:rsidRDefault="00631AB7">
            <w:pPr>
              <w:tabs>
                <w:tab w:val="center" w:pos="4680"/>
              </w:tabs>
              <w:suppressAutoHyphens/>
              <w:rPr>
                <w:spacing w:val="-2"/>
              </w:rPr>
            </w:pPr>
          </w:p>
          <w:p w14:paraId="1F5B853E" w14:textId="77777777" w:rsidR="00631AB7" w:rsidRDefault="00631AB7">
            <w:pPr>
              <w:tabs>
                <w:tab w:val="center" w:pos="4680"/>
              </w:tabs>
              <w:suppressAutoHyphens/>
              <w:rPr>
                <w:spacing w:val="-2"/>
              </w:rPr>
            </w:pPr>
          </w:p>
          <w:p w14:paraId="151368B4" w14:textId="77777777" w:rsidR="00631AB7" w:rsidRDefault="00631AB7">
            <w:pPr>
              <w:tabs>
                <w:tab w:val="center" w:pos="4680"/>
              </w:tabs>
              <w:suppressAutoHyphens/>
              <w:rPr>
                <w:spacing w:val="-2"/>
              </w:rPr>
            </w:pPr>
            <w:r>
              <w:rPr>
                <w:spacing w:val="-2"/>
              </w:rPr>
              <w:t>RM-10593</w:t>
            </w:r>
          </w:p>
        </w:tc>
      </w:tr>
    </w:tbl>
    <w:p w14:paraId="54A8745F" w14:textId="77777777" w:rsidR="004C2EE3" w:rsidRDefault="004C2EE3" w:rsidP="0070224F"/>
    <w:p w14:paraId="5D853C26" w14:textId="77777777" w:rsidR="001606BD" w:rsidRDefault="001606BD" w:rsidP="0070224F"/>
    <w:p w14:paraId="5B615D43" w14:textId="77777777" w:rsidR="00841AB1" w:rsidRDefault="00631AB7" w:rsidP="00F021FA">
      <w:pPr>
        <w:pStyle w:val="StyleBoldCentered"/>
      </w:pPr>
      <w:r>
        <w:t>Order</w:t>
      </w:r>
    </w:p>
    <w:p w14:paraId="4143BCEA" w14:textId="77777777" w:rsidR="004C2EE3" w:rsidRDefault="004C2EE3">
      <w:pPr>
        <w:tabs>
          <w:tab w:val="left" w:pos="-720"/>
        </w:tabs>
        <w:suppressAutoHyphens/>
        <w:spacing w:line="227" w:lineRule="auto"/>
        <w:rPr>
          <w:spacing w:val="-2"/>
        </w:rPr>
      </w:pPr>
    </w:p>
    <w:p w14:paraId="5EB33439" w14:textId="321283D0" w:rsidR="004C2EE3" w:rsidRDefault="004C2EE3" w:rsidP="00133F79">
      <w:pPr>
        <w:tabs>
          <w:tab w:val="left" w:pos="720"/>
          <w:tab w:val="right" w:pos="9360"/>
        </w:tabs>
        <w:suppressAutoHyphens/>
        <w:spacing w:line="227" w:lineRule="auto"/>
        <w:rPr>
          <w:spacing w:val="-2"/>
        </w:rPr>
      </w:pPr>
      <w:r>
        <w:rPr>
          <w:b/>
          <w:spacing w:val="-2"/>
        </w:rPr>
        <w:t>Adopted:</w:t>
      </w:r>
      <w:r w:rsidR="009C27A3">
        <w:rPr>
          <w:b/>
          <w:spacing w:val="-2"/>
        </w:rPr>
        <w:t xml:space="preserve">  November 2, 2015</w:t>
      </w:r>
      <w:r>
        <w:rPr>
          <w:b/>
          <w:spacing w:val="-2"/>
        </w:rPr>
        <w:t xml:space="preserve">  </w:t>
      </w:r>
      <w:r>
        <w:rPr>
          <w:b/>
          <w:spacing w:val="-2"/>
        </w:rPr>
        <w:tab/>
      </w:r>
      <w:r w:rsidR="00822CE0">
        <w:rPr>
          <w:b/>
          <w:spacing w:val="-2"/>
        </w:rPr>
        <w:t>Released</w:t>
      </w:r>
      <w:r>
        <w:rPr>
          <w:b/>
          <w:spacing w:val="-2"/>
        </w:rPr>
        <w:t>:</w:t>
      </w:r>
      <w:r w:rsidR="009C27A3">
        <w:rPr>
          <w:b/>
          <w:spacing w:val="-2"/>
        </w:rPr>
        <w:t xml:space="preserve">  November 2, 2015 </w:t>
      </w:r>
      <w:r w:rsidR="00822CE0">
        <w:rPr>
          <w:b/>
          <w:spacing w:val="-2"/>
        </w:rPr>
        <w:t xml:space="preserve"> </w:t>
      </w:r>
      <w:r>
        <w:rPr>
          <w:b/>
          <w:spacing w:val="-2"/>
        </w:rPr>
        <w:t xml:space="preserve"> </w:t>
      </w:r>
    </w:p>
    <w:p w14:paraId="1BE75908" w14:textId="77777777" w:rsidR="00822CE0" w:rsidRDefault="00822CE0"/>
    <w:p w14:paraId="154F5815" w14:textId="77777777" w:rsidR="00832936" w:rsidRDefault="00832936" w:rsidP="00832936">
      <w:pPr>
        <w:rPr>
          <w:b/>
        </w:rPr>
      </w:pPr>
      <w:r w:rsidRPr="001E697C">
        <w:rPr>
          <w:b/>
        </w:rPr>
        <w:t>New Comment Date:  January 6, 2016</w:t>
      </w:r>
    </w:p>
    <w:p w14:paraId="4357F2F1" w14:textId="77777777" w:rsidR="00832936" w:rsidRPr="001E697C" w:rsidRDefault="00832936" w:rsidP="00832936">
      <w:pPr>
        <w:rPr>
          <w:b/>
        </w:rPr>
      </w:pPr>
      <w:r w:rsidRPr="001E697C">
        <w:rPr>
          <w:b/>
        </w:rPr>
        <w:t>New Reply Comment Date:  February 5, 2016</w:t>
      </w:r>
    </w:p>
    <w:p w14:paraId="200FF22D" w14:textId="77777777" w:rsidR="00832936" w:rsidRDefault="00832936" w:rsidP="00832936"/>
    <w:p w14:paraId="1ECA6E09" w14:textId="77777777" w:rsidR="004C2EE3" w:rsidRDefault="004C2EE3">
      <w:pPr>
        <w:rPr>
          <w:spacing w:val="-2"/>
        </w:rPr>
      </w:pPr>
      <w:r>
        <w:t xml:space="preserve">By </w:t>
      </w:r>
      <w:r w:rsidR="004E4A22">
        <w:t>the</w:t>
      </w:r>
      <w:r w:rsidR="002A2D2E">
        <w:t xml:space="preserve"> </w:t>
      </w:r>
      <w:r w:rsidR="00631AB7">
        <w:rPr>
          <w:spacing w:val="-2"/>
        </w:rPr>
        <w:t>Associate Chief, Wireline Competition Bureau</w:t>
      </w:r>
      <w:r>
        <w:rPr>
          <w:spacing w:val="-2"/>
        </w:rPr>
        <w:t>:</w:t>
      </w:r>
    </w:p>
    <w:p w14:paraId="56EBFFE6" w14:textId="77777777" w:rsidR="00C365C0" w:rsidRDefault="00C365C0">
      <w:pPr>
        <w:rPr>
          <w:spacing w:val="-2"/>
        </w:rPr>
      </w:pPr>
    </w:p>
    <w:p w14:paraId="3C36FFFE" w14:textId="114B25D2" w:rsidR="00631AB7" w:rsidRDefault="00631AB7" w:rsidP="008B7BFE">
      <w:pPr>
        <w:pStyle w:val="ParaNum"/>
        <w:tabs>
          <w:tab w:val="clear" w:pos="1080"/>
          <w:tab w:val="left" w:pos="1440"/>
        </w:tabs>
      </w:pPr>
      <w:r w:rsidRPr="007B3607">
        <w:t xml:space="preserve">In this </w:t>
      </w:r>
      <w:r>
        <w:t xml:space="preserve">Order, the Wireline Competition Bureau (Bureau) grants </w:t>
      </w:r>
      <w:r w:rsidR="00EF22DE">
        <w:t xml:space="preserve">in part a </w:t>
      </w:r>
      <w:r>
        <w:t xml:space="preserve">request </w:t>
      </w:r>
      <w:r w:rsidR="005B08E7">
        <w:t>jointly filed by the United States Telecom Association (USTelecom) and t</w:t>
      </w:r>
      <w:r w:rsidR="005B08E7" w:rsidRPr="004D6744">
        <w:t>he Independent Telephone &amp; Telecommunications Alliance</w:t>
      </w:r>
      <w:r w:rsidR="005B08E7">
        <w:t xml:space="preserve"> (ITTA) (collectively, Joint Petitioners) seeking </w:t>
      </w:r>
      <w:r w:rsidR="00EF22DE">
        <w:t xml:space="preserve">an </w:t>
      </w:r>
      <w:r>
        <w:t xml:space="preserve">extension of </w:t>
      </w:r>
      <w:r w:rsidR="00376E37">
        <w:t>time</w:t>
      </w:r>
      <w:r>
        <w:t xml:space="preserve"> to </w:t>
      </w:r>
      <w:r w:rsidR="00EF22DE">
        <w:t xml:space="preserve">submit </w:t>
      </w:r>
      <w:r w:rsidR="00493C81">
        <w:t>c</w:t>
      </w:r>
      <w:r w:rsidR="00EF22DE" w:rsidRPr="00EF22DE">
        <w:t>omments and reply comments</w:t>
      </w:r>
      <w:r w:rsidR="00EF22DE">
        <w:t xml:space="preserve"> in the </w:t>
      </w:r>
      <w:r>
        <w:t xml:space="preserve">special access </w:t>
      </w:r>
      <w:r w:rsidR="00EF22DE">
        <w:t xml:space="preserve">(also referred to as business data services) </w:t>
      </w:r>
      <w:r w:rsidR="00A36875">
        <w:t xml:space="preserve">rulemaking </w:t>
      </w:r>
      <w:r>
        <w:t>proceeding</w:t>
      </w:r>
      <w:r w:rsidR="005B08E7">
        <w:t>.</w:t>
      </w:r>
      <w:r>
        <w:rPr>
          <w:rStyle w:val="FootnoteReference"/>
        </w:rPr>
        <w:footnoteReference w:id="2"/>
      </w:r>
      <w:r w:rsidR="000A408B">
        <w:t xml:space="preserve">  </w:t>
      </w:r>
      <w:r>
        <w:t xml:space="preserve">As discussed below, </w:t>
      </w:r>
      <w:r w:rsidR="00376E37">
        <w:t>we e</w:t>
      </w:r>
      <w:r>
        <w:t>xten</w:t>
      </w:r>
      <w:r w:rsidR="00376E37">
        <w:t>d</w:t>
      </w:r>
      <w:r>
        <w:t xml:space="preserve"> the </w:t>
      </w:r>
      <w:r w:rsidR="00493C81">
        <w:t xml:space="preserve">deadline to submit comments </w:t>
      </w:r>
      <w:r w:rsidR="00A36875">
        <w:t xml:space="preserve">to </w:t>
      </w:r>
      <w:r w:rsidR="00A36875" w:rsidRPr="005B08E7">
        <w:t>January 6, 2016</w:t>
      </w:r>
      <w:r w:rsidR="00493C81">
        <w:t xml:space="preserve"> and reply comments </w:t>
      </w:r>
      <w:r w:rsidR="00A36875">
        <w:t>to February 5, 2016</w:t>
      </w:r>
      <w:r>
        <w:t>.</w:t>
      </w:r>
      <w:r w:rsidR="005B08E7">
        <w:t xml:space="preserve">  This limited extension will give parties valuable</w:t>
      </w:r>
      <w:r w:rsidR="0016281B">
        <w:t>,</w:t>
      </w:r>
      <w:r w:rsidR="005B08E7">
        <w:t xml:space="preserve"> additional time to review the sizeable amount of data collected in the proceeding </w:t>
      </w:r>
      <w:r w:rsidR="0016281B">
        <w:t>for</w:t>
      </w:r>
      <w:r w:rsidR="005B08E7">
        <w:t xml:space="preserve"> comments to help inform the Commission’s special access reform efforts in the underlying rulemaking proceeding.</w:t>
      </w:r>
    </w:p>
    <w:p w14:paraId="250799A1" w14:textId="0AF69E7E" w:rsidR="00832936" w:rsidRDefault="00832936" w:rsidP="00830C6B">
      <w:pPr>
        <w:pStyle w:val="ParaNum"/>
        <w:widowControl/>
        <w:tabs>
          <w:tab w:val="clear" w:pos="1080"/>
          <w:tab w:val="num" w:pos="1440"/>
        </w:tabs>
      </w:pPr>
      <w:r w:rsidRPr="00602C40">
        <w:rPr>
          <w:szCs w:val="22"/>
        </w:rPr>
        <w:t>On December 11, 2012, the Commission adopted an order requiring providers and purchasers of</w:t>
      </w:r>
      <w:r w:rsidRPr="00F6202C">
        <w:t xml:space="preserve"> special access and certain entities providing “best efforts” service to submit data and information for a comprehensive evaluation of the special access market.</w:t>
      </w:r>
      <w:r w:rsidRPr="00F6202C">
        <w:rPr>
          <w:vertAlign w:val="superscript"/>
        </w:rPr>
        <w:footnoteReference w:id="3"/>
      </w:r>
      <w:r w:rsidRPr="00F6202C">
        <w:t xml:space="preserve">  In </w:t>
      </w:r>
      <w:r w:rsidR="006D2845">
        <w:t>s</w:t>
      </w:r>
      <w:r>
        <w:t xml:space="preserve">ection IV.B of </w:t>
      </w:r>
      <w:r w:rsidRPr="00F6202C">
        <w:t xml:space="preserve">the </w:t>
      </w:r>
      <w:r w:rsidRPr="00F6202C">
        <w:rPr>
          <w:i/>
        </w:rPr>
        <w:t>Special Access FNPRM</w:t>
      </w:r>
      <w:r>
        <w:rPr>
          <w:i/>
        </w:rPr>
        <w:t xml:space="preserve"> </w:t>
      </w:r>
      <w:r>
        <w:t>accompanying that order</w:t>
      </w:r>
      <w:r w:rsidRPr="00F6202C">
        <w:t>, the Commission sought comment on possible changes to its rules for the special access services provided by incumbent local exchange carriers in price cap areas.</w:t>
      </w:r>
      <w:r w:rsidRPr="00F6202C">
        <w:rPr>
          <w:vertAlign w:val="superscript"/>
        </w:rPr>
        <w:footnoteReference w:id="4"/>
      </w:r>
      <w:r w:rsidRPr="00F6202C">
        <w:t xml:space="preserve">  The </w:t>
      </w:r>
      <w:r>
        <w:t xml:space="preserve">Commission set the comment deadlines on this portion of the </w:t>
      </w:r>
      <w:r w:rsidRPr="009A2515">
        <w:rPr>
          <w:i/>
        </w:rPr>
        <w:t>Special Access FNPRM</w:t>
      </w:r>
      <w:r>
        <w:t xml:space="preserve"> several months </w:t>
      </w:r>
      <w:r w:rsidR="00C307CA">
        <w:t>beyond the document</w:t>
      </w:r>
      <w:r>
        <w:t xml:space="preserve">’s release date to give </w:t>
      </w:r>
      <w:r w:rsidRPr="00F6202C">
        <w:t xml:space="preserve">interested parties </w:t>
      </w:r>
      <w:r>
        <w:t xml:space="preserve">an opportunity to review the </w:t>
      </w:r>
      <w:r w:rsidR="00C307CA">
        <w:t xml:space="preserve">data and </w:t>
      </w:r>
      <w:r>
        <w:lastRenderedPageBreak/>
        <w:t>information collected before filing comments</w:t>
      </w:r>
      <w:r w:rsidRPr="00F6202C">
        <w:t>.</w:t>
      </w:r>
      <w:r w:rsidRPr="00F6202C">
        <w:rPr>
          <w:vertAlign w:val="superscript"/>
        </w:rPr>
        <w:footnoteReference w:id="5"/>
      </w:r>
      <w:r w:rsidR="00C365C0">
        <w:t xml:space="preserve">  The Bureau has subsequently extended these deadlines to account for delays in collecting </w:t>
      </w:r>
      <w:r w:rsidR="00C52528">
        <w:t xml:space="preserve">the data and information, </w:t>
      </w:r>
      <w:r w:rsidR="00C365C0">
        <w:t xml:space="preserve">and </w:t>
      </w:r>
      <w:r w:rsidR="00B40512">
        <w:t xml:space="preserve">in </w:t>
      </w:r>
      <w:r w:rsidR="00C365C0">
        <w:t xml:space="preserve">making </w:t>
      </w:r>
      <w:r w:rsidR="00C52528">
        <w:t>it</w:t>
      </w:r>
      <w:r w:rsidR="00C365C0">
        <w:t xml:space="preserve"> available for inspection.</w:t>
      </w:r>
      <w:r w:rsidRPr="00F6202C">
        <w:t xml:space="preserve"> </w:t>
      </w:r>
    </w:p>
    <w:p w14:paraId="2F9D6D9C" w14:textId="51E30C1F" w:rsidR="008E7F7B" w:rsidRDefault="00832936" w:rsidP="00420C60">
      <w:pPr>
        <w:pStyle w:val="ParaNum"/>
        <w:tabs>
          <w:tab w:val="clear" w:pos="1080"/>
          <w:tab w:val="num" w:pos="1440"/>
        </w:tabs>
      </w:pPr>
      <w:r>
        <w:rPr>
          <w:szCs w:val="22"/>
        </w:rPr>
        <w:t>The final deadline for responding to the data collection closed on February 27, 2015.</w:t>
      </w:r>
      <w:r>
        <w:rPr>
          <w:rStyle w:val="FootnoteReference"/>
          <w:szCs w:val="22"/>
        </w:rPr>
        <w:footnoteReference w:id="6"/>
      </w:r>
      <w:r>
        <w:rPr>
          <w:szCs w:val="22"/>
        </w:rPr>
        <w:t xml:space="preserve">  On September 18, 2015, the Bureau released an order addressing objections to the release of confidential and highly confidential information pursuant to the terms of </w:t>
      </w:r>
      <w:r w:rsidR="00C52528">
        <w:rPr>
          <w:szCs w:val="22"/>
        </w:rPr>
        <w:t>a protective order</w:t>
      </w:r>
      <w:r>
        <w:rPr>
          <w:szCs w:val="22"/>
        </w:rPr>
        <w:t>.</w:t>
      </w:r>
      <w:r w:rsidR="008E7F7B">
        <w:rPr>
          <w:rStyle w:val="FootnoteReference"/>
          <w:szCs w:val="22"/>
        </w:rPr>
        <w:footnoteReference w:id="7"/>
      </w:r>
      <w:r>
        <w:rPr>
          <w:szCs w:val="22"/>
        </w:rPr>
        <w:t xml:space="preserve">  This action cleared the path for allowing limited public access to the data</w:t>
      </w:r>
      <w:r w:rsidR="00C52528">
        <w:rPr>
          <w:szCs w:val="22"/>
        </w:rPr>
        <w:t>,</w:t>
      </w:r>
      <w:r>
        <w:rPr>
          <w:szCs w:val="22"/>
        </w:rPr>
        <w:t xml:space="preserve"> hosted by </w:t>
      </w:r>
      <w:r w:rsidR="008E7F7B">
        <w:rPr>
          <w:szCs w:val="22"/>
        </w:rPr>
        <w:t>the Commission’s secure data enclave vendor, NORC – The University of Chicago</w:t>
      </w:r>
      <w:r w:rsidR="00F431E2">
        <w:rPr>
          <w:szCs w:val="22"/>
        </w:rPr>
        <w:t xml:space="preserve"> (NORC)</w:t>
      </w:r>
      <w:r>
        <w:rPr>
          <w:szCs w:val="22"/>
        </w:rPr>
        <w:t>.</w:t>
      </w:r>
      <w:r w:rsidR="00F431E2">
        <w:rPr>
          <w:rStyle w:val="FootnoteReference"/>
          <w:szCs w:val="22"/>
        </w:rPr>
        <w:footnoteReference w:id="8"/>
      </w:r>
      <w:r>
        <w:rPr>
          <w:szCs w:val="22"/>
        </w:rPr>
        <w:t xml:space="preserve">  </w:t>
      </w:r>
      <w:r w:rsidR="008E7F7B">
        <w:rPr>
          <w:szCs w:val="22"/>
        </w:rPr>
        <w:t xml:space="preserve">Separately, </w:t>
      </w:r>
      <w:r w:rsidR="00C365C0">
        <w:rPr>
          <w:szCs w:val="22"/>
        </w:rPr>
        <w:t>the Bureau</w:t>
      </w:r>
      <w:r>
        <w:rPr>
          <w:szCs w:val="22"/>
        </w:rPr>
        <w:t xml:space="preserve"> </w:t>
      </w:r>
      <w:r w:rsidR="008E7F7B">
        <w:rPr>
          <w:szCs w:val="22"/>
        </w:rPr>
        <w:t xml:space="preserve">announced the </w:t>
      </w:r>
      <w:r w:rsidR="008E7F7B">
        <w:t>c</w:t>
      </w:r>
      <w:r w:rsidR="008E7F7B" w:rsidRPr="002E0986">
        <w:t xml:space="preserve">urrent </w:t>
      </w:r>
      <w:r w:rsidR="00D61293">
        <w:t>comment</w:t>
      </w:r>
      <w:r w:rsidR="00183854">
        <w:t xml:space="preserve"> and reply comment </w:t>
      </w:r>
      <w:r w:rsidR="002E0986" w:rsidRPr="002E0986">
        <w:t>due dates, with comments due by November 20, 2015, and reply comments due by December 11, 2015.</w:t>
      </w:r>
      <w:r w:rsidR="002E0986" w:rsidRPr="002E0986">
        <w:rPr>
          <w:vertAlign w:val="superscript"/>
        </w:rPr>
        <w:footnoteReference w:id="9"/>
      </w:r>
      <w:r w:rsidR="002E0986">
        <w:t xml:space="preserve"> </w:t>
      </w:r>
      <w:r w:rsidR="0086723B">
        <w:t xml:space="preserve"> </w:t>
      </w:r>
    </w:p>
    <w:p w14:paraId="4740F707" w14:textId="0E54E345" w:rsidR="0032663B" w:rsidRDefault="00F431E2" w:rsidP="00960C0E">
      <w:pPr>
        <w:pStyle w:val="ParaNum"/>
        <w:tabs>
          <w:tab w:val="clear" w:pos="1080"/>
          <w:tab w:val="num" w:pos="1440"/>
        </w:tabs>
      </w:pPr>
      <w:r>
        <w:t xml:space="preserve">On October 21, 2015, the </w:t>
      </w:r>
      <w:r w:rsidR="004C76DE">
        <w:t>Joint Petitioners</w:t>
      </w:r>
      <w:r w:rsidR="00B71AD5">
        <w:t xml:space="preserve"> </w:t>
      </w:r>
      <w:r>
        <w:t xml:space="preserve">requested a 60-day extension of time to file comments and </w:t>
      </w:r>
      <w:r w:rsidR="000D7D10">
        <w:t xml:space="preserve">a </w:t>
      </w:r>
      <w:r w:rsidR="001D4299">
        <w:t>69</w:t>
      </w:r>
      <w:r>
        <w:t xml:space="preserve">-day extension of </w:t>
      </w:r>
      <w:r w:rsidR="0032663B">
        <w:t>time to file</w:t>
      </w:r>
      <w:r>
        <w:t xml:space="preserve"> reply comments, </w:t>
      </w:r>
      <w:r w:rsidR="000D7D10">
        <w:t xml:space="preserve">stating </w:t>
      </w:r>
      <w:r w:rsidR="00B71AD5">
        <w:t>their members “will not be able to adequately review and provide meaningful comment on the data within the current deadlines</w:t>
      </w:r>
      <w:r>
        <w:t>.”</w:t>
      </w:r>
      <w:r w:rsidR="00B71AD5">
        <w:rPr>
          <w:rStyle w:val="FootnoteReference"/>
        </w:rPr>
        <w:footnoteReference w:id="10"/>
      </w:r>
      <w:r>
        <w:t xml:space="preserve">  </w:t>
      </w:r>
      <w:r w:rsidR="001D4299">
        <w:t xml:space="preserve">The </w:t>
      </w:r>
      <w:r w:rsidR="004C76DE">
        <w:t>Joint Petitioners</w:t>
      </w:r>
      <w:r w:rsidR="00A40E7F">
        <w:t xml:space="preserve"> </w:t>
      </w:r>
      <w:r w:rsidR="000A7BF2">
        <w:t>contend “[t]</w:t>
      </w:r>
      <w:r w:rsidR="000A7BF2" w:rsidRPr="000A7BF2">
        <w:t>he rollout of access to the special access data collection has been slow</w:t>
      </w:r>
      <w:r w:rsidR="000A7BF2">
        <w:t>,” including “process delays as parties wait to be contacted by the Commission’s contractor, NORC, and to receive credentials and remote access training.”</w:t>
      </w:r>
      <w:r w:rsidR="00013802">
        <w:rPr>
          <w:rStyle w:val="FootnoteReference"/>
        </w:rPr>
        <w:footnoteReference w:id="11"/>
      </w:r>
      <w:r w:rsidR="002B57E0">
        <w:t xml:space="preserve">  </w:t>
      </w:r>
      <w:r w:rsidR="00C365C0">
        <w:t>In addition, the amount and complexity of the data to review further justifies an extension of time according to the Joint Petitioners.</w:t>
      </w:r>
      <w:r w:rsidR="00C365C0">
        <w:rPr>
          <w:rStyle w:val="FootnoteReference"/>
        </w:rPr>
        <w:footnoteReference w:id="12"/>
      </w:r>
      <w:r w:rsidR="00C365C0">
        <w:t xml:space="preserve">  </w:t>
      </w:r>
    </w:p>
    <w:p w14:paraId="32668A3B" w14:textId="53E5610A" w:rsidR="00FD2308" w:rsidRDefault="0016281B" w:rsidP="0016281B">
      <w:pPr>
        <w:pStyle w:val="ParaNum"/>
        <w:tabs>
          <w:tab w:val="clear" w:pos="1080"/>
          <w:tab w:val="left" w:pos="1440"/>
        </w:tabs>
      </w:pPr>
      <w:r>
        <w:t>INCOMPAS</w:t>
      </w:r>
      <w:r>
        <w:rPr>
          <w:rStyle w:val="FootnoteReference"/>
        </w:rPr>
        <w:footnoteReference w:id="13"/>
      </w:r>
      <w:r>
        <w:t xml:space="preserve"> and the Competitive Carriers Association (CCA) jointly </w:t>
      </w:r>
      <w:r w:rsidR="00E00E87">
        <w:t xml:space="preserve">filed opposing </w:t>
      </w:r>
      <w:r>
        <w:t xml:space="preserve">the extension of time </w:t>
      </w:r>
      <w:r w:rsidR="00E00E87">
        <w:t xml:space="preserve">request </w:t>
      </w:r>
      <w:r>
        <w:t>on October 23, 2015</w:t>
      </w:r>
      <w:r w:rsidR="00E00E87">
        <w:t xml:space="preserve"> (</w:t>
      </w:r>
      <w:r w:rsidR="00C61148">
        <w:t xml:space="preserve">collectively, </w:t>
      </w:r>
      <w:r w:rsidR="00E00E87">
        <w:t>Joint Opponents)</w:t>
      </w:r>
      <w:r>
        <w:t>.</w:t>
      </w:r>
      <w:r>
        <w:rPr>
          <w:rStyle w:val="FootnoteReference"/>
        </w:rPr>
        <w:footnoteReference w:id="14"/>
      </w:r>
      <w:r>
        <w:t xml:space="preserve">  Sprint Corporation (Sprint) also filed in opposition on </w:t>
      </w:r>
      <w:r w:rsidR="00E00E87">
        <w:t>October 26, 2015.</w:t>
      </w:r>
      <w:r>
        <w:rPr>
          <w:rStyle w:val="FootnoteReference"/>
        </w:rPr>
        <w:footnoteReference w:id="15"/>
      </w:r>
      <w:r>
        <w:t xml:space="preserve"> </w:t>
      </w:r>
      <w:r w:rsidR="00E00E87">
        <w:t xml:space="preserve"> These parties express</w:t>
      </w:r>
      <w:r w:rsidR="00703A38">
        <w:t xml:space="preserve"> concern </w:t>
      </w:r>
      <w:r w:rsidR="007B7AB3">
        <w:t xml:space="preserve">that </w:t>
      </w:r>
      <w:r w:rsidR="00C365C0">
        <w:t>the amount</w:t>
      </w:r>
      <w:r w:rsidR="007B7AB3">
        <w:t xml:space="preserve"> of time </w:t>
      </w:r>
      <w:r w:rsidR="00C365C0">
        <w:t xml:space="preserve">requested </w:t>
      </w:r>
      <w:r w:rsidR="007B7AB3">
        <w:t xml:space="preserve">could unreasonably </w:t>
      </w:r>
      <w:r w:rsidR="00703A38">
        <w:t>“</w:t>
      </w:r>
      <w:r w:rsidR="00703A38" w:rsidRPr="00703A38">
        <w:t>delay this proceeding</w:t>
      </w:r>
      <w:r w:rsidR="00703A38">
        <w:t xml:space="preserve">” </w:t>
      </w:r>
      <w:r w:rsidR="00E00E87">
        <w:t xml:space="preserve">with the Joint Opponents </w:t>
      </w:r>
      <w:r w:rsidR="00C365C0">
        <w:t xml:space="preserve">noting </w:t>
      </w:r>
      <w:r w:rsidR="009B593B">
        <w:t>that it “was [</w:t>
      </w:r>
      <w:r w:rsidR="00E00E87">
        <w:t xml:space="preserve">just </w:t>
      </w:r>
      <w:r w:rsidR="009B593B">
        <w:t xml:space="preserve">over a month] </w:t>
      </w:r>
      <w:r w:rsidR="00703A38">
        <w:t>ago that the Wireline</w:t>
      </w:r>
      <w:r w:rsidR="009B593B">
        <w:t xml:space="preserve"> </w:t>
      </w:r>
      <w:r w:rsidR="00703A38">
        <w:t>Competition Bureau established the current comment and reply comment deadlines and</w:t>
      </w:r>
      <w:r w:rsidR="009B593B">
        <w:t xml:space="preserve"> </w:t>
      </w:r>
      <w:r w:rsidR="001B2406">
        <w:t>announced that it was ‘</w:t>
      </w:r>
      <w:r w:rsidR="00703A38" w:rsidRPr="00C92B74">
        <w:rPr>
          <w:i/>
        </w:rPr>
        <w:t>initiating</w:t>
      </w:r>
      <w:r w:rsidR="00703A38">
        <w:t xml:space="preserve"> the process of allowing access to the data.</w:t>
      </w:r>
      <w:r w:rsidR="001B2406">
        <w:t>’</w:t>
      </w:r>
      <w:r w:rsidR="00703A38">
        <w:t>”</w:t>
      </w:r>
      <w:r w:rsidR="009B593B">
        <w:rPr>
          <w:rStyle w:val="FootnoteReference"/>
        </w:rPr>
        <w:footnoteReference w:id="16"/>
      </w:r>
      <w:r w:rsidR="00A27502">
        <w:t xml:space="preserve">  </w:t>
      </w:r>
      <w:r w:rsidR="00E00E87">
        <w:t>Both t</w:t>
      </w:r>
      <w:r w:rsidR="00A27502">
        <w:t>he Joint Oppo</w:t>
      </w:r>
      <w:r w:rsidR="00E00E87">
        <w:t xml:space="preserve">nents and Sprint </w:t>
      </w:r>
      <w:r w:rsidR="00A06ACE">
        <w:t xml:space="preserve">also </w:t>
      </w:r>
      <w:r w:rsidR="00A27502">
        <w:t>argue that</w:t>
      </w:r>
      <w:r w:rsidR="00703A38">
        <w:t xml:space="preserve"> </w:t>
      </w:r>
      <w:r w:rsidR="00A27502">
        <w:t>“</w:t>
      </w:r>
      <w:r w:rsidR="00703A38">
        <w:t xml:space="preserve">the 60 days sought </w:t>
      </w:r>
      <w:r w:rsidR="00A06ACE">
        <w:t xml:space="preserve">. . . </w:t>
      </w:r>
      <w:r w:rsidR="00703A38">
        <w:t>bears no relationship to the actual delay parties have experienced, or are likely to</w:t>
      </w:r>
      <w:r w:rsidR="00A27502">
        <w:t xml:space="preserve"> </w:t>
      </w:r>
      <w:r w:rsidR="00703A38">
        <w:t>experience, in accessing the data.</w:t>
      </w:r>
      <w:r w:rsidR="00A27502">
        <w:t>”</w:t>
      </w:r>
      <w:r w:rsidR="00A27502">
        <w:rPr>
          <w:rStyle w:val="FootnoteReference"/>
        </w:rPr>
        <w:footnoteReference w:id="17"/>
      </w:r>
      <w:r w:rsidR="000C711F">
        <w:t xml:space="preserve">  </w:t>
      </w:r>
      <w:r w:rsidR="000D24EB">
        <w:t>Sprint also states that a “grant of the requested delay would harm the interests of Sprint and other special access customers</w:t>
      </w:r>
      <w:r w:rsidR="00925878">
        <w:t>,</w:t>
      </w:r>
      <w:r w:rsidR="000D24EB">
        <w:t xml:space="preserve">” and </w:t>
      </w:r>
      <w:r w:rsidR="00E82D05">
        <w:t xml:space="preserve">refers to </w:t>
      </w:r>
      <w:r w:rsidR="001F3E4C">
        <w:t xml:space="preserve">opportunities </w:t>
      </w:r>
      <w:r w:rsidR="000D24EB">
        <w:t>to supplement the record</w:t>
      </w:r>
      <w:r w:rsidR="00DF60E0">
        <w:t xml:space="preserve">, consistent with </w:t>
      </w:r>
      <w:r w:rsidR="001F3E4C">
        <w:t xml:space="preserve">the Commission’s </w:t>
      </w:r>
      <w:r w:rsidR="00DF60E0">
        <w:t xml:space="preserve">rules </w:t>
      </w:r>
      <w:r w:rsidR="00B40512">
        <w:t xml:space="preserve">on </w:t>
      </w:r>
      <w:r w:rsidR="00DF60E0" w:rsidRPr="000D24EB">
        <w:t xml:space="preserve">written </w:t>
      </w:r>
      <w:r w:rsidR="00DF60E0" w:rsidRPr="00830C6B">
        <w:rPr>
          <w:i/>
        </w:rPr>
        <w:t>ex parte</w:t>
      </w:r>
      <w:r w:rsidR="00DF60E0" w:rsidRPr="000D24EB">
        <w:t xml:space="preserve"> presentation</w:t>
      </w:r>
      <w:r w:rsidR="00DF60E0">
        <w:t>s,</w:t>
      </w:r>
      <w:r w:rsidR="000D24EB">
        <w:t xml:space="preserve"> after the close of a comment period </w:t>
      </w:r>
      <w:r w:rsidR="00B27CEA" w:rsidRPr="00B27CEA">
        <w:t>as an alternative to</w:t>
      </w:r>
      <w:r w:rsidR="00B27CEA">
        <w:t xml:space="preserve"> the </w:t>
      </w:r>
      <w:r w:rsidR="00B27CEA" w:rsidRPr="00B27CEA">
        <w:t>extension</w:t>
      </w:r>
      <w:r w:rsidR="00B27CEA">
        <w:t xml:space="preserve"> requested</w:t>
      </w:r>
      <w:r w:rsidR="000D24EB">
        <w:t>.</w:t>
      </w:r>
      <w:r w:rsidR="000D24EB">
        <w:rPr>
          <w:rStyle w:val="FootnoteReference"/>
        </w:rPr>
        <w:footnoteReference w:id="18"/>
      </w:r>
    </w:p>
    <w:p w14:paraId="22D1B9E0" w14:textId="4DB9A53C" w:rsidR="000C711F" w:rsidRDefault="00FD2308" w:rsidP="003B6866">
      <w:pPr>
        <w:pStyle w:val="ParaNum"/>
        <w:tabs>
          <w:tab w:val="clear" w:pos="1080"/>
          <w:tab w:val="num" w:pos="1440"/>
        </w:tabs>
      </w:pPr>
      <w:r>
        <w:t xml:space="preserve">First, we </w:t>
      </w:r>
      <w:r w:rsidR="002B57E0">
        <w:t xml:space="preserve">note that any </w:t>
      </w:r>
      <w:r w:rsidR="000C711F">
        <w:t>delay</w:t>
      </w:r>
      <w:r>
        <w:t>s</w:t>
      </w:r>
      <w:r w:rsidR="002B57E0">
        <w:t xml:space="preserve"> </w:t>
      </w:r>
      <w:r w:rsidR="000D7D10">
        <w:t xml:space="preserve">with obtaining remote access to </w:t>
      </w:r>
      <w:r w:rsidR="00925878">
        <w:t xml:space="preserve">the data </w:t>
      </w:r>
      <w:r w:rsidR="002B57E0">
        <w:t>have affect</w:t>
      </w:r>
      <w:r w:rsidR="004C76DE">
        <w:t>ed</w:t>
      </w:r>
      <w:r w:rsidR="002B57E0">
        <w:t xml:space="preserve"> both </w:t>
      </w:r>
      <w:r w:rsidR="00195EAD">
        <w:t xml:space="preserve">Joint </w:t>
      </w:r>
      <w:r w:rsidR="002B57E0">
        <w:t>Petitioner</w:t>
      </w:r>
      <w:r w:rsidR="00927C06">
        <w:t>s</w:t>
      </w:r>
      <w:r w:rsidR="002B57E0">
        <w:t xml:space="preserve"> and </w:t>
      </w:r>
      <w:r w:rsidR="00DF60E0">
        <w:t>the parties oppos</w:t>
      </w:r>
      <w:r w:rsidR="00C61148">
        <w:t>ing</w:t>
      </w:r>
      <w:r w:rsidR="00DF60E0">
        <w:t xml:space="preserve"> </w:t>
      </w:r>
      <w:r w:rsidR="00C61148">
        <w:t xml:space="preserve">the </w:t>
      </w:r>
      <w:r w:rsidR="00DF60E0">
        <w:t xml:space="preserve">extension </w:t>
      </w:r>
      <w:r w:rsidR="00C61148">
        <w:t>request</w:t>
      </w:r>
      <w:r w:rsidR="004C76DE">
        <w:t xml:space="preserve">.  </w:t>
      </w:r>
      <w:r>
        <w:t xml:space="preserve">Second, </w:t>
      </w:r>
      <w:r w:rsidR="00C365C0">
        <w:t>as of October 23, 2015, NORC ha</w:t>
      </w:r>
      <w:r w:rsidR="00B40512">
        <w:t>d</w:t>
      </w:r>
      <w:r w:rsidR="00C365C0">
        <w:t xml:space="preserve"> provided training and remote access to all of the authorized individuals </w:t>
      </w:r>
      <w:r w:rsidR="00B15129">
        <w:t>that ha</w:t>
      </w:r>
      <w:r w:rsidR="00B40512">
        <w:t>d</w:t>
      </w:r>
      <w:r w:rsidR="00B15129">
        <w:t xml:space="preserve"> completed the NORC registration process</w:t>
      </w:r>
      <w:r w:rsidR="00C365C0">
        <w:t>.</w:t>
      </w:r>
      <w:r w:rsidR="00701436">
        <w:rPr>
          <w:rStyle w:val="FootnoteReference"/>
        </w:rPr>
        <w:footnoteReference w:id="19"/>
      </w:r>
      <w:r w:rsidR="00C365C0">
        <w:t xml:space="preserve">  </w:t>
      </w:r>
      <w:r>
        <w:t>The remaining eligible authorized individuals without remote access at this point have either not confirmed their intent to obtain such access with NORC, declined the remote access option, or have not made arrangements with NORC</w:t>
      </w:r>
      <w:r w:rsidR="00663119">
        <w:t xml:space="preserve"> for, </w:t>
      </w:r>
      <w:r>
        <w:t>and attended</w:t>
      </w:r>
      <w:r w:rsidR="00663119">
        <w:t>,</w:t>
      </w:r>
      <w:r>
        <w:t xml:space="preserve"> the necessary training to enable remote access.  </w:t>
      </w:r>
      <w:r w:rsidR="00C365C0">
        <w:t>That said, NORC made its facilities in Bethesda, Maryland available for direct physical access to the collected data</w:t>
      </w:r>
      <w:r w:rsidR="00701436">
        <w:t>, free of charge,</w:t>
      </w:r>
      <w:r w:rsidR="00C365C0">
        <w:t xml:space="preserve"> soon after the release of our </w:t>
      </w:r>
      <w:r w:rsidR="006F4A94">
        <w:rPr>
          <w:i/>
        </w:rPr>
        <w:t>Modified Protective Order</w:t>
      </w:r>
      <w:r w:rsidR="00C365C0">
        <w:t xml:space="preserve"> on September 18, 2015.</w:t>
      </w:r>
    </w:p>
    <w:p w14:paraId="77DADE39" w14:textId="0345266C" w:rsidR="00C05B66" w:rsidRDefault="00275D75" w:rsidP="00066779">
      <w:pPr>
        <w:pStyle w:val="ParaNum"/>
        <w:widowControl/>
        <w:tabs>
          <w:tab w:val="clear" w:pos="1080"/>
          <w:tab w:val="num" w:pos="1440"/>
        </w:tabs>
      </w:pPr>
      <w:r>
        <w:t>R</w:t>
      </w:r>
      <w:r w:rsidRPr="00E211F9">
        <w:t>equests for extensions of time are not routinely granted</w:t>
      </w:r>
      <w:r>
        <w:t>.</w:t>
      </w:r>
      <w:r>
        <w:rPr>
          <w:rStyle w:val="FootnoteReference"/>
        </w:rPr>
        <w:footnoteReference w:id="20"/>
      </w:r>
      <w:r>
        <w:t xml:space="preserve">  Filing periods in rulemaking proceedings have been extended, however, considering the circumstances of the request.</w:t>
      </w:r>
      <w:r>
        <w:rPr>
          <w:rStyle w:val="FootnoteReference"/>
        </w:rPr>
        <w:footnoteReference w:id="21"/>
      </w:r>
      <w:r>
        <w:t xml:space="preserve">  </w:t>
      </w:r>
      <w:r w:rsidR="00C61148">
        <w:t xml:space="preserve">While </w:t>
      </w:r>
      <w:r w:rsidR="00A81D65">
        <w:t xml:space="preserve">any delays with obtaining remote access do not merit the length of the </w:t>
      </w:r>
      <w:r w:rsidR="00C61148">
        <w:t xml:space="preserve">extension of time requested </w:t>
      </w:r>
      <w:r w:rsidR="00A81D65">
        <w:t>by the Joint Petitioners</w:t>
      </w:r>
      <w:r w:rsidR="00C61148">
        <w:t>, w</w:t>
      </w:r>
      <w:r w:rsidR="00631AB7">
        <w:t xml:space="preserve">e </w:t>
      </w:r>
      <w:r w:rsidR="00776D91">
        <w:t>find</w:t>
      </w:r>
      <w:r w:rsidR="006515B1">
        <w:t xml:space="preserve"> </w:t>
      </w:r>
      <w:r w:rsidR="00631AB7">
        <w:t>a modest extension of time is warranted</w:t>
      </w:r>
      <w:r w:rsidR="00A66D6C">
        <w:t>.</w:t>
      </w:r>
      <w:r w:rsidR="00631AB7">
        <w:t xml:space="preserve"> </w:t>
      </w:r>
      <w:r w:rsidR="00A66D6C">
        <w:t xml:space="preserve"> </w:t>
      </w:r>
      <w:r w:rsidR="00C05B66" w:rsidRPr="00C05B66">
        <w:t xml:space="preserve">The size and complexity of the data collection is significant, as are the issues the data and analysis will inform.  </w:t>
      </w:r>
      <w:r w:rsidR="001A4D1E">
        <w:t xml:space="preserve">A modest </w:t>
      </w:r>
      <w:r w:rsidR="00D056B6">
        <w:t>extension</w:t>
      </w:r>
      <w:r w:rsidR="00BA655F">
        <w:t xml:space="preserve"> </w:t>
      </w:r>
      <w:r w:rsidR="001A4D1E">
        <w:t xml:space="preserve">of time </w:t>
      </w:r>
      <w:r w:rsidR="00BA655F">
        <w:t xml:space="preserve">will </w:t>
      </w:r>
      <w:r w:rsidR="001A4D1E">
        <w:t xml:space="preserve">give </w:t>
      </w:r>
      <w:r w:rsidR="004C76DE">
        <w:t>Joint Petitioner</w:t>
      </w:r>
      <w:r w:rsidR="00927C06">
        <w:t>s</w:t>
      </w:r>
      <w:r w:rsidR="00961696">
        <w:t>, the Joint Oppo</w:t>
      </w:r>
      <w:r w:rsidR="00A06ACE">
        <w:t>nents</w:t>
      </w:r>
      <w:r w:rsidR="00961696">
        <w:t>, Sprint,</w:t>
      </w:r>
      <w:r w:rsidR="001A4D1E">
        <w:t xml:space="preserve"> and others participating in this proceeding time that may </w:t>
      </w:r>
      <w:r w:rsidR="00BA655F">
        <w:t xml:space="preserve">improve the quality of </w:t>
      </w:r>
      <w:r w:rsidR="001A4D1E">
        <w:t xml:space="preserve">analysis of </w:t>
      </w:r>
      <w:r w:rsidR="003F308D">
        <w:t xml:space="preserve">issues and </w:t>
      </w:r>
      <w:r w:rsidR="00BA655F">
        <w:t>data</w:t>
      </w:r>
      <w:r w:rsidR="001A4D1E">
        <w:t xml:space="preserve"> being considered.  </w:t>
      </w:r>
      <w:r w:rsidR="00C40302">
        <w:t xml:space="preserve">Although parties may supplement the record consistent with the Commission’s rules, as Sprint </w:t>
      </w:r>
      <w:r w:rsidR="007F4BC0">
        <w:t>suggests</w:t>
      </w:r>
      <w:r w:rsidR="00C40302">
        <w:t xml:space="preserve">, </w:t>
      </w:r>
      <w:r w:rsidR="007F4BC0">
        <w:t xml:space="preserve">in this circumstance relying on unscheduled submissions </w:t>
      </w:r>
      <w:r w:rsidR="00C40302">
        <w:t xml:space="preserve">could have the effect of adding further delay </w:t>
      </w:r>
      <w:r w:rsidR="008B47B7">
        <w:t xml:space="preserve">if </w:t>
      </w:r>
      <w:r w:rsidR="00C40302">
        <w:t>analysis is submitted without deadline</w:t>
      </w:r>
      <w:r w:rsidR="00967B71">
        <w:t>s</w:t>
      </w:r>
      <w:r w:rsidR="00C40302">
        <w:t xml:space="preserve"> common to all.  </w:t>
      </w:r>
      <w:r w:rsidR="004D3E92">
        <w:t xml:space="preserve">  </w:t>
      </w:r>
    </w:p>
    <w:p w14:paraId="3310FBC1" w14:textId="3D36FC83" w:rsidR="00707390" w:rsidRDefault="00631AB7" w:rsidP="002E7065">
      <w:pPr>
        <w:pStyle w:val="ParaNum"/>
        <w:tabs>
          <w:tab w:val="clear" w:pos="1080"/>
          <w:tab w:val="num" w:pos="1440"/>
        </w:tabs>
      </w:pPr>
      <w:r>
        <w:t xml:space="preserve">Accordingly, IT IS ORDERED, pursuant to sections 1, </w:t>
      </w:r>
      <w:r w:rsidR="00A81D65">
        <w:t xml:space="preserve">2, </w:t>
      </w:r>
      <w:r>
        <w:t xml:space="preserve">4(i), </w:t>
      </w:r>
      <w:r w:rsidR="00F34596">
        <w:t xml:space="preserve">4(j), </w:t>
      </w:r>
      <w:r>
        <w:t xml:space="preserve">and 5(c) of the Communications Act of 1934, as amended, 47 U.S.C. §§ 151, </w:t>
      </w:r>
      <w:r w:rsidR="00A81D65">
        <w:t xml:space="preserve">152, </w:t>
      </w:r>
      <w:r>
        <w:t xml:space="preserve">154(i), </w:t>
      </w:r>
      <w:r w:rsidR="00F34596">
        <w:t xml:space="preserve">155(j), </w:t>
      </w:r>
      <w:r>
        <w:t xml:space="preserve">and 155(c), sections 0.91, 0.291, and 1.46 of the Commission’s rules, 47 C.F.R. §§ 0.91, 0.291, and 1.46, </w:t>
      </w:r>
      <w:r w:rsidR="00E91414">
        <w:t xml:space="preserve">and </w:t>
      </w:r>
      <w:r w:rsidR="00E91414" w:rsidRPr="003E6B0B">
        <w:t xml:space="preserve">the authority delegated to the Bureau in the </w:t>
      </w:r>
      <w:r w:rsidR="00E91414" w:rsidRPr="003E6B0B">
        <w:rPr>
          <w:i/>
          <w:iCs/>
        </w:rPr>
        <w:t>Data Collection Order</w:t>
      </w:r>
      <w:r w:rsidR="00E91414">
        <w:t xml:space="preserve">, 27 FCC Rcd at </w:t>
      </w:r>
      <w:r w:rsidR="00E91414" w:rsidRPr="003E6B0B">
        <w:t>16340, para. 52,</w:t>
      </w:r>
      <w:r w:rsidR="00E91414">
        <w:t xml:space="preserve"> </w:t>
      </w:r>
      <w:r w:rsidR="0077097A">
        <w:t xml:space="preserve">that </w:t>
      </w:r>
      <w:r>
        <w:t xml:space="preserve">the </w:t>
      </w:r>
      <w:r w:rsidR="00F34596">
        <w:t>request for extension of time filed by Joint Petitioners IS</w:t>
      </w:r>
      <w:r w:rsidR="00254CCA">
        <w:t xml:space="preserve"> </w:t>
      </w:r>
      <w:r>
        <w:t>GRANTED</w:t>
      </w:r>
      <w:r w:rsidR="00A66D6C">
        <w:t xml:space="preserve"> to the extent described </w:t>
      </w:r>
      <w:r w:rsidR="00707390">
        <w:t>herein</w:t>
      </w:r>
      <w:r w:rsidR="00707390">
        <w:rPr>
          <w:rStyle w:val="CommentReference"/>
        </w:rPr>
        <w:t>.</w:t>
      </w:r>
      <w:r w:rsidR="004D3E92">
        <w:t xml:space="preserve">  The deadline for comments </w:t>
      </w:r>
      <w:r w:rsidR="006D2845">
        <w:t xml:space="preserve">on section IV.B of the </w:t>
      </w:r>
      <w:r w:rsidR="006D2845" w:rsidRPr="00830C6B">
        <w:rPr>
          <w:i/>
        </w:rPr>
        <w:t>Special Access FNPRM</w:t>
      </w:r>
      <w:r w:rsidR="006D2845">
        <w:t xml:space="preserve"> </w:t>
      </w:r>
      <w:r w:rsidR="004D3E92">
        <w:t xml:space="preserve">is extended to </w:t>
      </w:r>
      <w:r w:rsidR="004D3E92" w:rsidRPr="00830C6B">
        <w:rPr>
          <w:b/>
        </w:rPr>
        <w:t>January 6, 2016</w:t>
      </w:r>
      <w:r w:rsidR="004D3E92">
        <w:t xml:space="preserve">, and the deadline for reply comments is extended to </w:t>
      </w:r>
      <w:r w:rsidR="004D3E92" w:rsidRPr="00830C6B">
        <w:rPr>
          <w:b/>
        </w:rPr>
        <w:t>February 5, 2016</w:t>
      </w:r>
      <w:r w:rsidR="004D3E92">
        <w:t>.</w:t>
      </w:r>
    </w:p>
    <w:p w14:paraId="420B59E1" w14:textId="77777777" w:rsidR="00A93E91" w:rsidRDefault="00A93E91" w:rsidP="00A93E91">
      <w:pPr>
        <w:pStyle w:val="ParaNum"/>
        <w:numPr>
          <w:ilvl w:val="0"/>
          <w:numId w:val="0"/>
        </w:numPr>
        <w:ind w:left="720"/>
      </w:pPr>
    </w:p>
    <w:p w14:paraId="4883E860" w14:textId="77777777" w:rsidR="00A93E91" w:rsidRDefault="00A93E91" w:rsidP="00A93E91">
      <w:pPr>
        <w:pStyle w:val="ParaNum"/>
        <w:numPr>
          <w:ilvl w:val="0"/>
          <w:numId w:val="0"/>
        </w:numPr>
        <w:ind w:left="720"/>
      </w:pPr>
    </w:p>
    <w:p w14:paraId="30ED5B87" w14:textId="46E14A9F" w:rsidR="00CA043F" w:rsidRDefault="00BF0D21" w:rsidP="00066779">
      <w:pPr>
        <w:pStyle w:val="ParaNum"/>
        <w:widowControl/>
        <w:tabs>
          <w:tab w:val="clear" w:pos="1080"/>
          <w:tab w:val="num" w:pos="1440"/>
        </w:tabs>
        <w:spacing w:after="360"/>
      </w:pPr>
      <w:r>
        <w:t xml:space="preserve">IT IS FURTHER ORDERED that, pursuant to section 1.102(b)(1) of the Commission’s rules, </w:t>
      </w:r>
      <w:smartTag w:uri="urn:schemas-microsoft-com:office:smarttags" w:element="metricconverter">
        <w:smartTagPr>
          <w:attr w:name="ProductID" w:val="47 C"/>
        </w:smartTagPr>
        <w:r>
          <w:t>47 C</w:t>
        </w:r>
      </w:smartTag>
      <w:r>
        <w:t>.F.R. § 1.102(b)(1), this Order SHALL BE EFFECTIVE upon release.</w:t>
      </w:r>
    </w:p>
    <w:p w14:paraId="5C51C0CD" w14:textId="77777777" w:rsidR="009C27A3" w:rsidRDefault="009C27A3" w:rsidP="009C27A3">
      <w:pPr>
        <w:pStyle w:val="ParaNum"/>
        <w:widowControl/>
        <w:numPr>
          <w:ilvl w:val="0"/>
          <w:numId w:val="0"/>
        </w:numPr>
        <w:ind w:left="4320"/>
      </w:pPr>
    </w:p>
    <w:p w14:paraId="1CDD15B9" w14:textId="77777777" w:rsidR="00631AB7" w:rsidRDefault="00631AB7" w:rsidP="009C27A3">
      <w:pPr>
        <w:pStyle w:val="ParaNum"/>
        <w:widowControl/>
        <w:numPr>
          <w:ilvl w:val="0"/>
          <w:numId w:val="0"/>
        </w:numPr>
        <w:spacing w:after="0"/>
        <w:ind w:left="4320"/>
      </w:pPr>
      <w:r>
        <w:t>FEDERAL COMMUNICATIONS COMMISSION</w:t>
      </w:r>
    </w:p>
    <w:p w14:paraId="0BB33445" w14:textId="77777777" w:rsidR="009C27A3" w:rsidRDefault="009C27A3" w:rsidP="009C27A3">
      <w:pPr>
        <w:pStyle w:val="ParaNum"/>
        <w:widowControl/>
        <w:numPr>
          <w:ilvl w:val="0"/>
          <w:numId w:val="0"/>
        </w:numPr>
        <w:spacing w:after="0"/>
        <w:ind w:firstLine="720"/>
      </w:pPr>
    </w:p>
    <w:p w14:paraId="3BE29166" w14:textId="77777777" w:rsidR="009C27A3" w:rsidRDefault="009C27A3" w:rsidP="009C27A3">
      <w:pPr>
        <w:pStyle w:val="ParaNum"/>
        <w:widowControl/>
        <w:numPr>
          <w:ilvl w:val="0"/>
          <w:numId w:val="0"/>
        </w:numPr>
        <w:spacing w:after="0"/>
        <w:ind w:firstLine="720"/>
      </w:pPr>
    </w:p>
    <w:p w14:paraId="68971F37" w14:textId="77777777" w:rsidR="00631AB7" w:rsidRDefault="00631AB7" w:rsidP="009C27A3">
      <w:pPr>
        <w:pStyle w:val="ParaNum"/>
        <w:numPr>
          <w:ilvl w:val="0"/>
          <w:numId w:val="0"/>
        </w:numPr>
        <w:spacing w:after="0"/>
        <w:ind w:left="720"/>
      </w:pPr>
    </w:p>
    <w:p w14:paraId="089565FD" w14:textId="77777777" w:rsidR="00673921" w:rsidRDefault="00673921" w:rsidP="009C27A3">
      <w:pPr>
        <w:pStyle w:val="ParaNum"/>
        <w:numPr>
          <w:ilvl w:val="0"/>
          <w:numId w:val="0"/>
        </w:numPr>
        <w:spacing w:after="0"/>
        <w:ind w:left="720"/>
      </w:pPr>
    </w:p>
    <w:p w14:paraId="667648B0" w14:textId="77777777" w:rsidR="00701A4B" w:rsidRDefault="00631AB7" w:rsidP="00701A4B">
      <w:pPr>
        <w:ind w:left="3600" w:firstLine="720"/>
      </w:pPr>
      <w:r>
        <w:t>Deena M. Shetler</w:t>
      </w:r>
    </w:p>
    <w:p w14:paraId="62CF8777" w14:textId="77777777" w:rsidR="00631AB7" w:rsidRDefault="00631AB7" w:rsidP="00701A4B">
      <w:pPr>
        <w:ind w:left="3600" w:firstLine="720"/>
      </w:pPr>
      <w:r>
        <w:t>Associate Chief</w:t>
      </w:r>
    </w:p>
    <w:p w14:paraId="4E8CBFEA" w14:textId="77777777" w:rsidR="00631AB7" w:rsidRPr="00631AB7" w:rsidRDefault="00631AB7" w:rsidP="00D00CE1">
      <w:pPr>
        <w:ind w:left="4320"/>
      </w:pPr>
      <w:r>
        <w:t>Wireline Competition Bureau</w:t>
      </w:r>
    </w:p>
    <w:sectPr w:rsidR="00631AB7" w:rsidRPr="00631AB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8795" w14:textId="77777777" w:rsidR="002A3ADE" w:rsidRDefault="002A3ADE">
      <w:pPr>
        <w:spacing w:line="20" w:lineRule="exact"/>
      </w:pPr>
    </w:p>
  </w:endnote>
  <w:endnote w:type="continuationSeparator" w:id="0">
    <w:p w14:paraId="0C130813" w14:textId="77777777" w:rsidR="002A3ADE" w:rsidRDefault="002A3ADE">
      <w:r>
        <w:t xml:space="preserve"> </w:t>
      </w:r>
    </w:p>
  </w:endnote>
  <w:endnote w:type="continuationNotice" w:id="1">
    <w:p w14:paraId="3D8DC87B" w14:textId="77777777" w:rsidR="002A3ADE" w:rsidRDefault="002A3A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3E31"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040B6D2"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43D7"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37A3A">
      <w:rPr>
        <w:noProof/>
      </w:rPr>
      <w:t>4</w:t>
    </w:r>
    <w:r>
      <w:fldChar w:fldCharType="end"/>
    </w:r>
  </w:p>
  <w:p w14:paraId="1ECD7F9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E6BB5"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D145" w14:textId="77777777" w:rsidR="002A3ADE" w:rsidRDefault="002A3ADE">
      <w:r>
        <w:separator/>
      </w:r>
    </w:p>
  </w:footnote>
  <w:footnote w:type="continuationSeparator" w:id="0">
    <w:p w14:paraId="5FE672D0" w14:textId="77777777" w:rsidR="002A3ADE" w:rsidRDefault="002A3ADE" w:rsidP="00C721AC">
      <w:pPr>
        <w:spacing w:before="120"/>
        <w:rPr>
          <w:sz w:val="20"/>
        </w:rPr>
      </w:pPr>
      <w:r>
        <w:rPr>
          <w:sz w:val="20"/>
        </w:rPr>
        <w:t xml:space="preserve">(Continued from previous page)  </w:t>
      </w:r>
      <w:r>
        <w:rPr>
          <w:sz w:val="20"/>
        </w:rPr>
        <w:separator/>
      </w:r>
    </w:p>
  </w:footnote>
  <w:footnote w:type="continuationNotice" w:id="1">
    <w:p w14:paraId="7F534FB0" w14:textId="77777777" w:rsidR="002A3ADE" w:rsidRDefault="002A3ADE" w:rsidP="00C721AC">
      <w:pPr>
        <w:jc w:val="right"/>
        <w:rPr>
          <w:sz w:val="20"/>
        </w:rPr>
      </w:pPr>
      <w:r>
        <w:rPr>
          <w:sz w:val="20"/>
        </w:rPr>
        <w:t>(continued….)</w:t>
      </w:r>
    </w:p>
  </w:footnote>
  <w:footnote w:id="2">
    <w:p w14:paraId="4D0B4224" w14:textId="0181F826" w:rsidR="00631AB7" w:rsidRDefault="00631AB7" w:rsidP="00631AB7">
      <w:pPr>
        <w:pStyle w:val="FootnoteText"/>
      </w:pPr>
      <w:r>
        <w:rPr>
          <w:rStyle w:val="FootnoteReference"/>
        </w:rPr>
        <w:footnoteRef/>
      </w:r>
      <w:r>
        <w:t xml:space="preserve"> </w:t>
      </w:r>
      <w:r w:rsidR="0017017A">
        <w:rPr>
          <w:i/>
        </w:rPr>
        <w:t xml:space="preserve">See </w:t>
      </w:r>
      <w:r w:rsidR="005B08E7">
        <w:t xml:space="preserve">Joint Request for Extension of Time of </w:t>
      </w:r>
      <w:r w:rsidR="005B08E7" w:rsidRPr="005771DA">
        <w:t>USTelecom</w:t>
      </w:r>
      <w:r w:rsidR="005B08E7">
        <w:t xml:space="preserve"> and</w:t>
      </w:r>
      <w:r w:rsidR="005B08E7" w:rsidRPr="005771DA">
        <w:t xml:space="preserve"> </w:t>
      </w:r>
      <w:r w:rsidR="005B08E7">
        <w:t xml:space="preserve">ITTA, WC Docket No. 05-25, RM-10593 (filed Oct. 21, 2015) (Joint Petition); </w:t>
      </w:r>
      <w:r w:rsidRPr="00FF437B">
        <w:rPr>
          <w:i/>
        </w:rPr>
        <w:t>Special Access for Price Cap Local Exchange Carriers; AT&amp;T Corporation Petition for Rulemaking to Reform Regulation of Incumbent Local Exchange Carrier Rates for Interstate Special Access Services</w:t>
      </w:r>
      <w:r>
        <w:t>, WC Docket No. 05-25, RM-10593, Order and Further Notice of Proposed Rulemaking, 27 FCC Rcd 16318 (2012) (</w:t>
      </w:r>
      <w:r w:rsidRPr="00351AA0">
        <w:rPr>
          <w:i/>
        </w:rPr>
        <w:t>Data Collection Order</w:t>
      </w:r>
      <w:r w:rsidR="005B08E7">
        <w:t xml:space="preserve"> or </w:t>
      </w:r>
      <w:r w:rsidR="005B08E7" w:rsidRPr="00830C6B">
        <w:rPr>
          <w:i/>
        </w:rPr>
        <w:t>Special Access FNPRM</w:t>
      </w:r>
      <w:r>
        <w:t>); Report and Order, 28 FCC Rcd 13189 (Wireline Comp. Bur. 2013); Order on Reconsideration, 29 FCC Rcd 10899 (Wireline Comp. Bur. 2014); Order, 29 FCC Rcd 14346 (Wireline Comp. Bur. 2014) (</w:t>
      </w:r>
      <w:r w:rsidRPr="002A1EBB">
        <w:rPr>
          <w:i/>
        </w:rPr>
        <w:t>Extension Order</w:t>
      </w:r>
      <w:r>
        <w:t>).</w:t>
      </w:r>
    </w:p>
  </w:footnote>
  <w:footnote w:id="3">
    <w:p w14:paraId="7B1C3C64" w14:textId="5B68EDDD" w:rsidR="00832936" w:rsidRPr="00FE24DD" w:rsidRDefault="00832936" w:rsidP="00832936">
      <w:pPr>
        <w:pStyle w:val="FootnoteText"/>
      </w:pPr>
      <w:r w:rsidRPr="00FE24DD">
        <w:rPr>
          <w:rStyle w:val="FootnoteReference"/>
        </w:rPr>
        <w:footnoteRef/>
      </w:r>
      <w:r w:rsidRPr="00FE24DD">
        <w:t xml:space="preserve"> </w:t>
      </w:r>
      <w:r w:rsidRPr="00FE24DD">
        <w:rPr>
          <w:i/>
        </w:rPr>
        <w:t>See Data Collection Order,</w:t>
      </w:r>
      <w:r w:rsidRPr="00FE24DD" w:rsidDel="00D87F42">
        <w:rPr>
          <w:i/>
        </w:rPr>
        <w:t xml:space="preserve"> </w:t>
      </w:r>
      <w:r w:rsidRPr="00FE24DD">
        <w:t xml:space="preserve">27 FCC Rcd </w:t>
      </w:r>
      <w:r>
        <w:t xml:space="preserve">at </w:t>
      </w:r>
      <w:r w:rsidR="006B6B19" w:rsidRPr="00FE24DD">
        <w:t>163</w:t>
      </w:r>
      <w:r w:rsidR="006B6B19">
        <w:t>24</w:t>
      </w:r>
      <w:r>
        <w:t xml:space="preserve">, para. </w:t>
      </w:r>
      <w:r w:rsidR="006B6B19">
        <w:t>13</w:t>
      </w:r>
      <w:r w:rsidRPr="00FE24DD">
        <w:t>.</w:t>
      </w:r>
    </w:p>
  </w:footnote>
  <w:footnote w:id="4">
    <w:p w14:paraId="0545BA00" w14:textId="72197303" w:rsidR="00832936" w:rsidRPr="00FE24DD" w:rsidRDefault="00832936" w:rsidP="00832936">
      <w:pPr>
        <w:pStyle w:val="FootnoteText"/>
        <w:rPr>
          <w:b/>
        </w:rPr>
      </w:pPr>
      <w:r w:rsidRPr="00FE24DD">
        <w:rPr>
          <w:rStyle w:val="FootnoteReference"/>
        </w:rPr>
        <w:footnoteRef/>
      </w:r>
      <w:r w:rsidRPr="00FE24DD">
        <w:t xml:space="preserve"> </w:t>
      </w:r>
      <w:r w:rsidR="00C307CA">
        <w:rPr>
          <w:i/>
        </w:rPr>
        <w:t>See i</w:t>
      </w:r>
      <w:r w:rsidRPr="00FE24DD">
        <w:rPr>
          <w:i/>
        </w:rPr>
        <w:t>d.</w:t>
      </w:r>
      <w:r w:rsidRPr="00FE24DD">
        <w:t xml:space="preserve"> at 16352-54, paras. 80-90.  </w:t>
      </w:r>
    </w:p>
  </w:footnote>
  <w:footnote w:id="5">
    <w:p w14:paraId="5EFD343E" w14:textId="555E368C" w:rsidR="00832936" w:rsidRPr="00FE24DD" w:rsidRDefault="00832936" w:rsidP="00832936">
      <w:pPr>
        <w:pStyle w:val="FootnoteText"/>
      </w:pPr>
      <w:r w:rsidRPr="00FE24DD">
        <w:rPr>
          <w:rStyle w:val="FootnoteReference"/>
        </w:rPr>
        <w:footnoteRef/>
      </w:r>
      <w:r w:rsidRPr="00FE24DD">
        <w:t xml:space="preserve"> </w:t>
      </w:r>
      <w:r w:rsidR="001D4299">
        <w:rPr>
          <w:i/>
        </w:rPr>
        <w:t>See i</w:t>
      </w:r>
      <w:r w:rsidRPr="00FE24DD">
        <w:rPr>
          <w:i/>
        </w:rPr>
        <w:t>d</w:t>
      </w:r>
      <w:r w:rsidRPr="00FE24DD">
        <w:t>.</w:t>
      </w:r>
      <w:r>
        <w:t xml:space="preserve"> at 16359, para. 104.</w:t>
      </w:r>
    </w:p>
  </w:footnote>
  <w:footnote w:id="6">
    <w:p w14:paraId="32CA08BD" w14:textId="1A5F7300" w:rsidR="00832936" w:rsidRDefault="00832936" w:rsidP="00832936">
      <w:pPr>
        <w:pStyle w:val="FootnoteText"/>
      </w:pPr>
      <w:r>
        <w:rPr>
          <w:rStyle w:val="FootnoteReference"/>
        </w:rPr>
        <w:footnoteRef/>
      </w:r>
      <w:r>
        <w:t xml:space="preserve"> </w:t>
      </w:r>
      <w:r w:rsidR="0016281B">
        <w:rPr>
          <w:i/>
        </w:rPr>
        <w:t xml:space="preserve">See </w:t>
      </w:r>
      <w:r w:rsidRPr="00FE24DD">
        <w:rPr>
          <w:i/>
        </w:rPr>
        <w:t>Extension Order</w:t>
      </w:r>
      <w:r>
        <w:t>.</w:t>
      </w:r>
    </w:p>
  </w:footnote>
  <w:footnote w:id="7">
    <w:p w14:paraId="0BBE08D0" w14:textId="5B6E6856" w:rsidR="008E7F7B" w:rsidRDefault="008E7F7B">
      <w:pPr>
        <w:pStyle w:val="FootnoteText"/>
      </w:pPr>
      <w:r>
        <w:rPr>
          <w:rStyle w:val="FootnoteReference"/>
        </w:rPr>
        <w:footnoteRef/>
      </w:r>
      <w:r w:rsidR="00006F5F">
        <w:t xml:space="preserve"> </w:t>
      </w:r>
      <w:r w:rsidR="00006F5F" w:rsidRPr="00FF437B">
        <w:rPr>
          <w:i/>
        </w:rPr>
        <w:t>Special Access for Price Cap Local Exchange Carriers; AT&amp;T Corporation Petition for Rulemaking to Reform Regulation of Incumbent Local Exchange Carrier Rates for Interstate Special Access Services</w:t>
      </w:r>
      <w:r w:rsidR="00006F5F">
        <w:t>, WC Docket No. 05</w:t>
      </w:r>
      <w:r w:rsidR="00937A3A">
        <w:noBreakHyphen/>
      </w:r>
      <w:r w:rsidR="00006F5F">
        <w:t xml:space="preserve">25, RM-10593, </w:t>
      </w:r>
      <w:r w:rsidR="00006F5F" w:rsidRPr="00006F5F">
        <w:t>O</w:t>
      </w:r>
      <w:r w:rsidR="00006F5F">
        <w:t xml:space="preserve">rder and Modified Data </w:t>
      </w:r>
      <w:r w:rsidR="00006F5F" w:rsidRPr="00006F5F">
        <w:t>C</w:t>
      </w:r>
      <w:r w:rsidR="00006F5F">
        <w:t>ollection Protecti</w:t>
      </w:r>
      <w:r w:rsidR="001D4299">
        <w:t>ve</w:t>
      </w:r>
      <w:r w:rsidR="00006F5F">
        <w:t xml:space="preserve"> Order</w:t>
      </w:r>
      <w:r w:rsidR="001D4299">
        <w:t>, DA 15-1035</w:t>
      </w:r>
      <w:r w:rsidR="00006F5F">
        <w:t xml:space="preserve"> (Wireline Comp. Bur. </w:t>
      </w:r>
      <w:r w:rsidR="0060446F">
        <w:t>r</w:t>
      </w:r>
      <w:r w:rsidR="008A7006" w:rsidRPr="008A7006">
        <w:t>el</w:t>
      </w:r>
      <w:r w:rsidR="0060446F">
        <w:t>.</w:t>
      </w:r>
      <w:r w:rsidR="008A7006" w:rsidRPr="008A7006">
        <w:t xml:space="preserve"> Sept</w:t>
      </w:r>
      <w:r w:rsidR="008A7006">
        <w:t>.</w:t>
      </w:r>
      <w:r w:rsidR="008A7006" w:rsidRPr="008A7006">
        <w:t xml:space="preserve"> 18, 2015</w:t>
      </w:r>
      <w:r w:rsidR="00006F5F">
        <w:t>)</w:t>
      </w:r>
      <w:r w:rsidR="00B40512">
        <w:t xml:space="preserve"> (</w:t>
      </w:r>
      <w:r w:rsidR="00B40512">
        <w:rPr>
          <w:i/>
        </w:rPr>
        <w:t>Modified Protective Order</w:t>
      </w:r>
      <w:r w:rsidR="00B40512">
        <w:t>).</w:t>
      </w:r>
      <w:r w:rsidR="008A7006">
        <w:t>.</w:t>
      </w:r>
    </w:p>
  </w:footnote>
  <w:footnote w:id="8">
    <w:p w14:paraId="1464D85A" w14:textId="4E1A69FB" w:rsidR="00F431E2" w:rsidRDefault="00F431E2" w:rsidP="00A01C81">
      <w:pPr>
        <w:pStyle w:val="FootnoteText"/>
      </w:pPr>
      <w:r>
        <w:rPr>
          <w:rStyle w:val="FootnoteReference"/>
        </w:rPr>
        <w:footnoteRef/>
      </w:r>
      <w:r>
        <w:t xml:space="preserve"> </w:t>
      </w:r>
      <w:r w:rsidR="00A01C81" w:rsidRPr="00066779">
        <w:rPr>
          <w:i/>
        </w:rPr>
        <w:t>Parties Seeking Access to Data and Information Filed in Response to the Special Access Data Collection</w:t>
      </w:r>
      <w:r w:rsidR="00733DA0" w:rsidRPr="00733DA0">
        <w:t xml:space="preserve">, WC Docket No. 05-25, RM-10593, </w:t>
      </w:r>
      <w:r w:rsidR="001D4299" w:rsidRPr="00733DA0">
        <w:t xml:space="preserve">Public Notice, </w:t>
      </w:r>
      <w:r w:rsidR="00733DA0" w:rsidRPr="00733DA0">
        <w:t>DA 15-1038 (</w:t>
      </w:r>
      <w:r w:rsidR="001D4299">
        <w:t xml:space="preserve">Wireline Comp. Bur. </w:t>
      </w:r>
      <w:r w:rsidR="00733DA0" w:rsidRPr="00733DA0">
        <w:t>rel. Sep</w:t>
      </w:r>
      <w:r w:rsidR="001D4299">
        <w:t>t</w:t>
      </w:r>
      <w:r w:rsidR="00733DA0" w:rsidRPr="00733DA0">
        <w:t>. 17, 2015).</w:t>
      </w:r>
    </w:p>
  </w:footnote>
  <w:footnote w:id="9">
    <w:p w14:paraId="7BCC9E6D" w14:textId="21CA5550" w:rsidR="002E0986" w:rsidRDefault="002E0986" w:rsidP="002E0986">
      <w:pPr>
        <w:pStyle w:val="FootnoteText"/>
      </w:pPr>
      <w:r>
        <w:rPr>
          <w:rStyle w:val="FootnoteReference"/>
        </w:rPr>
        <w:footnoteRef/>
      </w:r>
      <w:r>
        <w:t xml:space="preserve"> </w:t>
      </w:r>
      <w:r w:rsidRPr="00066779">
        <w:rPr>
          <w:i/>
        </w:rPr>
        <w:t xml:space="preserve">Wireline Competition </w:t>
      </w:r>
      <w:r w:rsidR="001D4299">
        <w:rPr>
          <w:i/>
        </w:rPr>
        <w:t xml:space="preserve">Bureau </w:t>
      </w:r>
      <w:r w:rsidRPr="00066779">
        <w:rPr>
          <w:i/>
        </w:rPr>
        <w:t>Further Extends Comment Deadlines in Special Access Proceeding</w:t>
      </w:r>
      <w:r>
        <w:t xml:space="preserve">, WC Docket No. 05-25, RM-10593, </w:t>
      </w:r>
      <w:r w:rsidR="001D4299">
        <w:t xml:space="preserve">Public Notice, </w:t>
      </w:r>
      <w:r>
        <w:t>DA 15-103</w:t>
      </w:r>
      <w:r w:rsidR="001D4299">
        <w:t>7</w:t>
      </w:r>
      <w:r>
        <w:t xml:space="preserve"> (</w:t>
      </w:r>
      <w:r w:rsidR="001D4299">
        <w:t xml:space="preserve">Wireline Comp. Bur. </w:t>
      </w:r>
      <w:r>
        <w:t>rel. Sep</w:t>
      </w:r>
      <w:r w:rsidR="001D4299">
        <w:t>t</w:t>
      </w:r>
      <w:r>
        <w:t>. 17, 2015)</w:t>
      </w:r>
      <w:r w:rsidR="001D4299">
        <w:t xml:space="preserve"> (</w:t>
      </w:r>
      <w:r w:rsidR="001D4299">
        <w:rPr>
          <w:i/>
        </w:rPr>
        <w:t>Further Extension PN</w:t>
      </w:r>
      <w:r w:rsidR="001D4299">
        <w:t>)</w:t>
      </w:r>
      <w:r>
        <w:t>.</w:t>
      </w:r>
    </w:p>
  </w:footnote>
  <w:footnote w:id="10">
    <w:p w14:paraId="73E6C277" w14:textId="77777777" w:rsidR="00B71AD5" w:rsidRDefault="00B71AD5">
      <w:pPr>
        <w:pStyle w:val="FootnoteText"/>
      </w:pPr>
      <w:r>
        <w:rPr>
          <w:rStyle w:val="FootnoteReference"/>
        </w:rPr>
        <w:footnoteRef/>
      </w:r>
      <w:r>
        <w:t xml:space="preserve"> Joint Petition at 1.</w:t>
      </w:r>
    </w:p>
  </w:footnote>
  <w:footnote w:id="11">
    <w:p w14:paraId="76BF4DA2" w14:textId="03B07985" w:rsidR="00013802" w:rsidRDefault="00013802">
      <w:pPr>
        <w:pStyle w:val="FootnoteText"/>
      </w:pPr>
      <w:r>
        <w:rPr>
          <w:rStyle w:val="FootnoteReference"/>
        </w:rPr>
        <w:footnoteRef/>
      </w:r>
      <w:r>
        <w:t xml:space="preserve"> </w:t>
      </w:r>
      <w:r w:rsidR="003D4832">
        <w:rPr>
          <w:i/>
        </w:rPr>
        <w:t>Id.</w:t>
      </w:r>
      <w:r>
        <w:t xml:space="preserve"> at 2.</w:t>
      </w:r>
    </w:p>
  </w:footnote>
  <w:footnote w:id="12">
    <w:p w14:paraId="24122A2D" w14:textId="093F7036" w:rsidR="00C365C0" w:rsidRPr="00066779" w:rsidRDefault="00C365C0">
      <w:pPr>
        <w:pStyle w:val="FootnoteText"/>
      </w:pPr>
      <w:r>
        <w:rPr>
          <w:rStyle w:val="FootnoteReference"/>
        </w:rPr>
        <w:footnoteRef/>
      </w:r>
      <w:r>
        <w:t xml:space="preserve"> </w:t>
      </w:r>
      <w:r w:rsidR="00066779">
        <w:rPr>
          <w:i/>
        </w:rPr>
        <w:t>Id.</w:t>
      </w:r>
      <w:r w:rsidR="00066779">
        <w:t xml:space="preserve"> at </w:t>
      </w:r>
      <w:r w:rsidR="00B91B96">
        <w:t>6</w:t>
      </w:r>
      <w:r w:rsidR="00066779">
        <w:t>.</w:t>
      </w:r>
    </w:p>
  </w:footnote>
  <w:footnote w:id="13">
    <w:p w14:paraId="0110F899" w14:textId="292EF055" w:rsidR="0016281B" w:rsidRDefault="0016281B" w:rsidP="0016281B">
      <w:pPr>
        <w:pStyle w:val="FootnoteText"/>
      </w:pPr>
      <w:r>
        <w:rPr>
          <w:rStyle w:val="FootnoteReference"/>
        </w:rPr>
        <w:footnoteRef/>
      </w:r>
      <w:r>
        <w:t xml:space="preserve"> </w:t>
      </w:r>
      <w:r w:rsidRPr="006573D6">
        <w:t>COMPTEL is now doing business as INCOMPAS</w:t>
      </w:r>
      <w:r>
        <w:t xml:space="preserve">. </w:t>
      </w:r>
      <w:r w:rsidR="002D7A4D">
        <w:t xml:space="preserve"> </w:t>
      </w:r>
      <w:r w:rsidR="002D7A4D" w:rsidRPr="00830C6B">
        <w:rPr>
          <w:i/>
        </w:rPr>
        <w:t>See</w:t>
      </w:r>
      <w:r w:rsidR="002D7A4D">
        <w:t xml:space="preserve"> Press Release, INCOMPAS, Introducing INCOMPAS, a Unified Voice for Competition (Oct. 19, 2015), </w:t>
      </w:r>
      <w:r w:rsidR="002D7A4D" w:rsidRPr="00830C6B">
        <w:t>http://www.incompas.org/Files/filings/2015/10%2019%2015%</w:t>
      </w:r>
      <w:r w:rsidR="002D7A4D">
        <w:br/>
      </w:r>
      <w:r w:rsidR="002D7A4D" w:rsidRPr="00830C6B">
        <w:t>20Introducing%20INCOMPAS.pdf</w:t>
      </w:r>
      <w:r w:rsidR="002D7A4D">
        <w:t xml:space="preserve">. </w:t>
      </w:r>
    </w:p>
  </w:footnote>
  <w:footnote w:id="14">
    <w:p w14:paraId="031DA881" w14:textId="19E742B1" w:rsidR="0016281B" w:rsidRDefault="0016281B" w:rsidP="0016281B">
      <w:pPr>
        <w:pStyle w:val="FootnoteText"/>
      </w:pPr>
      <w:r>
        <w:rPr>
          <w:rStyle w:val="FootnoteReference"/>
        </w:rPr>
        <w:footnoteRef/>
      </w:r>
      <w:r>
        <w:t xml:space="preserve"> </w:t>
      </w:r>
      <w:r w:rsidR="00E00E87" w:rsidRPr="00830C6B">
        <w:rPr>
          <w:i/>
        </w:rPr>
        <w:t>See</w:t>
      </w:r>
      <w:r w:rsidR="00E00E87">
        <w:t xml:space="preserve"> </w:t>
      </w:r>
      <w:r>
        <w:t xml:space="preserve">Joint Opposition of INCOMPAS and CCA to Request for Extension of Time, </w:t>
      </w:r>
      <w:r w:rsidRPr="00217D99">
        <w:t>WC Docket No. 05-25, RM</w:t>
      </w:r>
      <w:r w:rsidR="00937A3A">
        <w:noBreakHyphen/>
      </w:r>
      <w:r w:rsidRPr="00217D99">
        <w:t xml:space="preserve">10593 (filed Oct. 21, 2015) (Joint </w:t>
      </w:r>
      <w:r>
        <w:t>Opposition</w:t>
      </w:r>
      <w:r w:rsidRPr="00217D99">
        <w:t>).</w:t>
      </w:r>
    </w:p>
  </w:footnote>
  <w:footnote w:id="15">
    <w:p w14:paraId="18025A6C" w14:textId="58508E5D" w:rsidR="0016281B" w:rsidRDefault="0016281B" w:rsidP="0016281B">
      <w:pPr>
        <w:pStyle w:val="FootnoteText"/>
      </w:pPr>
      <w:r>
        <w:rPr>
          <w:rStyle w:val="FootnoteReference"/>
        </w:rPr>
        <w:footnoteRef/>
      </w:r>
      <w:r>
        <w:t xml:space="preserve"> </w:t>
      </w:r>
      <w:r w:rsidR="00E00E87" w:rsidRPr="00830C6B">
        <w:rPr>
          <w:i/>
        </w:rPr>
        <w:t>See</w:t>
      </w:r>
      <w:r w:rsidR="00E00E87">
        <w:t xml:space="preserve"> </w:t>
      </w:r>
      <w:r w:rsidRPr="00FE7190">
        <w:t>Opposition of Sprint Corporation to Request for Extension of Time, WC Docket No. 05-25, RM-10593 (filed Oct. 2</w:t>
      </w:r>
      <w:r w:rsidR="00C61148">
        <w:t>6</w:t>
      </w:r>
      <w:r w:rsidRPr="00FE7190">
        <w:t>, 2015) (</w:t>
      </w:r>
      <w:r>
        <w:t>Sprint</w:t>
      </w:r>
      <w:r w:rsidRPr="00FE7190">
        <w:t xml:space="preserve"> Opposition)</w:t>
      </w:r>
      <w:r>
        <w:t>.</w:t>
      </w:r>
    </w:p>
  </w:footnote>
  <w:footnote w:id="16">
    <w:p w14:paraId="67E8D098" w14:textId="0A54135C" w:rsidR="009B593B" w:rsidRDefault="009B593B" w:rsidP="009B593B">
      <w:pPr>
        <w:pStyle w:val="FootnoteText"/>
      </w:pPr>
      <w:r>
        <w:rPr>
          <w:rStyle w:val="FootnoteReference"/>
        </w:rPr>
        <w:footnoteRef/>
      </w:r>
      <w:r>
        <w:t xml:space="preserve"> </w:t>
      </w:r>
      <w:r w:rsidR="001B2406">
        <w:t>Joint Opposition at 3 (</w:t>
      </w:r>
      <w:r w:rsidR="001D4299">
        <w:t xml:space="preserve">quoting the </w:t>
      </w:r>
      <w:r w:rsidR="001D4299">
        <w:rPr>
          <w:i/>
        </w:rPr>
        <w:t>Further Extension PN</w:t>
      </w:r>
      <w:r>
        <w:t xml:space="preserve"> (emphasis added</w:t>
      </w:r>
      <w:r w:rsidR="001B2406">
        <w:t xml:space="preserve"> by the Joint Opposition</w:t>
      </w:r>
      <w:r>
        <w:t>)</w:t>
      </w:r>
      <w:r w:rsidR="001B2406">
        <w:t>)</w:t>
      </w:r>
      <w:r>
        <w:t>.</w:t>
      </w:r>
    </w:p>
  </w:footnote>
  <w:footnote w:id="17">
    <w:p w14:paraId="6B585A8E" w14:textId="3E6B32C7" w:rsidR="00A27502" w:rsidRDefault="00A27502">
      <w:pPr>
        <w:pStyle w:val="FootnoteText"/>
      </w:pPr>
      <w:r>
        <w:rPr>
          <w:rStyle w:val="FootnoteReference"/>
        </w:rPr>
        <w:footnoteRef/>
      </w:r>
      <w:r>
        <w:t xml:space="preserve"> Joint Opposition at 3</w:t>
      </w:r>
      <w:r w:rsidR="00A06ACE">
        <w:t>; Sprint Opposition at 2</w:t>
      </w:r>
      <w:r w:rsidR="00C61148">
        <w:t xml:space="preserve"> (quoting Joint Opposition at 3)</w:t>
      </w:r>
      <w:r w:rsidR="00A06ACE">
        <w:t>.</w:t>
      </w:r>
    </w:p>
  </w:footnote>
  <w:footnote w:id="18">
    <w:p w14:paraId="670397FF" w14:textId="4F005DD4" w:rsidR="000D24EB" w:rsidRDefault="000D24EB" w:rsidP="000D24EB">
      <w:pPr>
        <w:pStyle w:val="FootnoteText"/>
      </w:pPr>
      <w:r>
        <w:rPr>
          <w:rStyle w:val="FootnoteReference"/>
        </w:rPr>
        <w:footnoteRef/>
      </w:r>
      <w:r>
        <w:t xml:space="preserve"> </w:t>
      </w:r>
      <w:r w:rsidR="00925878">
        <w:t>Sprint Opposition at 2</w:t>
      </w:r>
      <w:r>
        <w:t>.</w:t>
      </w:r>
    </w:p>
  </w:footnote>
  <w:footnote w:id="19">
    <w:p w14:paraId="59A7BF6B" w14:textId="77777777" w:rsidR="00701436" w:rsidRDefault="00701436">
      <w:pPr>
        <w:pStyle w:val="FootnoteText"/>
      </w:pPr>
      <w:r>
        <w:rPr>
          <w:rStyle w:val="FootnoteReference"/>
        </w:rPr>
        <w:footnoteRef/>
      </w:r>
      <w:r>
        <w:t xml:space="preserve"> Even the Joint Petitioners</w:t>
      </w:r>
      <w:r w:rsidRPr="0086723B">
        <w:t xml:space="preserve"> acknowledge that “[s]ome but not all of [its] members and/or their representatives recently have been contacted and are starting to receive training and gain access to the data.”</w:t>
      </w:r>
      <w:r>
        <w:t xml:space="preserve">  Joint Petition at 2.</w:t>
      </w:r>
    </w:p>
  </w:footnote>
  <w:footnote w:id="20">
    <w:p w14:paraId="1367432A" w14:textId="60725FFF" w:rsidR="00275D75" w:rsidRDefault="00275D75" w:rsidP="00275D75">
      <w:pPr>
        <w:pStyle w:val="FootnoteText"/>
      </w:pPr>
      <w:r>
        <w:rPr>
          <w:rStyle w:val="FootnoteReference"/>
        </w:rPr>
        <w:footnoteRef/>
      </w:r>
      <w:r>
        <w:t xml:space="preserve"> </w:t>
      </w:r>
      <w:r w:rsidR="00A06ACE" w:rsidRPr="00830C6B">
        <w:rPr>
          <w:i/>
        </w:rPr>
        <w:t>See</w:t>
      </w:r>
      <w:r w:rsidR="00A06ACE">
        <w:t xml:space="preserve"> </w:t>
      </w:r>
      <w:r w:rsidRPr="00E211F9">
        <w:t>47 C.F.R. § 1.46</w:t>
      </w:r>
      <w:r>
        <w:t>(a) (“</w:t>
      </w:r>
      <w:r>
        <w:rPr>
          <w:rStyle w:val="ptext-1"/>
        </w:rPr>
        <w:t>It is the policy of the Commission that extensions of time shall not be routinely granted.”)</w:t>
      </w:r>
      <w:r>
        <w:t>.</w:t>
      </w:r>
    </w:p>
  </w:footnote>
  <w:footnote w:id="21">
    <w:p w14:paraId="7B886D2F" w14:textId="60E7732C" w:rsidR="00275D75" w:rsidRDefault="00275D75" w:rsidP="00275D75">
      <w:pPr>
        <w:pStyle w:val="FootnoteText"/>
      </w:pPr>
      <w:r>
        <w:rPr>
          <w:rStyle w:val="FootnoteReference"/>
        </w:rPr>
        <w:footnoteRef/>
      </w:r>
      <w:r>
        <w:t xml:space="preserve"> </w:t>
      </w:r>
      <w:r>
        <w:rPr>
          <w:i/>
        </w:rPr>
        <w:t>See,</w:t>
      </w:r>
      <w:r w:rsidRPr="00B4046B">
        <w:rPr>
          <w:i/>
        </w:rPr>
        <w:t xml:space="preserve"> e.g.</w:t>
      </w:r>
      <w:r w:rsidRPr="00B4046B">
        <w:t xml:space="preserve">, </w:t>
      </w:r>
      <w:r w:rsidRPr="00B4046B">
        <w:rPr>
          <w:i/>
        </w:rPr>
        <w:t>Amendment of Parts 0, 1, 2, 15 and 18 of the Commission’s Rules regarding Authorization of Radiofrequency Equipment</w:t>
      </w:r>
      <w:r w:rsidR="00925878">
        <w:rPr>
          <w:i/>
        </w:rPr>
        <w:t>;</w:t>
      </w:r>
      <w:r w:rsidRPr="00B4046B">
        <w:rPr>
          <w:i/>
        </w:rPr>
        <w:t xml:space="preserve"> Request for the Allowance of Optional Electronic Labeling for Wireless Devices</w:t>
      </w:r>
      <w:r w:rsidRPr="00B4046B">
        <w:t>, ET Docket No. 15-170, RM-11673, Order, 30 FCC Rcd 8498</w:t>
      </w:r>
      <w:r>
        <w:t xml:space="preserve">, </w:t>
      </w:r>
      <w:r w:rsidRPr="00B4046B">
        <w:t>8499, para. 3 (</w:t>
      </w:r>
      <w:r w:rsidR="00A81D65">
        <w:t xml:space="preserve">OET </w:t>
      </w:r>
      <w:r w:rsidRPr="00B4046B">
        <w:t xml:space="preserve">2015) </w:t>
      </w:r>
      <w:r>
        <w:t xml:space="preserve">(extension to “provide </w:t>
      </w:r>
      <w:r w:rsidRPr="00B829CE">
        <w:t>sufficient time to address the complex technical issues</w:t>
      </w:r>
      <w:r>
        <w:t>”)</w:t>
      </w:r>
      <w:r w:rsidR="00925878">
        <w:t>;</w:t>
      </w:r>
      <w:r w:rsidR="00925878" w:rsidRPr="00925878">
        <w:rPr>
          <w:i/>
        </w:rPr>
        <w:t xml:space="preserve"> </w:t>
      </w:r>
      <w:r w:rsidR="00925878" w:rsidRPr="00EE7EE6">
        <w:rPr>
          <w:i/>
        </w:rPr>
        <w:t>Lifeline and Link Up Reform and Modernization</w:t>
      </w:r>
      <w:r w:rsidR="00925878">
        <w:rPr>
          <w:i/>
        </w:rPr>
        <w:t>;</w:t>
      </w:r>
      <w:r w:rsidR="00925878" w:rsidRPr="00EE7EE6">
        <w:rPr>
          <w:i/>
        </w:rPr>
        <w:t xml:space="preserve"> Telecommunications Carriers Eligible for Universal Service Support</w:t>
      </w:r>
      <w:r w:rsidR="00925878">
        <w:rPr>
          <w:i/>
        </w:rPr>
        <w:t>;</w:t>
      </w:r>
      <w:r w:rsidR="00925878" w:rsidRPr="00EE7EE6">
        <w:rPr>
          <w:i/>
        </w:rPr>
        <w:t xml:space="preserve"> Connect America Fun</w:t>
      </w:r>
      <w:r w:rsidR="00925878" w:rsidRPr="00EE7EE6">
        <w:t>d, WC Docket No</w:t>
      </w:r>
      <w:r w:rsidR="00925878">
        <w:t>s</w:t>
      </w:r>
      <w:r w:rsidR="00925878" w:rsidRPr="00EE7EE6">
        <w:t xml:space="preserve">. </w:t>
      </w:r>
      <w:r w:rsidR="00925878">
        <w:t>11</w:t>
      </w:r>
      <w:r w:rsidR="00937A3A">
        <w:noBreakHyphen/>
      </w:r>
      <w:r w:rsidR="00925878">
        <w:t xml:space="preserve">42, 09-197, </w:t>
      </w:r>
      <w:r w:rsidR="00925878" w:rsidRPr="00EE7EE6">
        <w:t>10-90, Order, 30 FCC Rcd 8233, 8234</w:t>
      </w:r>
      <w:r w:rsidR="00925878">
        <w:t>,</w:t>
      </w:r>
      <w:r w:rsidR="00925878" w:rsidRPr="00EE7EE6">
        <w:t xml:space="preserve"> para. 5 (</w:t>
      </w:r>
      <w:r w:rsidR="00A81D65">
        <w:t xml:space="preserve">Wireline Comp. Bur. </w:t>
      </w:r>
      <w:r w:rsidR="00925878" w:rsidRPr="00EE7EE6">
        <w:t>2015)</w:t>
      </w:r>
      <w:r w:rsidR="00925878">
        <w:t xml:space="preserve"> (</w:t>
      </w:r>
      <w:r w:rsidR="00925878" w:rsidRPr="00EE7EE6">
        <w:t xml:space="preserve">extension to the reply comment filing deadline </w:t>
      </w:r>
      <w:r w:rsidR="00166745">
        <w:t>“</w:t>
      </w:r>
      <w:r w:rsidR="00925878" w:rsidRPr="00EE7EE6">
        <w:t>will facilitate more thorough and deliberate consideration of the issues raised in this proceeding</w:t>
      </w:r>
      <w:r w:rsidR="009258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1037" w14:textId="77777777" w:rsidR="007D1759" w:rsidRDefault="007D1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F3D7" w14:textId="441B3DA3" w:rsidR="00D25FB5" w:rsidRDefault="00D25FB5" w:rsidP="00810B6F">
    <w:pPr>
      <w:pStyle w:val="Header"/>
      <w:rPr>
        <w:b w:val="0"/>
      </w:rPr>
    </w:pPr>
    <w:r>
      <w:tab/>
      <w:t>Federal Communications Commission</w:t>
    </w:r>
    <w:r>
      <w:tab/>
    </w:r>
    <w:r w:rsidR="00631AB7">
      <w:t xml:space="preserve">DA </w:t>
    </w:r>
    <w:r w:rsidR="00474F60">
      <w:t>15</w:t>
    </w:r>
    <w:r w:rsidR="00631AB7">
      <w:t>-</w:t>
    </w:r>
    <w:r w:rsidR="00166745">
      <w:t>1239</w:t>
    </w:r>
  </w:p>
  <w:p w14:paraId="32326B74" w14:textId="77777777" w:rsidR="00D25FB5" w:rsidRDefault="00631AB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BAA760A" wp14:editId="257F0B9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40C7B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3510DC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87DD" w14:textId="76AEEC21" w:rsidR="00D25FB5" w:rsidRDefault="00631AB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5EB7A6B" wp14:editId="05C40B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6BEE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474F60">
      <w:rPr>
        <w:spacing w:val="-2"/>
      </w:rPr>
      <w:t>15</w:t>
    </w:r>
    <w:r>
      <w:rPr>
        <w:spacing w:val="-2"/>
      </w:rPr>
      <w:t>-</w:t>
    </w:r>
    <w:r w:rsidR="00166745">
      <w:rPr>
        <w:spacing w:val="-2"/>
      </w:rPr>
      <w:t>1239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B7"/>
    <w:rsid w:val="00000324"/>
    <w:rsid w:val="00005CE7"/>
    <w:rsid w:val="00006F5F"/>
    <w:rsid w:val="0001019B"/>
    <w:rsid w:val="00013802"/>
    <w:rsid w:val="00015305"/>
    <w:rsid w:val="00025171"/>
    <w:rsid w:val="00036039"/>
    <w:rsid w:val="00037F90"/>
    <w:rsid w:val="0004096E"/>
    <w:rsid w:val="00054EAD"/>
    <w:rsid w:val="00055319"/>
    <w:rsid w:val="000637CA"/>
    <w:rsid w:val="00066779"/>
    <w:rsid w:val="000875BF"/>
    <w:rsid w:val="0009000B"/>
    <w:rsid w:val="00096D8C"/>
    <w:rsid w:val="000A408B"/>
    <w:rsid w:val="000A7BF2"/>
    <w:rsid w:val="000C0B65"/>
    <w:rsid w:val="000C3A94"/>
    <w:rsid w:val="000C711F"/>
    <w:rsid w:val="000D24EB"/>
    <w:rsid w:val="000D4B90"/>
    <w:rsid w:val="000D7D10"/>
    <w:rsid w:val="000D7D9D"/>
    <w:rsid w:val="000E05FE"/>
    <w:rsid w:val="000E3D42"/>
    <w:rsid w:val="000E7363"/>
    <w:rsid w:val="001135CC"/>
    <w:rsid w:val="00120704"/>
    <w:rsid w:val="001226E1"/>
    <w:rsid w:val="00122BD5"/>
    <w:rsid w:val="00133F79"/>
    <w:rsid w:val="0015649F"/>
    <w:rsid w:val="001606BD"/>
    <w:rsid w:val="00161723"/>
    <w:rsid w:val="0016281B"/>
    <w:rsid w:val="00166745"/>
    <w:rsid w:val="0017017A"/>
    <w:rsid w:val="00172720"/>
    <w:rsid w:val="00183854"/>
    <w:rsid w:val="00194A66"/>
    <w:rsid w:val="00195EAD"/>
    <w:rsid w:val="001A2592"/>
    <w:rsid w:val="001A4D1E"/>
    <w:rsid w:val="001A5AC3"/>
    <w:rsid w:val="001B2406"/>
    <w:rsid w:val="001D2A47"/>
    <w:rsid w:val="001D4299"/>
    <w:rsid w:val="001D6BCF"/>
    <w:rsid w:val="001E01CA"/>
    <w:rsid w:val="001F3E4C"/>
    <w:rsid w:val="00217D99"/>
    <w:rsid w:val="0022698C"/>
    <w:rsid w:val="00254CCA"/>
    <w:rsid w:val="00272C2D"/>
    <w:rsid w:val="00275CF5"/>
    <w:rsid w:val="00275D75"/>
    <w:rsid w:val="0028301F"/>
    <w:rsid w:val="00285017"/>
    <w:rsid w:val="00294D66"/>
    <w:rsid w:val="002A2514"/>
    <w:rsid w:val="002A2D2E"/>
    <w:rsid w:val="002A3ADE"/>
    <w:rsid w:val="002B57E0"/>
    <w:rsid w:val="002C00E8"/>
    <w:rsid w:val="002C6454"/>
    <w:rsid w:val="002D69CB"/>
    <w:rsid w:val="002D7A4D"/>
    <w:rsid w:val="002E0986"/>
    <w:rsid w:val="002E3F67"/>
    <w:rsid w:val="002E7065"/>
    <w:rsid w:val="002F5ED7"/>
    <w:rsid w:val="00320FF5"/>
    <w:rsid w:val="0032663B"/>
    <w:rsid w:val="00330F7C"/>
    <w:rsid w:val="00337FA9"/>
    <w:rsid w:val="00343749"/>
    <w:rsid w:val="0035400F"/>
    <w:rsid w:val="003660ED"/>
    <w:rsid w:val="00376DC4"/>
    <w:rsid w:val="00376E37"/>
    <w:rsid w:val="003813F1"/>
    <w:rsid w:val="00387D5F"/>
    <w:rsid w:val="0039330A"/>
    <w:rsid w:val="003A1DB9"/>
    <w:rsid w:val="003A5731"/>
    <w:rsid w:val="003B0550"/>
    <w:rsid w:val="003B51FE"/>
    <w:rsid w:val="003B694F"/>
    <w:rsid w:val="003D4832"/>
    <w:rsid w:val="003E2EFF"/>
    <w:rsid w:val="003E66A0"/>
    <w:rsid w:val="003E67B3"/>
    <w:rsid w:val="003F171C"/>
    <w:rsid w:val="003F308D"/>
    <w:rsid w:val="00405A90"/>
    <w:rsid w:val="00412FC5"/>
    <w:rsid w:val="00415D29"/>
    <w:rsid w:val="00422276"/>
    <w:rsid w:val="004242F1"/>
    <w:rsid w:val="00431067"/>
    <w:rsid w:val="00442E72"/>
    <w:rsid w:val="00443760"/>
    <w:rsid w:val="00445A00"/>
    <w:rsid w:val="00451B0F"/>
    <w:rsid w:val="00474F60"/>
    <w:rsid w:val="00493C81"/>
    <w:rsid w:val="004B0CF6"/>
    <w:rsid w:val="004B4513"/>
    <w:rsid w:val="004B6946"/>
    <w:rsid w:val="004C2EE3"/>
    <w:rsid w:val="004C76DE"/>
    <w:rsid w:val="004D3E92"/>
    <w:rsid w:val="004D6744"/>
    <w:rsid w:val="004E1A61"/>
    <w:rsid w:val="004E4A22"/>
    <w:rsid w:val="004F05EF"/>
    <w:rsid w:val="004F173A"/>
    <w:rsid w:val="004F748B"/>
    <w:rsid w:val="005003B9"/>
    <w:rsid w:val="00505045"/>
    <w:rsid w:val="00511968"/>
    <w:rsid w:val="0053123C"/>
    <w:rsid w:val="0054681A"/>
    <w:rsid w:val="00553E2B"/>
    <w:rsid w:val="0055614C"/>
    <w:rsid w:val="005564A9"/>
    <w:rsid w:val="005615C7"/>
    <w:rsid w:val="00577010"/>
    <w:rsid w:val="005771DA"/>
    <w:rsid w:val="00582263"/>
    <w:rsid w:val="00586795"/>
    <w:rsid w:val="00594672"/>
    <w:rsid w:val="005A6769"/>
    <w:rsid w:val="005B08E7"/>
    <w:rsid w:val="005B2BFA"/>
    <w:rsid w:val="005C7CFB"/>
    <w:rsid w:val="005E14C2"/>
    <w:rsid w:val="005E61DA"/>
    <w:rsid w:val="005F3448"/>
    <w:rsid w:val="005F41AC"/>
    <w:rsid w:val="0060446F"/>
    <w:rsid w:val="00607BA5"/>
    <w:rsid w:val="00607BFC"/>
    <w:rsid w:val="0061180A"/>
    <w:rsid w:val="00626EB6"/>
    <w:rsid w:val="00631AB7"/>
    <w:rsid w:val="006454DC"/>
    <w:rsid w:val="00651068"/>
    <w:rsid w:val="006515B1"/>
    <w:rsid w:val="00652C2D"/>
    <w:rsid w:val="00655AA7"/>
    <w:rsid w:val="00655D03"/>
    <w:rsid w:val="006573D6"/>
    <w:rsid w:val="00663119"/>
    <w:rsid w:val="00673921"/>
    <w:rsid w:val="00674A97"/>
    <w:rsid w:val="00683388"/>
    <w:rsid w:val="00683F84"/>
    <w:rsid w:val="006911D4"/>
    <w:rsid w:val="006A1057"/>
    <w:rsid w:val="006A6A81"/>
    <w:rsid w:val="006B6B19"/>
    <w:rsid w:val="006C3EA5"/>
    <w:rsid w:val="006D2845"/>
    <w:rsid w:val="006D5310"/>
    <w:rsid w:val="006F4A94"/>
    <w:rsid w:val="006F7393"/>
    <w:rsid w:val="00701436"/>
    <w:rsid w:val="00701A4B"/>
    <w:rsid w:val="0070224F"/>
    <w:rsid w:val="00703A38"/>
    <w:rsid w:val="00704FA7"/>
    <w:rsid w:val="00705254"/>
    <w:rsid w:val="00707390"/>
    <w:rsid w:val="007115F7"/>
    <w:rsid w:val="00733DA0"/>
    <w:rsid w:val="00741682"/>
    <w:rsid w:val="0076371B"/>
    <w:rsid w:val="00764109"/>
    <w:rsid w:val="007664FD"/>
    <w:rsid w:val="0077097A"/>
    <w:rsid w:val="007723E0"/>
    <w:rsid w:val="00776D91"/>
    <w:rsid w:val="00785689"/>
    <w:rsid w:val="0079754B"/>
    <w:rsid w:val="007A1E6D"/>
    <w:rsid w:val="007A5A01"/>
    <w:rsid w:val="007A66AF"/>
    <w:rsid w:val="007B0373"/>
    <w:rsid w:val="007B0EB2"/>
    <w:rsid w:val="007B7AB3"/>
    <w:rsid w:val="007D1759"/>
    <w:rsid w:val="007D500E"/>
    <w:rsid w:val="007E4F7F"/>
    <w:rsid w:val="007F4BC0"/>
    <w:rsid w:val="007F5E90"/>
    <w:rsid w:val="00810B6F"/>
    <w:rsid w:val="0081152C"/>
    <w:rsid w:val="0081519E"/>
    <w:rsid w:val="008203BF"/>
    <w:rsid w:val="00822CAB"/>
    <w:rsid w:val="00822CE0"/>
    <w:rsid w:val="00830C6B"/>
    <w:rsid w:val="00832936"/>
    <w:rsid w:val="00841AB1"/>
    <w:rsid w:val="008466CA"/>
    <w:rsid w:val="00850A8B"/>
    <w:rsid w:val="0085277E"/>
    <w:rsid w:val="00853244"/>
    <w:rsid w:val="0086723B"/>
    <w:rsid w:val="00896079"/>
    <w:rsid w:val="008A5786"/>
    <w:rsid w:val="008A7006"/>
    <w:rsid w:val="008B47B7"/>
    <w:rsid w:val="008B7BFE"/>
    <w:rsid w:val="008C1592"/>
    <w:rsid w:val="008C68F1"/>
    <w:rsid w:val="008D2F0A"/>
    <w:rsid w:val="008D6730"/>
    <w:rsid w:val="008D6D67"/>
    <w:rsid w:val="008E7F7B"/>
    <w:rsid w:val="008F13A9"/>
    <w:rsid w:val="0092144A"/>
    <w:rsid w:val="00921803"/>
    <w:rsid w:val="00925878"/>
    <w:rsid w:val="00926503"/>
    <w:rsid w:val="009272BF"/>
    <w:rsid w:val="00927C06"/>
    <w:rsid w:val="0093256C"/>
    <w:rsid w:val="00937A3A"/>
    <w:rsid w:val="00960F0F"/>
    <w:rsid w:val="00961696"/>
    <w:rsid w:val="009620EB"/>
    <w:rsid w:val="00967B71"/>
    <w:rsid w:val="009726D8"/>
    <w:rsid w:val="00974250"/>
    <w:rsid w:val="00977D0B"/>
    <w:rsid w:val="00990C61"/>
    <w:rsid w:val="009B593B"/>
    <w:rsid w:val="009C27A3"/>
    <w:rsid w:val="009E0169"/>
    <w:rsid w:val="009E0C1D"/>
    <w:rsid w:val="009F1B0F"/>
    <w:rsid w:val="009F76DB"/>
    <w:rsid w:val="00A01C81"/>
    <w:rsid w:val="00A0637C"/>
    <w:rsid w:val="00A06ACE"/>
    <w:rsid w:val="00A11E47"/>
    <w:rsid w:val="00A20410"/>
    <w:rsid w:val="00A27502"/>
    <w:rsid w:val="00A32C3B"/>
    <w:rsid w:val="00A3362D"/>
    <w:rsid w:val="00A34282"/>
    <w:rsid w:val="00A36875"/>
    <w:rsid w:val="00A40E7F"/>
    <w:rsid w:val="00A441CA"/>
    <w:rsid w:val="00A45F4F"/>
    <w:rsid w:val="00A538FB"/>
    <w:rsid w:val="00A600A9"/>
    <w:rsid w:val="00A6588D"/>
    <w:rsid w:val="00A66D6C"/>
    <w:rsid w:val="00A81D65"/>
    <w:rsid w:val="00A93E91"/>
    <w:rsid w:val="00AA55B7"/>
    <w:rsid w:val="00AA581A"/>
    <w:rsid w:val="00AA5B9E"/>
    <w:rsid w:val="00AB2407"/>
    <w:rsid w:val="00AB53DF"/>
    <w:rsid w:val="00AB7B99"/>
    <w:rsid w:val="00AC1543"/>
    <w:rsid w:val="00AC4A12"/>
    <w:rsid w:val="00AD4809"/>
    <w:rsid w:val="00AD68AF"/>
    <w:rsid w:val="00AE12BE"/>
    <w:rsid w:val="00AE366C"/>
    <w:rsid w:val="00B07E5C"/>
    <w:rsid w:val="00B15129"/>
    <w:rsid w:val="00B27CEA"/>
    <w:rsid w:val="00B4046B"/>
    <w:rsid w:val="00B40512"/>
    <w:rsid w:val="00B47B85"/>
    <w:rsid w:val="00B52E67"/>
    <w:rsid w:val="00B6096D"/>
    <w:rsid w:val="00B67A52"/>
    <w:rsid w:val="00B67DC2"/>
    <w:rsid w:val="00B71975"/>
    <w:rsid w:val="00B71AD5"/>
    <w:rsid w:val="00B811F7"/>
    <w:rsid w:val="00B829CE"/>
    <w:rsid w:val="00B91B96"/>
    <w:rsid w:val="00B97F1D"/>
    <w:rsid w:val="00BA4F66"/>
    <w:rsid w:val="00BA50AE"/>
    <w:rsid w:val="00BA54F7"/>
    <w:rsid w:val="00BA5DC6"/>
    <w:rsid w:val="00BA6196"/>
    <w:rsid w:val="00BA655F"/>
    <w:rsid w:val="00BC0F80"/>
    <w:rsid w:val="00BC6D8C"/>
    <w:rsid w:val="00BE2FE9"/>
    <w:rsid w:val="00BF0D21"/>
    <w:rsid w:val="00BF7759"/>
    <w:rsid w:val="00C05B66"/>
    <w:rsid w:val="00C14982"/>
    <w:rsid w:val="00C20C28"/>
    <w:rsid w:val="00C248E7"/>
    <w:rsid w:val="00C269E5"/>
    <w:rsid w:val="00C307CA"/>
    <w:rsid w:val="00C339EA"/>
    <w:rsid w:val="00C34006"/>
    <w:rsid w:val="00C365C0"/>
    <w:rsid w:val="00C40302"/>
    <w:rsid w:val="00C426B1"/>
    <w:rsid w:val="00C52528"/>
    <w:rsid w:val="00C61148"/>
    <w:rsid w:val="00C66160"/>
    <w:rsid w:val="00C67020"/>
    <w:rsid w:val="00C721AC"/>
    <w:rsid w:val="00C90D6A"/>
    <w:rsid w:val="00C92B74"/>
    <w:rsid w:val="00CA043F"/>
    <w:rsid w:val="00CA047F"/>
    <w:rsid w:val="00CA247E"/>
    <w:rsid w:val="00CB3FEB"/>
    <w:rsid w:val="00CB68B0"/>
    <w:rsid w:val="00CC72B6"/>
    <w:rsid w:val="00D00CE1"/>
    <w:rsid w:val="00D0218D"/>
    <w:rsid w:val="00D056B6"/>
    <w:rsid w:val="00D24E37"/>
    <w:rsid w:val="00D25FB5"/>
    <w:rsid w:val="00D3184A"/>
    <w:rsid w:val="00D335AC"/>
    <w:rsid w:val="00D44223"/>
    <w:rsid w:val="00D468F9"/>
    <w:rsid w:val="00D53A4E"/>
    <w:rsid w:val="00D61293"/>
    <w:rsid w:val="00D85E19"/>
    <w:rsid w:val="00D970D5"/>
    <w:rsid w:val="00DA0EC2"/>
    <w:rsid w:val="00DA2529"/>
    <w:rsid w:val="00DB130A"/>
    <w:rsid w:val="00DB2EBB"/>
    <w:rsid w:val="00DC10A1"/>
    <w:rsid w:val="00DC2261"/>
    <w:rsid w:val="00DC655F"/>
    <w:rsid w:val="00DD0B59"/>
    <w:rsid w:val="00DD2D01"/>
    <w:rsid w:val="00DD7EBD"/>
    <w:rsid w:val="00DE35AA"/>
    <w:rsid w:val="00DF60E0"/>
    <w:rsid w:val="00DF62B6"/>
    <w:rsid w:val="00E00E87"/>
    <w:rsid w:val="00E07225"/>
    <w:rsid w:val="00E211F9"/>
    <w:rsid w:val="00E376CA"/>
    <w:rsid w:val="00E5409F"/>
    <w:rsid w:val="00E82D05"/>
    <w:rsid w:val="00E91414"/>
    <w:rsid w:val="00EB53DE"/>
    <w:rsid w:val="00EC46D4"/>
    <w:rsid w:val="00EE0FB5"/>
    <w:rsid w:val="00EE3C20"/>
    <w:rsid w:val="00EE4A82"/>
    <w:rsid w:val="00EE6488"/>
    <w:rsid w:val="00EE7EE6"/>
    <w:rsid w:val="00EF057E"/>
    <w:rsid w:val="00EF08A1"/>
    <w:rsid w:val="00EF22DE"/>
    <w:rsid w:val="00F01858"/>
    <w:rsid w:val="00F021FA"/>
    <w:rsid w:val="00F13C28"/>
    <w:rsid w:val="00F24737"/>
    <w:rsid w:val="00F34596"/>
    <w:rsid w:val="00F420DF"/>
    <w:rsid w:val="00F431E2"/>
    <w:rsid w:val="00F5324E"/>
    <w:rsid w:val="00F62A15"/>
    <w:rsid w:val="00F62E97"/>
    <w:rsid w:val="00F64209"/>
    <w:rsid w:val="00F651FD"/>
    <w:rsid w:val="00F7075A"/>
    <w:rsid w:val="00F748F2"/>
    <w:rsid w:val="00F85D32"/>
    <w:rsid w:val="00F86DBB"/>
    <w:rsid w:val="00F93BF5"/>
    <w:rsid w:val="00FA2C9C"/>
    <w:rsid w:val="00FC1BC4"/>
    <w:rsid w:val="00FC53DB"/>
    <w:rsid w:val="00FD2308"/>
    <w:rsid w:val="00FD78AB"/>
    <w:rsid w:val="00FD7976"/>
    <w:rsid w:val="00FE5049"/>
    <w:rsid w:val="00FE7190"/>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3C94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31AB7"/>
  </w:style>
  <w:style w:type="character" w:customStyle="1" w:styleId="ParaNumCharChar1">
    <w:name w:val="ParaNum Char Char1"/>
    <w:link w:val="ParaNum"/>
    <w:rsid w:val="00631AB7"/>
    <w:rPr>
      <w:snapToGrid w:val="0"/>
      <w:kern w:val="28"/>
      <w:sz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 w:type="character" w:customStyle="1" w:styleId="ptext-1">
    <w:name w:val="ptext-1"/>
    <w:basedOn w:val="DefaultParagraphFont"/>
    <w:rsid w:val="003E2EFF"/>
  </w:style>
  <w:style w:type="paragraph" w:styleId="Revision">
    <w:name w:val="Revision"/>
    <w:hidden/>
    <w:uiPriority w:val="99"/>
    <w:semiHidden/>
    <w:rsid w:val="0070143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7"/>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rsid w:val="00631AB7"/>
  </w:style>
  <w:style w:type="character" w:customStyle="1" w:styleId="ParaNumCharChar1">
    <w:name w:val="ParaNum Char Char1"/>
    <w:link w:val="ParaNum"/>
    <w:rsid w:val="00631AB7"/>
    <w:rPr>
      <w:snapToGrid w:val="0"/>
      <w:kern w:val="28"/>
      <w:sz w:val="22"/>
    </w:rPr>
  </w:style>
  <w:style w:type="character" w:styleId="CommentReference">
    <w:name w:val="annotation reference"/>
    <w:basedOn w:val="DefaultParagraphFont"/>
    <w:rsid w:val="00EC46D4"/>
    <w:rPr>
      <w:sz w:val="16"/>
      <w:szCs w:val="16"/>
    </w:rPr>
  </w:style>
  <w:style w:type="paragraph" w:styleId="CommentText">
    <w:name w:val="annotation text"/>
    <w:basedOn w:val="Normal"/>
    <w:link w:val="CommentTextChar"/>
    <w:rsid w:val="00EC46D4"/>
    <w:rPr>
      <w:sz w:val="20"/>
    </w:rPr>
  </w:style>
  <w:style w:type="character" w:customStyle="1" w:styleId="CommentTextChar">
    <w:name w:val="Comment Text Char"/>
    <w:basedOn w:val="DefaultParagraphFont"/>
    <w:link w:val="CommentText"/>
    <w:rsid w:val="00EC46D4"/>
    <w:rPr>
      <w:snapToGrid w:val="0"/>
      <w:kern w:val="28"/>
    </w:rPr>
  </w:style>
  <w:style w:type="paragraph" w:styleId="CommentSubject">
    <w:name w:val="annotation subject"/>
    <w:basedOn w:val="CommentText"/>
    <w:next w:val="CommentText"/>
    <w:link w:val="CommentSubjectChar"/>
    <w:rsid w:val="00EC46D4"/>
    <w:rPr>
      <w:b/>
      <w:bCs/>
    </w:rPr>
  </w:style>
  <w:style w:type="character" w:customStyle="1" w:styleId="CommentSubjectChar">
    <w:name w:val="Comment Subject Char"/>
    <w:basedOn w:val="CommentTextChar"/>
    <w:link w:val="CommentSubject"/>
    <w:rsid w:val="00EC46D4"/>
    <w:rPr>
      <w:b/>
      <w:bCs/>
      <w:snapToGrid w:val="0"/>
      <w:kern w:val="28"/>
    </w:rPr>
  </w:style>
  <w:style w:type="paragraph" w:styleId="BalloonText">
    <w:name w:val="Balloon Text"/>
    <w:basedOn w:val="Normal"/>
    <w:link w:val="BalloonTextChar"/>
    <w:rsid w:val="00EC46D4"/>
    <w:rPr>
      <w:rFonts w:ascii="Tahoma" w:hAnsi="Tahoma" w:cs="Tahoma"/>
      <w:sz w:val="16"/>
      <w:szCs w:val="16"/>
    </w:rPr>
  </w:style>
  <w:style w:type="character" w:customStyle="1" w:styleId="BalloonTextChar">
    <w:name w:val="Balloon Text Char"/>
    <w:basedOn w:val="DefaultParagraphFont"/>
    <w:link w:val="BalloonText"/>
    <w:rsid w:val="00EC46D4"/>
    <w:rPr>
      <w:rFonts w:ascii="Tahoma" w:hAnsi="Tahoma" w:cs="Tahoma"/>
      <w:snapToGrid w:val="0"/>
      <w:kern w:val="28"/>
      <w:sz w:val="16"/>
      <w:szCs w:val="16"/>
    </w:rPr>
  </w:style>
  <w:style w:type="character" w:customStyle="1" w:styleId="ptext-1">
    <w:name w:val="ptext-1"/>
    <w:basedOn w:val="DefaultParagraphFont"/>
    <w:rsid w:val="003E2EFF"/>
  </w:style>
  <w:style w:type="paragraph" w:styleId="Revision">
    <w:name w:val="Revision"/>
    <w:hidden/>
    <w:uiPriority w:val="99"/>
    <w:semiHidden/>
    <w:rsid w:val="0070143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1143</Words>
  <Characters>6185</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2015-10-28T15:01:00Z</cp:lastPrinted>
  <dcterms:created xsi:type="dcterms:W3CDTF">2015-11-02T21:34:00Z</dcterms:created>
  <dcterms:modified xsi:type="dcterms:W3CDTF">2015-11-02T21:34:00Z</dcterms:modified>
  <cp:category> </cp:category>
  <cp:contentStatus> </cp:contentStatus>
</cp:coreProperties>
</file>