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C1DDB" w14:textId="77777777" w:rsidR="00E56718" w:rsidRPr="00395B7D" w:rsidRDefault="00E56718" w:rsidP="00507A13">
      <w:pPr>
        <w:pStyle w:val="Title"/>
        <w:rPr>
          <w:szCs w:val="22"/>
        </w:rPr>
      </w:pPr>
      <w:bookmarkStart w:id="0" w:name="_GoBack"/>
      <w:bookmarkEnd w:id="0"/>
      <w:r w:rsidRPr="00395B7D">
        <w:rPr>
          <w:szCs w:val="22"/>
        </w:rPr>
        <w:t>Before the</w:t>
      </w:r>
    </w:p>
    <w:p w14:paraId="145C1DDC" w14:textId="77777777" w:rsidR="00E56718" w:rsidRPr="00395B7D" w:rsidRDefault="00E56718" w:rsidP="00507A13">
      <w:pPr>
        <w:jc w:val="center"/>
        <w:rPr>
          <w:b/>
          <w:szCs w:val="22"/>
        </w:rPr>
      </w:pPr>
      <w:r w:rsidRPr="00395B7D">
        <w:rPr>
          <w:b/>
          <w:szCs w:val="22"/>
        </w:rPr>
        <w:t>Federal Communications Commission</w:t>
      </w:r>
    </w:p>
    <w:p w14:paraId="145C1DDD" w14:textId="77777777" w:rsidR="00E56718" w:rsidRPr="00395B7D" w:rsidRDefault="00E56718" w:rsidP="00507A13">
      <w:pPr>
        <w:jc w:val="center"/>
        <w:rPr>
          <w:b/>
          <w:szCs w:val="22"/>
        </w:rPr>
      </w:pPr>
      <w:r w:rsidRPr="00395B7D">
        <w:rPr>
          <w:b/>
          <w:szCs w:val="22"/>
        </w:rPr>
        <w:t>Washington, D.C. 20554</w:t>
      </w:r>
    </w:p>
    <w:p w14:paraId="145C1DDE" w14:textId="77777777" w:rsidR="00E56718" w:rsidRPr="00395B7D" w:rsidRDefault="00E56718" w:rsidP="00E46403">
      <w:pPr>
        <w:rPr>
          <w:szCs w:val="22"/>
        </w:rPr>
      </w:pPr>
    </w:p>
    <w:p w14:paraId="145C1DDF" w14:textId="77777777" w:rsidR="00E56718" w:rsidRPr="00395B7D" w:rsidRDefault="00E56718" w:rsidP="00E46403">
      <w:pPr>
        <w:rPr>
          <w:szCs w:val="22"/>
        </w:rPr>
      </w:pPr>
    </w:p>
    <w:tbl>
      <w:tblPr>
        <w:tblW w:w="9630" w:type="dxa"/>
        <w:tblInd w:w="18" w:type="dxa"/>
        <w:tblLayout w:type="fixed"/>
        <w:tblLook w:val="0000" w:firstRow="0" w:lastRow="0" w:firstColumn="0" w:lastColumn="0" w:noHBand="0" w:noVBand="0"/>
      </w:tblPr>
      <w:tblGrid>
        <w:gridCol w:w="4680"/>
        <w:gridCol w:w="720"/>
        <w:gridCol w:w="4230"/>
      </w:tblGrid>
      <w:tr w:rsidR="00E56718" w:rsidRPr="00395B7D" w14:paraId="145C1DF1" w14:textId="77777777">
        <w:tc>
          <w:tcPr>
            <w:tcW w:w="4680" w:type="dxa"/>
          </w:tcPr>
          <w:p w14:paraId="145C1DE0" w14:textId="77777777" w:rsidR="00E56718" w:rsidRPr="00395B7D" w:rsidRDefault="00E56718" w:rsidP="00E46403">
            <w:pPr>
              <w:ind w:right="-18"/>
              <w:rPr>
                <w:szCs w:val="22"/>
              </w:rPr>
            </w:pPr>
            <w:r w:rsidRPr="00395B7D">
              <w:rPr>
                <w:szCs w:val="22"/>
              </w:rPr>
              <w:t xml:space="preserve">In re Matter of </w:t>
            </w:r>
          </w:p>
          <w:p w14:paraId="145C1DE1" w14:textId="77777777" w:rsidR="00E56718" w:rsidRPr="00395B7D" w:rsidRDefault="00E56718" w:rsidP="00E46403">
            <w:pPr>
              <w:ind w:right="-18"/>
              <w:rPr>
                <w:szCs w:val="22"/>
              </w:rPr>
            </w:pPr>
          </w:p>
          <w:p w14:paraId="145C1DE2" w14:textId="77777777" w:rsidR="00E56718" w:rsidRPr="00395B7D" w:rsidRDefault="007C1476" w:rsidP="00E46403">
            <w:pPr>
              <w:ind w:right="-18"/>
              <w:rPr>
                <w:szCs w:val="22"/>
              </w:rPr>
            </w:pPr>
            <w:r w:rsidRPr="00395B7D">
              <w:rPr>
                <w:szCs w:val="22"/>
              </w:rPr>
              <w:t>RF D</w:t>
            </w:r>
            <w:r w:rsidR="00CD4849" w:rsidRPr="00395B7D">
              <w:rPr>
                <w:szCs w:val="22"/>
              </w:rPr>
              <w:t>EVELOPMENT</w:t>
            </w:r>
            <w:r w:rsidRPr="00395B7D">
              <w:rPr>
                <w:szCs w:val="22"/>
              </w:rPr>
              <w:t xml:space="preserve">, LLC </w:t>
            </w:r>
          </w:p>
          <w:p w14:paraId="145C1DE3" w14:textId="77777777" w:rsidR="00E56718" w:rsidRPr="00395B7D" w:rsidRDefault="00E56718" w:rsidP="00E46403">
            <w:pPr>
              <w:ind w:right="-18"/>
              <w:rPr>
                <w:szCs w:val="22"/>
              </w:rPr>
            </w:pPr>
          </w:p>
          <w:p w14:paraId="145C1DE4" w14:textId="77777777" w:rsidR="00E56718" w:rsidRPr="00395B7D" w:rsidRDefault="007C1476" w:rsidP="00E46403">
            <w:pPr>
              <w:ind w:right="-18"/>
              <w:rPr>
                <w:szCs w:val="22"/>
              </w:rPr>
            </w:pPr>
            <w:r w:rsidRPr="00395B7D">
              <w:rPr>
                <w:szCs w:val="22"/>
              </w:rPr>
              <w:t xml:space="preserve">Notification of </w:t>
            </w:r>
            <w:r w:rsidR="00E56718" w:rsidRPr="00395B7D">
              <w:rPr>
                <w:szCs w:val="22"/>
              </w:rPr>
              <w:t>Demonstrat</w:t>
            </w:r>
            <w:r w:rsidRPr="00395B7D">
              <w:rPr>
                <w:szCs w:val="22"/>
              </w:rPr>
              <w:t xml:space="preserve">ion of </w:t>
            </w:r>
            <w:r w:rsidR="00E56718" w:rsidRPr="00395B7D">
              <w:rPr>
                <w:szCs w:val="22"/>
              </w:rPr>
              <w:t xml:space="preserve">Substantial Service for Local Multipoint Distribution Service </w:t>
            </w:r>
            <w:r w:rsidRPr="00395B7D">
              <w:rPr>
                <w:szCs w:val="22"/>
              </w:rPr>
              <w:t>Station WPOH612</w:t>
            </w:r>
          </w:p>
          <w:p w14:paraId="145C1DE5" w14:textId="77777777" w:rsidR="00E56718" w:rsidRPr="00395B7D" w:rsidRDefault="00E56718" w:rsidP="00E46403">
            <w:pPr>
              <w:ind w:right="-18"/>
              <w:rPr>
                <w:szCs w:val="22"/>
              </w:rPr>
            </w:pPr>
          </w:p>
        </w:tc>
        <w:tc>
          <w:tcPr>
            <w:tcW w:w="720" w:type="dxa"/>
          </w:tcPr>
          <w:p w14:paraId="145C1DE6" w14:textId="77777777" w:rsidR="00E56718" w:rsidRPr="00395B7D" w:rsidRDefault="00E56718" w:rsidP="00E46403">
            <w:pPr>
              <w:rPr>
                <w:b/>
                <w:szCs w:val="22"/>
              </w:rPr>
            </w:pPr>
            <w:r w:rsidRPr="00395B7D">
              <w:rPr>
                <w:b/>
                <w:szCs w:val="22"/>
              </w:rPr>
              <w:t>)</w:t>
            </w:r>
          </w:p>
          <w:p w14:paraId="145C1DE7" w14:textId="77777777" w:rsidR="00E56718" w:rsidRPr="00395B7D" w:rsidRDefault="00E56718" w:rsidP="00E46403">
            <w:pPr>
              <w:rPr>
                <w:b/>
                <w:szCs w:val="22"/>
              </w:rPr>
            </w:pPr>
            <w:r w:rsidRPr="00395B7D">
              <w:rPr>
                <w:b/>
                <w:szCs w:val="22"/>
              </w:rPr>
              <w:t>)</w:t>
            </w:r>
          </w:p>
          <w:p w14:paraId="145C1DE8" w14:textId="77777777" w:rsidR="00E56718" w:rsidRPr="00395B7D" w:rsidRDefault="00E56718" w:rsidP="00E46403">
            <w:pPr>
              <w:rPr>
                <w:b/>
                <w:szCs w:val="22"/>
              </w:rPr>
            </w:pPr>
            <w:r w:rsidRPr="00395B7D">
              <w:rPr>
                <w:b/>
                <w:szCs w:val="22"/>
              </w:rPr>
              <w:t>)</w:t>
            </w:r>
          </w:p>
          <w:p w14:paraId="145C1DE9" w14:textId="77777777" w:rsidR="00E56718" w:rsidRPr="00395B7D" w:rsidRDefault="00E56718" w:rsidP="00E46403">
            <w:pPr>
              <w:rPr>
                <w:b/>
                <w:szCs w:val="22"/>
              </w:rPr>
            </w:pPr>
            <w:r w:rsidRPr="00395B7D">
              <w:rPr>
                <w:b/>
                <w:szCs w:val="22"/>
              </w:rPr>
              <w:t>)</w:t>
            </w:r>
          </w:p>
          <w:p w14:paraId="145C1DEA" w14:textId="77777777" w:rsidR="00E56718" w:rsidRPr="00395B7D" w:rsidRDefault="00E56718" w:rsidP="00E46403">
            <w:pPr>
              <w:rPr>
                <w:b/>
                <w:szCs w:val="22"/>
              </w:rPr>
            </w:pPr>
            <w:r w:rsidRPr="00395B7D">
              <w:rPr>
                <w:b/>
                <w:szCs w:val="22"/>
              </w:rPr>
              <w:t>)</w:t>
            </w:r>
          </w:p>
          <w:p w14:paraId="145C1DEB" w14:textId="77777777" w:rsidR="00E56718" w:rsidRPr="00395B7D" w:rsidRDefault="00E56718" w:rsidP="00E46403">
            <w:pPr>
              <w:rPr>
                <w:b/>
                <w:szCs w:val="22"/>
              </w:rPr>
            </w:pPr>
            <w:r w:rsidRPr="00395B7D">
              <w:rPr>
                <w:b/>
                <w:szCs w:val="22"/>
              </w:rPr>
              <w:t>)</w:t>
            </w:r>
          </w:p>
          <w:p w14:paraId="145C1DEC" w14:textId="77777777" w:rsidR="00E56718" w:rsidRPr="00395B7D" w:rsidRDefault="00E56718" w:rsidP="00E46403">
            <w:pPr>
              <w:rPr>
                <w:b/>
                <w:szCs w:val="22"/>
              </w:rPr>
            </w:pPr>
            <w:r w:rsidRPr="00395B7D">
              <w:rPr>
                <w:b/>
                <w:szCs w:val="22"/>
              </w:rPr>
              <w:t>)</w:t>
            </w:r>
          </w:p>
          <w:p w14:paraId="145C1DED" w14:textId="77777777" w:rsidR="00E56718" w:rsidRPr="00395B7D" w:rsidRDefault="00E56718" w:rsidP="00507A13">
            <w:pPr>
              <w:rPr>
                <w:b/>
                <w:szCs w:val="22"/>
              </w:rPr>
            </w:pPr>
            <w:r w:rsidRPr="00395B7D">
              <w:rPr>
                <w:b/>
                <w:szCs w:val="22"/>
              </w:rPr>
              <w:t>)</w:t>
            </w:r>
          </w:p>
        </w:tc>
        <w:tc>
          <w:tcPr>
            <w:tcW w:w="4230" w:type="dxa"/>
          </w:tcPr>
          <w:p w14:paraId="145C1DEE" w14:textId="77777777" w:rsidR="00E56718" w:rsidRPr="00395B7D" w:rsidRDefault="00E56718" w:rsidP="00E46403">
            <w:pPr>
              <w:rPr>
                <w:szCs w:val="22"/>
                <w:lang w:val="es-ES"/>
              </w:rPr>
            </w:pPr>
          </w:p>
          <w:p w14:paraId="145C1DEF" w14:textId="77777777" w:rsidR="00E56718" w:rsidRPr="00395B7D" w:rsidRDefault="00E56718" w:rsidP="00E46403">
            <w:pPr>
              <w:rPr>
                <w:szCs w:val="22"/>
                <w:lang w:val="es-ES"/>
              </w:rPr>
            </w:pPr>
          </w:p>
          <w:p w14:paraId="145C1DF0" w14:textId="77777777" w:rsidR="00E56718" w:rsidRPr="00395B7D" w:rsidRDefault="00E56718" w:rsidP="00507A13">
            <w:pPr>
              <w:rPr>
                <w:szCs w:val="22"/>
              </w:rPr>
            </w:pPr>
            <w:r w:rsidRPr="00395B7D">
              <w:rPr>
                <w:szCs w:val="22"/>
                <w:lang w:val="es-ES"/>
              </w:rPr>
              <w:t xml:space="preserve">File No. </w:t>
            </w:r>
            <w:r w:rsidR="007C1476" w:rsidRPr="00395B7D">
              <w:rPr>
                <w:szCs w:val="22"/>
                <w:lang w:val="es-ES"/>
              </w:rPr>
              <w:t>0004994058</w:t>
            </w:r>
          </w:p>
        </w:tc>
      </w:tr>
    </w:tbl>
    <w:p w14:paraId="145C1DF2" w14:textId="77777777" w:rsidR="00E56718" w:rsidRPr="00395B7D" w:rsidRDefault="00B152B3" w:rsidP="00507A13">
      <w:pPr>
        <w:spacing w:before="120"/>
        <w:jc w:val="center"/>
        <w:rPr>
          <w:b/>
          <w:spacing w:val="-2"/>
          <w:szCs w:val="22"/>
        </w:rPr>
      </w:pPr>
      <w:r w:rsidRPr="00395B7D">
        <w:rPr>
          <w:b/>
          <w:spacing w:val="-2"/>
          <w:szCs w:val="22"/>
        </w:rPr>
        <w:t xml:space="preserve">ORDER ON RECONSIDERATION </w:t>
      </w:r>
    </w:p>
    <w:p w14:paraId="145C1DF3" w14:textId="77777777" w:rsidR="00E56718" w:rsidRPr="00395B7D" w:rsidRDefault="00E56718" w:rsidP="00E46403">
      <w:pPr>
        <w:spacing w:before="120"/>
        <w:rPr>
          <w:szCs w:val="22"/>
        </w:rPr>
      </w:pPr>
    </w:p>
    <w:p w14:paraId="145C1DF4" w14:textId="10F26FA5" w:rsidR="00E56718" w:rsidRPr="00395B7D" w:rsidRDefault="00E56718" w:rsidP="00E46403">
      <w:pPr>
        <w:tabs>
          <w:tab w:val="left" w:pos="5760"/>
        </w:tabs>
        <w:rPr>
          <w:b/>
          <w:szCs w:val="22"/>
        </w:rPr>
      </w:pPr>
      <w:r w:rsidRPr="00395B7D">
        <w:rPr>
          <w:b/>
          <w:szCs w:val="22"/>
        </w:rPr>
        <w:t xml:space="preserve">Adopted:  </w:t>
      </w:r>
      <w:r w:rsidR="00395B7D" w:rsidRPr="00395B7D">
        <w:rPr>
          <w:b/>
          <w:szCs w:val="22"/>
        </w:rPr>
        <w:t xml:space="preserve">November </w:t>
      </w:r>
      <w:r w:rsidR="00075E31">
        <w:rPr>
          <w:b/>
          <w:szCs w:val="22"/>
        </w:rPr>
        <w:t>3</w:t>
      </w:r>
      <w:r w:rsidR="00C470AD" w:rsidRPr="00395B7D">
        <w:rPr>
          <w:b/>
          <w:szCs w:val="22"/>
        </w:rPr>
        <w:t>, 2015</w:t>
      </w:r>
      <w:r w:rsidRPr="00395B7D">
        <w:rPr>
          <w:b/>
          <w:spacing w:val="-2"/>
          <w:szCs w:val="22"/>
        </w:rPr>
        <w:tab/>
      </w:r>
      <w:r w:rsidR="00395B7D" w:rsidRPr="00395B7D">
        <w:rPr>
          <w:b/>
          <w:spacing w:val="-2"/>
          <w:szCs w:val="22"/>
        </w:rPr>
        <w:t xml:space="preserve">         </w:t>
      </w:r>
      <w:r w:rsidRPr="00395B7D">
        <w:rPr>
          <w:b/>
          <w:szCs w:val="22"/>
        </w:rPr>
        <w:t xml:space="preserve">Released:  </w:t>
      </w:r>
      <w:r w:rsidR="00395B7D" w:rsidRPr="00395B7D">
        <w:rPr>
          <w:b/>
          <w:szCs w:val="22"/>
        </w:rPr>
        <w:t xml:space="preserve">November </w:t>
      </w:r>
      <w:r w:rsidR="00075E31">
        <w:rPr>
          <w:b/>
          <w:szCs w:val="22"/>
        </w:rPr>
        <w:t>4</w:t>
      </w:r>
      <w:r w:rsidRPr="00395B7D">
        <w:rPr>
          <w:b/>
          <w:szCs w:val="22"/>
        </w:rPr>
        <w:t>, 201</w:t>
      </w:r>
      <w:r w:rsidR="007C1476" w:rsidRPr="00395B7D">
        <w:rPr>
          <w:b/>
          <w:szCs w:val="22"/>
        </w:rPr>
        <w:t>5</w:t>
      </w:r>
    </w:p>
    <w:p w14:paraId="145C1DF5" w14:textId="77777777" w:rsidR="00E56718" w:rsidRPr="00395B7D" w:rsidRDefault="00E56718" w:rsidP="00E46403">
      <w:pPr>
        <w:tabs>
          <w:tab w:val="left" w:pos="5760"/>
        </w:tabs>
        <w:rPr>
          <w:b/>
          <w:szCs w:val="22"/>
        </w:rPr>
      </w:pPr>
    </w:p>
    <w:p w14:paraId="145C1DF6" w14:textId="77777777" w:rsidR="00E56718" w:rsidRPr="00395B7D" w:rsidRDefault="00E56718" w:rsidP="00E46403">
      <w:pPr>
        <w:tabs>
          <w:tab w:val="left" w:pos="5760"/>
        </w:tabs>
        <w:rPr>
          <w:spacing w:val="-2"/>
          <w:szCs w:val="22"/>
        </w:rPr>
      </w:pPr>
      <w:r w:rsidRPr="00395B7D">
        <w:rPr>
          <w:szCs w:val="22"/>
        </w:rPr>
        <w:t>By the Deputy Chief, Broadband Division, Wireless Telecommunications Bureau</w:t>
      </w:r>
      <w:r w:rsidRPr="00395B7D">
        <w:rPr>
          <w:spacing w:val="-2"/>
          <w:szCs w:val="22"/>
        </w:rPr>
        <w:t>:</w:t>
      </w:r>
    </w:p>
    <w:p w14:paraId="145C1DF7" w14:textId="77777777" w:rsidR="00E56718" w:rsidRPr="00395B7D" w:rsidRDefault="00E56718" w:rsidP="00E46403">
      <w:pPr>
        <w:tabs>
          <w:tab w:val="left" w:pos="5760"/>
        </w:tabs>
        <w:rPr>
          <w:szCs w:val="22"/>
        </w:rPr>
      </w:pPr>
    </w:p>
    <w:p w14:paraId="145C1DF8" w14:textId="77777777" w:rsidR="006B6422" w:rsidRPr="00395B7D" w:rsidRDefault="00E56718" w:rsidP="00E46403">
      <w:pPr>
        <w:pStyle w:val="Heading1"/>
        <w:widowControl/>
        <w:rPr>
          <w:szCs w:val="22"/>
        </w:rPr>
      </w:pPr>
      <w:r w:rsidRPr="00395B7D">
        <w:rPr>
          <w:szCs w:val="22"/>
        </w:rPr>
        <w:t xml:space="preserve">INTRODUCTION  </w:t>
      </w:r>
      <w:r w:rsidRPr="00395B7D">
        <w:rPr>
          <w:color w:val="000000"/>
          <w:szCs w:val="22"/>
        </w:rPr>
        <w:t xml:space="preserve">  </w:t>
      </w:r>
    </w:p>
    <w:p w14:paraId="145C1DF9" w14:textId="77777777" w:rsidR="006B6422" w:rsidRPr="00395B7D" w:rsidRDefault="006B6422" w:rsidP="00E46403">
      <w:pPr>
        <w:pStyle w:val="ParaNum"/>
        <w:rPr>
          <w:szCs w:val="22"/>
        </w:rPr>
      </w:pPr>
      <w:r w:rsidRPr="00395B7D">
        <w:rPr>
          <w:szCs w:val="22"/>
        </w:rPr>
        <w:t xml:space="preserve">In this </w:t>
      </w:r>
      <w:r w:rsidR="00C470AD" w:rsidRPr="00395B7D">
        <w:rPr>
          <w:i/>
          <w:szCs w:val="22"/>
        </w:rPr>
        <w:t>Order on Reconsideration</w:t>
      </w:r>
      <w:r w:rsidRPr="00395B7D">
        <w:rPr>
          <w:szCs w:val="22"/>
        </w:rPr>
        <w:t>, we d</w:t>
      </w:r>
      <w:r w:rsidR="00D11F48" w:rsidRPr="00395B7D">
        <w:rPr>
          <w:szCs w:val="22"/>
        </w:rPr>
        <w:t xml:space="preserve">ismiss </w:t>
      </w:r>
      <w:r w:rsidR="00C470AD" w:rsidRPr="00395B7D">
        <w:rPr>
          <w:szCs w:val="22"/>
        </w:rPr>
        <w:t xml:space="preserve">a petition for reconsideration </w:t>
      </w:r>
      <w:r w:rsidRPr="00395B7D">
        <w:rPr>
          <w:szCs w:val="22"/>
        </w:rPr>
        <w:t>filed by RF Development, LLC (“RF”)</w:t>
      </w:r>
      <w:r w:rsidR="003451C4" w:rsidRPr="00395B7D">
        <w:rPr>
          <w:rStyle w:val="FootnoteReference"/>
          <w:szCs w:val="22"/>
        </w:rPr>
        <w:footnoteReference w:id="2"/>
      </w:r>
      <w:r w:rsidRPr="00395B7D">
        <w:rPr>
          <w:szCs w:val="22"/>
        </w:rPr>
        <w:t xml:space="preserve"> </w:t>
      </w:r>
      <w:r w:rsidR="00C470AD" w:rsidRPr="00395B7D">
        <w:rPr>
          <w:szCs w:val="22"/>
        </w:rPr>
        <w:t xml:space="preserve">of a </w:t>
      </w:r>
      <w:r w:rsidR="00C470AD" w:rsidRPr="00395B7D">
        <w:rPr>
          <w:i/>
          <w:szCs w:val="22"/>
        </w:rPr>
        <w:t xml:space="preserve">Memorandum Opinion and Order </w:t>
      </w:r>
      <w:r w:rsidR="00D11F48" w:rsidRPr="00395B7D">
        <w:rPr>
          <w:szCs w:val="22"/>
        </w:rPr>
        <w:t xml:space="preserve">that found that </w:t>
      </w:r>
      <w:r w:rsidR="00C470AD" w:rsidRPr="00395B7D">
        <w:rPr>
          <w:szCs w:val="22"/>
        </w:rPr>
        <w:t xml:space="preserve">RF failed </w:t>
      </w:r>
      <w:r w:rsidRPr="00395B7D">
        <w:rPr>
          <w:szCs w:val="22"/>
        </w:rPr>
        <w:t xml:space="preserve">to demonstrate the provision of substantial service for </w:t>
      </w:r>
      <w:r w:rsidRPr="00395B7D">
        <w:rPr>
          <w:color w:val="000000"/>
          <w:szCs w:val="22"/>
        </w:rPr>
        <w:t>Local Multipoint Distribution Service (“LMDS”) Station WPOH612, Salisbury, Maryland.</w:t>
      </w:r>
      <w:r w:rsidR="00C470AD" w:rsidRPr="00395B7D">
        <w:rPr>
          <w:rStyle w:val="FootnoteReference"/>
          <w:color w:val="000000"/>
          <w:szCs w:val="22"/>
        </w:rPr>
        <w:footnoteReference w:id="3"/>
      </w:r>
      <w:r w:rsidRPr="00395B7D">
        <w:rPr>
          <w:color w:val="000000"/>
          <w:szCs w:val="22"/>
        </w:rPr>
        <w:t xml:space="preserve">  </w:t>
      </w:r>
      <w:r w:rsidR="003451C4" w:rsidRPr="00395B7D">
        <w:rPr>
          <w:color w:val="000000"/>
          <w:szCs w:val="22"/>
        </w:rPr>
        <w:t>For the reasons discussed below, we d</w:t>
      </w:r>
      <w:r w:rsidR="00FC1147" w:rsidRPr="00395B7D">
        <w:rPr>
          <w:color w:val="000000"/>
          <w:szCs w:val="22"/>
        </w:rPr>
        <w:t>ismiss</w:t>
      </w:r>
      <w:r w:rsidR="003451C4" w:rsidRPr="00395B7D">
        <w:rPr>
          <w:color w:val="000000"/>
          <w:szCs w:val="22"/>
        </w:rPr>
        <w:t xml:space="preserve"> the Petition</w:t>
      </w:r>
      <w:r w:rsidR="00E36FE7">
        <w:rPr>
          <w:color w:val="000000"/>
          <w:szCs w:val="22"/>
        </w:rPr>
        <w:t xml:space="preserve"> in part and deny it in part</w:t>
      </w:r>
      <w:r w:rsidR="003451C4" w:rsidRPr="00395B7D">
        <w:rPr>
          <w:color w:val="000000"/>
          <w:szCs w:val="22"/>
        </w:rPr>
        <w:t xml:space="preserve">.       </w:t>
      </w:r>
    </w:p>
    <w:p w14:paraId="145C1DFA" w14:textId="77777777" w:rsidR="006B6422" w:rsidRPr="00395B7D" w:rsidRDefault="006B6422" w:rsidP="00E46403">
      <w:pPr>
        <w:pStyle w:val="Heading1"/>
        <w:widowControl/>
        <w:rPr>
          <w:szCs w:val="22"/>
        </w:rPr>
      </w:pPr>
      <w:r w:rsidRPr="00395B7D">
        <w:rPr>
          <w:szCs w:val="22"/>
        </w:rPr>
        <w:t xml:space="preserve">BACKGROUND    </w:t>
      </w:r>
      <w:r w:rsidRPr="00395B7D">
        <w:rPr>
          <w:color w:val="000000"/>
          <w:szCs w:val="22"/>
        </w:rPr>
        <w:t xml:space="preserve">  </w:t>
      </w:r>
    </w:p>
    <w:p w14:paraId="145C1DFB" w14:textId="77777777" w:rsidR="00B367DB" w:rsidRPr="00395B7D" w:rsidRDefault="004C3B28" w:rsidP="00E46403">
      <w:pPr>
        <w:pStyle w:val="ParaNum"/>
        <w:rPr>
          <w:szCs w:val="22"/>
        </w:rPr>
      </w:pPr>
      <w:r w:rsidRPr="00395B7D">
        <w:rPr>
          <w:szCs w:val="22"/>
        </w:rPr>
        <w:t>L</w:t>
      </w:r>
      <w:r w:rsidR="00B367DB" w:rsidRPr="00395B7D">
        <w:rPr>
          <w:szCs w:val="22"/>
        </w:rPr>
        <w:t>MDS licensees are regulated under Part 101 of the Commission’s rules, which generally governs terrestrial microwave operations, and may provide any service consistent with the Commission’s rules and the licensee’s regulatory status,</w:t>
      </w:r>
      <w:r w:rsidR="00B367DB" w:rsidRPr="00395B7D">
        <w:rPr>
          <w:rStyle w:val="FootnoteReference"/>
          <w:szCs w:val="22"/>
        </w:rPr>
        <w:footnoteReference w:id="4"/>
      </w:r>
      <w:r w:rsidR="00B367DB" w:rsidRPr="00395B7D">
        <w:rPr>
          <w:szCs w:val="22"/>
        </w:rPr>
        <w:t xml:space="preserve"> subject to a ten-year term from the initial license grant date.</w:t>
      </w:r>
      <w:r w:rsidR="00B367DB" w:rsidRPr="00395B7D">
        <w:rPr>
          <w:rStyle w:val="FootnoteReference"/>
          <w:szCs w:val="22"/>
        </w:rPr>
        <w:footnoteReference w:id="5"/>
      </w:r>
      <w:r w:rsidR="00B367DB" w:rsidRPr="00395B7D">
        <w:rPr>
          <w:szCs w:val="22"/>
        </w:rPr>
        <w:t xml:space="preserve">  At the end of the ten-year period, licensees are required to submit an acceptable showing to the Commission demonstrating that they are providing “substantial service” in each licensed area.</w:t>
      </w:r>
      <w:r w:rsidR="00B367DB" w:rsidRPr="00395B7D">
        <w:rPr>
          <w:rStyle w:val="FootnoteReference"/>
          <w:szCs w:val="22"/>
        </w:rPr>
        <w:footnoteReference w:id="6"/>
      </w:r>
      <w:r w:rsidR="00B367DB" w:rsidRPr="00395B7D">
        <w:rPr>
          <w:szCs w:val="22"/>
        </w:rPr>
        <w:t xml:space="preserve">  Failure by any licensee to meet this requirement will result in forfeiture of the license and the licensee will be ineligible to regain it.</w:t>
      </w:r>
      <w:r w:rsidR="00B367DB" w:rsidRPr="00395B7D">
        <w:rPr>
          <w:rStyle w:val="FootnoteReference"/>
          <w:szCs w:val="22"/>
        </w:rPr>
        <w:footnoteReference w:id="7"/>
      </w:r>
    </w:p>
    <w:p w14:paraId="145C1DFC" w14:textId="77777777" w:rsidR="00580E75" w:rsidRPr="00395B7D" w:rsidRDefault="00580E75" w:rsidP="00580E75">
      <w:pPr>
        <w:pStyle w:val="ParaNum"/>
        <w:rPr>
          <w:szCs w:val="22"/>
        </w:rPr>
      </w:pPr>
      <w:r w:rsidRPr="00395B7D">
        <w:rPr>
          <w:szCs w:val="22"/>
        </w:rPr>
        <w:lastRenderedPageBreak/>
        <w:t>The Commission has defined substantial service as “service which is sound, favorable, and substantially above a level of mediocre service which just might minimally warrant renewal.”</w:t>
      </w:r>
      <w:r w:rsidRPr="00395B7D">
        <w:rPr>
          <w:rStyle w:val="FootnoteReference"/>
          <w:szCs w:val="22"/>
        </w:rPr>
        <w:footnoteReference w:id="8"/>
      </w:r>
      <w:r w:rsidRPr="00395B7D">
        <w:rPr>
          <w:szCs w:val="22"/>
        </w:rPr>
        <w:t xml:space="preserve">  The Commission elaborated on this standard in the form of examples of what might constitute substantial service for LMDS licensees by providing safe harbors.</w:t>
      </w:r>
      <w:r w:rsidRPr="00395B7D">
        <w:rPr>
          <w:rStyle w:val="FootnoteReference"/>
          <w:szCs w:val="22"/>
        </w:rPr>
        <w:footnoteReference w:id="9"/>
      </w:r>
      <w:r w:rsidRPr="00395B7D">
        <w:rPr>
          <w:szCs w:val="22"/>
        </w:rPr>
        <w:t xml:space="preserve">  Specifically, the Commission explained that “for an LMDS licensee that chooses to offer point-to-multipoint services, a demonstration of coverage to 20 percent of the population of its licensed service area at the 10-year mark would constitute substantial service.  In the alternative, an LMDS licensee that chooses to offer fixed, point-to-point services, the construction of four permanent links per one million people in its licensed service area at the 10-year renewal mark would constitute substantial service.”</w:t>
      </w:r>
      <w:r w:rsidRPr="00395B7D">
        <w:rPr>
          <w:rStyle w:val="FootnoteReference"/>
          <w:szCs w:val="22"/>
        </w:rPr>
        <w:footnoteReference w:id="10"/>
      </w:r>
      <w:r w:rsidRPr="00395B7D">
        <w:rPr>
          <w:szCs w:val="22"/>
        </w:rPr>
        <w:t xml:space="preserve">  The Commission further noted that it may consider such factors as whether the licensee is offering a specialized or technologically sophisticated service that does not require a high level of coverage to be of benefit to customers, and whether the licensee’s operations serve niche markets or focus on serving populations outside of areas served by other licensees.</w:t>
      </w:r>
      <w:r w:rsidRPr="00395B7D">
        <w:rPr>
          <w:rStyle w:val="FootnoteReference"/>
          <w:szCs w:val="22"/>
        </w:rPr>
        <w:footnoteReference w:id="11"/>
      </w:r>
      <w:r w:rsidRPr="00395B7D">
        <w:rPr>
          <w:szCs w:val="22"/>
        </w:rPr>
        <w:t xml:space="preserve">  The substantial service requirement can be met in other ways, and the Commission explained that it will review licensees’ showings on a case-by-case basis.</w:t>
      </w:r>
      <w:r w:rsidRPr="00395B7D">
        <w:rPr>
          <w:rStyle w:val="FootnoteReference"/>
          <w:szCs w:val="22"/>
        </w:rPr>
        <w:footnoteReference w:id="12"/>
      </w:r>
      <w:r w:rsidRPr="00395B7D">
        <w:rPr>
          <w:szCs w:val="22"/>
        </w:rPr>
        <w:t xml:space="preserve">    </w:t>
      </w:r>
    </w:p>
    <w:p w14:paraId="145C1DFD" w14:textId="2037BCA2" w:rsidR="00E56718" w:rsidRPr="00395B7D" w:rsidRDefault="00686D54" w:rsidP="004C3B28">
      <w:pPr>
        <w:pStyle w:val="ParaNum"/>
        <w:rPr>
          <w:szCs w:val="22"/>
        </w:rPr>
      </w:pPr>
      <w:r w:rsidRPr="00395B7D">
        <w:rPr>
          <w:szCs w:val="22"/>
        </w:rPr>
        <w:t>RF won the license for Station WPOH612 in Auction No. 17, and the license was granted on July 24, 1998.</w:t>
      </w:r>
      <w:r w:rsidR="00F84D9D" w:rsidRPr="00395B7D">
        <w:rPr>
          <w:rStyle w:val="FootnoteReference"/>
          <w:szCs w:val="22"/>
        </w:rPr>
        <w:footnoteReference w:id="13"/>
      </w:r>
      <w:r w:rsidRPr="00395B7D">
        <w:rPr>
          <w:szCs w:val="22"/>
        </w:rPr>
        <w:t xml:space="preserve">  </w:t>
      </w:r>
      <w:r w:rsidRPr="00395B7D">
        <w:rPr>
          <w:color w:val="000000"/>
          <w:szCs w:val="22"/>
        </w:rPr>
        <w:t>RF was originally required to demonstrate substantial service by July 24, 2008, or 10 years after the initial license grant date.</w:t>
      </w:r>
      <w:r w:rsidRPr="00395B7D">
        <w:rPr>
          <w:rStyle w:val="FootnoteReference"/>
          <w:color w:val="000000"/>
          <w:szCs w:val="22"/>
        </w:rPr>
        <w:footnoteReference w:id="14"/>
      </w:r>
      <w:r w:rsidR="00E56718" w:rsidRPr="00395B7D">
        <w:rPr>
          <w:szCs w:val="22"/>
        </w:rPr>
        <w:t xml:space="preserve"> </w:t>
      </w:r>
    </w:p>
    <w:p w14:paraId="145C1DFE" w14:textId="77777777" w:rsidR="002F48CE" w:rsidRPr="00395B7D" w:rsidRDefault="00E56718" w:rsidP="00E46403">
      <w:pPr>
        <w:pStyle w:val="ParaNum"/>
        <w:rPr>
          <w:szCs w:val="22"/>
        </w:rPr>
      </w:pPr>
      <w:r w:rsidRPr="00395B7D">
        <w:rPr>
          <w:szCs w:val="22"/>
        </w:rPr>
        <w:t xml:space="preserve">On </w:t>
      </w:r>
      <w:r w:rsidR="00022272" w:rsidRPr="00395B7D">
        <w:rPr>
          <w:szCs w:val="22"/>
        </w:rPr>
        <w:t xml:space="preserve">December 16, 2011, RF filed </w:t>
      </w:r>
      <w:r w:rsidR="00190229" w:rsidRPr="00395B7D">
        <w:rPr>
          <w:szCs w:val="22"/>
        </w:rPr>
        <w:t>an application seeking to demonstrate that LMDS Station WPOH612 is providing “substantial service” within its licensed area.</w:t>
      </w:r>
      <w:bookmarkStart w:id="1" w:name="_Ref331500620"/>
      <w:r w:rsidRPr="00395B7D">
        <w:rPr>
          <w:szCs w:val="22"/>
          <w:vertAlign w:val="superscript"/>
        </w:rPr>
        <w:footnoteReference w:id="15"/>
      </w:r>
      <w:bookmarkEnd w:id="1"/>
      <w:r w:rsidR="009B5BFB">
        <w:rPr>
          <w:szCs w:val="22"/>
        </w:rPr>
        <w:t xml:space="preserve">  RF contended</w:t>
      </w:r>
      <w:r w:rsidR="00190229" w:rsidRPr="00395B7D">
        <w:rPr>
          <w:szCs w:val="22"/>
        </w:rPr>
        <w:t xml:space="preserve"> therein that it exceeds the 20</w:t>
      </w:r>
      <w:r w:rsidR="00AB5756" w:rsidRPr="00395B7D">
        <w:rPr>
          <w:szCs w:val="22"/>
        </w:rPr>
        <w:t xml:space="preserve"> percent s</w:t>
      </w:r>
      <w:r w:rsidR="00190229" w:rsidRPr="00395B7D">
        <w:rPr>
          <w:szCs w:val="22"/>
        </w:rPr>
        <w:t>ignal coverage “</w:t>
      </w:r>
      <w:r w:rsidR="00767B5F" w:rsidRPr="00395B7D">
        <w:rPr>
          <w:szCs w:val="22"/>
        </w:rPr>
        <w:t>safe harbor</w:t>
      </w:r>
      <w:r w:rsidR="00190229" w:rsidRPr="00395B7D">
        <w:rPr>
          <w:szCs w:val="22"/>
        </w:rPr>
        <w:t xml:space="preserve">” requirements established by the </w:t>
      </w:r>
      <w:r w:rsidR="007D3324" w:rsidRPr="00395B7D">
        <w:rPr>
          <w:szCs w:val="22"/>
        </w:rPr>
        <w:t xml:space="preserve">Commission </w:t>
      </w:r>
      <w:r w:rsidR="00190229" w:rsidRPr="00395B7D">
        <w:rPr>
          <w:szCs w:val="22"/>
        </w:rPr>
        <w:t xml:space="preserve">for LMDS </w:t>
      </w:r>
      <w:r w:rsidR="007D3324" w:rsidRPr="00395B7D">
        <w:rPr>
          <w:szCs w:val="22"/>
        </w:rPr>
        <w:t>licensees</w:t>
      </w:r>
      <w:r w:rsidR="00190229" w:rsidRPr="00395B7D">
        <w:rPr>
          <w:szCs w:val="22"/>
        </w:rPr>
        <w:t>.</w:t>
      </w:r>
      <w:r w:rsidR="00190229" w:rsidRPr="00395B7D">
        <w:rPr>
          <w:rStyle w:val="FootnoteReference"/>
          <w:szCs w:val="22"/>
        </w:rPr>
        <w:footnoteReference w:id="16"/>
      </w:r>
      <w:r w:rsidR="00190229" w:rsidRPr="00395B7D">
        <w:rPr>
          <w:szCs w:val="22"/>
        </w:rPr>
        <w:t xml:space="preserve">  </w:t>
      </w:r>
      <w:r w:rsidR="002E7A9B" w:rsidRPr="00395B7D">
        <w:rPr>
          <w:szCs w:val="22"/>
        </w:rPr>
        <w:t>In calculating the population within its service area, RF included “seasonal visitors” within the area where it was providing service.</w:t>
      </w:r>
      <w:r w:rsidR="002E7A9B" w:rsidRPr="00395B7D">
        <w:rPr>
          <w:rStyle w:val="FootnoteReference"/>
          <w:szCs w:val="22"/>
        </w:rPr>
        <w:footnoteReference w:id="17"/>
      </w:r>
      <w:r w:rsidR="00556FEC" w:rsidRPr="00395B7D">
        <w:rPr>
          <w:szCs w:val="22"/>
        </w:rPr>
        <w:t xml:space="preserve">  RF state</w:t>
      </w:r>
      <w:r w:rsidR="009B5BFB">
        <w:rPr>
          <w:szCs w:val="22"/>
        </w:rPr>
        <w:t>d</w:t>
      </w:r>
      <w:r w:rsidR="00556FEC" w:rsidRPr="00395B7D">
        <w:rPr>
          <w:szCs w:val="22"/>
        </w:rPr>
        <w:t xml:space="preserve"> that “[t]</w:t>
      </w:r>
      <w:r w:rsidR="002E7A9B" w:rsidRPr="00395B7D">
        <w:rPr>
          <w:szCs w:val="22"/>
        </w:rPr>
        <w:t>he summertime population surges occurring within the Ocean City coverage area exceeds the total population of the entire BTA.”</w:t>
      </w:r>
      <w:r w:rsidR="002E7A9B" w:rsidRPr="00395B7D">
        <w:rPr>
          <w:rStyle w:val="FootnoteReference"/>
          <w:szCs w:val="22"/>
        </w:rPr>
        <w:footnoteReference w:id="18"/>
      </w:r>
      <w:r w:rsidR="002E7A9B" w:rsidRPr="00395B7D">
        <w:rPr>
          <w:szCs w:val="22"/>
        </w:rPr>
        <w:t xml:space="preserve">  According to RF’s calculations, which are based on information in </w:t>
      </w:r>
      <w:r w:rsidR="007F1364" w:rsidRPr="00395B7D">
        <w:rPr>
          <w:szCs w:val="22"/>
        </w:rPr>
        <w:t>an</w:t>
      </w:r>
      <w:r w:rsidR="002E7A9B" w:rsidRPr="00395B7D">
        <w:rPr>
          <w:szCs w:val="22"/>
        </w:rPr>
        <w:t xml:space="preserve"> Ocean City Planning and </w:t>
      </w:r>
      <w:r w:rsidR="007F1364" w:rsidRPr="00395B7D">
        <w:rPr>
          <w:szCs w:val="22"/>
        </w:rPr>
        <w:t>Zoning</w:t>
      </w:r>
      <w:r w:rsidR="002E7A9B" w:rsidRPr="00395B7D">
        <w:rPr>
          <w:szCs w:val="22"/>
        </w:rPr>
        <w:t xml:space="preserve"> Commission document, “</w:t>
      </w:r>
      <w:r w:rsidR="00556FEC" w:rsidRPr="00395B7D">
        <w:rPr>
          <w:szCs w:val="22"/>
        </w:rPr>
        <w:t>[t]</w:t>
      </w:r>
      <w:r w:rsidR="002E7A9B" w:rsidRPr="00395B7D">
        <w:rPr>
          <w:szCs w:val="22"/>
        </w:rPr>
        <w:t xml:space="preserve">he average annual weekend population for the area is calculated to be 154,933,” and RF claims that its constructed facility would serve 45 percent of the population within the </w:t>
      </w:r>
      <w:r w:rsidR="002E7A9B" w:rsidRPr="00395B7D">
        <w:rPr>
          <w:szCs w:val="22"/>
        </w:rPr>
        <w:lastRenderedPageBreak/>
        <w:t>BTA when seasonal visitors are included.</w:t>
      </w:r>
      <w:r w:rsidR="002E7A9B" w:rsidRPr="00395B7D">
        <w:rPr>
          <w:rStyle w:val="FootnoteReference"/>
          <w:szCs w:val="22"/>
        </w:rPr>
        <w:footnoteReference w:id="19"/>
      </w:r>
      <w:r w:rsidR="002E7A9B" w:rsidRPr="00395B7D">
        <w:rPr>
          <w:szCs w:val="22"/>
        </w:rPr>
        <w:t xml:space="preserve"> </w:t>
      </w:r>
    </w:p>
    <w:p w14:paraId="145C1DFF" w14:textId="77777777" w:rsidR="002B2E4A" w:rsidRPr="00395B7D" w:rsidRDefault="002F48CE" w:rsidP="009A21B0">
      <w:pPr>
        <w:pStyle w:val="ParaNum"/>
        <w:widowControl/>
        <w:rPr>
          <w:szCs w:val="22"/>
        </w:rPr>
      </w:pPr>
      <w:r w:rsidRPr="00395B7D">
        <w:rPr>
          <w:szCs w:val="22"/>
        </w:rPr>
        <w:t xml:space="preserve">On August 3, 2012, the </w:t>
      </w:r>
      <w:r w:rsidR="00CA7F16" w:rsidRPr="00395B7D">
        <w:rPr>
          <w:szCs w:val="22"/>
        </w:rPr>
        <w:t xml:space="preserve">Bureau’s Broadband Division (“Division”) </w:t>
      </w:r>
      <w:r w:rsidRPr="00395B7D">
        <w:rPr>
          <w:szCs w:val="22"/>
        </w:rPr>
        <w:t xml:space="preserve">returned </w:t>
      </w:r>
      <w:r w:rsidR="00B1548F" w:rsidRPr="00395B7D">
        <w:rPr>
          <w:szCs w:val="22"/>
        </w:rPr>
        <w:t xml:space="preserve">the Construction Notification </w:t>
      </w:r>
      <w:r w:rsidR="00D163EA" w:rsidRPr="00395B7D">
        <w:rPr>
          <w:szCs w:val="22"/>
        </w:rPr>
        <w:t xml:space="preserve">to provide RF with the opportunity to </w:t>
      </w:r>
      <w:r w:rsidRPr="00395B7D">
        <w:rPr>
          <w:szCs w:val="22"/>
        </w:rPr>
        <w:t>amend</w:t>
      </w:r>
      <w:r w:rsidR="00D163EA" w:rsidRPr="00395B7D">
        <w:rPr>
          <w:szCs w:val="22"/>
        </w:rPr>
        <w:t xml:space="preserve"> the </w:t>
      </w:r>
      <w:r w:rsidR="009B5BFB">
        <w:rPr>
          <w:szCs w:val="22"/>
        </w:rPr>
        <w:t xml:space="preserve">Construction Notification </w:t>
      </w:r>
      <w:r w:rsidRPr="00395B7D">
        <w:rPr>
          <w:szCs w:val="22"/>
        </w:rPr>
        <w:t>to include additional information.</w:t>
      </w:r>
      <w:r w:rsidRPr="00395B7D">
        <w:rPr>
          <w:rStyle w:val="FootnoteReference"/>
          <w:szCs w:val="22"/>
        </w:rPr>
        <w:footnoteReference w:id="20"/>
      </w:r>
      <w:r w:rsidRPr="00395B7D">
        <w:rPr>
          <w:szCs w:val="22"/>
        </w:rPr>
        <w:t xml:space="preserve">  The </w:t>
      </w:r>
      <w:r w:rsidR="00CA7F16" w:rsidRPr="00395B7D">
        <w:rPr>
          <w:szCs w:val="22"/>
        </w:rPr>
        <w:t xml:space="preserve">Division </w:t>
      </w:r>
      <w:r w:rsidRPr="00395B7D">
        <w:rPr>
          <w:szCs w:val="22"/>
        </w:rPr>
        <w:t xml:space="preserve">directed RF to </w:t>
      </w:r>
      <w:r w:rsidR="002E7A9B" w:rsidRPr="00395B7D">
        <w:rPr>
          <w:szCs w:val="22"/>
        </w:rPr>
        <w:t xml:space="preserve">provide </w:t>
      </w:r>
      <w:r w:rsidR="00240CBB" w:rsidRPr="00395B7D">
        <w:rPr>
          <w:szCs w:val="22"/>
        </w:rPr>
        <w:t>“</w:t>
      </w:r>
      <w:r w:rsidRPr="00395B7D">
        <w:rPr>
          <w:szCs w:val="22"/>
        </w:rPr>
        <w:t>an attachment that explains how your communications system and the service you provide</w:t>
      </w:r>
      <w:r w:rsidR="00240CBB" w:rsidRPr="00395B7D">
        <w:rPr>
          <w:szCs w:val="22"/>
        </w:rPr>
        <w:t xml:space="preserve"> </w:t>
      </w:r>
      <w:r w:rsidRPr="00395B7D">
        <w:rPr>
          <w:szCs w:val="22"/>
        </w:rPr>
        <w:t>with it benefit the summer population of the area in and around Ocean City, Maryland</w:t>
      </w:r>
      <w:r w:rsidR="002E7A9B" w:rsidRPr="00395B7D">
        <w:rPr>
          <w:szCs w:val="22"/>
        </w:rPr>
        <w:t xml:space="preserve">.  </w:t>
      </w:r>
      <w:r w:rsidR="00662317" w:rsidRPr="00395B7D">
        <w:rPr>
          <w:szCs w:val="22"/>
        </w:rPr>
        <w:t>On October 1, 2012, RF amended the</w:t>
      </w:r>
      <w:r w:rsidR="009B5BFB">
        <w:rPr>
          <w:szCs w:val="22"/>
        </w:rPr>
        <w:t xml:space="preserve"> Construction Notification</w:t>
      </w:r>
      <w:r w:rsidR="00662317" w:rsidRPr="00395B7D">
        <w:rPr>
          <w:szCs w:val="22"/>
        </w:rPr>
        <w:t>.</w:t>
      </w:r>
      <w:r w:rsidR="00662317" w:rsidRPr="00395B7D">
        <w:rPr>
          <w:rStyle w:val="FootnoteReference"/>
          <w:szCs w:val="22"/>
        </w:rPr>
        <w:footnoteReference w:id="21"/>
      </w:r>
      <w:r w:rsidR="00AB5756" w:rsidRPr="00395B7D">
        <w:rPr>
          <w:szCs w:val="22"/>
        </w:rPr>
        <w:t xml:space="preserve">  RF explains</w:t>
      </w:r>
      <w:r w:rsidR="002B2E4A" w:rsidRPr="00395B7D">
        <w:rPr>
          <w:szCs w:val="22"/>
        </w:rPr>
        <w:t xml:space="preserve"> the service benefits to the Ocean City market area.</w:t>
      </w:r>
      <w:r w:rsidR="002B2E4A" w:rsidRPr="00395B7D">
        <w:rPr>
          <w:rStyle w:val="FootnoteReference"/>
          <w:szCs w:val="22"/>
        </w:rPr>
        <w:footnoteReference w:id="22"/>
      </w:r>
      <w:r w:rsidR="002B2E4A" w:rsidRPr="00395B7D">
        <w:rPr>
          <w:szCs w:val="22"/>
        </w:rPr>
        <w:t xml:space="preserve">  According to RF, it </w:t>
      </w:r>
    </w:p>
    <w:p w14:paraId="145C1E00" w14:textId="77777777" w:rsidR="00704F2C" w:rsidRPr="00395B7D" w:rsidRDefault="002B2E4A" w:rsidP="00E46403">
      <w:pPr>
        <w:pStyle w:val="ParaNum"/>
        <w:widowControl/>
        <w:numPr>
          <w:ilvl w:val="0"/>
          <w:numId w:val="0"/>
        </w:numPr>
        <w:ind w:left="1080" w:right="720"/>
        <w:rPr>
          <w:szCs w:val="22"/>
        </w:rPr>
      </w:pPr>
      <w:r w:rsidRPr="00395B7D">
        <w:rPr>
          <w:szCs w:val="22"/>
        </w:rPr>
        <w:t>installed a communications system which is planned to provide service primarily to carrier companies seeking alternative connectivity for transport within the Ocean City market area.  The communications system envisioned for the market will include connectivity for public and provide networks seeking transport within the market area.  The summer population, along with businesses serving the areas in and around Ocean city, Maryland will be the beneficiaries of increased access and alternative carrier offerings.  RF Development, LLC installed network equipment manufactured by Hughes Network Systems which is designed to provide Ethernet and private line access and other “last-mile” data transmission solutions.</w:t>
      </w:r>
      <w:r w:rsidR="00C75A87" w:rsidRPr="00395B7D">
        <w:rPr>
          <w:rStyle w:val="FootnoteReference"/>
          <w:szCs w:val="22"/>
        </w:rPr>
        <w:footnoteReference w:id="23"/>
      </w:r>
      <w:r w:rsidRPr="00395B7D">
        <w:rPr>
          <w:szCs w:val="22"/>
        </w:rPr>
        <w:t xml:space="preserve">    </w:t>
      </w:r>
      <w:r w:rsidR="00662317" w:rsidRPr="00395B7D">
        <w:rPr>
          <w:szCs w:val="22"/>
        </w:rPr>
        <w:t xml:space="preserve">   </w:t>
      </w:r>
    </w:p>
    <w:p w14:paraId="145C1E01" w14:textId="77777777" w:rsidR="00230397" w:rsidRPr="00395B7D" w:rsidRDefault="00230397" w:rsidP="00E46403">
      <w:pPr>
        <w:pStyle w:val="ParaNum"/>
        <w:rPr>
          <w:szCs w:val="22"/>
        </w:rPr>
      </w:pPr>
      <w:r w:rsidRPr="00395B7D">
        <w:rPr>
          <w:szCs w:val="22"/>
        </w:rPr>
        <w:t xml:space="preserve">On April 23, 2014, the Division notified RF that the </w:t>
      </w:r>
      <w:r w:rsidR="00CA7F16" w:rsidRPr="00395B7D">
        <w:rPr>
          <w:szCs w:val="22"/>
        </w:rPr>
        <w:t>Division</w:t>
      </w:r>
      <w:r w:rsidRPr="00395B7D">
        <w:rPr>
          <w:szCs w:val="22"/>
        </w:rPr>
        <w:t>’s analysis shows that RF fails to meet the 20 percent coverage safe harbor for point-to-multipoint operation for Station WPOH612.</w:t>
      </w:r>
      <w:r w:rsidRPr="00395B7D">
        <w:rPr>
          <w:rStyle w:val="FootnoteReference"/>
          <w:szCs w:val="22"/>
        </w:rPr>
        <w:footnoteReference w:id="24"/>
      </w:r>
      <w:r w:rsidRPr="00395B7D">
        <w:rPr>
          <w:szCs w:val="22"/>
        </w:rPr>
        <w:t xml:space="preserve">  The </w:t>
      </w:r>
      <w:r w:rsidR="00CA7F16" w:rsidRPr="00395B7D">
        <w:rPr>
          <w:szCs w:val="22"/>
        </w:rPr>
        <w:t xml:space="preserve">Division </w:t>
      </w:r>
      <w:r w:rsidRPr="00395B7D">
        <w:rPr>
          <w:szCs w:val="22"/>
        </w:rPr>
        <w:t>rejected the contention that the Ocean City market has a large summer population of tourists that should be considered for purposes of meeting the safe harbor because the Commission only considers full-time residents in counting population within a service area.</w:t>
      </w:r>
      <w:r w:rsidRPr="00395B7D">
        <w:rPr>
          <w:rStyle w:val="FootnoteReference"/>
          <w:szCs w:val="22"/>
        </w:rPr>
        <w:footnoteReference w:id="25"/>
      </w:r>
      <w:r w:rsidRPr="00395B7D">
        <w:rPr>
          <w:szCs w:val="22"/>
        </w:rPr>
        <w:t xml:space="preserve">  </w:t>
      </w:r>
      <w:r w:rsidR="009309AF" w:rsidRPr="00395B7D">
        <w:rPr>
          <w:szCs w:val="22"/>
        </w:rPr>
        <w:t>T</w:t>
      </w:r>
      <w:r w:rsidRPr="00395B7D">
        <w:rPr>
          <w:szCs w:val="22"/>
        </w:rPr>
        <w:t xml:space="preserve">he </w:t>
      </w:r>
      <w:r w:rsidR="00CA7F16" w:rsidRPr="00395B7D">
        <w:rPr>
          <w:szCs w:val="22"/>
        </w:rPr>
        <w:t xml:space="preserve">Division </w:t>
      </w:r>
      <w:r w:rsidRPr="00395B7D">
        <w:rPr>
          <w:szCs w:val="22"/>
        </w:rPr>
        <w:t>noted</w:t>
      </w:r>
      <w:r w:rsidR="009309AF" w:rsidRPr="00395B7D">
        <w:rPr>
          <w:szCs w:val="22"/>
        </w:rPr>
        <w:t>, however,</w:t>
      </w:r>
      <w:r w:rsidRPr="00395B7D">
        <w:rPr>
          <w:szCs w:val="22"/>
        </w:rPr>
        <w:t xml:space="preserve"> that compliance with a safe harbor is not the only means by which an applicant can demonstrate substantial service and that, with additional infor</w:t>
      </w:r>
      <w:r w:rsidR="00AB5756" w:rsidRPr="00395B7D">
        <w:rPr>
          <w:szCs w:val="22"/>
        </w:rPr>
        <w:t>mation</w:t>
      </w:r>
      <w:r w:rsidRPr="00395B7D">
        <w:rPr>
          <w:szCs w:val="22"/>
        </w:rPr>
        <w:t>, it may be able to accept the substantial service showing on a case-by-case basis.</w:t>
      </w:r>
      <w:r w:rsidRPr="00395B7D">
        <w:rPr>
          <w:rStyle w:val="FootnoteReference"/>
          <w:szCs w:val="22"/>
        </w:rPr>
        <w:footnoteReference w:id="26"/>
      </w:r>
      <w:r w:rsidRPr="00395B7D">
        <w:rPr>
          <w:szCs w:val="22"/>
        </w:rPr>
        <w:t xml:space="preserve">  RF was encouraged to provide any additional information that may be helpful in supporting the substantial service showing.</w:t>
      </w:r>
      <w:r w:rsidRPr="00395B7D">
        <w:rPr>
          <w:rStyle w:val="FootnoteReference"/>
          <w:szCs w:val="22"/>
        </w:rPr>
        <w:footnoteReference w:id="27"/>
      </w:r>
    </w:p>
    <w:p w14:paraId="145C1E02" w14:textId="77777777" w:rsidR="00B6446C" w:rsidRPr="00395B7D" w:rsidRDefault="00881702" w:rsidP="00E46403">
      <w:pPr>
        <w:pStyle w:val="ParaNum"/>
        <w:rPr>
          <w:szCs w:val="22"/>
        </w:rPr>
      </w:pPr>
      <w:r w:rsidRPr="00395B7D">
        <w:rPr>
          <w:szCs w:val="22"/>
        </w:rPr>
        <w:t>On May 28, 201</w:t>
      </w:r>
      <w:r w:rsidR="00014F08" w:rsidRPr="00395B7D">
        <w:rPr>
          <w:szCs w:val="22"/>
        </w:rPr>
        <w:t>4</w:t>
      </w:r>
      <w:r w:rsidRPr="00395B7D">
        <w:rPr>
          <w:szCs w:val="22"/>
        </w:rPr>
        <w:t>, RF amended the</w:t>
      </w:r>
      <w:r w:rsidR="0025459C" w:rsidRPr="00395B7D">
        <w:rPr>
          <w:szCs w:val="22"/>
        </w:rPr>
        <w:t xml:space="preserve"> Construction Notification</w:t>
      </w:r>
      <w:r w:rsidRPr="00395B7D">
        <w:rPr>
          <w:szCs w:val="22"/>
        </w:rPr>
        <w:t>.</w:t>
      </w:r>
      <w:r w:rsidR="009B57E1" w:rsidRPr="00395B7D">
        <w:rPr>
          <w:rStyle w:val="FootnoteReference"/>
          <w:szCs w:val="22"/>
        </w:rPr>
        <w:footnoteReference w:id="28"/>
      </w:r>
      <w:r w:rsidR="006C73FB" w:rsidRPr="00395B7D">
        <w:rPr>
          <w:szCs w:val="22"/>
        </w:rPr>
        <w:t xml:space="preserve">  First, RF contends the </w:t>
      </w:r>
      <w:r w:rsidR="00CA7F16" w:rsidRPr="00395B7D">
        <w:rPr>
          <w:szCs w:val="22"/>
        </w:rPr>
        <w:t xml:space="preserve">Division </w:t>
      </w:r>
      <w:r w:rsidR="006C73FB" w:rsidRPr="00395B7D">
        <w:rPr>
          <w:szCs w:val="22"/>
        </w:rPr>
        <w:t>erred in concluding that the Commission only considers full-time residents in counting population within a service area for purposes of meeting the safe harbor.</w:t>
      </w:r>
      <w:r w:rsidR="006C73FB" w:rsidRPr="00395B7D">
        <w:rPr>
          <w:rStyle w:val="FootnoteReference"/>
          <w:szCs w:val="22"/>
        </w:rPr>
        <w:footnoteReference w:id="29"/>
      </w:r>
      <w:r w:rsidR="00841B4B" w:rsidRPr="00395B7D">
        <w:rPr>
          <w:szCs w:val="22"/>
        </w:rPr>
        <w:t xml:space="preserve">  Second, RF contends it has demonstrated substantial service on a case-by-case basis because it operates in a niche market as well as serves populations outside areas served by other licensees.</w:t>
      </w:r>
      <w:r w:rsidR="00841B4B" w:rsidRPr="00395B7D">
        <w:rPr>
          <w:rStyle w:val="FootnoteReference"/>
          <w:szCs w:val="22"/>
        </w:rPr>
        <w:footnoteReference w:id="30"/>
      </w:r>
      <w:r w:rsidR="006C73FB" w:rsidRPr="00395B7D">
        <w:rPr>
          <w:szCs w:val="22"/>
        </w:rPr>
        <w:t xml:space="preserve">  </w:t>
      </w:r>
      <w:r w:rsidR="00323E80" w:rsidRPr="00395B7D">
        <w:rPr>
          <w:szCs w:val="22"/>
        </w:rPr>
        <w:t>RF argues that Ocean City, Maryland is</w:t>
      </w:r>
      <w:r w:rsidR="00B6446C" w:rsidRPr="00395B7D">
        <w:rPr>
          <w:szCs w:val="22"/>
        </w:rPr>
        <w:t xml:space="preserve"> a</w:t>
      </w:r>
      <w:r w:rsidR="00323E80" w:rsidRPr="00395B7D">
        <w:rPr>
          <w:szCs w:val="22"/>
        </w:rPr>
        <w:t xml:space="preserve"> </w:t>
      </w:r>
      <w:r w:rsidR="00B6446C" w:rsidRPr="00395B7D">
        <w:rPr>
          <w:szCs w:val="22"/>
        </w:rPr>
        <w:t xml:space="preserve">“niche” or </w:t>
      </w:r>
      <w:r w:rsidR="00323E80" w:rsidRPr="00395B7D">
        <w:rPr>
          <w:szCs w:val="22"/>
        </w:rPr>
        <w:t>“specialized business market”</w:t>
      </w:r>
      <w:r w:rsidR="00323E80" w:rsidRPr="00395B7D">
        <w:rPr>
          <w:rStyle w:val="FootnoteReference"/>
          <w:szCs w:val="22"/>
        </w:rPr>
        <w:footnoteReference w:id="31"/>
      </w:r>
      <w:r w:rsidR="00323E80" w:rsidRPr="00395B7D">
        <w:rPr>
          <w:szCs w:val="22"/>
        </w:rPr>
        <w:t xml:space="preserve"> </w:t>
      </w:r>
      <w:r w:rsidR="00B6446C" w:rsidRPr="00395B7D">
        <w:rPr>
          <w:szCs w:val="22"/>
        </w:rPr>
        <w:t>because t</w:t>
      </w:r>
      <w:r w:rsidR="00323E80" w:rsidRPr="00395B7D">
        <w:rPr>
          <w:szCs w:val="22"/>
        </w:rPr>
        <w:t>he annual influx of vacationing populations from the Washington DC, Philadelphia and New York regions has created a distinct and specialized business market area based on recreational commerce.</w:t>
      </w:r>
      <w:r w:rsidR="00B6446C" w:rsidRPr="00395B7D">
        <w:rPr>
          <w:rStyle w:val="FootnoteReference"/>
          <w:szCs w:val="22"/>
        </w:rPr>
        <w:footnoteReference w:id="32"/>
      </w:r>
      <w:r w:rsidR="00B6446C" w:rsidRPr="00395B7D">
        <w:rPr>
          <w:szCs w:val="22"/>
        </w:rPr>
        <w:t xml:space="preserve">  RF believes it serves populations outside areas served by other licensees because Ocean City’s summertime population “far exceeds the residential population of the entire BTA” and, because such vacationing populations are from the Washington DC, Philadelphia and New York regions, the “population, when vacationing, is clearly not served by the licensee in their primary residential area.”</w:t>
      </w:r>
      <w:r w:rsidR="00B6446C" w:rsidRPr="00395B7D">
        <w:rPr>
          <w:rStyle w:val="FootnoteReference"/>
          <w:szCs w:val="22"/>
        </w:rPr>
        <w:footnoteReference w:id="33"/>
      </w:r>
    </w:p>
    <w:p w14:paraId="145C1E03" w14:textId="77777777" w:rsidR="00CE6B71" w:rsidRPr="00395B7D" w:rsidRDefault="00B6446C" w:rsidP="00CE6B71">
      <w:pPr>
        <w:pStyle w:val="ParaNum"/>
        <w:rPr>
          <w:szCs w:val="22"/>
        </w:rPr>
      </w:pPr>
      <w:r w:rsidRPr="00395B7D">
        <w:rPr>
          <w:szCs w:val="22"/>
        </w:rPr>
        <w:t>On July 31, 2014</w:t>
      </w:r>
      <w:r w:rsidR="0003375B" w:rsidRPr="00395B7D">
        <w:rPr>
          <w:szCs w:val="22"/>
        </w:rPr>
        <w:t xml:space="preserve">, </w:t>
      </w:r>
      <w:r w:rsidR="00E03B3E" w:rsidRPr="00395B7D">
        <w:rPr>
          <w:szCs w:val="22"/>
        </w:rPr>
        <w:t xml:space="preserve">the </w:t>
      </w:r>
      <w:r w:rsidR="00CA7F16" w:rsidRPr="00395B7D">
        <w:rPr>
          <w:szCs w:val="22"/>
        </w:rPr>
        <w:t xml:space="preserve">Division </w:t>
      </w:r>
      <w:r w:rsidR="00E03B3E" w:rsidRPr="00395B7D">
        <w:rPr>
          <w:szCs w:val="22"/>
        </w:rPr>
        <w:t xml:space="preserve">notified RF that the </w:t>
      </w:r>
      <w:r w:rsidR="0003375B" w:rsidRPr="00395B7D">
        <w:rPr>
          <w:szCs w:val="22"/>
        </w:rPr>
        <w:t xml:space="preserve">additional information provided in </w:t>
      </w:r>
      <w:r w:rsidR="00E03B3E" w:rsidRPr="00395B7D">
        <w:rPr>
          <w:szCs w:val="22"/>
        </w:rPr>
        <w:t xml:space="preserve">the Second Amended Substantial Service Showing was </w:t>
      </w:r>
      <w:r w:rsidR="0003375B" w:rsidRPr="00395B7D">
        <w:rPr>
          <w:szCs w:val="22"/>
        </w:rPr>
        <w:t>still insufficient to conclude that RF Development has demonstrated substantial service.</w:t>
      </w:r>
      <w:r w:rsidR="00E03B3E" w:rsidRPr="00395B7D">
        <w:rPr>
          <w:rStyle w:val="FootnoteReference"/>
          <w:szCs w:val="22"/>
        </w:rPr>
        <w:footnoteReference w:id="34"/>
      </w:r>
      <w:r w:rsidR="00E03B3E" w:rsidRPr="00395B7D">
        <w:rPr>
          <w:szCs w:val="22"/>
        </w:rPr>
        <w:t xml:space="preserve">  </w:t>
      </w:r>
    </w:p>
    <w:p w14:paraId="145C1E04" w14:textId="77777777" w:rsidR="0003375B" w:rsidRPr="00395B7D" w:rsidRDefault="002022F5" w:rsidP="00CE6B71">
      <w:pPr>
        <w:pStyle w:val="ParaNum"/>
        <w:rPr>
          <w:szCs w:val="22"/>
        </w:rPr>
      </w:pPr>
      <w:r w:rsidRPr="00395B7D">
        <w:rPr>
          <w:szCs w:val="22"/>
        </w:rPr>
        <w:t xml:space="preserve">On August </w:t>
      </w:r>
      <w:r w:rsidR="000A5D09" w:rsidRPr="00395B7D">
        <w:rPr>
          <w:szCs w:val="22"/>
        </w:rPr>
        <w:t>20</w:t>
      </w:r>
      <w:r w:rsidRPr="00395B7D">
        <w:rPr>
          <w:szCs w:val="22"/>
        </w:rPr>
        <w:t xml:space="preserve">, 2014, </w:t>
      </w:r>
      <w:r w:rsidR="000A5D09" w:rsidRPr="00395B7D">
        <w:rPr>
          <w:szCs w:val="22"/>
        </w:rPr>
        <w:t xml:space="preserve">RF informed the Division for the first time that it had also constructed a point-to-point link </w:t>
      </w:r>
      <w:r w:rsidR="00771B2A" w:rsidRPr="00395B7D">
        <w:rPr>
          <w:szCs w:val="22"/>
        </w:rPr>
        <w:t>within the service area of Station WPOH612.</w:t>
      </w:r>
      <w:r w:rsidR="00771B2A" w:rsidRPr="00395B7D">
        <w:rPr>
          <w:rStyle w:val="FootnoteReference"/>
          <w:szCs w:val="22"/>
        </w:rPr>
        <w:footnoteReference w:id="35"/>
      </w:r>
      <w:r w:rsidR="00771B2A" w:rsidRPr="00395B7D">
        <w:rPr>
          <w:szCs w:val="22"/>
        </w:rPr>
        <w:t xml:space="preserve">  In response, t</w:t>
      </w:r>
      <w:r w:rsidR="00F142F5" w:rsidRPr="00395B7D">
        <w:rPr>
          <w:szCs w:val="22"/>
        </w:rPr>
        <w:t xml:space="preserve">he </w:t>
      </w:r>
      <w:r w:rsidR="00771B2A" w:rsidRPr="00395B7D">
        <w:rPr>
          <w:szCs w:val="22"/>
        </w:rPr>
        <w:t xml:space="preserve">Division asked for the following information:  </w:t>
      </w:r>
      <w:r w:rsidR="00094D5A" w:rsidRPr="00395B7D">
        <w:rPr>
          <w:szCs w:val="22"/>
        </w:rPr>
        <w:t>(1) t</w:t>
      </w:r>
      <w:r w:rsidR="00F142F5" w:rsidRPr="00395B7D">
        <w:rPr>
          <w:szCs w:val="22"/>
        </w:rPr>
        <w:t>he date the link was constructed</w:t>
      </w:r>
      <w:r w:rsidR="00094D5A" w:rsidRPr="00395B7D">
        <w:rPr>
          <w:szCs w:val="22"/>
        </w:rPr>
        <w:t xml:space="preserve">; (2) the </w:t>
      </w:r>
      <w:r w:rsidR="00F142F5" w:rsidRPr="00395B7D">
        <w:rPr>
          <w:szCs w:val="22"/>
        </w:rPr>
        <w:t>coordinates for both ends of the link</w:t>
      </w:r>
      <w:r w:rsidR="00094D5A" w:rsidRPr="00395B7D">
        <w:rPr>
          <w:szCs w:val="22"/>
        </w:rPr>
        <w:t>; (3) b</w:t>
      </w:r>
      <w:r w:rsidR="00F142F5" w:rsidRPr="00395B7D">
        <w:rPr>
          <w:szCs w:val="22"/>
        </w:rPr>
        <w:t>andwidth of the link</w:t>
      </w:r>
      <w:r w:rsidR="00094D5A" w:rsidRPr="00395B7D">
        <w:rPr>
          <w:szCs w:val="22"/>
        </w:rPr>
        <w:t>; and (4) a</w:t>
      </w:r>
      <w:r w:rsidR="00F142F5" w:rsidRPr="00395B7D">
        <w:rPr>
          <w:szCs w:val="22"/>
        </w:rPr>
        <w:t xml:space="preserve"> detailed explanation of how the link is being used.</w:t>
      </w:r>
      <w:r w:rsidR="00094D5A" w:rsidRPr="00395B7D">
        <w:rPr>
          <w:rStyle w:val="FootnoteReference"/>
          <w:szCs w:val="22"/>
        </w:rPr>
        <w:footnoteReference w:id="36"/>
      </w:r>
      <w:r w:rsidR="00094D5A" w:rsidRPr="00395B7D">
        <w:rPr>
          <w:szCs w:val="22"/>
        </w:rPr>
        <w:t xml:space="preserve">  In addition, the </w:t>
      </w:r>
      <w:r w:rsidR="00771B2A" w:rsidRPr="00395B7D">
        <w:rPr>
          <w:szCs w:val="22"/>
        </w:rPr>
        <w:t xml:space="preserve">Division </w:t>
      </w:r>
      <w:r w:rsidR="00094D5A" w:rsidRPr="00395B7D">
        <w:rPr>
          <w:szCs w:val="22"/>
        </w:rPr>
        <w:t xml:space="preserve">asked RF to identify the customer (if the link is being used by a customer) or to explain in detail </w:t>
      </w:r>
      <w:r w:rsidR="00F142F5" w:rsidRPr="00395B7D">
        <w:rPr>
          <w:szCs w:val="22"/>
        </w:rPr>
        <w:t xml:space="preserve">for what purpose </w:t>
      </w:r>
      <w:r w:rsidR="00094D5A" w:rsidRPr="00395B7D">
        <w:rPr>
          <w:szCs w:val="22"/>
        </w:rPr>
        <w:t xml:space="preserve">RF is </w:t>
      </w:r>
      <w:r w:rsidR="00F142F5" w:rsidRPr="00395B7D">
        <w:rPr>
          <w:szCs w:val="22"/>
        </w:rPr>
        <w:t>using the link</w:t>
      </w:r>
      <w:r w:rsidR="00094D5A" w:rsidRPr="00395B7D">
        <w:rPr>
          <w:szCs w:val="22"/>
        </w:rPr>
        <w:t xml:space="preserve"> (if it </w:t>
      </w:r>
      <w:r w:rsidR="009B5BFB">
        <w:rPr>
          <w:szCs w:val="22"/>
        </w:rPr>
        <w:t>wa</w:t>
      </w:r>
      <w:r w:rsidR="00094D5A" w:rsidRPr="00395B7D">
        <w:rPr>
          <w:szCs w:val="22"/>
        </w:rPr>
        <w:t>s using the link for its own internal purposes).</w:t>
      </w:r>
      <w:r w:rsidR="00094D5A" w:rsidRPr="00395B7D">
        <w:rPr>
          <w:rStyle w:val="FootnoteReference"/>
          <w:szCs w:val="22"/>
        </w:rPr>
        <w:footnoteReference w:id="37"/>
      </w:r>
      <w:r w:rsidR="00094D5A" w:rsidRPr="00395B7D">
        <w:rPr>
          <w:szCs w:val="22"/>
        </w:rPr>
        <w:t xml:space="preserve">  </w:t>
      </w:r>
      <w:r w:rsidR="00671F44" w:rsidRPr="00395B7D">
        <w:rPr>
          <w:szCs w:val="22"/>
        </w:rPr>
        <w:t xml:space="preserve">  </w:t>
      </w:r>
      <w:r w:rsidRPr="00395B7D">
        <w:rPr>
          <w:szCs w:val="22"/>
        </w:rPr>
        <w:t xml:space="preserve">   </w:t>
      </w:r>
      <w:r w:rsidR="0003375B" w:rsidRPr="00395B7D">
        <w:rPr>
          <w:szCs w:val="22"/>
        </w:rPr>
        <w:t xml:space="preserve"> </w:t>
      </w:r>
    </w:p>
    <w:p w14:paraId="145C1E05" w14:textId="77777777" w:rsidR="00881702" w:rsidRPr="00395B7D" w:rsidRDefault="00EF1E9D" w:rsidP="00E46403">
      <w:pPr>
        <w:pStyle w:val="ParaNum"/>
        <w:rPr>
          <w:szCs w:val="22"/>
        </w:rPr>
      </w:pPr>
      <w:r w:rsidRPr="00395B7D">
        <w:rPr>
          <w:szCs w:val="22"/>
        </w:rPr>
        <w:t>On September 19, 2014, RF amended the</w:t>
      </w:r>
      <w:r w:rsidR="00E573C0" w:rsidRPr="00395B7D">
        <w:rPr>
          <w:szCs w:val="22"/>
        </w:rPr>
        <w:t xml:space="preserve"> Construction Notification</w:t>
      </w:r>
      <w:r w:rsidR="00D07A2F" w:rsidRPr="00395B7D">
        <w:rPr>
          <w:szCs w:val="22"/>
        </w:rPr>
        <w:t xml:space="preserve"> to state </w:t>
      </w:r>
      <w:r w:rsidR="00720A0F" w:rsidRPr="00395B7D">
        <w:rPr>
          <w:szCs w:val="22"/>
        </w:rPr>
        <w:t xml:space="preserve">that it also has met the Commission’s </w:t>
      </w:r>
      <w:r w:rsidR="00767B5F" w:rsidRPr="00395B7D">
        <w:rPr>
          <w:szCs w:val="22"/>
        </w:rPr>
        <w:t>safe harbor</w:t>
      </w:r>
      <w:r w:rsidR="00720A0F" w:rsidRPr="00395B7D">
        <w:rPr>
          <w:szCs w:val="22"/>
        </w:rPr>
        <w:t xml:space="preserve"> for the provision of substantial service for fixed, point-to-point services (</w:t>
      </w:r>
      <w:r w:rsidR="007F1364" w:rsidRPr="00395B7D">
        <w:rPr>
          <w:i/>
          <w:szCs w:val="22"/>
        </w:rPr>
        <w:t>i.e.</w:t>
      </w:r>
      <w:r w:rsidR="00720A0F" w:rsidRPr="00395B7D">
        <w:rPr>
          <w:i/>
          <w:szCs w:val="22"/>
        </w:rPr>
        <w:t xml:space="preserve">, </w:t>
      </w:r>
      <w:r w:rsidR="00720A0F" w:rsidRPr="00395B7D">
        <w:rPr>
          <w:szCs w:val="22"/>
        </w:rPr>
        <w:t>the construction of four permanent links per one million people in its licensed service area) because, during May of 2008, it constructed one permanent link for LMDS Station WPOH612 to provide point-to-</w:t>
      </w:r>
      <w:r w:rsidR="00771B2A" w:rsidRPr="00395B7D">
        <w:rPr>
          <w:szCs w:val="22"/>
        </w:rPr>
        <w:t>point back</w:t>
      </w:r>
      <w:r w:rsidR="00720A0F" w:rsidRPr="00395B7D">
        <w:rPr>
          <w:szCs w:val="22"/>
        </w:rPr>
        <w:t>haul service in BTA398.</w:t>
      </w:r>
      <w:r w:rsidR="00720A0F" w:rsidRPr="00395B7D">
        <w:rPr>
          <w:rStyle w:val="FootnoteReference"/>
          <w:szCs w:val="22"/>
        </w:rPr>
        <w:footnoteReference w:id="38"/>
      </w:r>
      <w:r w:rsidR="001B0DE1" w:rsidRPr="00395B7D">
        <w:rPr>
          <w:szCs w:val="22"/>
        </w:rPr>
        <w:t xml:space="preserve">  RF </w:t>
      </w:r>
      <w:r w:rsidR="002022F5" w:rsidRPr="00395B7D">
        <w:rPr>
          <w:szCs w:val="22"/>
        </w:rPr>
        <w:t>contend</w:t>
      </w:r>
      <w:r w:rsidR="009B5BFB">
        <w:rPr>
          <w:szCs w:val="22"/>
        </w:rPr>
        <w:t>ed</w:t>
      </w:r>
      <w:r w:rsidR="002022F5" w:rsidRPr="00395B7D">
        <w:rPr>
          <w:szCs w:val="22"/>
        </w:rPr>
        <w:t xml:space="preserve"> that it </w:t>
      </w:r>
      <w:r w:rsidR="001B0DE1" w:rsidRPr="00395B7D">
        <w:rPr>
          <w:szCs w:val="22"/>
        </w:rPr>
        <w:t>established the link primarily for its own purposes</w:t>
      </w:r>
      <w:r w:rsidR="002022F5" w:rsidRPr="00395B7D">
        <w:rPr>
          <w:szCs w:val="22"/>
        </w:rPr>
        <w:t>.</w:t>
      </w:r>
      <w:r w:rsidR="002022F5" w:rsidRPr="00395B7D">
        <w:rPr>
          <w:rStyle w:val="FootnoteReference"/>
          <w:szCs w:val="22"/>
        </w:rPr>
        <w:footnoteReference w:id="39"/>
      </w:r>
      <w:r w:rsidR="002022F5" w:rsidRPr="00395B7D">
        <w:rPr>
          <w:szCs w:val="22"/>
        </w:rPr>
        <w:t xml:space="preserve">  </w:t>
      </w:r>
      <w:r w:rsidR="001B0DE1" w:rsidRPr="00395B7D">
        <w:rPr>
          <w:szCs w:val="22"/>
        </w:rPr>
        <w:t xml:space="preserve">  </w:t>
      </w:r>
    </w:p>
    <w:p w14:paraId="145C1E06" w14:textId="77777777" w:rsidR="0067110A" w:rsidRPr="00395B7D" w:rsidRDefault="0067110A" w:rsidP="00E46403">
      <w:pPr>
        <w:pStyle w:val="ParaNum"/>
        <w:rPr>
          <w:szCs w:val="22"/>
        </w:rPr>
      </w:pPr>
      <w:r w:rsidRPr="00395B7D">
        <w:rPr>
          <w:szCs w:val="22"/>
        </w:rPr>
        <w:t xml:space="preserve">On November 19, 2014, the </w:t>
      </w:r>
      <w:r w:rsidR="00771B2A" w:rsidRPr="00395B7D">
        <w:rPr>
          <w:szCs w:val="22"/>
        </w:rPr>
        <w:t>Division asked RF to provide a detailed explanation of how RF is currently using the link and emphasized that the explanation should include the nature of the traffic being carried over the link.</w:t>
      </w:r>
      <w:r w:rsidR="00771B2A" w:rsidRPr="00395B7D">
        <w:rPr>
          <w:rStyle w:val="FootnoteReference"/>
          <w:szCs w:val="22"/>
        </w:rPr>
        <w:footnoteReference w:id="40"/>
      </w:r>
      <w:r w:rsidR="00771B2A" w:rsidRPr="00395B7D">
        <w:rPr>
          <w:szCs w:val="22"/>
        </w:rPr>
        <w:t xml:space="preserve">  </w:t>
      </w:r>
      <w:r w:rsidRPr="00395B7D">
        <w:rPr>
          <w:szCs w:val="22"/>
        </w:rPr>
        <w:t xml:space="preserve">The </w:t>
      </w:r>
      <w:r w:rsidR="00771B2A" w:rsidRPr="00395B7D">
        <w:rPr>
          <w:szCs w:val="22"/>
        </w:rPr>
        <w:t xml:space="preserve">Division </w:t>
      </w:r>
      <w:r w:rsidRPr="00395B7D">
        <w:rPr>
          <w:szCs w:val="22"/>
        </w:rPr>
        <w:t>noted that we had specifically asked RF to explain in detail for what purpose it is using the link if it is using the link for its own internal purposes.</w:t>
      </w:r>
      <w:r w:rsidRPr="00395B7D">
        <w:rPr>
          <w:rStyle w:val="FootnoteReference"/>
          <w:szCs w:val="22"/>
        </w:rPr>
        <w:footnoteReference w:id="41"/>
      </w:r>
      <w:r w:rsidRPr="00395B7D">
        <w:rPr>
          <w:szCs w:val="22"/>
        </w:rPr>
        <w:t xml:space="preserve">  The </w:t>
      </w:r>
      <w:r w:rsidR="00771B2A" w:rsidRPr="00395B7D">
        <w:rPr>
          <w:szCs w:val="22"/>
        </w:rPr>
        <w:t xml:space="preserve">Division </w:t>
      </w:r>
      <w:r w:rsidRPr="00395B7D">
        <w:rPr>
          <w:szCs w:val="22"/>
        </w:rPr>
        <w:t>found RF’s response stating that the li</w:t>
      </w:r>
      <w:r w:rsidR="00CF2672" w:rsidRPr="00395B7D">
        <w:rPr>
          <w:szCs w:val="22"/>
        </w:rPr>
        <w:t xml:space="preserve">nk is primarily being used for its </w:t>
      </w:r>
      <w:r w:rsidRPr="00395B7D">
        <w:rPr>
          <w:szCs w:val="22"/>
        </w:rPr>
        <w:t>own purposes to be insufficient because the response does not explain the nature of that use.</w:t>
      </w:r>
      <w:r w:rsidRPr="00395B7D">
        <w:rPr>
          <w:rStyle w:val="FootnoteReference"/>
          <w:szCs w:val="22"/>
        </w:rPr>
        <w:footnoteReference w:id="42"/>
      </w:r>
      <w:r w:rsidRPr="00395B7D">
        <w:rPr>
          <w:szCs w:val="22"/>
        </w:rPr>
        <w:t xml:space="preserve">  </w:t>
      </w:r>
    </w:p>
    <w:p w14:paraId="145C1E07" w14:textId="77777777" w:rsidR="00B71BCA" w:rsidRPr="00395B7D" w:rsidRDefault="00CF2672" w:rsidP="00E46403">
      <w:pPr>
        <w:pStyle w:val="ParaNum"/>
        <w:rPr>
          <w:szCs w:val="22"/>
        </w:rPr>
      </w:pPr>
      <w:r w:rsidRPr="00395B7D">
        <w:rPr>
          <w:szCs w:val="22"/>
        </w:rPr>
        <w:t>In response, RF amended the Application on January 6. 2015.</w:t>
      </w:r>
      <w:r w:rsidRPr="00395B7D">
        <w:rPr>
          <w:rStyle w:val="FootnoteReference"/>
          <w:szCs w:val="22"/>
        </w:rPr>
        <w:footnoteReference w:id="43"/>
      </w:r>
      <w:r w:rsidRPr="00395B7D">
        <w:rPr>
          <w:szCs w:val="22"/>
        </w:rPr>
        <w:t xml:space="preserve">  RF clarifie</w:t>
      </w:r>
      <w:r w:rsidR="009B5BFB">
        <w:rPr>
          <w:szCs w:val="22"/>
        </w:rPr>
        <w:t>d</w:t>
      </w:r>
      <w:r w:rsidRPr="00395B7D">
        <w:rPr>
          <w:szCs w:val="22"/>
        </w:rPr>
        <w:t xml:space="preserve"> its statement that the link is primarily used for its own purposes.</w:t>
      </w:r>
      <w:r w:rsidRPr="00395B7D">
        <w:rPr>
          <w:rStyle w:val="FootnoteReference"/>
          <w:szCs w:val="22"/>
        </w:rPr>
        <w:footnoteReference w:id="44"/>
      </w:r>
      <w:r w:rsidRPr="00395B7D">
        <w:rPr>
          <w:szCs w:val="22"/>
        </w:rPr>
        <w:t xml:space="preserve">  RF explains that this statement was not meant to suggest that the link was being used for its own</w:t>
      </w:r>
      <w:r w:rsidR="006461E1" w:rsidRPr="00395B7D">
        <w:rPr>
          <w:szCs w:val="22"/>
        </w:rPr>
        <w:t xml:space="preserve"> corporate communications needs but, rather, to underscore that the </w:t>
      </w:r>
      <w:r w:rsidRPr="00395B7D">
        <w:rPr>
          <w:szCs w:val="22"/>
        </w:rPr>
        <w:t xml:space="preserve">link </w:t>
      </w:r>
      <w:r w:rsidR="006461E1" w:rsidRPr="00395B7D">
        <w:rPr>
          <w:szCs w:val="22"/>
        </w:rPr>
        <w:t xml:space="preserve">was being used </w:t>
      </w:r>
      <w:r w:rsidRPr="00395B7D">
        <w:rPr>
          <w:szCs w:val="22"/>
        </w:rPr>
        <w:t>to pursue commercial business opportunities for the company.</w:t>
      </w:r>
      <w:r w:rsidR="006461E1" w:rsidRPr="00395B7D">
        <w:rPr>
          <w:rStyle w:val="FootnoteReference"/>
          <w:szCs w:val="22"/>
        </w:rPr>
        <w:footnoteReference w:id="45"/>
      </w:r>
      <w:r w:rsidRPr="00395B7D">
        <w:rPr>
          <w:szCs w:val="22"/>
        </w:rPr>
        <w:t xml:space="preserve"> </w:t>
      </w:r>
      <w:r w:rsidR="006461E1" w:rsidRPr="00395B7D">
        <w:rPr>
          <w:szCs w:val="22"/>
        </w:rPr>
        <w:t xml:space="preserve"> </w:t>
      </w:r>
      <w:r w:rsidR="000F3C21" w:rsidRPr="00395B7D">
        <w:rPr>
          <w:szCs w:val="22"/>
        </w:rPr>
        <w:t>More specifically, RF notes that “[t]</w:t>
      </w:r>
      <w:r w:rsidRPr="00395B7D">
        <w:rPr>
          <w:szCs w:val="22"/>
        </w:rPr>
        <w:t xml:space="preserve">he link was established for the purpose of demonstrating to prospective business partners, carriers and site operators the ability of RF </w:t>
      </w:r>
      <w:r w:rsidR="000F3C21" w:rsidRPr="00395B7D">
        <w:rPr>
          <w:szCs w:val="22"/>
        </w:rPr>
        <w:t xml:space="preserve">. . . </w:t>
      </w:r>
      <w:r w:rsidRPr="00395B7D">
        <w:rPr>
          <w:szCs w:val="22"/>
        </w:rPr>
        <w:t>to provide high speed wireless connectivity to the proposed tower site.</w:t>
      </w:r>
      <w:r w:rsidR="000F3C21" w:rsidRPr="00395B7D">
        <w:rPr>
          <w:rStyle w:val="FootnoteReference"/>
          <w:szCs w:val="22"/>
        </w:rPr>
        <w:footnoteReference w:id="46"/>
      </w:r>
      <w:r w:rsidR="006109ED" w:rsidRPr="00395B7D">
        <w:rPr>
          <w:szCs w:val="22"/>
        </w:rPr>
        <w:t xml:space="preserve">  In addition, RF provides an explanation of the nature of the link traffic.</w:t>
      </w:r>
      <w:r w:rsidR="006109ED" w:rsidRPr="00395B7D">
        <w:rPr>
          <w:rStyle w:val="FootnoteReference"/>
          <w:szCs w:val="22"/>
        </w:rPr>
        <w:footnoteReference w:id="47"/>
      </w:r>
      <w:r w:rsidR="006109ED" w:rsidRPr="00395B7D">
        <w:rPr>
          <w:szCs w:val="22"/>
        </w:rPr>
        <w:t xml:space="preserve">  </w:t>
      </w:r>
      <w:r w:rsidR="002D607A" w:rsidRPr="00395B7D">
        <w:rPr>
          <w:szCs w:val="22"/>
        </w:rPr>
        <w:t>R</w:t>
      </w:r>
      <w:r w:rsidR="00061925" w:rsidRPr="00395B7D">
        <w:rPr>
          <w:szCs w:val="22"/>
        </w:rPr>
        <w:t>F is currently transmitting telemetry and control information over the point-to-point link, which is used to monitor the status of the link, as well as maintaining the link in order to demonstrate high speed connectivity to the site.</w:t>
      </w:r>
      <w:r w:rsidR="002D607A" w:rsidRPr="00395B7D">
        <w:rPr>
          <w:rStyle w:val="FootnoteReference"/>
          <w:szCs w:val="22"/>
        </w:rPr>
        <w:footnoteReference w:id="48"/>
      </w:r>
      <w:r w:rsidR="00061925" w:rsidRPr="00395B7D">
        <w:rPr>
          <w:szCs w:val="22"/>
        </w:rPr>
        <w:t xml:space="preserve"> </w:t>
      </w:r>
    </w:p>
    <w:p w14:paraId="145C1E08" w14:textId="77777777" w:rsidR="00B71BCA" w:rsidRPr="00395B7D" w:rsidRDefault="00B71BCA" w:rsidP="00B71BCA">
      <w:pPr>
        <w:pStyle w:val="ParaNum"/>
        <w:rPr>
          <w:szCs w:val="22"/>
        </w:rPr>
      </w:pPr>
      <w:r w:rsidRPr="00395B7D">
        <w:rPr>
          <w:szCs w:val="22"/>
        </w:rPr>
        <w:t>On April 1, 2015, the Division denied RF’s demonstration of substantial service for Station WPOH612.</w:t>
      </w:r>
      <w:r w:rsidR="003D66B3" w:rsidRPr="00395B7D">
        <w:rPr>
          <w:rStyle w:val="FootnoteReference"/>
          <w:szCs w:val="22"/>
        </w:rPr>
        <w:footnoteReference w:id="49"/>
      </w:r>
      <w:r w:rsidRPr="00395B7D">
        <w:rPr>
          <w:szCs w:val="22"/>
        </w:rPr>
        <w:t xml:space="preserve">  First, the Division found that RF failed to demonstrate that it meets the safe harbor for point-to-multipoint services.</w:t>
      </w:r>
      <w:r w:rsidR="00216DA9" w:rsidRPr="00395B7D">
        <w:rPr>
          <w:rStyle w:val="FootnoteReference"/>
          <w:szCs w:val="22"/>
        </w:rPr>
        <w:footnoteReference w:id="50"/>
      </w:r>
      <w:r w:rsidRPr="00395B7D">
        <w:rPr>
          <w:szCs w:val="22"/>
        </w:rPr>
        <w:t xml:space="preserve">  The Commission </w:t>
      </w:r>
      <w:r w:rsidR="00216DA9" w:rsidRPr="00395B7D">
        <w:rPr>
          <w:szCs w:val="22"/>
        </w:rPr>
        <w:t xml:space="preserve">has </w:t>
      </w:r>
      <w:r w:rsidRPr="00395B7D">
        <w:rPr>
          <w:szCs w:val="22"/>
        </w:rPr>
        <w:t>explained that “for an LMDS licensee that chooses to offer point-to-multipoint services, a demonstration of coverage to 20 percent of the population of its licensed service area at the 10-year mark would constitute substantial service.”</w:t>
      </w:r>
      <w:r w:rsidRPr="00395B7D">
        <w:rPr>
          <w:rStyle w:val="FootnoteReference"/>
          <w:szCs w:val="22"/>
        </w:rPr>
        <w:footnoteReference w:id="51"/>
      </w:r>
      <w:r w:rsidRPr="00395B7D">
        <w:rPr>
          <w:szCs w:val="22"/>
        </w:rPr>
        <w:t xml:space="preserve">  Rather than </w:t>
      </w:r>
      <w:r w:rsidR="00216DA9" w:rsidRPr="00395B7D">
        <w:rPr>
          <w:szCs w:val="22"/>
        </w:rPr>
        <w:t>b</w:t>
      </w:r>
      <w:r w:rsidRPr="00395B7D">
        <w:rPr>
          <w:szCs w:val="22"/>
        </w:rPr>
        <w:t xml:space="preserve">ase </w:t>
      </w:r>
      <w:r w:rsidR="00216DA9" w:rsidRPr="00395B7D">
        <w:rPr>
          <w:szCs w:val="22"/>
        </w:rPr>
        <w:t xml:space="preserve">its population served estimates </w:t>
      </w:r>
      <w:r w:rsidRPr="00395B7D">
        <w:rPr>
          <w:szCs w:val="22"/>
        </w:rPr>
        <w:t>on the U.S. Census, RF asked the Division to consider tourists and “weekend populations” in making its determination.</w:t>
      </w:r>
      <w:r w:rsidRPr="00395B7D">
        <w:rPr>
          <w:rStyle w:val="FootnoteReference"/>
          <w:szCs w:val="22"/>
        </w:rPr>
        <w:footnoteReference w:id="52"/>
      </w:r>
      <w:r w:rsidRPr="00395B7D">
        <w:rPr>
          <w:szCs w:val="22"/>
        </w:rPr>
        <w:t xml:space="preserve">  The Division declined to adopt an amorphous definition of population that would vary from weekend to weekend, allow licensees to count residents of the United States redundantly in multiple areas, and arguably include foreign tourists as well.</w:t>
      </w:r>
      <w:r w:rsidRPr="00395B7D">
        <w:rPr>
          <w:rStyle w:val="FootnoteReference"/>
          <w:szCs w:val="22"/>
        </w:rPr>
        <w:footnoteReference w:id="53"/>
      </w:r>
      <w:r w:rsidRPr="00395B7D">
        <w:rPr>
          <w:szCs w:val="22"/>
        </w:rPr>
        <w:t xml:space="preserve">  Because RF fail</w:t>
      </w:r>
      <w:r w:rsidR="00216DA9" w:rsidRPr="00395B7D">
        <w:rPr>
          <w:szCs w:val="22"/>
        </w:rPr>
        <w:t>ed</w:t>
      </w:r>
      <w:r w:rsidRPr="00395B7D">
        <w:rPr>
          <w:szCs w:val="22"/>
        </w:rPr>
        <w:t xml:space="preserve"> to demonstrate that it provides coverage to 20 percent of the population of the licensed service area, </w:t>
      </w:r>
      <w:r w:rsidR="0024088F" w:rsidRPr="00395B7D">
        <w:rPr>
          <w:szCs w:val="22"/>
        </w:rPr>
        <w:t xml:space="preserve">the Division found </w:t>
      </w:r>
      <w:r w:rsidR="004969EB">
        <w:rPr>
          <w:szCs w:val="22"/>
        </w:rPr>
        <w:t>that it failed</w:t>
      </w:r>
      <w:r w:rsidRPr="00395B7D">
        <w:rPr>
          <w:szCs w:val="22"/>
        </w:rPr>
        <w:t xml:space="preserve"> to meet the safe harbor for construction of point-to-multipoint services for LMDS Station WPOH612.</w:t>
      </w:r>
      <w:r w:rsidR="00216DA9" w:rsidRPr="00395B7D">
        <w:rPr>
          <w:rStyle w:val="FootnoteReference"/>
          <w:szCs w:val="22"/>
        </w:rPr>
        <w:footnoteReference w:id="54"/>
      </w:r>
    </w:p>
    <w:p w14:paraId="145C1E09" w14:textId="77777777" w:rsidR="0024088F" w:rsidRPr="00395B7D" w:rsidRDefault="00B71BCA" w:rsidP="00B71BCA">
      <w:pPr>
        <w:pStyle w:val="ParaNum"/>
        <w:rPr>
          <w:szCs w:val="22"/>
        </w:rPr>
      </w:pPr>
      <w:r w:rsidRPr="00395B7D">
        <w:rPr>
          <w:szCs w:val="22"/>
        </w:rPr>
        <w:t xml:space="preserve">In addition, </w:t>
      </w:r>
      <w:r w:rsidR="0024088F" w:rsidRPr="00395B7D">
        <w:rPr>
          <w:szCs w:val="22"/>
        </w:rPr>
        <w:t xml:space="preserve">the Division found </w:t>
      </w:r>
      <w:r w:rsidRPr="00395B7D">
        <w:rPr>
          <w:szCs w:val="22"/>
        </w:rPr>
        <w:t>that the point-to-point link RF constructed is not relevant to its substantial service showing because the link wa</w:t>
      </w:r>
      <w:r w:rsidR="0024088F" w:rsidRPr="00395B7D">
        <w:rPr>
          <w:szCs w:val="22"/>
        </w:rPr>
        <w:t>s not used to provide service.</w:t>
      </w:r>
      <w:r w:rsidR="0024088F" w:rsidRPr="00395B7D">
        <w:rPr>
          <w:rStyle w:val="FootnoteReference"/>
          <w:szCs w:val="22"/>
        </w:rPr>
        <w:footnoteReference w:id="55"/>
      </w:r>
      <w:r w:rsidR="0024088F" w:rsidRPr="00395B7D">
        <w:rPr>
          <w:szCs w:val="22"/>
        </w:rPr>
        <w:t xml:space="preserve">  </w:t>
      </w:r>
      <w:r w:rsidRPr="00395B7D">
        <w:rPr>
          <w:szCs w:val="22"/>
        </w:rPr>
        <w:t>In 2011, the Commission affirmed the Bureau’s rejection of substantial service showings “where there is no actual service being provided to the public.”</w:t>
      </w:r>
      <w:r w:rsidRPr="00395B7D">
        <w:rPr>
          <w:rStyle w:val="FootnoteReference"/>
          <w:szCs w:val="22"/>
        </w:rPr>
        <w:footnoteReference w:id="56"/>
      </w:r>
      <w:r w:rsidRPr="00395B7D">
        <w:rPr>
          <w:szCs w:val="22"/>
        </w:rPr>
        <w:t xml:space="preserve">  The Commission has noted that the underlying purpose of the substantial service requirement is “providing ‘a clear and expeditious accounting of spectrum use by licensees to ensure that service is indeed being provided to the public.’”</w:t>
      </w:r>
      <w:r w:rsidRPr="00395B7D">
        <w:rPr>
          <w:rStyle w:val="FootnoteReference"/>
          <w:szCs w:val="22"/>
        </w:rPr>
        <w:footnoteReference w:id="57"/>
      </w:r>
      <w:r w:rsidRPr="00395B7D">
        <w:rPr>
          <w:szCs w:val="22"/>
        </w:rPr>
        <w:t xml:space="preserve">  In other services, both the Commission and the Bureau have held that there is no service when facilities were constructed and operating but there was no use of the facilities.</w:t>
      </w:r>
      <w:r w:rsidRPr="00395B7D">
        <w:rPr>
          <w:rStyle w:val="FootnoteReference"/>
          <w:szCs w:val="22"/>
        </w:rPr>
        <w:footnoteReference w:id="58"/>
      </w:r>
      <w:r w:rsidRPr="00395B7D">
        <w:rPr>
          <w:szCs w:val="22"/>
        </w:rPr>
        <w:t xml:space="preserve">  </w:t>
      </w:r>
      <w:r w:rsidR="0024088F" w:rsidRPr="00395B7D">
        <w:rPr>
          <w:szCs w:val="22"/>
        </w:rPr>
        <w:t>The Division noted</w:t>
      </w:r>
      <w:r w:rsidR="008473D5" w:rsidRPr="00395B7D">
        <w:rPr>
          <w:szCs w:val="22"/>
        </w:rPr>
        <w:t>:</w:t>
      </w:r>
      <w:r w:rsidR="0024088F" w:rsidRPr="00395B7D">
        <w:rPr>
          <w:szCs w:val="22"/>
        </w:rPr>
        <w:t xml:space="preserve"> </w:t>
      </w:r>
    </w:p>
    <w:p w14:paraId="145C1E0A" w14:textId="77777777" w:rsidR="0024088F" w:rsidRPr="00395B7D" w:rsidRDefault="0024088F" w:rsidP="009A21B0">
      <w:pPr>
        <w:pStyle w:val="ParaNum"/>
        <w:numPr>
          <w:ilvl w:val="0"/>
          <w:numId w:val="0"/>
        </w:numPr>
        <w:ind w:left="720" w:right="720"/>
        <w:rPr>
          <w:szCs w:val="22"/>
        </w:rPr>
      </w:pPr>
      <w:r w:rsidRPr="00395B7D">
        <w:rPr>
          <w:szCs w:val="22"/>
        </w:rPr>
        <w:t>I</w:t>
      </w:r>
      <w:r w:rsidR="00B71BCA" w:rsidRPr="00395B7D">
        <w:rPr>
          <w:szCs w:val="22"/>
        </w:rPr>
        <w:t>n this instance, the signals transmitted for testing or marketing purposes were not used as part of any communications system.  The constructed link was shown to potential customers or used as the basis for various consultations or discussions to provide prospective service, but there was no communications use of the data transmitted over the link.  There is no actual customer or RF employee who used the links as part of any communications service.</w:t>
      </w:r>
      <w:r w:rsidRPr="00395B7D">
        <w:rPr>
          <w:rStyle w:val="FootnoteReference"/>
          <w:szCs w:val="22"/>
        </w:rPr>
        <w:footnoteReference w:id="59"/>
      </w:r>
      <w:r w:rsidR="00B71BCA" w:rsidRPr="00395B7D">
        <w:rPr>
          <w:szCs w:val="22"/>
        </w:rPr>
        <w:t xml:space="preserve">  </w:t>
      </w:r>
    </w:p>
    <w:p w14:paraId="145C1E0B" w14:textId="77777777" w:rsidR="00B71BCA" w:rsidRPr="00395B7D" w:rsidRDefault="0024088F" w:rsidP="00765321">
      <w:pPr>
        <w:pStyle w:val="ParaNum"/>
        <w:numPr>
          <w:ilvl w:val="0"/>
          <w:numId w:val="0"/>
        </w:numPr>
        <w:rPr>
          <w:szCs w:val="22"/>
        </w:rPr>
      </w:pPr>
      <w:r w:rsidRPr="00395B7D">
        <w:rPr>
          <w:szCs w:val="22"/>
        </w:rPr>
        <w:t>The Division therefore found that, i</w:t>
      </w:r>
      <w:r w:rsidR="00B71BCA" w:rsidRPr="00395B7D">
        <w:rPr>
          <w:szCs w:val="22"/>
        </w:rPr>
        <w:t>n the absence of service being provided to the public, RF ha</w:t>
      </w:r>
      <w:r w:rsidR="00765321" w:rsidRPr="00395B7D">
        <w:rPr>
          <w:szCs w:val="22"/>
        </w:rPr>
        <w:t>d</w:t>
      </w:r>
      <w:r w:rsidR="00B71BCA" w:rsidRPr="00395B7D">
        <w:rPr>
          <w:szCs w:val="22"/>
        </w:rPr>
        <w:t xml:space="preserve"> </w:t>
      </w:r>
      <w:r w:rsidRPr="00395B7D">
        <w:rPr>
          <w:szCs w:val="22"/>
        </w:rPr>
        <w:t xml:space="preserve">failed to </w:t>
      </w:r>
      <w:r w:rsidR="00B71BCA" w:rsidRPr="00395B7D">
        <w:rPr>
          <w:szCs w:val="22"/>
        </w:rPr>
        <w:t>demonstrate substantial service by constructing one point-to-point link for Station WPOH612.</w:t>
      </w:r>
      <w:r w:rsidR="00B71BCA" w:rsidRPr="00395B7D">
        <w:rPr>
          <w:rStyle w:val="FootnoteReference"/>
          <w:szCs w:val="22"/>
        </w:rPr>
        <w:footnoteReference w:id="60"/>
      </w:r>
      <w:r w:rsidR="00B71BCA" w:rsidRPr="00395B7D">
        <w:rPr>
          <w:szCs w:val="22"/>
        </w:rPr>
        <w:t xml:space="preserve">            </w:t>
      </w:r>
    </w:p>
    <w:p w14:paraId="145C1E0C" w14:textId="77777777" w:rsidR="00154901" w:rsidRPr="00395B7D" w:rsidRDefault="0024088F" w:rsidP="00B71BCA">
      <w:pPr>
        <w:pStyle w:val="ParaNum"/>
        <w:rPr>
          <w:szCs w:val="22"/>
        </w:rPr>
      </w:pPr>
      <w:r w:rsidRPr="00395B7D">
        <w:rPr>
          <w:szCs w:val="22"/>
        </w:rPr>
        <w:t>The Division noted that, al</w:t>
      </w:r>
      <w:r w:rsidR="00B71BCA" w:rsidRPr="00395B7D">
        <w:rPr>
          <w:szCs w:val="22"/>
        </w:rPr>
        <w:t>though the substantial service requirement may be met in other ways and we review licensees’ showings on a case-by-case basis,</w:t>
      </w:r>
      <w:r w:rsidR="00B71BCA" w:rsidRPr="00395B7D">
        <w:rPr>
          <w:rStyle w:val="FootnoteReference"/>
          <w:szCs w:val="22"/>
        </w:rPr>
        <w:footnoteReference w:id="61"/>
      </w:r>
      <w:r w:rsidR="00B71BCA" w:rsidRPr="00395B7D">
        <w:rPr>
          <w:szCs w:val="22"/>
        </w:rPr>
        <w:t xml:space="preserve"> </w:t>
      </w:r>
      <w:r w:rsidRPr="00395B7D">
        <w:rPr>
          <w:szCs w:val="22"/>
        </w:rPr>
        <w:t xml:space="preserve">it found </w:t>
      </w:r>
      <w:r w:rsidR="00B71BCA" w:rsidRPr="00395B7D">
        <w:rPr>
          <w:szCs w:val="22"/>
        </w:rPr>
        <w:t>that RF has failed to demonstrate that it is providing substantial service.</w:t>
      </w:r>
      <w:r w:rsidR="00B71BCA" w:rsidRPr="00395B7D">
        <w:rPr>
          <w:rStyle w:val="FootnoteReference"/>
          <w:szCs w:val="22"/>
        </w:rPr>
        <w:footnoteReference w:id="62"/>
      </w:r>
      <w:r w:rsidR="00B71BCA" w:rsidRPr="00395B7D">
        <w:rPr>
          <w:szCs w:val="22"/>
        </w:rPr>
        <w:t xml:space="preserve">  </w:t>
      </w:r>
      <w:r w:rsidR="00A51347" w:rsidRPr="00395B7D">
        <w:rPr>
          <w:szCs w:val="22"/>
        </w:rPr>
        <w:t xml:space="preserve">Specifically, the Division found that </w:t>
      </w:r>
      <w:r w:rsidR="00B71BCA" w:rsidRPr="00395B7D">
        <w:rPr>
          <w:szCs w:val="22"/>
        </w:rPr>
        <w:t>RF fails to demonstrate that it provides service to a niche market or to populations outside of areas served by other licensees.</w:t>
      </w:r>
      <w:r w:rsidR="00A51347" w:rsidRPr="00395B7D">
        <w:rPr>
          <w:rStyle w:val="FootnoteReference"/>
          <w:szCs w:val="22"/>
        </w:rPr>
        <w:footnoteReference w:id="63"/>
      </w:r>
      <w:r w:rsidR="00B71BCA" w:rsidRPr="00395B7D">
        <w:rPr>
          <w:szCs w:val="22"/>
        </w:rPr>
        <w:t xml:space="preserve">  </w:t>
      </w:r>
      <w:r w:rsidR="00A51347" w:rsidRPr="00395B7D">
        <w:rPr>
          <w:szCs w:val="22"/>
        </w:rPr>
        <w:t xml:space="preserve">The Division found that </w:t>
      </w:r>
      <w:r w:rsidR="00B71BCA" w:rsidRPr="00395B7D">
        <w:rPr>
          <w:szCs w:val="22"/>
        </w:rPr>
        <w:t xml:space="preserve">RF has </w:t>
      </w:r>
      <w:r w:rsidR="00A51347" w:rsidRPr="00395B7D">
        <w:rPr>
          <w:szCs w:val="22"/>
        </w:rPr>
        <w:t xml:space="preserve">failed to </w:t>
      </w:r>
      <w:r w:rsidR="00B71BCA" w:rsidRPr="00395B7D">
        <w:rPr>
          <w:szCs w:val="22"/>
        </w:rPr>
        <w:t>demonstrate that Ocean City is not a market unserved by other carriers.</w:t>
      </w:r>
      <w:r w:rsidR="00A51347" w:rsidRPr="00395B7D">
        <w:rPr>
          <w:rStyle w:val="FootnoteReference"/>
          <w:szCs w:val="22"/>
        </w:rPr>
        <w:footnoteReference w:id="64"/>
      </w:r>
      <w:r w:rsidR="00B71BCA" w:rsidRPr="00395B7D">
        <w:rPr>
          <w:szCs w:val="22"/>
        </w:rPr>
        <w:t xml:space="preserve">  </w:t>
      </w:r>
      <w:r w:rsidR="0035085B" w:rsidRPr="00395B7D">
        <w:rPr>
          <w:szCs w:val="22"/>
        </w:rPr>
        <w:t xml:space="preserve">The Division therefore found that none </w:t>
      </w:r>
      <w:r w:rsidR="00B71BCA" w:rsidRPr="00395B7D">
        <w:rPr>
          <w:szCs w:val="22"/>
        </w:rPr>
        <w:t>of these factors supports a conclusion that Station WPOH612 is providing substantial service.</w:t>
      </w:r>
      <w:r w:rsidR="0035085B" w:rsidRPr="00395B7D">
        <w:rPr>
          <w:rStyle w:val="FootnoteReference"/>
          <w:szCs w:val="22"/>
        </w:rPr>
        <w:footnoteReference w:id="65"/>
      </w:r>
    </w:p>
    <w:p w14:paraId="145C1E0D" w14:textId="77777777" w:rsidR="00E56718" w:rsidRPr="00395B7D" w:rsidRDefault="00154901" w:rsidP="00B71BCA">
      <w:pPr>
        <w:pStyle w:val="ParaNum"/>
        <w:rPr>
          <w:szCs w:val="22"/>
        </w:rPr>
      </w:pPr>
      <w:r w:rsidRPr="00395B7D">
        <w:rPr>
          <w:szCs w:val="22"/>
        </w:rPr>
        <w:t xml:space="preserve">RF filed a petition seeking reconsideration of the Division’s action on April 22, 2015. </w:t>
      </w:r>
      <w:r w:rsidR="006109ED" w:rsidRPr="00395B7D">
        <w:rPr>
          <w:szCs w:val="22"/>
        </w:rPr>
        <w:t xml:space="preserve"> </w:t>
      </w:r>
      <w:r w:rsidRPr="00395B7D">
        <w:rPr>
          <w:szCs w:val="22"/>
        </w:rPr>
        <w:t xml:space="preserve">RF disagrees with the Division’s </w:t>
      </w:r>
      <w:r w:rsidR="008431C2" w:rsidRPr="00395B7D">
        <w:rPr>
          <w:szCs w:val="22"/>
        </w:rPr>
        <w:t xml:space="preserve">definition of </w:t>
      </w:r>
      <w:r w:rsidRPr="00395B7D">
        <w:rPr>
          <w:szCs w:val="22"/>
        </w:rPr>
        <w:t>population</w:t>
      </w:r>
      <w:r w:rsidR="008431C2" w:rsidRPr="00395B7D">
        <w:rPr>
          <w:szCs w:val="22"/>
        </w:rPr>
        <w:t>;</w:t>
      </w:r>
      <w:r w:rsidR="008431C2" w:rsidRPr="00395B7D">
        <w:rPr>
          <w:rStyle w:val="FootnoteReference"/>
          <w:szCs w:val="22"/>
        </w:rPr>
        <w:footnoteReference w:id="66"/>
      </w:r>
      <w:r w:rsidR="008431C2" w:rsidRPr="00395B7D">
        <w:rPr>
          <w:szCs w:val="22"/>
        </w:rPr>
        <w:t xml:space="preserve"> interpretation of substantial service; and </w:t>
      </w:r>
      <w:r w:rsidR="00FE7F68">
        <w:rPr>
          <w:szCs w:val="22"/>
        </w:rPr>
        <w:t xml:space="preserve">the </w:t>
      </w:r>
      <w:r w:rsidR="008431C2" w:rsidRPr="00395B7D">
        <w:rPr>
          <w:szCs w:val="22"/>
        </w:rPr>
        <w:t xml:space="preserve">finding that RF’s fixed point-to-point </w:t>
      </w:r>
      <w:r w:rsidR="00396EA6">
        <w:rPr>
          <w:szCs w:val="22"/>
        </w:rPr>
        <w:t xml:space="preserve">link </w:t>
      </w:r>
      <w:r w:rsidR="008431C2" w:rsidRPr="00395B7D">
        <w:rPr>
          <w:szCs w:val="22"/>
        </w:rPr>
        <w:t>w</w:t>
      </w:r>
      <w:r w:rsidR="00396EA6">
        <w:rPr>
          <w:szCs w:val="22"/>
        </w:rPr>
        <w:t>as</w:t>
      </w:r>
      <w:r w:rsidR="008431C2" w:rsidRPr="00395B7D">
        <w:rPr>
          <w:szCs w:val="22"/>
        </w:rPr>
        <w:t xml:space="preserve"> not used for service.</w:t>
      </w:r>
      <w:r w:rsidR="008431C2" w:rsidRPr="00395B7D">
        <w:rPr>
          <w:rStyle w:val="FootnoteReference"/>
          <w:szCs w:val="22"/>
        </w:rPr>
        <w:footnoteReference w:id="67"/>
      </w:r>
      <w:r w:rsidR="008431C2" w:rsidRPr="00395B7D">
        <w:rPr>
          <w:szCs w:val="22"/>
        </w:rPr>
        <w:t xml:space="preserve">  RF also contends that it had expectations that a “hybrid” approach would be considered in evaluation its substantial service showing and that the Commission would consider other options, </w:t>
      </w:r>
      <w:r w:rsidR="00E45E08" w:rsidRPr="00395B7D">
        <w:rPr>
          <w:szCs w:val="22"/>
        </w:rPr>
        <w:t>such as an extension of time or disaggregation of service area.</w:t>
      </w:r>
      <w:r w:rsidR="00E45E08" w:rsidRPr="00395B7D">
        <w:rPr>
          <w:rStyle w:val="FootnoteReference"/>
          <w:szCs w:val="22"/>
        </w:rPr>
        <w:footnoteReference w:id="68"/>
      </w:r>
      <w:r w:rsidR="00E45E08" w:rsidRPr="00395B7D">
        <w:rPr>
          <w:szCs w:val="22"/>
        </w:rPr>
        <w:t xml:space="preserve"> </w:t>
      </w:r>
      <w:r w:rsidR="008431C2" w:rsidRPr="00395B7D">
        <w:rPr>
          <w:szCs w:val="22"/>
        </w:rPr>
        <w:t xml:space="preserve"> </w:t>
      </w:r>
      <w:r w:rsidR="00BC0C03">
        <w:rPr>
          <w:szCs w:val="22"/>
        </w:rPr>
        <w:t>RF asks the Division to reinstate the license for Station WPOH612 through one of the following four actions:  accepting its substantial service showing based upon arguments it previously made, find substantial service based on consideration of a “hybrid”</w:t>
      </w:r>
      <w:r w:rsidR="008431C2" w:rsidRPr="00395B7D">
        <w:rPr>
          <w:szCs w:val="22"/>
        </w:rPr>
        <w:t xml:space="preserve"> </w:t>
      </w:r>
      <w:r w:rsidR="00BC0C03">
        <w:rPr>
          <w:szCs w:val="22"/>
        </w:rPr>
        <w:t>approach</w:t>
      </w:r>
      <w:r w:rsidRPr="00395B7D">
        <w:rPr>
          <w:szCs w:val="22"/>
        </w:rPr>
        <w:t xml:space="preserve"> </w:t>
      </w:r>
      <w:r w:rsidR="00BC0C03">
        <w:rPr>
          <w:szCs w:val="22"/>
        </w:rPr>
        <w:t xml:space="preserve">taking into account both the point-to-multipoint system and the fixed link, accept RF’s offer </w:t>
      </w:r>
      <w:r w:rsidR="00BF34E1">
        <w:rPr>
          <w:szCs w:val="22"/>
        </w:rPr>
        <w:t xml:space="preserve">to partition part of its service area so that it would serve more than twenty percent </w:t>
      </w:r>
      <w:r w:rsidR="000408CF">
        <w:rPr>
          <w:szCs w:val="22"/>
        </w:rPr>
        <w:t>of the population in its remaining service area, or grant it an 18 month extension of</w:t>
      </w:r>
      <w:r w:rsidR="006109ED" w:rsidRPr="00395B7D">
        <w:rPr>
          <w:szCs w:val="22"/>
        </w:rPr>
        <w:t xml:space="preserve"> </w:t>
      </w:r>
      <w:r w:rsidR="000408CF">
        <w:rPr>
          <w:szCs w:val="22"/>
        </w:rPr>
        <w:t>time</w:t>
      </w:r>
      <w:r w:rsidR="006109ED" w:rsidRPr="00395B7D">
        <w:rPr>
          <w:szCs w:val="22"/>
        </w:rPr>
        <w:t xml:space="preserve"> </w:t>
      </w:r>
      <w:r w:rsidR="000408CF">
        <w:rPr>
          <w:szCs w:val="22"/>
        </w:rPr>
        <w:t>to demonstrate substantial service</w:t>
      </w:r>
      <w:r w:rsidR="000F3C21" w:rsidRPr="00395B7D">
        <w:rPr>
          <w:szCs w:val="22"/>
        </w:rPr>
        <w:t xml:space="preserve"> </w:t>
      </w:r>
      <w:r w:rsidR="000408CF">
        <w:rPr>
          <w:szCs w:val="22"/>
        </w:rPr>
        <w:t>for Station</w:t>
      </w:r>
      <w:r w:rsidR="000F3C21" w:rsidRPr="00395B7D">
        <w:rPr>
          <w:szCs w:val="22"/>
        </w:rPr>
        <w:t xml:space="preserve"> </w:t>
      </w:r>
      <w:r w:rsidR="000408CF">
        <w:rPr>
          <w:szCs w:val="22"/>
        </w:rPr>
        <w:t>WPOH612.</w:t>
      </w:r>
      <w:r w:rsidR="000408CF">
        <w:rPr>
          <w:rStyle w:val="FootnoteReference"/>
          <w:szCs w:val="22"/>
        </w:rPr>
        <w:footnoteReference w:id="69"/>
      </w:r>
    </w:p>
    <w:p w14:paraId="145C1E0E" w14:textId="77777777" w:rsidR="00E56718" w:rsidRPr="00395B7D" w:rsidRDefault="00E56718" w:rsidP="00E46403">
      <w:pPr>
        <w:pStyle w:val="Heading1"/>
        <w:widowControl/>
        <w:rPr>
          <w:szCs w:val="22"/>
        </w:rPr>
      </w:pPr>
      <w:r w:rsidRPr="00395B7D">
        <w:rPr>
          <w:szCs w:val="22"/>
        </w:rPr>
        <w:t>DISCUSSION</w:t>
      </w:r>
    </w:p>
    <w:p w14:paraId="145C1E0F" w14:textId="77777777" w:rsidR="000B113D" w:rsidRPr="00395B7D" w:rsidRDefault="008454B7" w:rsidP="000B113D">
      <w:pPr>
        <w:pStyle w:val="ParaNum"/>
        <w:rPr>
          <w:szCs w:val="22"/>
        </w:rPr>
      </w:pPr>
      <w:r>
        <w:rPr>
          <w:szCs w:val="22"/>
        </w:rPr>
        <w:t xml:space="preserve">We deny the Petition.  </w:t>
      </w:r>
      <w:r w:rsidR="00A06C63" w:rsidRPr="00395B7D">
        <w:rPr>
          <w:szCs w:val="22"/>
        </w:rPr>
        <w:t>Reconsideration is appropriate only where the petitioner either demonstrates a material error or omission in the underlying order or raises additional facts not known or not existing until after the petitioner's last opportunity to present such matters.</w:t>
      </w:r>
      <w:r w:rsidR="00A06C63" w:rsidRPr="00395B7D">
        <w:rPr>
          <w:rStyle w:val="FootnoteReference"/>
          <w:szCs w:val="22"/>
        </w:rPr>
        <w:footnoteReference w:id="70"/>
      </w:r>
      <w:r w:rsidR="00A06C63" w:rsidRPr="00395B7D">
        <w:rPr>
          <w:szCs w:val="22"/>
        </w:rPr>
        <w:t xml:space="preserve">  A petition for reconsideration that simply reiterates arguments that were previously considered and rejected will be denied.</w:t>
      </w:r>
      <w:r w:rsidR="00A06C63" w:rsidRPr="00395B7D">
        <w:rPr>
          <w:rStyle w:val="FootnoteReference"/>
          <w:szCs w:val="22"/>
        </w:rPr>
        <w:footnoteReference w:id="71"/>
      </w:r>
      <w:r w:rsidR="00A06C63" w:rsidRPr="00395B7D">
        <w:rPr>
          <w:szCs w:val="22"/>
        </w:rPr>
        <w:t xml:space="preserve">  We find that the </w:t>
      </w:r>
      <w:r w:rsidR="00560FCE" w:rsidRPr="00395B7D">
        <w:rPr>
          <w:szCs w:val="22"/>
        </w:rPr>
        <w:t xml:space="preserve">Petition </w:t>
      </w:r>
      <w:r w:rsidR="00A06C63" w:rsidRPr="00395B7D">
        <w:rPr>
          <w:szCs w:val="22"/>
        </w:rPr>
        <w:t xml:space="preserve">neither demonstrates material error or omission in the </w:t>
      </w:r>
      <w:r w:rsidR="00A06C63" w:rsidRPr="00395B7D">
        <w:rPr>
          <w:i/>
          <w:szCs w:val="22"/>
        </w:rPr>
        <w:t>MO&amp;O</w:t>
      </w:r>
      <w:r w:rsidR="00A06C63" w:rsidRPr="00395B7D">
        <w:rPr>
          <w:szCs w:val="22"/>
        </w:rPr>
        <w:t xml:space="preserve">, nor raises any new facts unavailable to the petitioners at their last opportunity to presents such matter.  Therefore, for the reasons explained below, we dismiss the </w:t>
      </w:r>
      <w:r w:rsidR="00560FCE" w:rsidRPr="00395B7D">
        <w:rPr>
          <w:szCs w:val="22"/>
        </w:rPr>
        <w:t>Petition</w:t>
      </w:r>
      <w:r w:rsidR="00A06C63" w:rsidRPr="00395B7D">
        <w:rPr>
          <w:szCs w:val="22"/>
        </w:rPr>
        <w:t>.</w:t>
      </w:r>
    </w:p>
    <w:p w14:paraId="145C1E10" w14:textId="77777777" w:rsidR="00CE6B71" w:rsidRPr="00395B7D" w:rsidRDefault="00B64D57" w:rsidP="00CE6B71">
      <w:pPr>
        <w:pStyle w:val="ParaNum"/>
        <w:rPr>
          <w:szCs w:val="22"/>
        </w:rPr>
      </w:pPr>
      <w:r>
        <w:rPr>
          <w:szCs w:val="22"/>
        </w:rPr>
        <w:t>With respect to RF’s substantial service arguments that it made previously</w:t>
      </w:r>
      <w:r w:rsidR="000B113D" w:rsidRPr="00395B7D">
        <w:rPr>
          <w:szCs w:val="22"/>
        </w:rPr>
        <w:t xml:space="preserve">, we find that the </w:t>
      </w:r>
      <w:r w:rsidR="00560FCE" w:rsidRPr="00395B7D">
        <w:rPr>
          <w:szCs w:val="22"/>
        </w:rPr>
        <w:t xml:space="preserve">Petition </w:t>
      </w:r>
      <w:r w:rsidR="00E36FE7">
        <w:rPr>
          <w:szCs w:val="22"/>
        </w:rPr>
        <w:t xml:space="preserve">largely </w:t>
      </w:r>
      <w:r w:rsidR="000B113D" w:rsidRPr="00395B7D">
        <w:rPr>
          <w:szCs w:val="22"/>
        </w:rPr>
        <w:t xml:space="preserve">reargues matters that the Division previously considered and rejected in the </w:t>
      </w:r>
      <w:r w:rsidR="000B113D" w:rsidRPr="00395B7D">
        <w:rPr>
          <w:i/>
          <w:szCs w:val="22"/>
        </w:rPr>
        <w:t>MO&amp;O</w:t>
      </w:r>
      <w:r w:rsidR="000B113D" w:rsidRPr="00395B7D">
        <w:rPr>
          <w:szCs w:val="22"/>
        </w:rPr>
        <w:t>.  It is well established that “rehearing will not be granted merely for the purpose of debating matters on which the tribunal has once deliberated and spoken.”</w:t>
      </w:r>
      <w:r w:rsidR="000B113D" w:rsidRPr="00395B7D">
        <w:rPr>
          <w:rStyle w:val="FootnoteReference"/>
          <w:szCs w:val="22"/>
        </w:rPr>
        <w:footnoteReference w:id="72"/>
      </w:r>
      <w:r w:rsidR="000B113D" w:rsidRPr="00395B7D">
        <w:rPr>
          <w:szCs w:val="22"/>
        </w:rPr>
        <w:t xml:space="preserve">   A review of the pleadings shows that RF’s arguments were thoroughly considered and rejected in the </w:t>
      </w:r>
      <w:r w:rsidR="000B113D" w:rsidRPr="00395B7D">
        <w:rPr>
          <w:i/>
          <w:szCs w:val="22"/>
        </w:rPr>
        <w:t>MO&amp;O</w:t>
      </w:r>
      <w:r w:rsidR="000B113D" w:rsidRPr="00395B7D">
        <w:rPr>
          <w:szCs w:val="22"/>
        </w:rPr>
        <w:t xml:space="preserve">. </w:t>
      </w:r>
      <w:r w:rsidR="00395B7D">
        <w:rPr>
          <w:szCs w:val="22"/>
        </w:rPr>
        <w:t xml:space="preserve"> </w:t>
      </w:r>
      <w:r w:rsidR="000B113D" w:rsidRPr="00395B7D">
        <w:rPr>
          <w:szCs w:val="22"/>
        </w:rPr>
        <w:t xml:space="preserve">While it is apparent that </w:t>
      </w:r>
      <w:r w:rsidR="00AC7377" w:rsidRPr="00395B7D">
        <w:rPr>
          <w:szCs w:val="22"/>
        </w:rPr>
        <w:t xml:space="preserve">RF </w:t>
      </w:r>
      <w:r w:rsidR="00395B7D">
        <w:rPr>
          <w:szCs w:val="22"/>
        </w:rPr>
        <w:t xml:space="preserve">believes </w:t>
      </w:r>
      <w:r w:rsidR="000B113D" w:rsidRPr="00395B7D">
        <w:rPr>
          <w:szCs w:val="22"/>
        </w:rPr>
        <w:t xml:space="preserve">that the </w:t>
      </w:r>
      <w:r w:rsidR="000B113D" w:rsidRPr="00395B7D">
        <w:rPr>
          <w:i/>
          <w:szCs w:val="22"/>
        </w:rPr>
        <w:t>MO&amp;O</w:t>
      </w:r>
      <w:r w:rsidR="000B113D" w:rsidRPr="00395B7D">
        <w:rPr>
          <w:szCs w:val="22"/>
        </w:rPr>
        <w:t xml:space="preserve"> is incorrect, </w:t>
      </w:r>
      <w:r w:rsidR="00AC7377" w:rsidRPr="00395B7D">
        <w:rPr>
          <w:szCs w:val="22"/>
        </w:rPr>
        <w:t>RF</w:t>
      </w:r>
      <w:r w:rsidR="000B113D" w:rsidRPr="00395B7D">
        <w:rPr>
          <w:szCs w:val="22"/>
        </w:rPr>
        <w:t xml:space="preserve"> has not met the standards for reconsideration by demonstrating a material error or omission in the underlying order or raising additional facts not known or not existing until after the last opportunity</w:t>
      </w:r>
      <w:r w:rsidR="00AC7377" w:rsidRPr="00395B7D">
        <w:rPr>
          <w:szCs w:val="22"/>
        </w:rPr>
        <w:t xml:space="preserve"> it</w:t>
      </w:r>
      <w:r w:rsidR="000B113D" w:rsidRPr="00395B7D">
        <w:rPr>
          <w:szCs w:val="22"/>
        </w:rPr>
        <w:t xml:space="preserve"> had to present such matters. </w:t>
      </w:r>
      <w:r w:rsidR="00AC7377" w:rsidRPr="00395B7D">
        <w:rPr>
          <w:szCs w:val="22"/>
        </w:rPr>
        <w:t xml:space="preserve"> </w:t>
      </w:r>
      <w:r w:rsidR="000B113D" w:rsidRPr="00395B7D">
        <w:rPr>
          <w:szCs w:val="22"/>
        </w:rPr>
        <w:t xml:space="preserve">Accordingly, we dismiss the </w:t>
      </w:r>
      <w:r w:rsidR="00560FCE" w:rsidRPr="00395B7D">
        <w:rPr>
          <w:szCs w:val="22"/>
        </w:rPr>
        <w:t xml:space="preserve">Petition </w:t>
      </w:r>
      <w:r w:rsidR="000B113D" w:rsidRPr="00395B7D">
        <w:rPr>
          <w:szCs w:val="22"/>
        </w:rPr>
        <w:t>to the extent that it presents arguments previously considered and rejected.</w:t>
      </w:r>
    </w:p>
    <w:p w14:paraId="145C1E11" w14:textId="1331D35C" w:rsidR="00613922" w:rsidRPr="00395B7D" w:rsidRDefault="00AA2A67" w:rsidP="00613922">
      <w:pPr>
        <w:pStyle w:val="ParaNum"/>
        <w:rPr>
          <w:szCs w:val="22"/>
        </w:rPr>
      </w:pPr>
      <w:r w:rsidRPr="00395B7D">
        <w:rPr>
          <w:szCs w:val="22"/>
        </w:rPr>
        <w:t>W</w:t>
      </w:r>
      <w:r w:rsidR="00B64D57">
        <w:rPr>
          <w:szCs w:val="22"/>
        </w:rPr>
        <w:t xml:space="preserve">e also reject </w:t>
      </w:r>
      <w:r w:rsidRPr="00395B7D">
        <w:rPr>
          <w:szCs w:val="22"/>
        </w:rPr>
        <w:t>RF</w:t>
      </w:r>
      <w:r w:rsidR="00B64D57">
        <w:rPr>
          <w:szCs w:val="22"/>
        </w:rPr>
        <w:t>’s request that the Division</w:t>
      </w:r>
      <w:r w:rsidRPr="00395B7D">
        <w:rPr>
          <w:szCs w:val="22"/>
        </w:rPr>
        <w:t xml:space="preserve"> evaluate its substantial showing under a “hybrid” approach where</w:t>
      </w:r>
      <w:r w:rsidR="00A35B1E" w:rsidRPr="00395B7D">
        <w:rPr>
          <w:szCs w:val="22"/>
        </w:rPr>
        <w:t xml:space="preserve">, if a licensee fails to meet the </w:t>
      </w:r>
      <w:r w:rsidR="00556FEC" w:rsidRPr="00395B7D">
        <w:rPr>
          <w:szCs w:val="22"/>
        </w:rPr>
        <w:t>safe harbor</w:t>
      </w:r>
      <w:r w:rsidR="00A35B1E" w:rsidRPr="00395B7D">
        <w:rPr>
          <w:szCs w:val="22"/>
        </w:rPr>
        <w:t xml:space="preserve"> separately for point-to-multipoint services or fixed, point-to-point services, we would determine whether </w:t>
      </w:r>
      <w:r w:rsidRPr="00395B7D">
        <w:rPr>
          <w:szCs w:val="22"/>
        </w:rPr>
        <w:t xml:space="preserve">it </w:t>
      </w:r>
      <w:r w:rsidR="00A35B1E" w:rsidRPr="00395B7D">
        <w:rPr>
          <w:szCs w:val="22"/>
        </w:rPr>
        <w:t xml:space="preserve">could </w:t>
      </w:r>
      <w:r w:rsidRPr="00395B7D">
        <w:rPr>
          <w:szCs w:val="22"/>
        </w:rPr>
        <w:t xml:space="preserve">be credited for </w:t>
      </w:r>
      <w:r w:rsidR="00A35B1E" w:rsidRPr="00395B7D">
        <w:rPr>
          <w:szCs w:val="22"/>
        </w:rPr>
        <w:t xml:space="preserve">offering </w:t>
      </w:r>
      <w:r w:rsidR="008B3B30" w:rsidRPr="00395B7D">
        <w:rPr>
          <w:szCs w:val="22"/>
        </w:rPr>
        <w:t xml:space="preserve">both </w:t>
      </w:r>
      <w:r w:rsidR="00A35B1E" w:rsidRPr="00395B7D">
        <w:rPr>
          <w:szCs w:val="22"/>
        </w:rPr>
        <w:t>point-to-multipoint services and fixed, point-to-point services</w:t>
      </w:r>
      <w:r w:rsidR="008B3B30" w:rsidRPr="00395B7D">
        <w:rPr>
          <w:szCs w:val="22"/>
        </w:rPr>
        <w:t xml:space="preserve"> </w:t>
      </w:r>
      <w:r w:rsidR="00DF7561" w:rsidRPr="00395B7D">
        <w:rPr>
          <w:szCs w:val="22"/>
        </w:rPr>
        <w:t xml:space="preserve">in satisfying the requirement to provide </w:t>
      </w:r>
      <w:r w:rsidR="008B3B30" w:rsidRPr="00395B7D">
        <w:rPr>
          <w:szCs w:val="22"/>
        </w:rPr>
        <w:t xml:space="preserve">substantial service.  </w:t>
      </w:r>
      <w:r w:rsidR="00B64D57">
        <w:rPr>
          <w:szCs w:val="22"/>
        </w:rPr>
        <w:t xml:space="preserve">Consideration under a “hybrid” approach is not appropriate in this case because </w:t>
      </w:r>
      <w:r w:rsidRPr="00395B7D">
        <w:rPr>
          <w:szCs w:val="22"/>
        </w:rPr>
        <w:t xml:space="preserve">the </w:t>
      </w:r>
      <w:r w:rsidR="008B3B30" w:rsidRPr="00395B7D">
        <w:rPr>
          <w:szCs w:val="22"/>
        </w:rPr>
        <w:t xml:space="preserve">fixed, point-to-point </w:t>
      </w:r>
      <w:r w:rsidRPr="00395B7D">
        <w:rPr>
          <w:szCs w:val="22"/>
        </w:rPr>
        <w:t xml:space="preserve">link was not used to </w:t>
      </w:r>
      <w:r w:rsidR="004A79BB">
        <w:rPr>
          <w:szCs w:val="22"/>
        </w:rPr>
        <w:t xml:space="preserve">provide a bona fide </w:t>
      </w:r>
      <w:r w:rsidR="00995B02">
        <w:rPr>
          <w:szCs w:val="22"/>
        </w:rPr>
        <w:t xml:space="preserve">communication </w:t>
      </w:r>
      <w:r w:rsidR="004A79BB">
        <w:rPr>
          <w:szCs w:val="22"/>
        </w:rPr>
        <w:t>service</w:t>
      </w:r>
      <w:r w:rsidRPr="00395B7D">
        <w:rPr>
          <w:szCs w:val="22"/>
        </w:rPr>
        <w:t>.</w:t>
      </w:r>
      <w:r w:rsidR="00DF7561" w:rsidRPr="00395B7D">
        <w:rPr>
          <w:rStyle w:val="FootnoteReference"/>
          <w:szCs w:val="22"/>
        </w:rPr>
        <w:footnoteReference w:id="73"/>
      </w:r>
      <w:r w:rsidRPr="00395B7D">
        <w:rPr>
          <w:szCs w:val="22"/>
        </w:rPr>
        <w:t xml:space="preserve">  </w:t>
      </w:r>
      <w:r w:rsidR="008B3B30" w:rsidRPr="00395B7D">
        <w:rPr>
          <w:szCs w:val="22"/>
        </w:rPr>
        <w:t xml:space="preserve">Therefore, </w:t>
      </w:r>
      <w:r w:rsidR="00DF7561" w:rsidRPr="00395B7D">
        <w:rPr>
          <w:szCs w:val="22"/>
        </w:rPr>
        <w:t xml:space="preserve">any reference to a point-to-point that does not </w:t>
      </w:r>
      <w:r w:rsidR="004A79BB">
        <w:rPr>
          <w:szCs w:val="22"/>
        </w:rPr>
        <w:t>provide a bona fide</w:t>
      </w:r>
      <w:r w:rsidR="00995B02">
        <w:rPr>
          <w:szCs w:val="22"/>
        </w:rPr>
        <w:t xml:space="preserve"> communications service</w:t>
      </w:r>
      <w:r w:rsidR="00DF7561" w:rsidRPr="00395B7D">
        <w:rPr>
          <w:szCs w:val="22"/>
        </w:rPr>
        <w:t xml:space="preserve"> </w:t>
      </w:r>
      <w:r w:rsidR="008B3B30" w:rsidRPr="00395B7D">
        <w:rPr>
          <w:szCs w:val="22"/>
        </w:rPr>
        <w:t>could not affect the outcome of a “hybrid” showing.</w:t>
      </w:r>
      <w:r w:rsidR="002E3EB6" w:rsidRPr="00395B7D">
        <w:rPr>
          <w:szCs w:val="22"/>
        </w:rPr>
        <w:t xml:space="preserve">  Because RF failed to demonstrate that it met the </w:t>
      </w:r>
      <w:r w:rsidR="00556FEC" w:rsidRPr="00395B7D">
        <w:rPr>
          <w:szCs w:val="22"/>
        </w:rPr>
        <w:t>safe harbor</w:t>
      </w:r>
      <w:r w:rsidR="002E3EB6" w:rsidRPr="00395B7D">
        <w:rPr>
          <w:szCs w:val="22"/>
        </w:rPr>
        <w:t xml:space="preserve"> for point-to-multipoint services, it equally failed to demonstrate the provision of substantial service under a </w:t>
      </w:r>
      <w:r w:rsidR="00DF7561" w:rsidRPr="00395B7D">
        <w:rPr>
          <w:szCs w:val="22"/>
        </w:rPr>
        <w:t>“</w:t>
      </w:r>
      <w:r w:rsidR="002E3EB6" w:rsidRPr="00395B7D">
        <w:rPr>
          <w:szCs w:val="22"/>
        </w:rPr>
        <w:t>hybrid</w:t>
      </w:r>
      <w:r w:rsidR="00DF7561" w:rsidRPr="00395B7D">
        <w:rPr>
          <w:szCs w:val="22"/>
        </w:rPr>
        <w:t>”</w:t>
      </w:r>
      <w:r w:rsidR="002E3EB6" w:rsidRPr="00395B7D">
        <w:rPr>
          <w:szCs w:val="22"/>
        </w:rPr>
        <w:t xml:space="preserve"> showing.</w:t>
      </w:r>
      <w:r w:rsidR="002E3EB6" w:rsidRPr="00395B7D">
        <w:rPr>
          <w:rStyle w:val="FootnoteReference"/>
          <w:szCs w:val="22"/>
        </w:rPr>
        <w:footnoteReference w:id="74"/>
      </w:r>
    </w:p>
    <w:p w14:paraId="145C1E12" w14:textId="77777777" w:rsidR="00E56718" w:rsidRPr="00395B7D" w:rsidRDefault="00C2071C" w:rsidP="00613922">
      <w:pPr>
        <w:pStyle w:val="ParaNum"/>
        <w:rPr>
          <w:szCs w:val="22"/>
        </w:rPr>
      </w:pPr>
      <w:r w:rsidRPr="00395B7D">
        <w:rPr>
          <w:szCs w:val="22"/>
        </w:rPr>
        <w:t xml:space="preserve">We also </w:t>
      </w:r>
      <w:r w:rsidR="004A3152">
        <w:rPr>
          <w:szCs w:val="22"/>
        </w:rPr>
        <w:t>decline to consider at this time RF’s proposal</w:t>
      </w:r>
      <w:r w:rsidR="00EB5DD0">
        <w:rPr>
          <w:szCs w:val="22"/>
        </w:rPr>
        <w:t>s</w:t>
      </w:r>
      <w:r w:rsidR="004A3152">
        <w:rPr>
          <w:szCs w:val="22"/>
        </w:rPr>
        <w:t xml:space="preserve"> that it be allowed to partition its license or seek an extension of time to demonstrate substantial service.  “</w:t>
      </w:r>
      <w:r w:rsidR="004A3152" w:rsidRPr="004A3152">
        <w:rPr>
          <w:szCs w:val="22"/>
        </w:rPr>
        <w:t xml:space="preserve">Grant of a request to reinstate and extend the construction period for a license that has canceled automatically for failure to construct requires </w:t>
      </w:r>
      <w:r w:rsidR="004A3152">
        <w:rPr>
          <w:szCs w:val="22"/>
        </w:rPr>
        <w:t>‘</w:t>
      </w:r>
      <w:r w:rsidR="004A3152" w:rsidRPr="004A3152">
        <w:rPr>
          <w:szCs w:val="22"/>
        </w:rPr>
        <w:t>an extraordinary showing of compelling circumstances.</w:t>
      </w:r>
      <w:r w:rsidR="004A3152">
        <w:rPr>
          <w:szCs w:val="22"/>
        </w:rPr>
        <w:t>’</w:t>
      </w:r>
      <w:r w:rsidR="004A3152" w:rsidRPr="004A3152">
        <w:rPr>
          <w:szCs w:val="22"/>
        </w:rPr>
        <w:t>”</w:t>
      </w:r>
      <w:r w:rsidR="004A3152">
        <w:rPr>
          <w:rStyle w:val="FootnoteReference"/>
          <w:szCs w:val="22"/>
        </w:rPr>
        <w:footnoteReference w:id="75"/>
      </w:r>
      <w:r w:rsidR="004A3152">
        <w:rPr>
          <w:szCs w:val="22"/>
        </w:rPr>
        <w:t xml:space="preserve">  RF had the opportunity to </w:t>
      </w:r>
      <w:r w:rsidR="00EB5DD0">
        <w:rPr>
          <w:szCs w:val="22"/>
        </w:rPr>
        <w:t xml:space="preserve">request an extension as an alternative to its substantial service notification, but it did not do so.  We therefore conclude that extraordinary circumstances are not present to justify consideration of an extension request at this time.  Similarly, while we may have considered RF’s partitioning proposal prior to our action, we believe it is too late to consider such a proposal now.  </w:t>
      </w:r>
      <w:r w:rsidRPr="00395B7D">
        <w:rPr>
          <w:szCs w:val="22"/>
        </w:rPr>
        <w:t>RF elected to continue to pursue its substantial service showing—filing multiple amendments over a course of three years—without seeking other regulatory actions it now wishes to pursue</w:t>
      </w:r>
      <w:r w:rsidR="001500E5" w:rsidRPr="00395B7D">
        <w:rPr>
          <w:szCs w:val="22"/>
        </w:rPr>
        <w:t xml:space="preserve"> after the license has automatically cancelled</w:t>
      </w:r>
      <w:r w:rsidRPr="00395B7D">
        <w:rPr>
          <w:szCs w:val="22"/>
        </w:rPr>
        <w:t>.</w:t>
      </w:r>
      <w:r w:rsidR="00FC1147" w:rsidRPr="00395B7D">
        <w:rPr>
          <w:szCs w:val="22"/>
        </w:rPr>
        <w:t xml:space="preserve">  </w:t>
      </w:r>
      <w:r w:rsidR="001500E5" w:rsidRPr="00395B7D">
        <w:rPr>
          <w:szCs w:val="22"/>
        </w:rPr>
        <w:t xml:space="preserve">  </w:t>
      </w:r>
    </w:p>
    <w:p w14:paraId="145C1E13" w14:textId="77777777" w:rsidR="00E56718" w:rsidRPr="00395B7D" w:rsidRDefault="00E56718" w:rsidP="00E46403">
      <w:pPr>
        <w:pStyle w:val="Heading1"/>
        <w:widowControl/>
        <w:rPr>
          <w:bCs/>
          <w:szCs w:val="22"/>
        </w:rPr>
      </w:pPr>
      <w:r w:rsidRPr="00395B7D">
        <w:rPr>
          <w:szCs w:val="22"/>
        </w:rPr>
        <w:t>CONCLUSION AND ORDERING CLAUSES</w:t>
      </w:r>
    </w:p>
    <w:p w14:paraId="145C1E14" w14:textId="77777777" w:rsidR="00B2795F" w:rsidRPr="00395B7D" w:rsidRDefault="00FC1147" w:rsidP="00E46403">
      <w:pPr>
        <w:pStyle w:val="ParaNum"/>
        <w:rPr>
          <w:szCs w:val="22"/>
        </w:rPr>
      </w:pPr>
      <w:r w:rsidRPr="00395B7D">
        <w:rPr>
          <w:szCs w:val="22"/>
        </w:rPr>
        <w:t>For the reasons discussed above, we find that the P</w:t>
      </w:r>
      <w:r w:rsidR="00560FCE" w:rsidRPr="00395B7D">
        <w:rPr>
          <w:szCs w:val="22"/>
        </w:rPr>
        <w:t xml:space="preserve">etition </w:t>
      </w:r>
      <w:r w:rsidR="00E36FE7">
        <w:rPr>
          <w:szCs w:val="22"/>
        </w:rPr>
        <w:t xml:space="preserve">mostly </w:t>
      </w:r>
      <w:r w:rsidRPr="00395B7D">
        <w:rPr>
          <w:szCs w:val="22"/>
        </w:rPr>
        <w:t xml:space="preserve">presents arguments that were previously considered and rejected by the Division in the </w:t>
      </w:r>
      <w:r w:rsidRPr="00395B7D">
        <w:rPr>
          <w:i/>
          <w:szCs w:val="22"/>
        </w:rPr>
        <w:t>MO&amp;O</w:t>
      </w:r>
      <w:r w:rsidRPr="00395B7D">
        <w:rPr>
          <w:szCs w:val="22"/>
        </w:rPr>
        <w:t xml:space="preserve">.  RF has not identified any error or omissions in the </w:t>
      </w:r>
      <w:r w:rsidRPr="00395B7D">
        <w:rPr>
          <w:i/>
          <w:szCs w:val="22"/>
        </w:rPr>
        <w:t>MO&amp;O</w:t>
      </w:r>
      <w:r w:rsidRPr="00395B7D">
        <w:rPr>
          <w:szCs w:val="22"/>
        </w:rPr>
        <w:t xml:space="preserve"> warranting reconsideration of the action taken by the Division in this matter.  We therefore dismiss the P</w:t>
      </w:r>
      <w:r w:rsidR="00560FCE" w:rsidRPr="00395B7D">
        <w:rPr>
          <w:szCs w:val="22"/>
        </w:rPr>
        <w:t>etition</w:t>
      </w:r>
      <w:r w:rsidR="00E36FE7">
        <w:rPr>
          <w:szCs w:val="22"/>
        </w:rPr>
        <w:t xml:space="preserve"> in part and deny it in part</w:t>
      </w:r>
      <w:r w:rsidRPr="00395B7D">
        <w:rPr>
          <w:szCs w:val="22"/>
        </w:rPr>
        <w:t xml:space="preserve">.  </w:t>
      </w:r>
    </w:p>
    <w:p w14:paraId="145C1E15" w14:textId="77777777" w:rsidR="004278B2" w:rsidRPr="00395B7D" w:rsidRDefault="00FC1147" w:rsidP="00075E31">
      <w:pPr>
        <w:pStyle w:val="ParaNum"/>
        <w:widowControl/>
        <w:rPr>
          <w:szCs w:val="22"/>
        </w:rPr>
      </w:pPr>
      <w:r w:rsidRPr="00395B7D">
        <w:rPr>
          <w:szCs w:val="22"/>
        </w:rPr>
        <w:t>Accordingly, IT IS ORDERED that pursuant to Sections 4(i) and 405 of the Communications Act of 1934, as amended, 47 U.S.C. §§ 154(i), 405, and Section 1.106 of the Commission's Rules, 47 C.F.R. § 1.106, the Petition for Reconsideration filed by RF Development, LLC on April 22, 2015 IS DISMISSED</w:t>
      </w:r>
      <w:r w:rsidR="00EB5DD0">
        <w:rPr>
          <w:szCs w:val="22"/>
        </w:rPr>
        <w:t xml:space="preserve"> IN PART AND DENIED IN PART</w:t>
      </w:r>
      <w:r w:rsidRPr="00395B7D">
        <w:rPr>
          <w:szCs w:val="22"/>
        </w:rPr>
        <w:t>.</w:t>
      </w:r>
    </w:p>
    <w:p w14:paraId="145C1E16" w14:textId="77777777" w:rsidR="00E56718" w:rsidRPr="00395B7D" w:rsidRDefault="00E56718" w:rsidP="00E46403">
      <w:pPr>
        <w:pStyle w:val="ParaNum"/>
        <w:rPr>
          <w:szCs w:val="22"/>
        </w:rPr>
      </w:pPr>
      <w:r w:rsidRPr="00395B7D">
        <w:rPr>
          <w:szCs w:val="22"/>
        </w:rPr>
        <w:t>Th</w:t>
      </w:r>
      <w:r w:rsidR="00EB5DD0">
        <w:rPr>
          <w:szCs w:val="22"/>
        </w:rPr>
        <w:t>is</w:t>
      </w:r>
      <w:r w:rsidRPr="00395B7D">
        <w:rPr>
          <w:szCs w:val="22"/>
        </w:rPr>
        <w:t xml:space="preserve"> action </w:t>
      </w:r>
      <w:r w:rsidR="00EB5DD0">
        <w:rPr>
          <w:szCs w:val="22"/>
        </w:rPr>
        <w:t xml:space="preserve">is </w:t>
      </w:r>
      <w:r w:rsidRPr="00395B7D">
        <w:rPr>
          <w:szCs w:val="22"/>
        </w:rPr>
        <w:t>taken under delegated authority pursuant to Sections 0.131 and 0.331 of the Commission’s Rules, 47 C.F.R. §§ 0.131, 0.331.</w:t>
      </w:r>
    </w:p>
    <w:p w14:paraId="145C1E17" w14:textId="77777777" w:rsidR="00E56718" w:rsidRPr="00395B7D" w:rsidRDefault="00E56718" w:rsidP="00E46403">
      <w:pPr>
        <w:ind w:left="4320"/>
        <w:rPr>
          <w:szCs w:val="22"/>
        </w:rPr>
      </w:pPr>
      <w:r w:rsidRPr="00395B7D">
        <w:rPr>
          <w:szCs w:val="22"/>
        </w:rPr>
        <w:t>FEDERAL COMMUNICATIONS COMMISSION</w:t>
      </w:r>
    </w:p>
    <w:p w14:paraId="145C1E18" w14:textId="77777777" w:rsidR="00E56718" w:rsidRPr="00395B7D" w:rsidRDefault="00E56718" w:rsidP="00E46403">
      <w:pPr>
        <w:ind w:left="4320"/>
        <w:rPr>
          <w:szCs w:val="22"/>
        </w:rPr>
      </w:pPr>
    </w:p>
    <w:p w14:paraId="145C1E19" w14:textId="77777777" w:rsidR="00E56718" w:rsidRPr="00395B7D" w:rsidRDefault="00E56718" w:rsidP="00E46403">
      <w:pPr>
        <w:ind w:left="4320"/>
        <w:rPr>
          <w:szCs w:val="22"/>
        </w:rPr>
      </w:pPr>
    </w:p>
    <w:p w14:paraId="145C1E1A" w14:textId="77777777" w:rsidR="00E56718" w:rsidRPr="00395B7D" w:rsidRDefault="00E56718" w:rsidP="00E46403">
      <w:pPr>
        <w:ind w:left="4320"/>
        <w:rPr>
          <w:szCs w:val="22"/>
        </w:rPr>
      </w:pPr>
    </w:p>
    <w:p w14:paraId="145C1E1B" w14:textId="77777777" w:rsidR="00E56718" w:rsidRPr="00395B7D" w:rsidRDefault="00E56718" w:rsidP="00E46403">
      <w:pPr>
        <w:ind w:left="3600" w:firstLine="720"/>
        <w:rPr>
          <w:szCs w:val="22"/>
        </w:rPr>
      </w:pPr>
      <w:r w:rsidRPr="00395B7D">
        <w:rPr>
          <w:szCs w:val="22"/>
        </w:rPr>
        <w:t>John J. Schauble</w:t>
      </w:r>
    </w:p>
    <w:p w14:paraId="145C1E1C" w14:textId="77777777" w:rsidR="00E56718" w:rsidRPr="00395B7D" w:rsidRDefault="00E56718" w:rsidP="00E46403">
      <w:pPr>
        <w:ind w:left="3600" w:firstLine="720"/>
        <w:rPr>
          <w:szCs w:val="22"/>
        </w:rPr>
      </w:pPr>
      <w:r w:rsidRPr="00395B7D">
        <w:rPr>
          <w:szCs w:val="22"/>
        </w:rPr>
        <w:t>Deputy Chief, Broadband Division</w:t>
      </w:r>
    </w:p>
    <w:p w14:paraId="145C1E1D" w14:textId="77777777" w:rsidR="00E56718" w:rsidRPr="00395B7D" w:rsidRDefault="00E56718" w:rsidP="00E46403">
      <w:pPr>
        <w:ind w:left="3600" w:firstLine="720"/>
        <w:rPr>
          <w:szCs w:val="22"/>
        </w:rPr>
      </w:pPr>
      <w:r w:rsidRPr="00395B7D">
        <w:rPr>
          <w:szCs w:val="22"/>
        </w:rPr>
        <w:t>Wireless Telecommunications Bureau</w:t>
      </w:r>
    </w:p>
    <w:sectPr w:rsidR="00E56718" w:rsidRPr="00395B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36AC0" w14:textId="77777777" w:rsidR="00746554" w:rsidRDefault="00746554">
      <w:r>
        <w:separator/>
      </w:r>
    </w:p>
  </w:endnote>
  <w:endnote w:type="continuationSeparator" w:id="0">
    <w:p w14:paraId="584A07C8" w14:textId="77777777" w:rsidR="00746554" w:rsidRDefault="0074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A679A" w14:textId="77777777" w:rsidR="00C232E1" w:rsidRDefault="00C23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1E27" w14:textId="77777777" w:rsidR="00E56718" w:rsidRDefault="00E56718">
    <w:pPr>
      <w:pStyle w:val="Footer"/>
      <w:jc w:val="center"/>
    </w:pPr>
    <w:r>
      <w:rPr>
        <w:rStyle w:val="PageNumber"/>
      </w:rPr>
      <w:fldChar w:fldCharType="begin"/>
    </w:r>
    <w:r>
      <w:rPr>
        <w:rStyle w:val="PageNumber"/>
      </w:rPr>
      <w:instrText xml:space="preserve"> PAGE </w:instrText>
    </w:r>
    <w:r>
      <w:rPr>
        <w:rStyle w:val="PageNumber"/>
      </w:rPr>
      <w:fldChar w:fldCharType="separate"/>
    </w:r>
    <w:r w:rsidR="0096235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F5BA6" w14:textId="77777777" w:rsidR="00C232E1" w:rsidRDefault="00C23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A9E1F" w14:textId="77777777" w:rsidR="00746554" w:rsidRDefault="00746554">
      <w:pPr>
        <w:rPr>
          <w:sz w:val="20"/>
        </w:rPr>
      </w:pPr>
      <w:r>
        <w:rPr>
          <w:sz w:val="20"/>
        </w:rPr>
        <w:separator/>
      </w:r>
    </w:p>
  </w:footnote>
  <w:footnote w:type="continuationSeparator" w:id="0">
    <w:p w14:paraId="1D95806F" w14:textId="77777777" w:rsidR="00746554" w:rsidRDefault="00746554">
      <w:pPr>
        <w:rPr>
          <w:sz w:val="20"/>
        </w:rPr>
      </w:pPr>
      <w:r>
        <w:rPr>
          <w:sz w:val="20"/>
        </w:rPr>
        <w:separator/>
      </w:r>
    </w:p>
    <w:p w14:paraId="0B6CDCD9" w14:textId="77777777" w:rsidR="00746554" w:rsidRDefault="00746554">
      <w:pPr>
        <w:rPr>
          <w:sz w:val="20"/>
        </w:rPr>
      </w:pPr>
      <w:r>
        <w:rPr>
          <w:sz w:val="20"/>
        </w:rPr>
        <w:t>(...continued from previous page)</w:t>
      </w:r>
    </w:p>
  </w:footnote>
  <w:footnote w:type="continuationNotice" w:id="1">
    <w:p w14:paraId="2AEEA58E" w14:textId="77777777" w:rsidR="00746554" w:rsidRDefault="00746554">
      <w:pPr>
        <w:jc w:val="right"/>
        <w:rPr>
          <w:sz w:val="20"/>
        </w:rPr>
      </w:pPr>
      <w:r>
        <w:rPr>
          <w:sz w:val="20"/>
        </w:rPr>
        <w:t>(continued....)</w:t>
      </w:r>
    </w:p>
  </w:footnote>
  <w:footnote w:id="2">
    <w:p w14:paraId="145C1E2E" w14:textId="77777777" w:rsidR="003451C4" w:rsidRDefault="003451C4">
      <w:pPr>
        <w:pStyle w:val="FootnoteText"/>
      </w:pPr>
      <w:r>
        <w:rPr>
          <w:rStyle w:val="FootnoteReference"/>
        </w:rPr>
        <w:footnoteRef/>
      </w:r>
      <w:r>
        <w:t xml:space="preserve"> </w:t>
      </w:r>
      <w:r w:rsidR="009B5BFB" w:rsidRPr="009B5BFB">
        <w:t>Petition for Reconsideration</w:t>
      </w:r>
      <w:r w:rsidR="009B5BFB">
        <w:t>,</w:t>
      </w:r>
      <w:r w:rsidR="009B5BFB" w:rsidRPr="009B5BFB">
        <w:t xml:space="preserve"> </w:t>
      </w:r>
      <w:r>
        <w:t>RF Development, LLC (filed Apr. 22, 2015) (“Petition”).</w:t>
      </w:r>
    </w:p>
  </w:footnote>
  <w:footnote w:id="3">
    <w:p w14:paraId="145C1E2F" w14:textId="77777777" w:rsidR="00C470AD" w:rsidRPr="00C470AD" w:rsidRDefault="00C470AD" w:rsidP="00C470AD">
      <w:pPr>
        <w:pStyle w:val="FootnoteText"/>
      </w:pPr>
      <w:r>
        <w:rPr>
          <w:rStyle w:val="FootnoteReference"/>
        </w:rPr>
        <w:footnoteRef/>
      </w:r>
      <w:r>
        <w:t xml:space="preserve"> RF Development, LLC, </w:t>
      </w:r>
      <w:r>
        <w:rPr>
          <w:i/>
        </w:rPr>
        <w:t>Memorandum Opinion and Order</w:t>
      </w:r>
      <w:r>
        <w:t xml:space="preserve">, </w:t>
      </w:r>
      <w:r w:rsidRPr="00C470AD">
        <w:t>30 FCC Rcd 2865</w:t>
      </w:r>
      <w:r>
        <w:t xml:space="preserve"> (WTB BD 2015) (“</w:t>
      </w:r>
      <w:r w:rsidR="00AC7377" w:rsidRPr="00AC7377">
        <w:rPr>
          <w:i/>
        </w:rPr>
        <w:t>MO&amp;O</w:t>
      </w:r>
      <w:r>
        <w:t xml:space="preserve">”). </w:t>
      </w:r>
    </w:p>
  </w:footnote>
  <w:footnote w:id="4">
    <w:p w14:paraId="145C1E30" w14:textId="77777777" w:rsidR="00B367DB" w:rsidRDefault="00B367DB" w:rsidP="00E46403">
      <w:pPr>
        <w:pStyle w:val="FootnoteText"/>
      </w:pPr>
      <w:r>
        <w:rPr>
          <w:rStyle w:val="FootnoteReference"/>
        </w:rPr>
        <w:footnoteRef/>
      </w:r>
      <w:r>
        <w:t xml:space="preserve"> </w:t>
      </w:r>
      <w:r>
        <w:rPr>
          <w:i/>
        </w:rPr>
        <w:t xml:space="preserve">See </w:t>
      </w:r>
      <w:r>
        <w:t xml:space="preserve">47 C.F.R. § 101.1013(b).  </w:t>
      </w:r>
    </w:p>
  </w:footnote>
  <w:footnote w:id="5">
    <w:p w14:paraId="145C1E31" w14:textId="77777777" w:rsidR="00B367DB" w:rsidRDefault="00B367DB" w:rsidP="009B5BFB">
      <w:pPr>
        <w:pStyle w:val="FootnoteText"/>
      </w:pPr>
      <w:r>
        <w:rPr>
          <w:rStyle w:val="FootnoteReference"/>
        </w:rPr>
        <w:footnoteRef/>
      </w:r>
      <w:r>
        <w:t xml:space="preserve"> </w:t>
      </w:r>
      <w:r>
        <w:rPr>
          <w:i/>
        </w:rPr>
        <w:t xml:space="preserve">See </w:t>
      </w:r>
      <w:r w:rsidR="009B5BFB" w:rsidRPr="009B5BFB">
        <w:t>Rulemaking to Amend Parts 1, 2, 21, and 25 of the Commission’s Rules to Redesignate the 27.5 GHz</w:t>
      </w:r>
      <w:r w:rsidR="009B5BFB">
        <w:t xml:space="preserve"> </w:t>
      </w:r>
      <w:r w:rsidR="009B5BFB" w:rsidRPr="009B5BFB">
        <w:t>Frequency Band, to Reallocate the 29.5-30.0 GHz Frequency Band, to Establish Rules and Policies For Local</w:t>
      </w:r>
      <w:r w:rsidR="009B5BFB">
        <w:t xml:space="preserve"> </w:t>
      </w:r>
      <w:r w:rsidR="009B5BFB" w:rsidRPr="009B5BFB">
        <w:t>Multipoint Distribution Service and For Fixed Satellite Services, CC Docket No. 92-297</w:t>
      </w:r>
      <w:r w:rsidR="009B5BFB">
        <w:rPr>
          <w:i/>
        </w:rPr>
        <w:t>, Second Report and Order</w:t>
      </w:r>
      <w:r w:rsidR="009B5BFB">
        <w:t xml:space="preserve">, </w:t>
      </w:r>
      <w:r w:rsidR="009B5BFB" w:rsidRPr="009B5BFB">
        <w:rPr>
          <w:i/>
        </w:rPr>
        <w:t>Order on Reconsideration and Fifth Notice of Proposed Rulemaking</w:t>
      </w:r>
      <w:r w:rsidR="009B5BFB" w:rsidRPr="009B5BFB">
        <w:t>, 12 FCC Rcd 12545, 1265</w:t>
      </w:r>
      <w:r w:rsidR="009B5BFB">
        <w:t>7</w:t>
      </w:r>
      <w:r w:rsidR="009B5BFB" w:rsidRPr="009B5BFB">
        <w:t xml:space="preserve"> ¶ </w:t>
      </w:r>
      <w:r w:rsidR="009B5BFB">
        <w:t>259</w:t>
      </w:r>
      <w:r w:rsidR="009B5BFB" w:rsidRPr="009B5BFB">
        <w:t xml:space="preserve"> (1997) </w:t>
      </w:r>
      <w:r w:rsidR="009B5BFB">
        <w:t>(</w:t>
      </w:r>
      <w:r>
        <w:rPr>
          <w:i/>
        </w:rPr>
        <w:t>Second LMDS Report and Order</w:t>
      </w:r>
      <w:r w:rsidR="009B5BFB">
        <w:t>)</w:t>
      </w:r>
      <w:r>
        <w:t xml:space="preserve">.  Pursuant to 47 C.F.R. § 101.67, LMDS licenses are issued for a period not to exceed ten years, subject to renewal upon demonstration of substantial service.         </w:t>
      </w:r>
    </w:p>
  </w:footnote>
  <w:footnote w:id="6">
    <w:p w14:paraId="145C1E32" w14:textId="77777777" w:rsidR="00B367DB" w:rsidRDefault="00B367DB" w:rsidP="00E46403">
      <w:pPr>
        <w:pStyle w:val="FootnoteText"/>
      </w:pPr>
      <w:r>
        <w:rPr>
          <w:rStyle w:val="FootnoteReference"/>
        </w:rPr>
        <w:footnoteRef/>
      </w:r>
      <w:r>
        <w:t xml:space="preserve"> </w:t>
      </w:r>
      <w:r>
        <w:rPr>
          <w:i/>
        </w:rPr>
        <w:t xml:space="preserve">See </w:t>
      </w:r>
      <w:r>
        <w:t xml:space="preserve">47 C.F.R. § 101.1011(a); </w:t>
      </w:r>
      <w:r>
        <w:rPr>
          <w:i/>
        </w:rPr>
        <w:t xml:space="preserve">see also Second LMDS Report and Order, </w:t>
      </w:r>
      <w:r>
        <w:t xml:space="preserve">12 FCC Rcd at 12658 ¶¶ 261-262.  </w:t>
      </w:r>
    </w:p>
  </w:footnote>
  <w:footnote w:id="7">
    <w:p w14:paraId="145C1E33" w14:textId="77777777" w:rsidR="00B367DB" w:rsidRDefault="00B367DB" w:rsidP="00E46403">
      <w:pPr>
        <w:pStyle w:val="FootnoteText"/>
      </w:pPr>
      <w:r>
        <w:rPr>
          <w:rStyle w:val="FootnoteReference"/>
        </w:rPr>
        <w:footnoteRef/>
      </w:r>
      <w:r>
        <w:t xml:space="preserve"> </w:t>
      </w:r>
      <w:r>
        <w:rPr>
          <w:i/>
        </w:rPr>
        <w:t xml:space="preserve">See </w:t>
      </w:r>
      <w:r>
        <w:t>47 C.F.R. § 101.1011(a).</w:t>
      </w:r>
    </w:p>
  </w:footnote>
  <w:footnote w:id="8">
    <w:p w14:paraId="145C1E34" w14:textId="77777777" w:rsidR="00580E75" w:rsidRPr="003029AE" w:rsidRDefault="00580E75" w:rsidP="00580E75">
      <w:pPr>
        <w:pStyle w:val="FootnoteText"/>
      </w:pPr>
      <w:r>
        <w:rPr>
          <w:rStyle w:val="FootnoteReference"/>
        </w:rPr>
        <w:footnoteRef/>
      </w:r>
      <w:r>
        <w:t xml:space="preserve"> </w:t>
      </w:r>
      <w:r>
        <w:rPr>
          <w:i/>
        </w:rPr>
        <w:t xml:space="preserve">Second LMDS Report and Order, </w:t>
      </w:r>
      <w:r>
        <w:t xml:space="preserve">12 FCC Rcd at 12660 ¶ 269.  </w:t>
      </w:r>
    </w:p>
  </w:footnote>
  <w:footnote w:id="9">
    <w:p w14:paraId="145C1E35" w14:textId="77777777" w:rsidR="00580E75" w:rsidRPr="003029AE" w:rsidRDefault="00580E75" w:rsidP="00580E75">
      <w:pPr>
        <w:pStyle w:val="FootnoteText"/>
      </w:pPr>
      <w:r>
        <w:rPr>
          <w:rStyle w:val="FootnoteReference"/>
        </w:rPr>
        <w:footnoteRef/>
      </w:r>
      <w:r>
        <w:t xml:space="preserve"> </w:t>
      </w:r>
      <w:r>
        <w:rPr>
          <w:i/>
        </w:rPr>
        <w:t xml:space="preserve">Second LMDS Report and Order, </w:t>
      </w:r>
      <w:r>
        <w:t xml:space="preserve">12 FCC Rcd at 12660 ¶¶ 269-270.  </w:t>
      </w:r>
    </w:p>
  </w:footnote>
  <w:footnote w:id="10">
    <w:p w14:paraId="145C1E36" w14:textId="77777777" w:rsidR="00580E75" w:rsidRPr="003029AE" w:rsidRDefault="00580E75" w:rsidP="00580E75">
      <w:pPr>
        <w:pStyle w:val="FootnoteText"/>
      </w:pPr>
      <w:r>
        <w:rPr>
          <w:rStyle w:val="FootnoteReference"/>
        </w:rPr>
        <w:footnoteRef/>
      </w:r>
      <w:r>
        <w:t xml:space="preserve"> </w:t>
      </w:r>
      <w:r>
        <w:rPr>
          <w:i/>
        </w:rPr>
        <w:t xml:space="preserve">Second LMDS Report and Order, </w:t>
      </w:r>
      <w:r>
        <w:t>12 FCC Rcd at 12660 ¶ 270 (internal citations omitted).</w:t>
      </w:r>
      <w:r>
        <w:rPr>
          <w:i/>
        </w:rPr>
        <w:t xml:space="preserve">  </w:t>
      </w:r>
      <w:r>
        <w:t xml:space="preserve">  </w:t>
      </w:r>
    </w:p>
  </w:footnote>
  <w:footnote w:id="11">
    <w:p w14:paraId="145C1E37" w14:textId="77777777" w:rsidR="00580E75" w:rsidRDefault="00580E75" w:rsidP="00580E75">
      <w:pPr>
        <w:pStyle w:val="FootnoteText"/>
      </w:pPr>
      <w:r>
        <w:rPr>
          <w:rStyle w:val="FootnoteReference"/>
        </w:rPr>
        <w:footnoteRef/>
      </w:r>
      <w:r>
        <w:t xml:space="preserve"> </w:t>
      </w:r>
      <w:r>
        <w:rPr>
          <w:i/>
        </w:rPr>
        <w:t xml:space="preserve">Second LMDS Report and Order, </w:t>
      </w:r>
      <w:r>
        <w:t>12 FCC Rcd at 12660 ¶ 270 (internal citations omitted).</w:t>
      </w:r>
    </w:p>
  </w:footnote>
  <w:footnote w:id="12">
    <w:p w14:paraId="145C1E38" w14:textId="77777777" w:rsidR="00580E75" w:rsidRPr="003029AE" w:rsidRDefault="00580E75" w:rsidP="00580E75">
      <w:pPr>
        <w:pStyle w:val="FootnoteText"/>
      </w:pPr>
      <w:r>
        <w:rPr>
          <w:rStyle w:val="FootnoteReference"/>
        </w:rPr>
        <w:footnoteRef/>
      </w:r>
      <w:r>
        <w:t xml:space="preserve"> </w:t>
      </w:r>
      <w:r>
        <w:rPr>
          <w:i/>
        </w:rPr>
        <w:t xml:space="preserve">Second LMDS Report and Order, </w:t>
      </w:r>
      <w:r>
        <w:t>12 FCC Rcd at 12660-12661 ¶ 270.</w:t>
      </w:r>
      <w:r>
        <w:rPr>
          <w:i/>
        </w:rPr>
        <w:t xml:space="preserve"> </w:t>
      </w:r>
      <w:r>
        <w:t xml:space="preserve">  </w:t>
      </w:r>
    </w:p>
  </w:footnote>
  <w:footnote w:id="13">
    <w:p w14:paraId="145C1E39" w14:textId="77777777" w:rsidR="00F84D9D" w:rsidRDefault="00F84D9D" w:rsidP="00E46403">
      <w:pPr>
        <w:pStyle w:val="FootnoteText"/>
      </w:pPr>
      <w:r>
        <w:rPr>
          <w:rStyle w:val="FootnoteReference"/>
        </w:rPr>
        <w:footnoteRef/>
      </w:r>
      <w:r>
        <w:t xml:space="preserve"> </w:t>
      </w:r>
      <w:r w:rsidR="00D163EA">
        <w:rPr>
          <w:i/>
        </w:rPr>
        <w:t xml:space="preserve">See </w:t>
      </w:r>
      <w:r>
        <w:t xml:space="preserve">File No. </w:t>
      </w:r>
      <w:r w:rsidRPr="00F84D9D">
        <w:t>0000000096</w:t>
      </w:r>
      <w:r>
        <w:t xml:space="preserve"> (granted July 24, 1998).</w:t>
      </w:r>
    </w:p>
  </w:footnote>
  <w:footnote w:id="14">
    <w:p w14:paraId="145C1E3A" w14:textId="77777777" w:rsidR="00686D54" w:rsidRDefault="00686D54" w:rsidP="00E46403">
      <w:pPr>
        <w:pStyle w:val="FootnoteText"/>
        <w:tabs>
          <w:tab w:val="left" w:pos="2520"/>
        </w:tabs>
      </w:pPr>
      <w:r>
        <w:rPr>
          <w:rStyle w:val="FootnoteReference"/>
        </w:rPr>
        <w:footnoteRef/>
      </w:r>
      <w:r>
        <w:t xml:space="preserve"> </w:t>
      </w:r>
      <w:r>
        <w:rPr>
          <w:i/>
        </w:rPr>
        <w:t xml:space="preserve">See Second LMDS Report and Order, </w:t>
      </w:r>
      <w:r>
        <w:t>12 FCC Rcd at 12657 ¶ 259.</w:t>
      </w:r>
      <w:r w:rsidR="004C3B28">
        <w:t xml:space="preserve">  On May 7, 2008, RF filed an application for an extension of time to demonstrate substantial service for LMDS Station WPOH612.  File No. </w:t>
      </w:r>
      <w:r w:rsidR="004C3B28" w:rsidRPr="00C74314">
        <w:t xml:space="preserve">0003430505 </w:t>
      </w:r>
      <w:r w:rsidR="004C3B28">
        <w:t>(filed May 7, 2008)</w:t>
      </w:r>
      <w:r w:rsidR="00D11F48">
        <w:t xml:space="preserve">; </w:t>
      </w:r>
      <w:r w:rsidR="00D11F48">
        <w:rPr>
          <w:i/>
        </w:rPr>
        <w:t xml:space="preserve">see </w:t>
      </w:r>
      <w:r w:rsidR="00D11F48">
        <w:t xml:space="preserve">File No. </w:t>
      </w:r>
      <w:r w:rsidR="00D11F48" w:rsidRPr="007332D8">
        <w:t>0003430505</w:t>
      </w:r>
      <w:r w:rsidR="00D11F48">
        <w:t xml:space="preserve"> (granting RF an extension of time to demonstrate substantial service for LMDS Station WPOH612 until June 1, 2012); </w:t>
      </w:r>
      <w:r w:rsidR="00D11F48">
        <w:rPr>
          <w:i/>
        </w:rPr>
        <w:t xml:space="preserve">see also </w:t>
      </w:r>
      <w:r w:rsidR="004C3B28">
        <w:t xml:space="preserve">Applications filed by Licensees in the Local Multipoint Distribution Service (LMDS) Seeking Waivers of Section 101.1011 of the Commission’s Rules and Extensions of Time to Construct and Demonstrate Substantial Service, </w:t>
      </w:r>
      <w:r w:rsidR="004C3B28">
        <w:rPr>
          <w:i/>
        </w:rPr>
        <w:t>Memorandum Opinion and Order</w:t>
      </w:r>
      <w:r w:rsidR="004C3B28">
        <w:t>, 23 FCC Rcd 5894 (WTB 2008)</w:t>
      </w:r>
      <w:r w:rsidR="00D11F48">
        <w:t xml:space="preserve">.  </w:t>
      </w:r>
      <w:r w:rsidR="004C3B28">
        <w:t xml:space="preserve">  </w:t>
      </w:r>
    </w:p>
  </w:footnote>
  <w:footnote w:id="15">
    <w:p w14:paraId="145C1E3B" w14:textId="77777777" w:rsidR="00E56718" w:rsidRDefault="00E56718" w:rsidP="00E46403">
      <w:pPr>
        <w:pStyle w:val="FootnoteText"/>
      </w:pPr>
      <w:r>
        <w:rPr>
          <w:rStyle w:val="FootnoteReference"/>
        </w:rPr>
        <w:footnoteRef/>
      </w:r>
      <w:r>
        <w:t xml:space="preserve"> </w:t>
      </w:r>
      <w:r>
        <w:rPr>
          <w:i/>
        </w:rPr>
        <w:t>See</w:t>
      </w:r>
      <w:r>
        <w:t xml:space="preserve"> File No</w:t>
      </w:r>
      <w:r w:rsidR="00190229">
        <w:t>.</w:t>
      </w:r>
      <w:r>
        <w:t xml:space="preserve"> </w:t>
      </w:r>
      <w:r w:rsidR="00190229" w:rsidRPr="00190229">
        <w:t>0004994058</w:t>
      </w:r>
      <w:r>
        <w:t xml:space="preserve"> (filed </w:t>
      </w:r>
      <w:r w:rsidR="00190229">
        <w:t>Dec. 16, 2011</w:t>
      </w:r>
      <w:r>
        <w:t>)</w:t>
      </w:r>
      <w:r w:rsidR="00A73587">
        <w:t xml:space="preserve"> (“Construction Notification”)</w:t>
      </w:r>
      <w:r w:rsidR="00190229">
        <w:t xml:space="preserve">, </w:t>
      </w:r>
      <w:r w:rsidR="00190229" w:rsidRPr="00190229">
        <w:t xml:space="preserve">Substantial Service Demonstration </w:t>
      </w:r>
      <w:r w:rsidR="00190229">
        <w:t xml:space="preserve">for </w:t>
      </w:r>
      <w:r w:rsidR="00190229" w:rsidRPr="00190229">
        <w:t>WPOH612</w:t>
      </w:r>
      <w:r>
        <w:t xml:space="preserve"> (</w:t>
      </w:r>
      <w:r w:rsidR="00190229">
        <w:t>“Substantial Service Showing”</w:t>
      </w:r>
      <w:r>
        <w:t xml:space="preserve">). </w:t>
      </w:r>
    </w:p>
  </w:footnote>
  <w:footnote w:id="16">
    <w:p w14:paraId="145C1E3C" w14:textId="77777777" w:rsidR="00190229" w:rsidRDefault="00190229" w:rsidP="00E46403">
      <w:pPr>
        <w:pStyle w:val="FootnoteText"/>
      </w:pPr>
      <w:r>
        <w:rPr>
          <w:rStyle w:val="FootnoteReference"/>
        </w:rPr>
        <w:footnoteRef/>
      </w:r>
      <w:r>
        <w:t xml:space="preserve"> Substantial Service Showing at 1.  </w:t>
      </w:r>
    </w:p>
  </w:footnote>
  <w:footnote w:id="17">
    <w:p w14:paraId="145C1E3D" w14:textId="77777777" w:rsidR="002E7A9B" w:rsidRDefault="002E7A9B" w:rsidP="00E46403">
      <w:pPr>
        <w:pStyle w:val="FootnoteText"/>
      </w:pPr>
      <w:r>
        <w:rPr>
          <w:rStyle w:val="FootnoteReference"/>
        </w:rPr>
        <w:footnoteRef/>
      </w:r>
      <w:r>
        <w:t xml:space="preserve"> Substantial Service Showing at 2.</w:t>
      </w:r>
    </w:p>
  </w:footnote>
  <w:footnote w:id="18">
    <w:p w14:paraId="145C1E3E" w14:textId="77777777" w:rsidR="002E7A9B" w:rsidRDefault="002E7A9B" w:rsidP="00E46403">
      <w:pPr>
        <w:pStyle w:val="FootnoteText"/>
      </w:pPr>
      <w:r>
        <w:rPr>
          <w:rStyle w:val="FootnoteReference"/>
        </w:rPr>
        <w:footnoteRef/>
      </w:r>
      <w:r>
        <w:t xml:space="preserve"> Substantial Service Showing at 2.</w:t>
      </w:r>
    </w:p>
  </w:footnote>
  <w:footnote w:id="19">
    <w:p w14:paraId="145C1E3F" w14:textId="77777777" w:rsidR="002E7A9B" w:rsidRDefault="002E7A9B" w:rsidP="00E46403">
      <w:pPr>
        <w:pStyle w:val="FootnoteText"/>
      </w:pPr>
      <w:r>
        <w:rPr>
          <w:rStyle w:val="FootnoteReference"/>
        </w:rPr>
        <w:footnoteRef/>
      </w:r>
      <w:r>
        <w:t xml:space="preserve"> Substantial Service Showing at 2.</w:t>
      </w:r>
    </w:p>
  </w:footnote>
  <w:footnote w:id="20">
    <w:p w14:paraId="145C1E40" w14:textId="77777777" w:rsidR="002F48CE" w:rsidRDefault="002F48CE" w:rsidP="00E46403">
      <w:pPr>
        <w:pStyle w:val="FootnoteText"/>
      </w:pPr>
      <w:r>
        <w:rPr>
          <w:rStyle w:val="FootnoteReference"/>
        </w:rPr>
        <w:footnoteRef/>
      </w:r>
      <w:r>
        <w:t xml:space="preserve"> </w:t>
      </w:r>
      <w:r w:rsidRPr="002F48CE">
        <w:t>Notice of Return, Ref. No. 5420398 (</w:t>
      </w:r>
      <w:r>
        <w:t>Aug. 3</w:t>
      </w:r>
      <w:r w:rsidRPr="002F48CE">
        <w:t>, 201</w:t>
      </w:r>
      <w:r>
        <w:t>2</w:t>
      </w:r>
      <w:r w:rsidRPr="002F48CE">
        <w:t>) (First Return Letter).</w:t>
      </w:r>
    </w:p>
  </w:footnote>
  <w:footnote w:id="21">
    <w:p w14:paraId="145C1E41" w14:textId="77777777" w:rsidR="00662317" w:rsidRDefault="00662317" w:rsidP="00E46403">
      <w:pPr>
        <w:pStyle w:val="FootnoteText"/>
      </w:pPr>
      <w:r>
        <w:rPr>
          <w:rStyle w:val="FootnoteReference"/>
        </w:rPr>
        <w:footnoteRef/>
      </w:r>
      <w:r>
        <w:t xml:space="preserve"> </w:t>
      </w:r>
      <w:r w:rsidR="0025459C">
        <w:t xml:space="preserve">Construction Notification </w:t>
      </w:r>
      <w:r>
        <w:t xml:space="preserve">(amended Oct. 1, 2012).  </w:t>
      </w:r>
    </w:p>
  </w:footnote>
  <w:footnote w:id="22">
    <w:p w14:paraId="145C1E42" w14:textId="77777777" w:rsidR="002B2E4A" w:rsidRDefault="002B2E4A" w:rsidP="00E46403">
      <w:pPr>
        <w:pStyle w:val="FootnoteText"/>
      </w:pPr>
      <w:r>
        <w:rPr>
          <w:rStyle w:val="FootnoteReference"/>
        </w:rPr>
        <w:footnoteRef/>
      </w:r>
      <w:r w:rsidR="0025459C">
        <w:t xml:space="preserve"> Construction Notification</w:t>
      </w:r>
      <w:r>
        <w:t xml:space="preserve">, Amended Substantial Service Showing at 2.  </w:t>
      </w:r>
    </w:p>
  </w:footnote>
  <w:footnote w:id="23">
    <w:p w14:paraId="145C1E43" w14:textId="77777777" w:rsidR="00C75A87" w:rsidRDefault="00C75A87" w:rsidP="00E46403">
      <w:pPr>
        <w:pStyle w:val="FootnoteText"/>
      </w:pPr>
      <w:r>
        <w:rPr>
          <w:rStyle w:val="FootnoteReference"/>
        </w:rPr>
        <w:footnoteRef/>
      </w:r>
      <w:r>
        <w:t xml:space="preserve"> Amended Substantial Service Showing at 2.</w:t>
      </w:r>
    </w:p>
  </w:footnote>
  <w:footnote w:id="24">
    <w:p w14:paraId="145C1E44" w14:textId="77777777" w:rsidR="00230397" w:rsidRDefault="00230397" w:rsidP="00E46403">
      <w:pPr>
        <w:pStyle w:val="FootnoteText"/>
      </w:pPr>
      <w:r>
        <w:rPr>
          <w:rStyle w:val="FootnoteReference"/>
        </w:rPr>
        <w:footnoteRef/>
      </w:r>
      <w:r>
        <w:t xml:space="preserve"> </w:t>
      </w:r>
      <w:r w:rsidR="00F13430">
        <w:t xml:space="preserve">E-mail from John. J. Schauble, Deputy Division Chief, Broadband Division, Wireless Telecommunications Bureau, </w:t>
      </w:r>
      <w:r w:rsidR="00965E63">
        <w:t xml:space="preserve">FCC, </w:t>
      </w:r>
      <w:r w:rsidR="00F13430">
        <w:t xml:space="preserve">to Charles E. Walters, Managing Director, RF Development, LLC (Apr. 23, 2012) (“April 2012 Email”).  </w:t>
      </w:r>
    </w:p>
  </w:footnote>
  <w:footnote w:id="25">
    <w:p w14:paraId="145C1E45" w14:textId="77777777" w:rsidR="00230397" w:rsidRPr="00881702" w:rsidRDefault="00230397" w:rsidP="00E46403">
      <w:pPr>
        <w:pStyle w:val="FootnoteText"/>
        <w:rPr>
          <w:i/>
        </w:rPr>
      </w:pPr>
      <w:r>
        <w:rPr>
          <w:rStyle w:val="FootnoteReference"/>
        </w:rPr>
        <w:footnoteRef/>
      </w:r>
      <w:r>
        <w:t xml:space="preserve"> </w:t>
      </w:r>
      <w:r>
        <w:rPr>
          <w:i/>
        </w:rPr>
        <w:t xml:space="preserve">See id. </w:t>
      </w:r>
    </w:p>
  </w:footnote>
  <w:footnote w:id="26">
    <w:p w14:paraId="145C1E46" w14:textId="77777777" w:rsidR="00230397" w:rsidRPr="00DE22E2" w:rsidRDefault="00230397" w:rsidP="00E46403">
      <w:pPr>
        <w:pStyle w:val="FootnoteText"/>
        <w:rPr>
          <w:i/>
        </w:rPr>
      </w:pPr>
      <w:r>
        <w:rPr>
          <w:rStyle w:val="FootnoteReference"/>
        </w:rPr>
        <w:footnoteRef/>
      </w:r>
      <w:r>
        <w:t xml:space="preserve"> </w:t>
      </w:r>
      <w:r w:rsidRPr="00DE22E2">
        <w:rPr>
          <w:i/>
        </w:rPr>
        <w:t>See</w:t>
      </w:r>
      <w:r>
        <w:t xml:space="preserve"> </w:t>
      </w:r>
      <w:r w:rsidRPr="00DE22E2">
        <w:rPr>
          <w:i/>
        </w:rPr>
        <w:t>i</w:t>
      </w:r>
      <w:r>
        <w:rPr>
          <w:i/>
        </w:rPr>
        <w:t xml:space="preserve">d.  </w:t>
      </w:r>
      <w:r w:rsidRPr="00F07568">
        <w:t>Although the Bureau noted RF’s argument that Ocean City is a summer recreation destination, the Bureau explained that the description of services provided was too generic to conclude that such services were targeted towards the summer population of Ocean City or a niche market.</w:t>
      </w:r>
      <w:r>
        <w:t xml:space="preserve">  </w:t>
      </w:r>
      <w:r>
        <w:rPr>
          <w:i/>
        </w:rPr>
        <w:t xml:space="preserve">See id.  </w:t>
      </w:r>
      <w:r>
        <w:t xml:space="preserve">The Bureau stated that it </w:t>
      </w:r>
      <w:r w:rsidRPr="00F07568">
        <w:t>might be able to make such a finding</w:t>
      </w:r>
      <w:r>
        <w:t xml:space="preserve"> with additional information</w:t>
      </w:r>
      <w:r w:rsidRPr="00F07568">
        <w:t>.</w:t>
      </w:r>
      <w:r>
        <w:t xml:space="preserve">  </w:t>
      </w:r>
      <w:r>
        <w:rPr>
          <w:i/>
        </w:rPr>
        <w:t>Id.</w:t>
      </w:r>
      <w:r>
        <w:t xml:space="preserve">    </w:t>
      </w:r>
      <w:r>
        <w:rPr>
          <w:i/>
        </w:rPr>
        <w:t xml:space="preserve">  </w:t>
      </w:r>
      <w:r w:rsidRPr="00F07568">
        <w:rPr>
          <w:i/>
        </w:rPr>
        <w:t xml:space="preserve"> </w:t>
      </w:r>
      <w:r w:rsidRPr="00DE22E2">
        <w:t xml:space="preserve">   </w:t>
      </w:r>
      <w:r>
        <w:rPr>
          <w:i/>
        </w:rPr>
        <w:t xml:space="preserve">  </w:t>
      </w:r>
    </w:p>
  </w:footnote>
  <w:footnote w:id="27">
    <w:p w14:paraId="145C1E47" w14:textId="77777777" w:rsidR="00230397" w:rsidRPr="00881702" w:rsidRDefault="00230397" w:rsidP="00E46403">
      <w:pPr>
        <w:pStyle w:val="FootnoteText"/>
        <w:rPr>
          <w:i/>
        </w:rPr>
      </w:pPr>
      <w:r>
        <w:rPr>
          <w:rStyle w:val="FootnoteReference"/>
        </w:rPr>
        <w:footnoteRef/>
      </w:r>
      <w:r>
        <w:t xml:space="preserve"> </w:t>
      </w:r>
      <w:r>
        <w:rPr>
          <w:i/>
        </w:rPr>
        <w:t xml:space="preserve">See id. </w:t>
      </w:r>
    </w:p>
  </w:footnote>
  <w:footnote w:id="28">
    <w:p w14:paraId="145C1E48" w14:textId="77777777" w:rsidR="009B57E1" w:rsidRDefault="009B57E1" w:rsidP="00E46403">
      <w:pPr>
        <w:pStyle w:val="FootnoteText"/>
      </w:pPr>
      <w:r>
        <w:rPr>
          <w:rStyle w:val="FootnoteReference"/>
        </w:rPr>
        <w:footnoteRef/>
      </w:r>
      <w:r>
        <w:t xml:space="preserve"> </w:t>
      </w:r>
      <w:r w:rsidR="0025459C">
        <w:t xml:space="preserve">Construction Notification </w:t>
      </w:r>
      <w:r>
        <w:t>(amended May 28, 201</w:t>
      </w:r>
      <w:r w:rsidR="0025459C">
        <w:t>4</w:t>
      </w:r>
      <w:r>
        <w:t>), Second Amended Substantial Service Showing at 2.</w:t>
      </w:r>
    </w:p>
  </w:footnote>
  <w:footnote w:id="29">
    <w:p w14:paraId="145C1E49" w14:textId="77777777" w:rsidR="006C73FB" w:rsidRDefault="006C73FB" w:rsidP="00E46403">
      <w:pPr>
        <w:pStyle w:val="FootnoteText"/>
      </w:pPr>
      <w:r>
        <w:rPr>
          <w:rStyle w:val="FootnoteReference"/>
        </w:rPr>
        <w:footnoteRef/>
      </w:r>
      <w:r>
        <w:t xml:space="preserve"> Second Amended Substantial Service Showing at 3.</w:t>
      </w:r>
      <w:r w:rsidR="00841B4B">
        <w:t xml:space="preserve">  </w:t>
      </w:r>
    </w:p>
  </w:footnote>
  <w:footnote w:id="30">
    <w:p w14:paraId="145C1E4A" w14:textId="77777777" w:rsidR="00841B4B" w:rsidRDefault="00841B4B" w:rsidP="00E46403">
      <w:pPr>
        <w:pStyle w:val="FootnoteText"/>
      </w:pPr>
      <w:r>
        <w:rPr>
          <w:rStyle w:val="FootnoteReference"/>
        </w:rPr>
        <w:footnoteRef/>
      </w:r>
      <w:r>
        <w:t xml:space="preserve"> </w:t>
      </w:r>
      <w:r w:rsidR="00323E80">
        <w:t xml:space="preserve">Second Amended Substantial Service Showing at 3.  </w:t>
      </w:r>
    </w:p>
  </w:footnote>
  <w:footnote w:id="31">
    <w:p w14:paraId="145C1E4B" w14:textId="77777777" w:rsidR="00323E80" w:rsidRDefault="00323E80" w:rsidP="00E46403">
      <w:pPr>
        <w:pStyle w:val="FootnoteText"/>
      </w:pPr>
      <w:r>
        <w:rPr>
          <w:rStyle w:val="FootnoteReference"/>
        </w:rPr>
        <w:footnoteRef/>
      </w:r>
      <w:r>
        <w:t xml:space="preserve"> Second Amended Substantial Service Showing at 4</w:t>
      </w:r>
      <w:r w:rsidR="00B6446C">
        <w:t xml:space="preserve"> (referencing </w:t>
      </w:r>
      <w:r w:rsidRPr="00323E80">
        <w:t>Webster</w:t>
      </w:r>
      <w:r w:rsidR="00B6446C">
        <w:t>’</w:t>
      </w:r>
      <w:r w:rsidRPr="00323E80">
        <w:t>s New World Dictionary and Thesaurus, Second Edition defin</w:t>
      </w:r>
      <w:r w:rsidR="00B6446C">
        <w:t>ition of “</w:t>
      </w:r>
      <w:r w:rsidRPr="00323E80">
        <w:t>niche</w:t>
      </w:r>
      <w:r w:rsidR="00B6446C">
        <w:t>”</w:t>
      </w:r>
      <w:r w:rsidRPr="00323E80">
        <w:t xml:space="preserve"> as </w:t>
      </w:r>
      <w:r w:rsidR="00B6446C">
        <w:t>“</w:t>
      </w:r>
      <w:r w:rsidRPr="00323E80">
        <w:t>a</w:t>
      </w:r>
      <w:r w:rsidR="00B6446C">
        <w:t xml:space="preserve"> specialized business market”).   </w:t>
      </w:r>
    </w:p>
  </w:footnote>
  <w:footnote w:id="32">
    <w:p w14:paraId="145C1E4C" w14:textId="77777777" w:rsidR="00B6446C" w:rsidRDefault="00B6446C" w:rsidP="00E46403">
      <w:pPr>
        <w:pStyle w:val="FootnoteText"/>
      </w:pPr>
      <w:r>
        <w:rPr>
          <w:rStyle w:val="FootnoteReference"/>
        </w:rPr>
        <w:footnoteRef/>
      </w:r>
      <w:r>
        <w:t xml:space="preserve"> Second Amended Substantial Service Showing at 4.</w:t>
      </w:r>
    </w:p>
  </w:footnote>
  <w:footnote w:id="33">
    <w:p w14:paraId="145C1E4D" w14:textId="77777777" w:rsidR="00B6446C" w:rsidRDefault="00B6446C" w:rsidP="00E46403">
      <w:pPr>
        <w:pStyle w:val="FootnoteText"/>
      </w:pPr>
      <w:r>
        <w:rPr>
          <w:rStyle w:val="FootnoteReference"/>
        </w:rPr>
        <w:footnoteRef/>
      </w:r>
      <w:r>
        <w:t xml:space="preserve"> Second Amended Substantial Service Showing at 4.</w:t>
      </w:r>
    </w:p>
  </w:footnote>
  <w:footnote w:id="34">
    <w:p w14:paraId="145C1E4E" w14:textId="77777777" w:rsidR="00E03B3E" w:rsidRDefault="00E03B3E" w:rsidP="00E46403">
      <w:pPr>
        <w:pStyle w:val="FootnoteText"/>
      </w:pPr>
      <w:r>
        <w:rPr>
          <w:rStyle w:val="FootnoteReference"/>
        </w:rPr>
        <w:footnoteRef/>
      </w:r>
      <w:r>
        <w:t xml:space="preserve"> </w:t>
      </w:r>
      <w:r w:rsidR="00435475">
        <w:t>E-mail from John. J. Schauble, Deputy Division Chief, Broadband Division, Wireless Telecommunications Bureau, FCC, to Charles E. Walters, Managing Director, RF Development, LLC (Jul</w:t>
      </w:r>
      <w:r w:rsidR="00E573C0">
        <w:t>y</w:t>
      </w:r>
      <w:r w:rsidR="00435475">
        <w:t xml:space="preserve"> </w:t>
      </w:r>
      <w:r w:rsidR="00E573C0">
        <w:t>31, 2014).</w:t>
      </w:r>
      <w:r>
        <w:t xml:space="preserve">  </w:t>
      </w:r>
    </w:p>
  </w:footnote>
  <w:footnote w:id="35">
    <w:p w14:paraId="145C1E4F" w14:textId="77777777" w:rsidR="00771B2A" w:rsidRDefault="00771B2A" w:rsidP="00E46403">
      <w:pPr>
        <w:pStyle w:val="FootnoteText"/>
      </w:pPr>
      <w:r>
        <w:rPr>
          <w:rStyle w:val="FootnoteReference"/>
        </w:rPr>
        <w:footnoteRef/>
      </w:r>
      <w:r>
        <w:t xml:space="preserve"> E-mail from Charles E. Walters, Managing Director, RF Development, LLC, to John. J. Schauble, Deputy Division Chief, Broadband Division, Wireless Telecommunications Bureau, FCC (Aug. 20, 2014).  </w:t>
      </w:r>
    </w:p>
  </w:footnote>
  <w:footnote w:id="36">
    <w:p w14:paraId="145C1E50" w14:textId="77777777" w:rsidR="00094D5A" w:rsidRDefault="00094D5A" w:rsidP="00E46403">
      <w:pPr>
        <w:pStyle w:val="FootnoteText"/>
      </w:pPr>
      <w:r>
        <w:rPr>
          <w:rStyle w:val="FootnoteReference"/>
        </w:rPr>
        <w:footnoteRef/>
      </w:r>
      <w:r w:rsidR="00684D1B">
        <w:t xml:space="preserve"> </w:t>
      </w:r>
      <w:r w:rsidR="00684D1B">
        <w:rPr>
          <w:i/>
        </w:rPr>
        <w:t xml:space="preserve">Id. </w:t>
      </w:r>
      <w:r>
        <w:t xml:space="preserve">  </w:t>
      </w:r>
    </w:p>
  </w:footnote>
  <w:footnote w:id="37">
    <w:p w14:paraId="145C1E51" w14:textId="77777777" w:rsidR="00094D5A" w:rsidRDefault="00094D5A" w:rsidP="00E46403">
      <w:pPr>
        <w:pStyle w:val="FootnoteText"/>
      </w:pPr>
      <w:r>
        <w:rPr>
          <w:rStyle w:val="FootnoteReference"/>
        </w:rPr>
        <w:footnoteRef/>
      </w:r>
      <w:r w:rsidR="00684D1B">
        <w:t xml:space="preserve"> </w:t>
      </w:r>
      <w:r w:rsidR="00684D1B">
        <w:rPr>
          <w:i/>
        </w:rPr>
        <w:t xml:space="preserve">Id. </w:t>
      </w:r>
      <w:r>
        <w:t xml:space="preserve">  </w:t>
      </w:r>
    </w:p>
  </w:footnote>
  <w:footnote w:id="38">
    <w:p w14:paraId="145C1E52" w14:textId="77777777" w:rsidR="00720A0F" w:rsidRPr="009026FC" w:rsidRDefault="00720A0F" w:rsidP="00E46403">
      <w:pPr>
        <w:pStyle w:val="FootnoteText"/>
        <w:rPr>
          <w:u w:val="single"/>
        </w:rPr>
      </w:pPr>
      <w:r>
        <w:rPr>
          <w:rStyle w:val="FootnoteReference"/>
        </w:rPr>
        <w:footnoteRef/>
      </w:r>
      <w:r w:rsidR="002A61F2">
        <w:t xml:space="preserve"> Construction Notification</w:t>
      </w:r>
      <w:r w:rsidR="001B0DE1">
        <w:t>,</w:t>
      </w:r>
      <w:r>
        <w:t xml:space="preserve"> </w:t>
      </w:r>
      <w:r w:rsidR="001B0DE1">
        <w:t xml:space="preserve">Third </w:t>
      </w:r>
      <w:r>
        <w:t xml:space="preserve">Amended Substantial Service Showing (filed </w:t>
      </w:r>
      <w:r w:rsidR="001B0DE1">
        <w:t xml:space="preserve">Sep. 19, 2014) </w:t>
      </w:r>
      <w:r>
        <w:t xml:space="preserve">at </w:t>
      </w:r>
      <w:r w:rsidR="001B0DE1">
        <w:t>3</w:t>
      </w:r>
      <w:r>
        <w:t>.</w:t>
      </w:r>
      <w:r w:rsidR="001B0DE1">
        <w:t xml:space="preserve">  RF notes that the </w:t>
      </w:r>
      <w:r w:rsidR="001B0DE1" w:rsidRPr="001B0DE1">
        <w:t xml:space="preserve">2010 Census data for the Salisbury BTA 398 reports the population of the five Maryland counties of Wicomico, Caroline, Worchester, Somerset and </w:t>
      </w:r>
      <w:r w:rsidR="001B0DE1">
        <w:t xml:space="preserve">Dorchester comprising the BTA to be </w:t>
      </w:r>
      <w:r w:rsidR="001B0DE1" w:rsidRPr="001B0DE1">
        <w:t>242,341.</w:t>
      </w:r>
      <w:r w:rsidR="001B0DE1">
        <w:t xml:space="preserve">  </w:t>
      </w:r>
      <w:r w:rsidR="001B0DE1">
        <w:rPr>
          <w:i/>
        </w:rPr>
        <w:t xml:space="preserve">Id. </w:t>
      </w:r>
      <w:r w:rsidR="001B0DE1">
        <w:t>at 4.</w:t>
      </w:r>
      <w:r w:rsidR="00094D5A">
        <w:t xml:space="preserve">  </w:t>
      </w:r>
      <w:r w:rsidR="001B0DE1">
        <w:t xml:space="preserve">  </w:t>
      </w:r>
      <w:r w:rsidR="001B0DE1">
        <w:rPr>
          <w:i/>
        </w:rPr>
        <w:t xml:space="preserve"> </w:t>
      </w:r>
    </w:p>
  </w:footnote>
  <w:footnote w:id="39">
    <w:p w14:paraId="145C1E53" w14:textId="77777777" w:rsidR="002022F5" w:rsidRDefault="002022F5" w:rsidP="00E46403">
      <w:pPr>
        <w:pStyle w:val="FootnoteText"/>
      </w:pPr>
      <w:r>
        <w:rPr>
          <w:rStyle w:val="FootnoteReference"/>
        </w:rPr>
        <w:footnoteRef/>
      </w:r>
      <w:r>
        <w:t xml:space="preserve"> Third Amended Substantial Service Showing at 4.</w:t>
      </w:r>
      <w:r w:rsidR="009026FC">
        <w:t xml:space="preserve">  RF also therein provided the date the link was constructed; the coordinates for both ends of the link; and the bandwidth of the link.  </w:t>
      </w:r>
      <w:r w:rsidR="009026FC">
        <w:rPr>
          <w:i/>
        </w:rPr>
        <w:t xml:space="preserve">See id.  </w:t>
      </w:r>
      <w:r>
        <w:t xml:space="preserve">  </w:t>
      </w:r>
    </w:p>
  </w:footnote>
  <w:footnote w:id="40">
    <w:p w14:paraId="145C1E54" w14:textId="77777777" w:rsidR="00771B2A" w:rsidRDefault="00771B2A" w:rsidP="00E46403">
      <w:pPr>
        <w:pStyle w:val="FootnoteText"/>
      </w:pPr>
      <w:r>
        <w:rPr>
          <w:rStyle w:val="FootnoteReference"/>
        </w:rPr>
        <w:footnoteRef/>
      </w:r>
      <w:r>
        <w:t xml:space="preserve"> </w:t>
      </w:r>
      <w:r w:rsidR="001B5076" w:rsidRPr="002F48CE">
        <w:t xml:space="preserve">Notice of Return, Ref. No. </w:t>
      </w:r>
      <w:r w:rsidR="001B5076" w:rsidRPr="0067110A">
        <w:t>5900787</w:t>
      </w:r>
      <w:r w:rsidR="001B5076" w:rsidRPr="002F48CE">
        <w:t xml:space="preserve"> (</w:t>
      </w:r>
      <w:r w:rsidR="001B5076">
        <w:t>Nov. 19</w:t>
      </w:r>
      <w:r w:rsidR="001B5076" w:rsidRPr="002F48CE">
        <w:t>, 201</w:t>
      </w:r>
      <w:r w:rsidR="001B5076">
        <w:t>4</w:t>
      </w:r>
      <w:r w:rsidR="001B5076" w:rsidRPr="002F48CE">
        <w:t>) (</w:t>
      </w:r>
      <w:r w:rsidR="001B5076">
        <w:t xml:space="preserve">Second Return Letter) at 1. </w:t>
      </w:r>
    </w:p>
  </w:footnote>
  <w:footnote w:id="41">
    <w:p w14:paraId="145C1E55" w14:textId="77777777" w:rsidR="0067110A" w:rsidRDefault="0067110A" w:rsidP="00E46403">
      <w:pPr>
        <w:pStyle w:val="FootnoteText"/>
      </w:pPr>
      <w:r>
        <w:rPr>
          <w:rStyle w:val="FootnoteReference"/>
        </w:rPr>
        <w:footnoteRef/>
      </w:r>
      <w:r>
        <w:t xml:space="preserve"> Second Return Letter at 1.  </w:t>
      </w:r>
    </w:p>
  </w:footnote>
  <w:footnote w:id="42">
    <w:p w14:paraId="145C1E56" w14:textId="77777777" w:rsidR="0067110A" w:rsidRDefault="0067110A" w:rsidP="00E46403">
      <w:pPr>
        <w:pStyle w:val="FootnoteText"/>
      </w:pPr>
      <w:r>
        <w:rPr>
          <w:rStyle w:val="FootnoteReference"/>
        </w:rPr>
        <w:footnoteRef/>
      </w:r>
      <w:r>
        <w:t xml:space="preserve"> Second Return Letter at 1.  </w:t>
      </w:r>
    </w:p>
  </w:footnote>
  <w:footnote w:id="43">
    <w:p w14:paraId="145C1E57" w14:textId="77777777" w:rsidR="00CF2672" w:rsidRDefault="00CF2672" w:rsidP="00E46403">
      <w:pPr>
        <w:pStyle w:val="FootnoteText"/>
      </w:pPr>
      <w:r>
        <w:rPr>
          <w:rStyle w:val="FootnoteReference"/>
        </w:rPr>
        <w:footnoteRef/>
      </w:r>
      <w:r w:rsidR="00E573C0">
        <w:t xml:space="preserve"> Construction Notification</w:t>
      </w:r>
      <w:r>
        <w:t xml:space="preserve"> (amended Jan. 6, 2015)</w:t>
      </w:r>
      <w:r w:rsidR="00E573C0">
        <w:t>, Fourth Amended Substantial Service Showing</w:t>
      </w:r>
      <w:r>
        <w:t xml:space="preserve">.  </w:t>
      </w:r>
    </w:p>
  </w:footnote>
  <w:footnote w:id="44">
    <w:p w14:paraId="145C1E58" w14:textId="77777777" w:rsidR="00CF2672" w:rsidRDefault="00CF2672" w:rsidP="00E46403">
      <w:pPr>
        <w:pStyle w:val="FootnoteText"/>
      </w:pPr>
      <w:r>
        <w:rPr>
          <w:rStyle w:val="FootnoteReference"/>
        </w:rPr>
        <w:footnoteRef/>
      </w:r>
      <w:r>
        <w:t xml:space="preserve"> </w:t>
      </w:r>
      <w:r w:rsidR="00E573C0">
        <w:t xml:space="preserve">Fourth Amended Substantial Service Showing </w:t>
      </w:r>
      <w:r>
        <w:t>at 2.</w:t>
      </w:r>
    </w:p>
  </w:footnote>
  <w:footnote w:id="45">
    <w:p w14:paraId="145C1E59" w14:textId="77777777" w:rsidR="006461E1" w:rsidRDefault="006461E1" w:rsidP="00E46403">
      <w:pPr>
        <w:pStyle w:val="FootnoteText"/>
      </w:pPr>
      <w:r>
        <w:rPr>
          <w:rStyle w:val="FootnoteReference"/>
        </w:rPr>
        <w:footnoteRef/>
      </w:r>
      <w:r>
        <w:t xml:space="preserve"> Fourth Amended Substantial Service Showing at 2.  </w:t>
      </w:r>
    </w:p>
  </w:footnote>
  <w:footnote w:id="46">
    <w:p w14:paraId="145C1E5A" w14:textId="77777777" w:rsidR="000F3C21" w:rsidRDefault="000F3C21" w:rsidP="00E46403">
      <w:pPr>
        <w:pStyle w:val="FootnoteText"/>
      </w:pPr>
      <w:r>
        <w:rPr>
          <w:rStyle w:val="FootnoteReference"/>
        </w:rPr>
        <w:footnoteRef/>
      </w:r>
      <w:r>
        <w:t xml:space="preserve"> Fourth Amended Substantial Service Showing</w:t>
      </w:r>
      <w:r w:rsidR="003A0B1C">
        <w:t xml:space="preserve"> at 2</w:t>
      </w:r>
      <w:r w:rsidR="003A0B1C">
        <w:rPr>
          <w:i/>
        </w:rPr>
        <w:t xml:space="preserve"> </w:t>
      </w:r>
      <w:r w:rsidR="003A0B1C">
        <w:t>(“</w:t>
      </w:r>
      <w:r w:rsidR="003A0B1C" w:rsidRPr="003A0B1C">
        <w:t>The specific use of the link has been to demonstrate connectivity to the site in order to pursue commercial business opportunities available to RF Development, LLC and its potential business partners with carrier and tower site development customers, not for its own corporate communications purposes.</w:t>
      </w:r>
      <w:r w:rsidR="0063582E">
        <w:t>”).</w:t>
      </w:r>
      <w:r>
        <w:t xml:space="preserve">   </w:t>
      </w:r>
    </w:p>
  </w:footnote>
  <w:footnote w:id="47">
    <w:p w14:paraId="145C1E5B" w14:textId="77777777" w:rsidR="006109ED" w:rsidRDefault="006109ED" w:rsidP="00E46403">
      <w:pPr>
        <w:pStyle w:val="FootnoteText"/>
      </w:pPr>
      <w:r>
        <w:rPr>
          <w:rStyle w:val="FootnoteReference"/>
        </w:rPr>
        <w:footnoteRef/>
      </w:r>
      <w:r>
        <w:t xml:space="preserve"> Fourth Amended Substantial Service Showing at 3.</w:t>
      </w:r>
    </w:p>
  </w:footnote>
  <w:footnote w:id="48">
    <w:p w14:paraId="145C1E5C" w14:textId="77777777" w:rsidR="002D607A" w:rsidRDefault="002D607A" w:rsidP="00E46403">
      <w:pPr>
        <w:pStyle w:val="FootnoteText"/>
      </w:pPr>
      <w:r>
        <w:rPr>
          <w:rStyle w:val="FootnoteReference"/>
        </w:rPr>
        <w:footnoteRef/>
      </w:r>
      <w:r>
        <w:t xml:space="preserve"> Fourth Amended Substantial Service Showing at 3.  </w:t>
      </w:r>
    </w:p>
  </w:footnote>
  <w:footnote w:id="49">
    <w:p w14:paraId="145C1E5D" w14:textId="77777777" w:rsidR="003D66B3" w:rsidRPr="003D66B3" w:rsidRDefault="003D66B3">
      <w:pPr>
        <w:pStyle w:val="FootnoteText"/>
      </w:pPr>
      <w:r>
        <w:rPr>
          <w:rStyle w:val="FootnoteReference"/>
        </w:rPr>
        <w:footnoteRef/>
      </w:r>
      <w:r>
        <w:t xml:space="preserve"> </w:t>
      </w:r>
      <w:r>
        <w:rPr>
          <w:i/>
        </w:rPr>
        <w:t>MO&amp;O</w:t>
      </w:r>
      <w:r>
        <w:t>.</w:t>
      </w:r>
    </w:p>
  </w:footnote>
  <w:footnote w:id="50">
    <w:p w14:paraId="145C1E5E" w14:textId="77777777" w:rsidR="00216DA9" w:rsidRDefault="00216DA9">
      <w:pPr>
        <w:pStyle w:val="FootnoteText"/>
      </w:pPr>
      <w:r>
        <w:rPr>
          <w:rStyle w:val="FootnoteReference"/>
        </w:rPr>
        <w:footnoteRef/>
      </w:r>
      <w:r>
        <w:t xml:space="preserve"> </w:t>
      </w:r>
      <w:r w:rsidR="00AC7377" w:rsidRPr="00AC7377">
        <w:rPr>
          <w:i/>
        </w:rPr>
        <w:t>MO&amp;O</w:t>
      </w:r>
      <w:r>
        <w:t>, 30 FCC Rcd at 287</w:t>
      </w:r>
      <w:r w:rsidR="00E45E08">
        <w:t>0</w:t>
      </w:r>
      <w:r>
        <w:t>-287</w:t>
      </w:r>
      <w:r w:rsidR="00E45E08">
        <w:t>1</w:t>
      </w:r>
      <w:r>
        <w:t xml:space="preserve"> ¶ 16.</w:t>
      </w:r>
    </w:p>
  </w:footnote>
  <w:footnote w:id="51">
    <w:p w14:paraId="145C1E5F" w14:textId="77777777" w:rsidR="00B71BCA" w:rsidRPr="003029AE" w:rsidRDefault="00B71BCA" w:rsidP="00B71BCA">
      <w:pPr>
        <w:pStyle w:val="FootnoteText"/>
      </w:pPr>
      <w:r>
        <w:rPr>
          <w:rStyle w:val="FootnoteReference"/>
        </w:rPr>
        <w:footnoteRef/>
      </w:r>
      <w:r>
        <w:t xml:space="preserve"> </w:t>
      </w:r>
      <w:r>
        <w:rPr>
          <w:i/>
        </w:rPr>
        <w:t xml:space="preserve">Second LMDS Report and Order, </w:t>
      </w:r>
      <w:r>
        <w:t>12 FCC Rcd at 12660 ¶ 270 (internal citations omitted).</w:t>
      </w:r>
      <w:r>
        <w:rPr>
          <w:i/>
        </w:rPr>
        <w:t xml:space="preserve">  </w:t>
      </w:r>
      <w:r>
        <w:t xml:space="preserve">  </w:t>
      </w:r>
    </w:p>
  </w:footnote>
  <w:footnote w:id="52">
    <w:p w14:paraId="145C1E60" w14:textId="77777777" w:rsidR="00B71BCA" w:rsidRDefault="00B71BCA">
      <w:pPr>
        <w:pStyle w:val="FootnoteText"/>
      </w:pPr>
      <w:r>
        <w:rPr>
          <w:rStyle w:val="FootnoteReference"/>
        </w:rPr>
        <w:footnoteRef/>
      </w:r>
      <w:r w:rsidR="00216DA9">
        <w:t xml:space="preserve"> </w:t>
      </w:r>
      <w:r w:rsidR="00AC7377" w:rsidRPr="00AC7377">
        <w:rPr>
          <w:i/>
        </w:rPr>
        <w:t>MO&amp;O</w:t>
      </w:r>
      <w:r w:rsidR="00216DA9">
        <w:t>, 30 FCC Rcd at 287</w:t>
      </w:r>
      <w:r w:rsidR="00E45E08">
        <w:t>0</w:t>
      </w:r>
      <w:r w:rsidR="0063582E">
        <w:t xml:space="preserve"> ¶ 16.</w:t>
      </w:r>
    </w:p>
  </w:footnote>
  <w:footnote w:id="53">
    <w:p w14:paraId="145C1E61" w14:textId="77777777" w:rsidR="00B71BCA" w:rsidRDefault="00B71BCA" w:rsidP="00B71BCA">
      <w:pPr>
        <w:pStyle w:val="FootnoteText"/>
      </w:pPr>
      <w:r>
        <w:rPr>
          <w:rStyle w:val="FootnoteReference"/>
        </w:rPr>
        <w:footnoteRef/>
      </w:r>
      <w:r>
        <w:t xml:space="preserve"> </w:t>
      </w:r>
      <w:r w:rsidR="00AC7377" w:rsidRPr="00AC7377">
        <w:rPr>
          <w:i/>
        </w:rPr>
        <w:t>MO&amp;O</w:t>
      </w:r>
      <w:r w:rsidR="00E45E08">
        <w:t xml:space="preserve">, 30 FCC Rcd at 2871 ¶ 16.  </w:t>
      </w:r>
    </w:p>
  </w:footnote>
  <w:footnote w:id="54">
    <w:p w14:paraId="145C1E62" w14:textId="77777777" w:rsidR="00216DA9" w:rsidRDefault="00216DA9">
      <w:pPr>
        <w:pStyle w:val="FootnoteText"/>
      </w:pPr>
      <w:r>
        <w:rPr>
          <w:rStyle w:val="FootnoteReference"/>
        </w:rPr>
        <w:footnoteRef/>
      </w:r>
      <w:r>
        <w:t xml:space="preserve"> </w:t>
      </w:r>
      <w:r w:rsidR="00AC7377" w:rsidRPr="00AC7377">
        <w:rPr>
          <w:i/>
        </w:rPr>
        <w:t>MO&amp;O</w:t>
      </w:r>
      <w:r>
        <w:t>, 30 FCC Rcd at 2871 ¶ 16.</w:t>
      </w:r>
    </w:p>
  </w:footnote>
  <w:footnote w:id="55">
    <w:p w14:paraId="145C1E63" w14:textId="79863594" w:rsidR="0024088F" w:rsidRDefault="0024088F">
      <w:pPr>
        <w:pStyle w:val="FootnoteText"/>
      </w:pPr>
      <w:r>
        <w:rPr>
          <w:rStyle w:val="FootnoteReference"/>
        </w:rPr>
        <w:footnoteRef/>
      </w:r>
      <w:r>
        <w:t xml:space="preserve"> Although RF seems to suggest that the Division failed to evaluate its substantial service showing as a “hybrid” showing, a </w:t>
      </w:r>
      <w:r w:rsidR="00FC1147">
        <w:t>“</w:t>
      </w:r>
      <w:r>
        <w:t>hybrid</w:t>
      </w:r>
      <w:r w:rsidR="00FC1147">
        <w:t>”</w:t>
      </w:r>
      <w:r>
        <w:t xml:space="preserve"> showing would </w:t>
      </w:r>
      <w:r w:rsidR="00FC1147">
        <w:t xml:space="preserve">have </w:t>
      </w:r>
      <w:r>
        <w:t>require</w:t>
      </w:r>
      <w:r w:rsidR="00FC1147">
        <w:t>d</w:t>
      </w:r>
      <w:r>
        <w:t xml:space="preserve"> </w:t>
      </w:r>
      <w:r w:rsidR="00FC1147">
        <w:t xml:space="preserve">RF actively be using </w:t>
      </w:r>
      <w:r>
        <w:t xml:space="preserve">the point-to-point link to provide </w:t>
      </w:r>
      <w:r w:rsidR="004A79BB">
        <w:t>a bona fide communications service</w:t>
      </w:r>
      <w:r>
        <w:t xml:space="preserve">.    </w:t>
      </w:r>
    </w:p>
  </w:footnote>
  <w:footnote w:id="56">
    <w:p w14:paraId="145C1E64" w14:textId="77777777" w:rsidR="00B71BCA" w:rsidRPr="009015C0" w:rsidRDefault="00B71BCA" w:rsidP="00B71BCA">
      <w:pPr>
        <w:pStyle w:val="FootnoteText"/>
      </w:pPr>
      <w:r>
        <w:rPr>
          <w:rStyle w:val="FootnoteReference"/>
        </w:rPr>
        <w:footnoteRef/>
      </w:r>
      <w:r>
        <w:t xml:space="preserve"> Amendment of Part 101 of the Commission’s Rules to Facilitate the Use of Microwave for Wireless Backhaul and Other Uses and to Provide Additional Flexibility to Broadcast Auxiliary Service and Operational Fixed Microwave Licensees, WT Docket No. 10-153, </w:t>
      </w:r>
      <w:r>
        <w:rPr>
          <w:i/>
        </w:rPr>
        <w:t>Report and Order, Further Notice of Proposed Rulemaking, and Memorandum Opinion and Order</w:t>
      </w:r>
      <w:r>
        <w:t>, 26 FCC Rcd 11614, 11661 ¶ 114 (2011) (“</w:t>
      </w:r>
      <w:r>
        <w:rPr>
          <w:i/>
        </w:rPr>
        <w:t>Wireless Backhaul MO&amp;O</w:t>
      </w:r>
      <w:r>
        <w:t xml:space="preserve">”); </w:t>
      </w:r>
      <w:r>
        <w:rPr>
          <w:i/>
        </w:rPr>
        <w:t xml:space="preserve">see also </w:t>
      </w:r>
      <w:r>
        <w:t xml:space="preserve">FiberTower Spectrum Holdings LLC, </w:t>
      </w:r>
      <w:r>
        <w:rPr>
          <w:i/>
        </w:rPr>
        <w:t>Memorandum Opinion and Order</w:t>
      </w:r>
      <w:r>
        <w:t xml:space="preserve">, </w:t>
      </w:r>
      <w:r w:rsidRPr="009015C0">
        <w:rPr>
          <w:iCs/>
        </w:rPr>
        <w:t>28 FCC Rcd 6822</w:t>
      </w:r>
      <w:r>
        <w:rPr>
          <w:iCs/>
        </w:rPr>
        <w:t>, 6840-6841 ¶ 39 (2013).</w:t>
      </w:r>
    </w:p>
  </w:footnote>
  <w:footnote w:id="57">
    <w:p w14:paraId="145C1E65" w14:textId="77777777" w:rsidR="00B71BCA" w:rsidRPr="00CB4013" w:rsidRDefault="00B71BCA" w:rsidP="00B71BCA">
      <w:pPr>
        <w:pStyle w:val="FootnoteText"/>
      </w:pPr>
      <w:r>
        <w:rPr>
          <w:rStyle w:val="FootnoteReference"/>
        </w:rPr>
        <w:footnoteRef/>
      </w:r>
      <w:r>
        <w:t xml:space="preserve"> </w:t>
      </w:r>
      <w:r>
        <w:rPr>
          <w:i/>
        </w:rPr>
        <w:t>Wireless Backhaul MO&amp;O</w:t>
      </w:r>
      <w:r>
        <w:t xml:space="preserve">, 26 FCC Rcd at 11661 ¶ 114, </w:t>
      </w:r>
      <w:r>
        <w:rPr>
          <w:i/>
        </w:rPr>
        <w:t>citing</w:t>
      </w:r>
      <w:r>
        <w:t xml:space="preserve"> Amendment of the Commission’s Rules Regarding the 37.0 – 38.6 GHz and 38.6 – 40 GHz Bands, </w:t>
      </w:r>
      <w:r>
        <w:rPr>
          <w:i/>
        </w:rPr>
        <w:t>Report and Order and Second Notice of Proposed Rulemaking</w:t>
      </w:r>
      <w:r>
        <w:t xml:space="preserve">, ET Docket No. 95-183, 12 FCC Rcd 18600, 18623 ¶ 42 (1997); Renewal of Licenses to Provide Microwave Service in the 38.6-40.0 GHz Band, </w:t>
      </w:r>
      <w:r>
        <w:rPr>
          <w:i/>
        </w:rPr>
        <w:t>Memorandum Opinion and Order</w:t>
      </w:r>
      <w:r>
        <w:t>, 17 FCC Rcd 4404, 4407 ¶ 11 (WTB PSPWD 2002).</w:t>
      </w:r>
    </w:p>
  </w:footnote>
  <w:footnote w:id="58">
    <w:p w14:paraId="145C1E66" w14:textId="77777777" w:rsidR="00B71BCA" w:rsidRDefault="00B71BCA" w:rsidP="00B71BCA">
      <w:pPr>
        <w:pStyle w:val="FootnoteText"/>
      </w:pPr>
      <w:r>
        <w:rPr>
          <w:rStyle w:val="FootnoteReference"/>
        </w:rPr>
        <w:footnoteRef/>
      </w:r>
      <w:r>
        <w:t xml:space="preserve"> </w:t>
      </w:r>
      <w:r w:rsidRPr="00CA14FA">
        <w:t>For example, in 2004, the Commission affirmed the cancellation of a license in the 2.5 GHz band for failure to provide service, and noted</w:t>
      </w:r>
      <w:r>
        <w:t xml:space="preserve"> that “</w:t>
      </w:r>
      <w:r w:rsidRPr="00CA14FA">
        <w:t>it was clearly unreasonable for San Diego MDS to believe that the periodic broadcasting of signals that nobody received constituted ‘service’ within the meaning of the rule.”</w:t>
      </w:r>
      <w:r>
        <w:t xml:space="preserve">  </w:t>
      </w:r>
      <w:r w:rsidRPr="00482F0E">
        <w:rPr>
          <w:szCs w:val="22"/>
        </w:rPr>
        <w:t xml:space="preserve">San Diego MDS Company, </w:t>
      </w:r>
      <w:r w:rsidRPr="00482F0E">
        <w:rPr>
          <w:i/>
          <w:szCs w:val="22"/>
        </w:rPr>
        <w:t>Memorandum Opinion and Order</w:t>
      </w:r>
      <w:r w:rsidRPr="00482F0E">
        <w:rPr>
          <w:szCs w:val="22"/>
        </w:rPr>
        <w:t>, 19 FCC Rcd 23120</w:t>
      </w:r>
      <w:r>
        <w:rPr>
          <w:szCs w:val="22"/>
        </w:rPr>
        <w:t>, 23124</w:t>
      </w:r>
      <w:r w:rsidRPr="00482F0E">
        <w:rPr>
          <w:szCs w:val="22"/>
        </w:rPr>
        <w:t xml:space="preserve"> </w:t>
      </w:r>
      <w:r>
        <w:rPr>
          <w:szCs w:val="22"/>
        </w:rPr>
        <w:t xml:space="preserve">¶ 10 </w:t>
      </w:r>
      <w:r w:rsidRPr="00482F0E">
        <w:rPr>
          <w:szCs w:val="22"/>
        </w:rPr>
        <w:t>(2004).</w:t>
      </w:r>
      <w:r>
        <w:rPr>
          <w:szCs w:val="22"/>
        </w:rPr>
        <w:t xml:space="preserve">  </w:t>
      </w:r>
      <w:r w:rsidRPr="00CA14FA">
        <w:t>The Bureau’s Mobility Division has also rejected substantial service showings where facilities are constructed and operating but there is no internal use or service to customers.</w:t>
      </w:r>
      <w:r>
        <w:t xml:space="preserve">  </w:t>
      </w:r>
      <w:r w:rsidRPr="00482F0E">
        <w:rPr>
          <w:i/>
          <w:szCs w:val="22"/>
        </w:rPr>
        <w:t>See</w:t>
      </w:r>
      <w:r w:rsidRPr="00482F0E">
        <w:rPr>
          <w:szCs w:val="22"/>
        </w:rPr>
        <w:t xml:space="preserve"> Cornerstone SMR, Inc., </w:t>
      </w:r>
      <w:r w:rsidRPr="00482F0E">
        <w:rPr>
          <w:i/>
          <w:szCs w:val="22"/>
        </w:rPr>
        <w:t>Order</w:t>
      </w:r>
      <w:r w:rsidRPr="00482F0E">
        <w:rPr>
          <w:szCs w:val="22"/>
        </w:rPr>
        <w:t>, 27 FCC Rcd 5900 (WTB MD 2012)</w:t>
      </w:r>
      <w:r>
        <w:rPr>
          <w:szCs w:val="22"/>
        </w:rPr>
        <w:t xml:space="preserve">; JSM Holding LLC, </w:t>
      </w:r>
      <w:r>
        <w:rPr>
          <w:i/>
          <w:szCs w:val="22"/>
        </w:rPr>
        <w:t>Letter</w:t>
      </w:r>
      <w:r>
        <w:rPr>
          <w:szCs w:val="22"/>
        </w:rPr>
        <w:t>, 27 FCC Rcd 5864 (WTB MD 2012)</w:t>
      </w:r>
      <w:r w:rsidRPr="00482F0E">
        <w:rPr>
          <w:szCs w:val="22"/>
        </w:rPr>
        <w:t>.</w:t>
      </w:r>
    </w:p>
  </w:footnote>
  <w:footnote w:id="59">
    <w:p w14:paraId="145C1E67" w14:textId="77777777" w:rsidR="0024088F" w:rsidRDefault="0024088F">
      <w:pPr>
        <w:pStyle w:val="FootnoteText"/>
      </w:pPr>
      <w:r>
        <w:rPr>
          <w:rStyle w:val="FootnoteReference"/>
        </w:rPr>
        <w:footnoteRef/>
      </w:r>
      <w:r>
        <w:t xml:space="preserve"> </w:t>
      </w:r>
      <w:r w:rsidR="00AC7377" w:rsidRPr="00AC7377">
        <w:rPr>
          <w:i/>
        </w:rPr>
        <w:t>MO&amp;O</w:t>
      </w:r>
      <w:r w:rsidR="00A51347">
        <w:t>, 30 FCC Rcd at 2871-2872 ¶ 17.</w:t>
      </w:r>
    </w:p>
  </w:footnote>
  <w:footnote w:id="60">
    <w:p w14:paraId="145C1E68" w14:textId="77777777" w:rsidR="00B71BCA" w:rsidRPr="004412E5" w:rsidRDefault="00B71BCA" w:rsidP="00B71BCA">
      <w:pPr>
        <w:pStyle w:val="FootnoteText"/>
      </w:pPr>
      <w:r>
        <w:rPr>
          <w:rStyle w:val="FootnoteReference"/>
        </w:rPr>
        <w:footnoteRef/>
      </w:r>
      <w:r>
        <w:t xml:space="preserve"> </w:t>
      </w:r>
      <w:r w:rsidR="00AC7377" w:rsidRPr="00AC7377">
        <w:rPr>
          <w:i/>
        </w:rPr>
        <w:t>MO&amp;O</w:t>
      </w:r>
      <w:r w:rsidR="00154901">
        <w:t xml:space="preserve">, 30 FCC Rcd at 2872 ¶ 17.  </w:t>
      </w:r>
    </w:p>
  </w:footnote>
  <w:footnote w:id="61">
    <w:p w14:paraId="145C1E69" w14:textId="77777777" w:rsidR="00B71BCA" w:rsidRPr="003029AE" w:rsidRDefault="00B71BCA" w:rsidP="00B71BCA">
      <w:pPr>
        <w:pStyle w:val="FootnoteText"/>
      </w:pPr>
      <w:r>
        <w:rPr>
          <w:rStyle w:val="FootnoteReference"/>
        </w:rPr>
        <w:footnoteRef/>
      </w:r>
      <w:r>
        <w:t xml:space="preserve"> </w:t>
      </w:r>
      <w:r>
        <w:rPr>
          <w:i/>
        </w:rPr>
        <w:t xml:space="preserve">Second LMDS Report and Order, </w:t>
      </w:r>
      <w:r>
        <w:t>12 FCC Rcd at 12660-12661 ¶ 270.</w:t>
      </w:r>
      <w:r>
        <w:rPr>
          <w:i/>
        </w:rPr>
        <w:t xml:space="preserve"> </w:t>
      </w:r>
      <w:r>
        <w:t xml:space="preserve">  </w:t>
      </w:r>
    </w:p>
  </w:footnote>
  <w:footnote w:id="62">
    <w:p w14:paraId="145C1E6A" w14:textId="77777777" w:rsidR="00B71BCA" w:rsidRDefault="00B71BCA" w:rsidP="00B71BCA">
      <w:pPr>
        <w:pStyle w:val="FootnoteText"/>
      </w:pPr>
      <w:r>
        <w:rPr>
          <w:rStyle w:val="FootnoteReference"/>
        </w:rPr>
        <w:footnoteRef/>
      </w:r>
      <w:r>
        <w:t xml:space="preserve"> </w:t>
      </w:r>
      <w:r w:rsidR="00AC7377" w:rsidRPr="00AC7377">
        <w:rPr>
          <w:i/>
        </w:rPr>
        <w:t>MO&amp;O</w:t>
      </w:r>
      <w:r w:rsidR="00A51347">
        <w:t xml:space="preserve">, 30 FCC Rcd at 2872 ¶ 18, </w:t>
      </w:r>
      <w:r w:rsidR="00A51347">
        <w:rPr>
          <w:i/>
        </w:rPr>
        <w:t xml:space="preserve">citing </w:t>
      </w:r>
      <w:r>
        <w:rPr>
          <w:i/>
        </w:rPr>
        <w:t xml:space="preserve">Second LMDS Report and Order, </w:t>
      </w:r>
      <w:r>
        <w:t xml:space="preserve">12 FCC Rcd at 12660 ¶ 270 </w:t>
      </w:r>
      <w:r w:rsidR="00A51347">
        <w:t>(“</w:t>
      </w:r>
      <w:r w:rsidR="00A51347" w:rsidRPr="00A51347">
        <w:t>In evaluating a substantial service showing, the Commission may consider such factors as whether the licensee is offering a specialized or technologically sophisticated service that does not require a high level of coverage to be of benefit to customers, and whether the licensee’s operations serve niche markets or focus on serving populations outside of areas served by other licensees.</w:t>
      </w:r>
      <w:r w:rsidR="00A51347">
        <w:t>”)</w:t>
      </w:r>
      <w:r w:rsidR="00A51347" w:rsidRPr="00A51347">
        <w:t xml:space="preserve"> </w:t>
      </w:r>
      <w:r>
        <w:t>(internal citations omitted).</w:t>
      </w:r>
    </w:p>
  </w:footnote>
  <w:footnote w:id="63">
    <w:p w14:paraId="145C1E6B" w14:textId="644D8E21" w:rsidR="00A51347" w:rsidRDefault="00A51347">
      <w:pPr>
        <w:pStyle w:val="FootnoteText"/>
      </w:pPr>
      <w:r>
        <w:rPr>
          <w:rStyle w:val="FootnoteReference"/>
        </w:rPr>
        <w:footnoteRef/>
      </w:r>
      <w:r>
        <w:t xml:space="preserve"> </w:t>
      </w:r>
      <w:r w:rsidR="00AC7377" w:rsidRPr="00AC7377">
        <w:rPr>
          <w:i/>
        </w:rPr>
        <w:t>MO&amp;O</w:t>
      </w:r>
      <w:r>
        <w:t>, 30 FCC Rcd at 2872 ¶ 18 (noting that the cases where the Bureau has accepted showings involving niche markets involve specialized customers such a</w:t>
      </w:r>
      <w:r w:rsidR="0014757C">
        <w:t>s a</w:t>
      </w:r>
      <w:r w:rsidR="004B4995">
        <w:t xml:space="preserve"> remote</w:t>
      </w:r>
      <w:r>
        <w:t xml:space="preserve"> education</w:t>
      </w:r>
      <w:r w:rsidR="004B4995">
        <w:t>al campus</w:t>
      </w:r>
      <w:r>
        <w:t xml:space="preserve"> or public safety or a specialized service).</w:t>
      </w:r>
    </w:p>
  </w:footnote>
  <w:footnote w:id="64">
    <w:p w14:paraId="145C1E6C" w14:textId="77777777" w:rsidR="00A51347" w:rsidRDefault="00A51347">
      <w:pPr>
        <w:pStyle w:val="FootnoteText"/>
      </w:pPr>
      <w:r>
        <w:rPr>
          <w:rStyle w:val="FootnoteReference"/>
        </w:rPr>
        <w:footnoteRef/>
      </w:r>
      <w:r>
        <w:t xml:space="preserve"> </w:t>
      </w:r>
      <w:r w:rsidR="00AC7377" w:rsidRPr="00AC7377">
        <w:rPr>
          <w:i/>
        </w:rPr>
        <w:t>MO&amp;O</w:t>
      </w:r>
      <w:r>
        <w:t xml:space="preserve">, 30 FCC Rcd at 2872 ¶ 18 (noting that, since RF plans to provide services to other carriers, it would be illogical for RF to be pursuing its business plan in an unserved market).  </w:t>
      </w:r>
    </w:p>
  </w:footnote>
  <w:footnote w:id="65">
    <w:p w14:paraId="145C1E6D" w14:textId="77777777" w:rsidR="0035085B" w:rsidRDefault="0035085B">
      <w:pPr>
        <w:pStyle w:val="FootnoteText"/>
      </w:pPr>
      <w:r>
        <w:rPr>
          <w:rStyle w:val="FootnoteReference"/>
        </w:rPr>
        <w:footnoteRef/>
      </w:r>
      <w:r>
        <w:t xml:space="preserve"> </w:t>
      </w:r>
      <w:r w:rsidR="00AC7377" w:rsidRPr="00AC7377">
        <w:rPr>
          <w:i/>
        </w:rPr>
        <w:t>MO&amp;O</w:t>
      </w:r>
      <w:r>
        <w:t>, 30 FCC Rcd at 2872 ¶ 18.</w:t>
      </w:r>
    </w:p>
  </w:footnote>
  <w:footnote w:id="66">
    <w:p w14:paraId="145C1E6E" w14:textId="77777777" w:rsidR="008431C2" w:rsidRDefault="008431C2">
      <w:pPr>
        <w:pStyle w:val="FootnoteText"/>
      </w:pPr>
      <w:r>
        <w:rPr>
          <w:rStyle w:val="FootnoteReference"/>
        </w:rPr>
        <w:footnoteRef/>
      </w:r>
      <w:r>
        <w:t xml:space="preserve"> </w:t>
      </w:r>
      <w:r w:rsidR="00765321">
        <w:t xml:space="preserve">RF raised various related </w:t>
      </w:r>
      <w:r>
        <w:t xml:space="preserve">arguments </w:t>
      </w:r>
      <w:r w:rsidR="00765321">
        <w:t xml:space="preserve">such as the </w:t>
      </w:r>
      <w:r>
        <w:t xml:space="preserve">Commission’s misunderstanding of the population count analysis, the explanation of the population count analysis, and the exclusion of service to a majority of the population.  Petition at 7-9.  </w:t>
      </w:r>
    </w:p>
  </w:footnote>
  <w:footnote w:id="67">
    <w:p w14:paraId="145C1E6F" w14:textId="77777777" w:rsidR="008431C2" w:rsidRDefault="008431C2">
      <w:pPr>
        <w:pStyle w:val="FootnoteText"/>
      </w:pPr>
      <w:r>
        <w:rPr>
          <w:rStyle w:val="FootnoteReference"/>
        </w:rPr>
        <w:footnoteRef/>
      </w:r>
      <w:r>
        <w:t xml:space="preserve"> Petition at 5-12. </w:t>
      </w:r>
    </w:p>
  </w:footnote>
  <w:footnote w:id="68">
    <w:p w14:paraId="145C1E70" w14:textId="77777777" w:rsidR="00E45E08" w:rsidRDefault="00E45E08">
      <w:pPr>
        <w:pStyle w:val="FootnoteText"/>
      </w:pPr>
      <w:r>
        <w:rPr>
          <w:rStyle w:val="FootnoteReference"/>
        </w:rPr>
        <w:footnoteRef/>
      </w:r>
      <w:r>
        <w:t xml:space="preserve"> Petition at 10-11.</w:t>
      </w:r>
    </w:p>
  </w:footnote>
  <w:footnote w:id="69">
    <w:p w14:paraId="145C1E71" w14:textId="77777777" w:rsidR="000408CF" w:rsidRDefault="000408CF">
      <w:pPr>
        <w:pStyle w:val="FootnoteText"/>
      </w:pPr>
      <w:r>
        <w:rPr>
          <w:rStyle w:val="FootnoteReference"/>
        </w:rPr>
        <w:footnoteRef/>
      </w:r>
      <w:r>
        <w:t xml:space="preserve"> Petition at 12-13.</w:t>
      </w:r>
    </w:p>
  </w:footnote>
  <w:footnote w:id="70">
    <w:p w14:paraId="145C1E72" w14:textId="77777777" w:rsidR="00A06C63" w:rsidRDefault="00A06C63">
      <w:pPr>
        <w:pStyle w:val="FootnoteText"/>
      </w:pPr>
      <w:r>
        <w:rPr>
          <w:rStyle w:val="FootnoteReference"/>
        </w:rPr>
        <w:footnoteRef/>
      </w:r>
      <w:r>
        <w:t xml:space="preserve"> 47 C.F.R. § 1.106; </w:t>
      </w:r>
      <w:r w:rsidR="000B113D" w:rsidRPr="000B113D">
        <w:rPr>
          <w:i/>
        </w:rPr>
        <w:t>see</w:t>
      </w:r>
      <w:r w:rsidR="000B113D">
        <w:t xml:space="preserve"> 47 C.F. 1.106(d)(2)(</w:t>
      </w:r>
      <w:r w:rsidR="000B113D" w:rsidRPr="00A06C63">
        <w:t xml:space="preserve"> </w:t>
      </w:r>
      <w:r w:rsidR="000B113D">
        <w:t>a</w:t>
      </w:r>
      <w:r w:rsidR="000B113D" w:rsidRPr="0088063A">
        <w:t xml:space="preserve"> petition for reconsideration of a decision that sets forth formal findings of fact and conclusions of law shall also cite the findings and/or conclusions which petitioner believes to be erroneous, and shall state with particularity the respects in which he believes such findings and/or conclusions should be changed</w:t>
      </w:r>
      <w:r w:rsidR="000B113D">
        <w:t>).</w:t>
      </w:r>
    </w:p>
  </w:footnote>
  <w:footnote w:id="71">
    <w:p w14:paraId="145C1E73" w14:textId="77777777" w:rsidR="00A06C63" w:rsidRDefault="00A06C63">
      <w:pPr>
        <w:pStyle w:val="FootnoteText"/>
      </w:pPr>
      <w:r>
        <w:rPr>
          <w:rStyle w:val="FootnoteReference"/>
        </w:rPr>
        <w:footnoteRef/>
      </w:r>
      <w:r>
        <w:t xml:space="preserve"> </w:t>
      </w:r>
      <w:r>
        <w:rPr>
          <w:i/>
          <w:iCs/>
          <w:color w:val="000000"/>
        </w:rPr>
        <w:t xml:space="preserve">See </w:t>
      </w:r>
      <w:r w:rsidRPr="00A06C63">
        <w:rPr>
          <w:i/>
          <w:iCs/>
          <w:color w:val="000000"/>
        </w:rPr>
        <w:t xml:space="preserve">WWIZ, Inc., </w:t>
      </w:r>
      <w:r w:rsidRPr="00A06C63">
        <w:rPr>
          <w:iCs/>
          <w:color w:val="000000"/>
        </w:rPr>
        <w:t>37 FCC 685</w:t>
      </w:r>
      <w:r w:rsidRPr="00A06C63">
        <w:rPr>
          <w:i/>
          <w:iCs/>
          <w:color w:val="000000"/>
        </w:rPr>
        <w:t xml:space="preserve">, </w:t>
      </w:r>
      <w:r w:rsidRPr="00A06C63">
        <w:rPr>
          <w:iCs/>
          <w:color w:val="000000"/>
        </w:rPr>
        <w:t>686 ¶ 2 (1964)</w:t>
      </w:r>
      <w:r>
        <w:rPr>
          <w:iCs/>
          <w:color w:val="000000"/>
        </w:rPr>
        <w:t xml:space="preserve"> (</w:t>
      </w:r>
      <w:r w:rsidRPr="00A06C63">
        <w:rPr>
          <w:i/>
          <w:iCs/>
          <w:color w:val="000000"/>
        </w:rPr>
        <w:t>WWIZ</w:t>
      </w:r>
      <w:r>
        <w:rPr>
          <w:iCs/>
          <w:color w:val="000000"/>
        </w:rPr>
        <w:t>)</w:t>
      </w:r>
      <w:r>
        <w:rPr>
          <w:color w:val="000000"/>
        </w:rPr>
        <w:t xml:space="preserve"> (“it is universally held that rehearing will not be granted merely for the purpose of again debating matters on which the tribunal has once deliberated and spoken”).</w:t>
      </w:r>
    </w:p>
  </w:footnote>
  <w:footnote w:id="72">
    <w:p w14:paraId="145C1E74" w14:textId="77777777" w:rsidR="000B113D" w:rsidRDefault="000B113D">
      <w:pPr>
        <w:pStyle w:val="FootnoteText"/>
      </w:pPr>
      <w:r>
        <w:rPr>
          <w:rStyle w:val="FootnoteReference"/>
        </w:rPr>
        <w:footnoteRef/>
      </w:r>
      <w:r>
        <w:t xml:space="preserve"> </w:t>
      </w:r>
      <w:r>
        <w:rPr>
          <w:i/>
          <w:iCs/>
          <w:color w:val="000000"/>
        </w:rPr>
        <w:t>WWIZ</w:t>
      </w:r>
      <w:r>
        <w:rPr>
          <w:color w:val="000000"/>
        </w:rPr>
        <w:t>, 37 FCC at 686 ¶ 2.</w:t>
      </w:r>
    </w:p>
  </w:footnote>
  <w:footnote w:id="73">
    <w:p w14:paraId="145C1E75" w14:textId="77777777" w:rsidR="00DF7561" w:rsidRDefault="00DF7561">
      <w:pPr>
        <w:pStyle w:val="FootnoteText"/>
      </w:pPr>
      <w:r>
        <w:rPr>
          <w:rStyle w:val="FootnoteReference"/>
        </w:rPr>
        <w:footnoteRef/>
      </w:r>
      <w:r>
        <w:t xml:space="preserve"> </w:t>
      </w:r>
      <w:r w:rsidRPr="00AC7377">
        <w:rPr>
          <w:i/>
        </w:rPr>
        <w:t>MO&amp;O</w:t>
      </w:r>
      <w:r>
        <w:t>, 30 FCC Rcd at 2872 ¶ 17.</w:t>
      </w:r>
    </w:p>
  </w:footnote>
  <w:footnote w:id="74">
    <w:p w14:paraId="145C1E76" w14:textId="77777777" w:rsidR="002E3EB6" w:rsidRDefault="002E3EB6" w:rsidP="002E3EB6">
      <w:pPr>
        <w:pStyle w:val="FootnoteText"/>
      </w:pPr>
      <w:r>
        <w:rPr>
          <w:rStyle w:val="FootnoteReference"/>
        </w:rPr>
        <w:footnoteRef/>
      </w:r>
      <w:r>
        <w:t xml:space="preserve"> </w:t>
      </w:r>
      <w:r w:rsidRPr="00AC1F65">
        <w:t xml:space="preserve">The </w:t>
      </w:r>
      <w:r>
        <w:t xml:space="preserve">Division also evaluated and rejected claims that RF provided substantial service by </w:t>
      </w:r>
      <w:r w:rsidRPr="00AC1F65">
        <w:t>serv</w:t>
      </w:r>
      <w:r>
        <w:t>ing</w:t>
      </w:r>
      <w:r w:rsidRPr="00AC1F65">
        <w:t xml:space="preserve"> niche markets or focus</w:t>
      </w:r>
      <w:r>
        <w:t>ing</w:t>
      </w:r>
      <w:r w:rsidRPr="00AC1F65">
        <w:t xml:space="preserve"> on serving populations outside of areas served by other licensees.</w:t>
      </w:r>
      <w:r>
        <w:t xml:space="preserve">  </w:t>
      </w:r>
    </w:p>
  </w:footnote>
  <w:footnote w:id="75">
    <w:p w14:paraId="145C1E77" w14:textId="77777777" w:rsidR="004A3152" w:rsidRPr="00450DCB" w:rsidRDefault="004A3152" w:rsidP="00450DCB">
      <w:pPr>
        <w:pStyle w:val="FootnoteText"/>
      </w:pPr>
      <w:r>
        <w:rPr>
          <w:rStyle w:val="FootnoteReference"/>
        </w:rPr>
        <w:footnoteRef/>
      </w:r>
      <w:r>
        <w:t xml:space="preserve"> County of Almance, North Carolina, </w:t>
      </w:r>
      <w:r>
        <w:rPr>
          <w:i/>
        </w:rPr>
        <w:t>Order</w:t>
      </w:r>
      <w:r>
        <w:t xml:space="preserve">, </w:t>
      </w:r>
      <w:r w:rsidR="00450DCB">
        <w:t xml:space="preserve">13 FCC Rcd 23335, 23336 ¶ 4 (WTB PS&amp;PWD 1998), </w:t>
      </w:r>
      <w:r w:rsidR="00450DCB">
        <w:rPr>
          <w:i/>
        </w:rPr>
        <w:t>quoting</w:t>
      </w:r>
      <w:r w:rsidR="00450DCB">
        <w:t xml:space="preserve"> County of Los Angeles, </w:t>
      </w:r>
      <w:r w:rsidR="00450DCB" w:rsidRPr="00450DCB">
        <w:rPr>
          <w:i/>
        </w:rPr>
        <w:t>Order</w:t>
      </w:r>
      <w:r w:rsidR="00450DCB">
        <w:t>, 4 FCC Rcd 4500, 4501 (PRB 1989) (</w:t>
      </w:r>
      <w:r w:rsidR="00450DCB" w:rsidRPr="00450DCB">
        <w:rPr>
          <w:i/>
        </w:rPr>
        <w:t>citing</w:t>
      </w:r>
      <w:r w:rsidR="00450DCB">
        <w:t xml:space="preserve"> Associated Information Services, Inc., </w:t>
      </w:r>
      <w:r w:rsidR="00450DCB" w:rsidRPr="00450DCB">
        <w:rPr>
          <w:i/>
        </w:rPr>
        <w:t>Memorandum Opinion and Order and Declaratory Ruling</w:t>
      </w:r>
      <w:r w:rsidR="00450DCB">
        <w:t>, 3 FCC Rcd 5617, 5618–5619 (1988)).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C888" w14:textId="77777777" w:rsidR="00C232E1" w:rsidRDefault="00C23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1E24" w14:textId="2B94EC7B" w:rsidR="00E56718" w:rsidRDefault="00E56718">
    <w:pPr>
      <w:pStyle w:val="Header"/>
      <w:rPr>
        <w:b w:val="0"/>
      </w:rPr>
    </w:pPr>
    <w:r>
      <w:tab/>
      <w:t>Federal Communications Commission</w:t>
    </w:r>
    <w:r>
      <w:tab/>
      <w:t>DA 1</w:t>
    </w:r>
    <w:r w:rsidR="00067A6B">
      <w:t>5-</w:t>
    </w:r>
    <w:r w:rsidR="00C4147F">
      <w:t>1247</w:t>
    </w:r>
  </w:p>
  <w:p w14:paraId="145C1E25" w14:textId="77777777" w:rsidR="00E56718" w:rsidRDefault="00067A6B">
    <w:pPr>
      <w:pStyle w:val="Header"/>
    </w:pPr>
    <w:r>
      <w:rPr>
        <w:noProof/>
      </w:rPr>
      <mc:AlternateContent>
        <mc:Choice Requires="wps">
          <w:drawing>
            <wp:anchor distT="4294967294" distB="4294967294" distL="114300" distR="114300" simplePos="0" relativeHeight="251658240" behindDoc="0" locked="0" layoutInCell="0" allowOverlap="1" wp14:anchorId="145C1E2A" wp14:editId="145C1E2B">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579610"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14:paraId="145C1E26" w14:textId="77777777" w:rsidR="00E56718" w:rsidRDefault="00E56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1E28" w14:textId="4B22DC2B" w:rsidR="00E56718" w:rsidRDefault="00E56718">
    <w:pPr>
      <w:pStyle w:val="Header"/>
      <w:rPr>
        <w:b w:val="0"/>
      </w:rPr>
    </w:pPr>
    <w:r>
      <w:tab/>
      <w:t>Federal Communications Commission</w:t>
    </w:r>
    <w:r>
      <w:tab/>
      <w:t xml:space="preserve"> DA 1</w:t>
    </w:r>
    <w:r w:rsidR="00C4147F">
      <w:t>5-1247</w:t>
    </w:r>
    <w:r>
      <w:t xml:space="preserve"> </w:t>
    </w:r>
  </w:p>
  <w:p w14:paraId="145C1E29" w14:textId="77777777" w:rsidR="00E56718" w:rsidRDefault="00067A6B">
    <w:pPr>
      <w:pStyle w:val="Header"/>
    </w:pPr>
    <w:r>
      <w:rPr>
        <w:noProof/>
      </w:rPr>
      <mc:AlternateContent>
        <mc:Choice Requires="wps">
          <w:drawing>
            <wp:anchor distT="4294967294" distB="4294967294" distL="114300" distR="114300" simplePos="0" relativeHeight="251657216" behindDoc="0" locked="0" layoutInCell="0" allowOverlap="1" wp14:anchorId="145C1E2C" wp14:editId="145C1E2D">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B0EC83"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69C0632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8">
    <w:nsid w:val="59BA0F8A"/>
    <w:multiLevelType w:val="singleLevel"/>
    <w:tmpl w:val="5E322D42"/>
    <w:lvl w:ilvl="0">
      <w:start w:val="1"/>
      <w:numFmt w:val="bullet"/>
      <w:lvlText w:val=""/>
      <w:lvlJc w:val="left"/>
      <w:pPr>
        <w:tabs>
          <w:tab w:val="num" w:pos="2520"/>
        </w:tabs>
        <w:ind w:left="2520" w:hanging="360"/>
      </w:pPr>
      <w:rPr>
        <w:rFonts w:ascii="Symbol" w:hAnsi="Symbol" w:hint="default"/>
        <w:color w:val="auto"/>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8"/>
  </w:num>
  <w:num w:numId="3">
    <w:abstractNumId w:val="4"/>
  </w:num>
  <w:num w:numId="4">
    <w:abstractNumId w:val="6"/>
  </w:num>
  <w:num w:numId="5">
    <w:abstractNumId w:val="9"/>
  </w:num>
  <w:num w:numId="6">
    <w:abstractNumId w:val="3"/>
  </w:num>
  <w:num w:numId="7">
    <w:abstractNumId w:val="1"/>
  </w:num>
  <w:num w:numId="8">
    <w:abstractNumId w:val="5"/>
  </w:num>
  <w:num w:numId="9">
    <w:abstractNumId w:val="2"/>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94"/>
    <w:rsid w:val="00014F08"/>
    <w:rsid w:val="00022272"/>
    <w:rsid w:val="0003375B"/>
    <w:rsid w:val="000408CF"/>
    <w:rsid w:val="000567CB"/>
    <w:rsid w:val="00061925"/>
    <w:rsid w:val="00067A6B"/>
    <w:rsid w:val="00075E31"/>
    <w:rsid w:val="000811C1"/>
    <w:rsid w:val="00087FA2"/>
    <w:rsid w:val="00094D5A"/>
    <w:rsid w:val="000A0553"/>
    <w:rsid w:val="000A5D09"/>
    <w:rsid w:val="000A6094"/>
    <w:rsid w:val="000B113D"/>
    <w:rsid w:val="000B63A1"/>
    <w:rsid w:val="000F3C21"/>
    <w:rsid w:val="000F65F2"/>
    <w:rsid w:val="0014545D"/>
    <w:rsid w:val="0014757C"/>
    <w:rsid w:val="001500E5"/>
    <w:rsid w:val="00154901"/>
    <w:rsid w:val="00190229"/>
    <w:rsid w:val="001B0DE1"/>
    <w:rsid w:val="001B2A26"/>
    <w:rsid w:val="001B5076"/>
    <w:rsid w:val="002022F5"/>
    <w:rsid w:val="00216DA9"/>
    <w:rsid w:val="00230397"/>
    <w:rsid w:val="0024088F"/>
    <w:rsid w:val="00240CBB"/>
    <w:rsid w:val="0024210B"/>
    <w:rsid w:val="00242714"/>
    <w:rsid w:val="00247B4F"/>
    <w:rsid w:val="0025459C"/>
    <w:rsid w:val="00262A0B"/>
    <w:rsid w:val="002A61F2"/>
    <w:rsid w:val="002B2E4A"/>
    <w:rsid w:val="002C17B1"/>
    <w:rsid w:val="002D0580"/>
    <w:rsid w:val="002D607A"/>
    <w:rsid w:val="002E3EB6"/>
    <w:rsid w:val="002E7A9B"/>
    <w:rsid w:val="002F2A5E"/>
    <w:rsid w:val="002F48CE"/>
    <w:rsid w:val="00316A1E"/>
    <w:rsid w:val="00323E80"/>
    <w:rsid w:val="003303B9"/>
    <w:rsid w:val="003451C4"/>
    <w:rsid w:val="0035085B"/>
    <w:rsid w:val="00355A2F"/>
    <w:rsid w:val="00384A34"/>
    <w:rsid w:val="00393B33"/>
    <w:rsid w:val="00395B7D"/>
    <w:rsid w:val="00396EA6"/>
    <w:rsid w:val="003A0B1C"/>
    <w:rsid w:val="003C6AAD"/>
    <w:rsid w:val="003D0B9D"/>
    <w:rsid w:val="003D66B3"/>
    <w:rsid w:val="003E1815"/>
    <w:rsid w:val="003E4BAE"/>
    <w:rsid w:val="004242E7"/>
    <w:rsid w:val="00424436"/>
    <w:rsid w:val="004278B2"/>
    <w:rsid w:val="00432861"/>
    <w:rsid w:val="00435475"/>
    <w:rsid w:val="004412E5"/>
    <w:rsid w:val="00445D49"/>
    <w:rsid w:val="00450DCB"/>
    <w:rsid w:val="004520FB"/>
    <w:rsid w:val="004576F5"/>
    <w:rsid w:val="00466EC9"/>
    <w:rsid w:val="00473488"/>
    <w:rsid w:val="00481598"/>
    <w:rsid w:val="004917BB"/>
    <w:rsid w:val="004969EB"/>
    <w:rsid w:val="00496A3F"/>
    <w:rsid w:val="004A3152"/>
    <w:rsid w:val="004A79BB"/>
    <w:rsid w:val="004B4995"/>
    <w:rsid w:val="004C330D"/>
    <w:rsid w:val="004C3B28"/>
    <w:rsid w:val="004D54F7"/>
    <w:rsid w:val="004E4F45"/>
    <w:rsid w:val="004F0FD1"/>
    <w:rsid w:val="005028AE"/>
    <w:rsid w:val="00503F37"/>
    <w:rsid w:val="005072FD"/>
    <w:rsid w:val="00507A13"/>
    <w:rsid w:val="0051444F"/>
    <w:rsid w:val="00526D96"/>
    <w:rsid w:val="00556FEC"/>
    <w:rsid w:val="00560FCE"/>
    <w:rsid w:val="00571064"/>
    <w:rsid w:val="00580E75"/>
    <w:rsid w:val="005B4C7A"/>
    <w:rsid w:val="005E7ABA"/>
    <w:rsid w:val="006109ED"/>
    <w:rsid w:val="00613922"/>
    <w:rsid w:val="006226C2"/>
    <w:rsid w:val="0063582E"/>
    <w:rsid w:val="0064258E"/>
    <w:rsid w:val="006461E1"/>
    <w:rsid w:val="00662317"/>
    <w:rsid w:val="0067110A"/>
    <w:rsid w:val="00671F44"/>
    <w:rsid w:val="00680E0F"/>
    <w:rsid w:val="00684D1B"/>
    <w:rsid w:val="00686D54"/>
    <w:rsid w:val="006A604D"/>
    <w:rsid w:val="006B01EC"/>
    <w:rsid w:val="006B6422"/>
    <w:rsid w:val="006C73FB"/>
    <w:rsid w:val="006E6B7D"/>
    <w:rsid w:val="006F2626"/>
    <w:rsid w:val="00704F2C"/>
    <w:rsid w:val="00713153"/>
    <w:rsid w:val="00720A0F"/>
    <w:rsid w:val="007332D8"/>
    <w:rsid w:val="00746554"/>
    <w:rsid w:val="00765321"/>
    <w:rsid w:val="00767B5F"/>
    <w:rsid w:val="00771B2A"/>
    <w:rsid w:val="00796389"/>
    <w:rsid w:val="007C1476"/>
    <w:rsid w:val="007D3324"/>
    <w:rsid w:val="007F1364"/>
    <w:rsid w:val="00814F69"/>
    <w:rsid w:val="00827DD3"/>
    <w:rsid w:val="00834494"/>
    <w:rsid w:val="00841B4B"/>
    <w:rsid w:val="008431C2"/>
    <w:rsid w:val="008454B7"/>
    <w:rsid w:val="008473D5"/>
    <w:rsid w:val="0088063A"/>
    <w:rsid w:val="00881702"/>
    <w:rsid w:val="00886AB2"/>
    <w:rsid w:val="008A036E"/>
    <w:rsid w:val="008B3B30"/>
    <w:rsid w:val="008D29E5"/>
    <w:rsid w:val="008D5D38"/>
    <w:rsid w:val="009026FC"/>
    <w:rsid w:val="00902ABF"/>
    <w:rsid w:val="009069BA"/>
    <w:rsid w:val="0092069C"/>
    <w:rsid w:val="009221CC"/>
    <w:rsid w:val="0092277E"/>
    <w:rsid w:val="0092593E"/>
    <w:rsid w:val="009309AF"/>
    <w:rsid w:val="00931003"/>
    <w:rsid w:val="00953319"/>
    <w:rsid w:val="00957FAB"/>
    <w:rsid w:val="00961548"/>
    <w:rsid w:val="0096235E"/>
    <w:rsid w:val="00965E63"/>
    <w:rsid w:val="00995B02"/>
    <w:rsid w:val="009A21B0"/>
    <w:rsid w:val="009B36FE"/>
    <w:rsid w:val="009B57E1"/>
    <w:rsid w:val="009B5BFB"/>
    <w:rsid w:val="009B78C6"/>
    <w:rsid w:val="009F6EBF"/>
    <w:rsid w:val="00A06C63"/>
    <w:rsid w:val="00A1558A"/>
    <w:rsid w:val="00A34EC6"/>
    <w:rsid w:val="00A35B1E"/>
    <w:rsid w:val="00A51347"/>
    <w:rsid w:val="00A52486"/>
    <w:rsid w:val="00A53AE8"/>
    <w:rsid w:val="00A60789"/>
    <w:rsid w:val="00A63678"/>
    <w:rsid w:val="00A65F5A"/>
    <w:rsid w:val="00A73587"/>
    <w:rsid w:val="00A83AFA"/>
    <w:rsid w:val="00A9124D"/>
    <w:rsid w:val="00A965FC"/>
    <w:rsid w:val="00AA2A67"/>
    <w:rsid w:val="00AB5756"/>
    <w:rsid w:val="00AC142D"/>
    <w:rsid w:val="00AC1F65"/>
    <w:rsid w:val="00AC7377"/>
    <w:rsid w:val="00AF5387"/>
    <w:rsid w:val="00B152B3"/>
    <w:rsid w:val="00B1548F"/>
    <w:rsid w:val="00B15996"/>
    <w:rsid w:val="00B25D9C"/>
    <w:rsid w:val="00B27105"/>
    <w:rsid w:val="00B2795F"/>
    <w:rsid w:val="00B367DB"/>
    <w:rsid w:val="00B626D5"/>
    <w:rsid w:val="00B635F8"/>
    <w:rsid w:val="00B6446C"/>
    <w:rsid w:val="00B64D57"/>
    <w:rsid w:val="00B71BCA"/>
    <w:rsid w:val="00B76459"/>
    <w:rsid w:val="00B77E0F"/>
    <w:rsid w:val="00B91F3D"/>
    <w:rsid w:val="00BA2EEE"/>
    <w:rsid w:val="00BC0C03"/>
    <w:rsid w:val="00BE78F6"/>
    <w:rsid w:val="00BF34E1"/>
    <w:rsid w:val="00C05D8A"/>
    <w:rsid w:val="00C10CCC"/>
    <w:rsid w:val="00C1777F"/>
    <w:rsid w:val="00C2071C"/>
    <w:rsid w:val="00C232E1"/>
    <w:rsid w:val="00C3475D"/>
    <w:rsid w:val="00C4147F"/>
    <w:rsid w:val="00C470AD"/>
    <w:rsid w:val="00C54260"/>
    <w:rsid w:val="00C658CD"/>
    <w:rsid w:val="00C74314"/>
    <w:rsid w:val="00C75A87"/>
    <w:rsid w:val="00CA14FA"/>
    <w:rsid w:val="00CA7F16"/>
    <w:rsid w:val="00CC40E4"/>
    <w:rsid w:val="00CD4849"/>
    <w:rsid w:val="00CE6B71"/>
    <w:rsid w:val="00CF17E1"/>
    <w:rsid w:val="00CF2672"/>
    <w:rsid w:val="00D07A2F"/>
    <w:rsid w:val="00D11F48"/>
    <w:rsid w:val="00D163EA"/>
    <w:rsid w:val="00D21988"/>
    <w:rsid w:val="00D6030F"/>
    <w:rsid w:val="00D65416"/>
    <w:rsid w:val="00DD1D47"/>
    <w:rsid w:val="00DE22E2"/>
    <w:rsid w:val="00DE65FE"/>
    <w:rsid w:val="00DF26D3"/>
    <w:rsid w:val="00DF3EC9"/>
    <w:rsid w:val="00DF695C"/>
    <w:rsid w:val="00DF7561"/>
    <w:rsid w:val="00E03B3E"/>
    <w:rsid w:val="00E10498"/>
    <w:rsid w:val="00E16DA1"/>
    <w:rsid w:val="00E34775"/>
    <w:rsid w:val="00E36FE7"/>
    <w:rsid w:val="00E45E08"/>
    <w:rsid w:val="00E46403"/>
    <w:rsid w:val="00E56718"/>
    <w:rsid w:val="00E573C0"/>
    <w:rsid w:val="00EB5DD0"/>
    <w:rsid w:val="00EC532E"/>
    <w:rsid w:val="00ED7FB1"/>
    <w:rsid w:val="00EF1E9D"/>
    <w:rsid w:val="00F07568"/>
    <w:rsid w:val="00F13430"/>
    <w:rsid w:val="00F142F5"/>
    <w:rsid w:val="00F31360"/>
    <w:rsid w:val="00F31DCA"/>
    <w:rsid w:val="00F504FE"/>
    <w:rsid w:val="00F84461"/>
    <w:rsid w:val="00F84D9D"/>
    <w:rsid w:val="00FC1147"/>
    <w:rsid w:val="00FE3B64"/>
    <w:rsid w:val="00FE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5C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5E"/>
    <w:pPr>
      <w:widowControl w:val="0"/>
    </w:pPr>
    <w:rPr>
      <w:snapToGrid w:val="0"/>
      <w:kern w:val="28"/>
      <w:sz w:val="22"/>
    </w:rPr>
  </w:style>
  <w:style w:type="paragraph" w:styleId="Heading1">
    <w:name w:val="heading 1"/>
    <w:basedOn w:val="Normal"/>
    <w:next w:val="ParaNum"/>
    <w:link w:val="Heading1Char"/>
    <w:qFormat/>
    <w:rsid w:val="0096235E"/>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6235E"/>
    <w:pPr>
      <w:keepNext/>
      <w:numPr>
        <w:ilvl w:val="1"/>
        <w:numId w:val="6"/>
      </w:numPr>
      <w:spacing w:after="120"/>
      <w:outlineLvl w:val="1"/>
    </w:pPr>
    <w:rPr>
      <w:b/>
    </w:rPr>
  </w:style>
  <w:style w:type="paragraph" w:styleId="Heading3">
    <w:name w:val="heading 3"/>
    <w:basedOn w:val="Normal"/>
    <w:next w:val="ParaNum"/>
    <w:link w:val="Heading3Char"/>
    <w:qFormat/>
    <w:rsid w:val="0096235E"/>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96235E"/>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96235E"/>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96235E"/>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96235E"/>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96235E"/>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6235E"/>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23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235E"/>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Pr>
      <w:b/>
      <w:snapToGrid w:val="0"/>
      <w:kern w:val="28"/>
      <w:sz w:val="22"/>
    </w:rPr>
  </w:style>
  <w:style w:type="character" w:customStyle="1" w:styleId="Heading3Char">
    <w:name w:val="Heading 3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rsid w:val="0096235E"/>
    <w:pPr>
      <w:numPr>
        <w:numId w:val="5"/>
      </w:numPr>
      <w:tabs>
        <w:tab w:val="clear" w:pos="1080"/>
        <w:tab w:val="num" w:pos="1440"/>
      </w:tabs>
      <w:spacing w:after="120"/>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link w:val="FootnoteTextChar2"/>
    <w:rsid w:val="0096235E"/>
    <w:pPr>
      <w:spacing w:after="120"/>
    </w:p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style>
  <w:style w:type="paragraph" w:customStyle="1" w:styleId="Bullet">
    <w:name w:val="Bullet"/>
    <w:basedOn w:val="Normal"/>
    <w:rsid w:val="0096235E"/>
    <w:pPr>
      <w:tabs>
        <w:tab w:val="left" w:pos="2160"/>
      </w:tabs>
      <w:spacing w:after="220"/>
      <w:ind w:left="2160" w:hanging="720"/>
    </w:pPr>
  </w:style>
  <w:style w:type="paragraph" w:styleId="BlockText">
    <w:name w:val="Block Text"/>
    <w:basedOn w:val="Normal"/>
    <w:rsid w:val="0096235E"/>
    <w:pPr>
      <w:spacing w:after="240"/>
      <w:ind w:left="1440" w:right="1440"/>
    </w:pPr>
  </w:style>
  <w:style w:type="paragraph" w:customStyle="1" w:styleId="TableFormat">
    <w:name w:val="TableFormat"/>
    <w:basedOn w:val="Bullet"/>
    <w:rsid w:val="0096235E"/>
    <w:pPr>
      <w:tabs>
        <w:tab w:val="clear" w:pos="2160"/>
        <w:tab w:val="left" w:pos="5040"/>
      </w:tabs>
      <w:ind w:left="5040" w:hanging="3600"/>
    </w:pPr>
  </w:style>
  <w:style w:type="character" w:styleId="FootnoteReference">
    <w:name w:val="footnote reference"/>
    <w:aliases w:val="Appel note de bas de p,Style 12,(NECG) Footnote Reference,Style 13,Style 124,fr,o,Style 3,FR,Style 17,Style 6,Footnote Reference/"/>
    <w:rsid w:val="0096235E"/>
    <w:rPr>
      <w:rFonts w:ascii="Times New Roman" w:hAnsi="Times New Roman"/>
      <w:dstrike w:val="0"/>
      <w:color w:val="auto"/>
      <w:sz w:val="20"/>
      <w:vertAlign w:val="superscript"/>
    </w:rPr>
  </w:style>
  <w:style w:type="paragraph" w:styleId="Header">
    <w:name w:val="header"/>
    <w:basedOn w:val="Normal"/>
    <w:link w:val="HeaderChar"/>
    <w:autoRedefine/>
    <w:rsid w:val="0096235E"/>
    <w:pPr>
      <w:tabs>
        <w:tab w:val="center" w:pos="4680"/>
        <w:tab w:val="right" w:pos="9360"/>
      </w:tabs>
    </w:pPr>
    <w:rPr>
      <w:b/>
    </w:rPr>
  </w:style>
  <w:style w:type="character" w:customStyle="1" w:styleId="HeaderChar">
    <w:name w:val="Header Char"/>
    <w:link w:val="Header"/>
    <w:locked/>
    <w:rPr>
      <w:b/>
      <w:snapToGrid w:val="0"/>
      <w:kern w:val="28"/>
      <w:sz w:val="22"/>
    </w:rPr>
  </w:style>
  <w:style w:type="paragraph" w:styleId="Footer">
    <w:name w:val="footer"/>
    <w:basedOn w:val="Normal"/>
    <w:link w:val="FooterChar"/>
    <w:rsid w:val="0096235E"/>
    <w:pPr>
      <w:tabs>
        <w:tab w:val="center" w:pos="4320"/>
        <w:tab w:val="right" w:pos="8640"/>
      </w:tabs>
    </w:pPr>
  </w:style>
  <w:style w:type="character" w:customStyle="1" w:styleId="FooterChar">
    <w:name w:val="Footer Char"/>
    <w:link w:val="Footer"/>
    <w:locked/>
    <w:rPr>
      <w:snapToGrid w:val="0"/>
      <w:kern w:val="28"/>
      <w:sz w:val="22"/>
    </w:rPr>
  </w:style>
  <w:style w:type="paragraph" w:styleId="TOC2">
    <w:name w:val="toc 2"/>
    <w:basedOn w:val="Normal"/>
    <w:next w:val="Normal"/>
    <w:semiHidden/>
    <w:rsid w:val="0096235E"/>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pPr>
      <w:numPr>
        <w:numId w:val="4"/>
      </w:numPr>
      <w:spacing w:after="220"/>
    </w:pPr>
  </w:style>
  <w:style w:type="paragraph" w:styleId="TOC1">
    <w:name w:val="toc 1"/>
    <w:basedOn w:val="Normal"/>
    <w:next w:val="Normal"/>
    <w:semiHidden/>
    <w:rsid w:val="0096235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96235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235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235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235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235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235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235E"/>
    <w:pPr>
      <w:tabs>
        <w:tab w:val="left" w:pos="3240"/>
        <w:tab w:val="right" w:leader="dot" w:pos="9360"/>
      </w:tabs>
      <w:suppressAutoHyphens/>
      <w:ind w:left="3240" w:hanging="360"/>
    </w:pPr>
    <w:rPr>
      <w:noProof/>
    </w:rPr>
  </w:style>
  <w:style w:type="character" w:styleId="PageNumber">
    <w:name w:val="page number"/>
    <w:basedOn w:val="DefaultParagraphFont"/>
    <w:rsid w:val="0096235E"/>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rsid w:val="0096235E"/>
    <w:rPr>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paragraph" w:styleId="Revision">
    <w:name w:val="Revision"/>
    <w:hidden/>
    <w:uiPriority w:val="99"/>
    <w:semiHidden/>
    <w:rPr>
      <w:sz w:val="22"/>
    </w:rPr>
  </w:style>
  <w:style w:type="paragraph" w:styleId="NoSpacing">
    <w:name w:val="No Spacing"/>
    <w:uiPriority w:val="1"/>
    <w:qFormat/>
    <w:rsid w:val="00704F2C"/>
    <w:rPr>
      <w:sz w:val="22"/>
    </w:rPr>
  </w:style>
  <w:style w:type="paragraph" w:styleId="EndnoteText">
    <w:name w:val="endnote text"/>
    <w:basedOn w:val="Normal"/>
    <w:link w:val="EndnoteTextChar"/>
    <w:semiHidden/>
    <w:locked/>
    <w:rsid w:val="0096235E"/>
    <w:rPr>
      <w:sz w:val="20"/>
    </w:rPr>
  </w:style>
  <w:style w:type="character" w:customStyle="1" w:styleId="EndnoteTextChar">
    <w:name w:val="Endnote Text Char"/>
    <w:basedOn w:val="DefaultParagraphFont"/>
    <w:link w:val="EndnoteText"/>
    <w:semiHidden/>
    <w:rsid w:val="0092593E"/>
    <w:rPr>
      <w:snapToGrid w:val="0"/>
      <w:kern w:val="28"/>
    </w:rPr>
  </w:style>
  <w:style w:type="character" w:styleId="EndnoteReference">
    <w:name w:val="endnote reference"/>
    <w:semiHidden/>
    <w:locked/>
    <w:rsid w:val="0096235E"/>
    <w:rPr>
      <w:vertAlign w:val="superscript"/>
    </w:rPr>
  </w:style>
  <w:style w:type="paragraph" w:styleId="TOAHeading">
    <w:name w:val="toa heading"/>
    <w:basedOn w:val="Normal"/>
    <w:next w:val="Normal"/>
    <w:semiHidden/>
    <w:locked/>
    <w:rsid w:val="0096235E"/>
    <w:pPr>
      <w:tabs>
        <w:tab w:val="right" w:pos="9360"/>
      </w:tabs>
      <w:suppressAutoHyphens/>
    </w:pPr>
  </w:style>
  <w:style w:type="character" w:customStyle="1" w:styleId="EquationCaption">
    <w:name w:val="_Equation Caption"/>
    <w:rsid w:val="0096235E"/>
  </w:style>
  <w:style w:type="paragraph" w:customStyle="1" w:styleId="Paratitle">
    <w:name w:val="Para title"/>
    <w:basedOn w:val="Normal"/>
    <w:rsid w:val="0096235E"/>
    <w:pPr>
      <w:tabs>
        <w:tab w:val="center" w:pos="9270"/>
      </w:tabs>
      <w:spacing w:after="240"/>
    </w:pPr>
    <w:rPr>
      <w:spacing w:val="-2"/>
    </w:rPr>
  </w:style>
  <w:style w:type="paragraph" w:customStyle="1" w:styleId="TOCTitle">
    <w:name w:val="TOC Title"/>
    <w:basedOn w:val="Normal"/>
    <w:rsid w:val="0096235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235E"/>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5E"/>
    <w:pPr>
      <w:widowControl w:val="0"/>
    </w:pPr>
    <w:rPr>
      <w:snapToGrid w:val="0"/>
      <w:kern w:val="28"/>
      <w:sz w:val="22"/>
    </w:rPr>
  </w:style>
  <w:style w:type="paragraph" w:styleId="Heading1">
    <w:name w:val="heading 1"/>
    <w:basedOn w:val="Normal"/>
    <w:next w:val="ParaNum"/>
    <w:link w:val="Heading1Char"/>
    <w:qFormat/>
    <w:rsid w:val="0096235E"/>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6235E"/>
    <w:pPr>
      <w:keepNext/>
      <w:numPr>
        <w:ilvl w:val="1"/>
        <w:numId w:val="6"/>
      </w:numPr>
      <w:spacing w:after="120"/>
      <w:outlineLvl w:val="1"/>
    </w:pPr>
    <w:rPr>
      <w:b/>
    </w:rPr>
  </w:style>
  <w:style w:type="paragraph" w:styleId="Heading3">
    <w:name w:val="heading 3"/>
    <w:basedOn w:val="Normal"/>
    <w:next w:val="ParaNum"/>
    <w:link w:val="Heading3Char"/>
    <w:qFormat/>
    <w:rsid w:val="0096235E"/>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96235E"/>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96235E"/>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96235E"/>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96235E"/>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96235E"/>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6235E"/>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23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235E"/>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Pr>
      <w:b/>
      <w:snapToGrid w:val="0"/>
      <w:kern w:val="28"/>
      <w:sz w:val="22"/>
    </w:rPr>
  </w:style>
  <w:style w:type="character" w:customStyle="1" w:styleId="Heading3Char">
    <w:name w:val="Heading 3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rsid w:val="0096235E"/>
    <w:pPr>
      <w:numPr>
        <w:numId w:val="5"/>
      </w:numPr>
      <w:tabs>
        <w:tab w:val="clear" w:pos="1080"/>
        <w:tab w:val="num" w:pos="1440"/>
      </w:tabs>
      <w:spacing w:after="120"/>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link w:val="FootnoteTextChar2"/>
    <w:rsid w:val="0096235E"/>
    <w:pPr>
      <w:spacing w:after="120"/>
    </w:p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style>
  <w:style w:type="paragraph" w:customStyle="1" w:styleId="Bullet">
    <w:name w:val="Bullet"/>
    <w:basedOn w:val="Normal"/>
    <w:rsid w:val="0096235E"/>
    <w:pPr>
      <w:tabs>
        <w:tab w:val="left" w:pos="2160"/>
      </w:tabs>
      <w:spacing w:after="220"/>
      <w:ind w:left="2160" w:hanging="720"/>
    </w:pPr>
  </w:style>
  <w:style w:type="paragraph" w:styleId="BlockText">
    <w:name w:val="Block Text"/>
    <w:basedOn w:val="Normal"/>
    <w:rsid w:val="0096235E"/>
    <w:pPr>
      <w:spacing w:after="240"/>
      <w:ind w:left="1440" w:right="1440"/>
    </w:pPr>
  </w:style>
  <w:style w:type="paragraph" w:customStyle="1" w:styleId="TableFormat">
    <w:name w:val="TableFormat"/>
    <w:basedOn w:val="Bullet"/>
    <w:rsid w:val="0096235E"/>
    <w:pPr>
      <w:tabs>
        <w:tab w:val="clear" w:pos="2160"/>
        <w:tab w:val="left" w:pos="5040"/>
      </w:tabs>
      <w:ind w:left="5040" w:hanging="3600"/>
    </w:pPr>
  </w:style>
  <w:style w:type="character" w:styleId="FootnoteReference">
    <w:name w:val="footnote reference"/>
    <w:aliases w:val="Appel note de bas de p,Style 12,(NECG) Footnote Reference,Style 13,Style 124,fr,o,Style 3,FR,Style 17,Style 6,Footnote Reference/"/>
    <w:rsid w:val="0096235E"/>
    <w:rPr>
      <w:rFonts w:ascii="Times New Roman" w:hAnsi="Times New Roman"/>
      <w:dstrike w:val="0"/>
      <w:color w:val="auto"/>
      <w:sz w:val="20"/>
      <w:vertAlign w:val="superscript"/>
    </w:rPr>
  </w:style>
  <w:style w:type="paragraph" w:styleId="Header">
    <w:name w:val="header"/>
    <w:basedOn w:val="Normal"/>
    <w:link w:val="HeaderChar"/>
    <w:autoRedefine/>
    <w:rsid w:val="0096235E"/>
    <w:pPr>
      <w:tabs>
        <w:tab w:val="center" w:pos="4680"/>
        <w:tab w:val="right" w:pos="9360"/>
      </w:tabs>
    </w:pPr>
    <w:rPr>
      <w:b/>
    </w:rPr>
  </w:style>
  <w:style w:type="character" w:customStyle="1" w:styleId="HeaderChar">
    <w:name w:val="Header Char"/>
    <w:link w:val="Header"/>
    <w:locked/>
    <w:rPr>
      <w:b/>
      <w:snapToGrid w:val="0"/>
      <w:kern w:val="28"/>
      <w:sz w:val="22"/>
    </w:rPr>
  </w:style>
  <w:style w:type="paragraph" w:styleId="Footer">
    <w:name w:val="footer"/>
    <w:basedOn w:val="Normal"/>
    <w:link w:val="FooterChar"/>
    <w:rsid w:val="0096235E"/>
    <w:pPr>
      <w:tabs>
        <w:tab w:val="center" w:pos="4320"/>
        <w:tab w:val="right" w:pos="8640"/>
      </w:tabs>
    </w:pPr>
  </w:style>
  <w:style w:type="character" w:customStyle="1" w:styleId="FooterChar">
    <w:name w:val="Footer Char"/>
    <w:link w:val="Footer"/>
    <w:locked/>
    <w:rPr>
      <w:snapToGrid w:val="0"/>
      <w:kern w:val="28"/>
      <w:sz w:val="22"/>
    </w:rPr>
  </w:style>
  <w:style w:type="paragraph" w:styleId="TOC2">
    <w:name w:val="toc 2"/>
    <w:basedOn w:val="Normal"/>
    <w:next w:val="Normal"/>
    <w:semiHidden/>
    <w:rsid w:val="0096235E"/>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pPr>
      <w:numPr>
        <w:numId w:val="4"/>
      </w:numPr>
      <w:spacing w:after="220"/>
    </w:pPr>
  </w:style>
  <w:style w:type="paragraph" w:styleId="TOC1">
    <w:name w:val="toc 1"/>
    <w:basedOn w:val="Normal"/>
    <w:next w:val="Normal"/>
    <w:semiHidden/>
    <w:rsid w:val="0096235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96235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235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235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235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235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235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235E"/>
    <w:pPr>
      <w:tabs>
        <w:tab w:val="left" w:pos="3240"/>
        <w:tab w:val="right" w:leader="dot" w:pos="9360"/>
      </w:tabs>
      <w:suppressAutoHyphens/>
      <w:ind w:left="3240" w:hanging="360"/>
    </w:pPr>
    <w:rPr>
      <w:noProof/>
    </w:rPr>
  </w:style>
  <w:style w:type="character" w:styleId="PageNumber">
    <w:name w:val="page number"/>
    <w:basedOn w:val="DefaultParagraphFont"/>
    <w:rsid w:val="0096235E"/>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rsid w:val="0096235E"/>
    <w:rPr>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paragraph" w:styleId="Revision">
    <w:name w:val="Revision"/>
    <w:hidden/>
    <w:uiPriority w:val="99"/>
    <w:semiHidden/>
    <w:rPr>
      <w:sz w:val="22"/>
    </w:rPr>
  </w:style>
  <w:style w:type="paragraph" w:styleId="NoSpacing">
    <w:name w:val="No Spacing"/>
    <w:uiPriority w:val="1"/>
    <w:qFormat/>
    <w:rsid w:val="00704F2C"/>
    <w:rPr>
      <w:sz w:val="22"/>
    </w:rPr>
  </w:style>
  <w:style w:type="paragraph" w:styleId="EndnoteText">
    <w:name w:val="endnote text"/>
    <w:basedOn w:val="Normal"/>
    <w:link w:val="EndnoteTextChar"/>
    <w:semiHidden/>
    <w:locked/>
    <w:rsid w:val="0096235E"/>
    <w:rPr>
      <w:sz w:val="20"/>
    </w:rPr>
  </w:style>
  <w:style w:type="character" w:customStyle="1" w:styleId="EndnoteTextChar">
    <w:name w:val="Endnote Text Char"/>
    <w:basedOn w:val="DefaultParagraphFont"/>
    <w:link w:val="EndnoteText"/>
    <w:semiHidden/>
    <w:rsid w:val="0092593E"/>
    <w:rPr>
      <w:snapToGrid w:val="0"/>
      <w:kern w:val="28"/>
    </w:rPr>
  </w:style>
  <w:style w:type="character" w:styleId="EndnoteReference">
    <w:name w:val="endnote reference"/>
    <w:semiHidden/>
    <w:locked/>
    <w:rsid w:val="0096235E"/>
    <w:rPr>
      <w:vertAlign w:val="superscript"/>
    </w:rPr>
  </w:style>
  <w:style w:type="paragraph" w:styleId="TOAHeading">
    <w:name w:val="toa heading"/>
    <w:basedOn w:val="Normal"/>
    <w:next w:val="Normal"/>
    <w:semiHidden/>
    <w:locked/>
    <w:rsid w:val="0096235E"/>
    <w:pPr>
      <w:tabs>
        <w:tab w:val="right" w:pos="9360"/>
      </w:tabs>
      <w:suppressAutoHyphens/>
    </w:pPr>
  </w:style>
  <w:style w:type="character" w:customStyle="1" w:styleId="EquationCaption">
    <w:name w:val="_Equation Caption"/>
    <w:rsid w:val="0096235E"/>
  </w:style>
  <w:style w:type="paragraph" w:customStyle="1" w:styleId="Paratitle">
    <w:name w:val="Para title"/>
    <w:basedOn w:val="Normal"/>
    <w:rsid w:val="0096235E"/>
    <w:pPr>
      <w:tabs>
        <w:tab w:val="center" w:pos="9270"/>
      </w:tabs>
      <w:spacing w:after="240"/>
    </w:pPr>
    <w:rPr>
      <w:spacing w:val="-2"/>
    </w:rPr>
  </w:style>
  <w:style w:type="paragraph" w:customStyle="1" w:styleId="TOCTitle">
    <w:name w:val="TOC Title"/>
    <w:basedOn w:val="Normal"/>
    <w:rsid w:val="0096235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235E"/>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56906">
      <w:bodyDiv w:val="1"/>
      <w:marLeft w:val="0"/>
      <w:marRight w:val="0"/>
      <w:marTop w:val="0"/>
      <w:marBottom w:val="0"/>
      <w:divBdr>
        <w:top w:val="none" w:sz="0" w:space="0" w:color="auto"/>
        <w:left w:val="none" w:sz="0" w:space="0" w:color="auto"/>
        <w:bottom w:val="none" w:sz="0" w:space="0" w:color="auto"/>
        <w:right w:val="none" w:sz="0" w:space="0" w:color="auto"/>
      </w:divBdr>
    </w:div>
    <w:div w:id="748428799">
      <w:bodyDiv w:val="1"/>
      <w:marLeft w:val="0"/>
      <w:marRight w:val="0"/>
      <w:marTop w:val="0"/>
      <w:marBottom w:val="0"/>
      <w:divBdr>
        <w:top w:val="none" w:sz="0" w:space="0" w:color="auto"/>
        <w:left w:val="none" w:sz="0" w:space="0" w:color="auto"/>
        <w:bottom w:val="none" w:sz="0" w:space="0" w:color="auto"/>
        <w:right w:val="none" w:sz="0" w:space="0" w:color="auto"/>
      </w:divBdr>
      <w:divsChild>
        <w:div w:id="49883136">
          <w:marLeft w:val="0"/>
          <w:marRight w:val="0"/>
          <w:marTop w:val="0"/>
          <w:marBottom w:val="0"/>
          <w:divBdr>
            <w:top w:val="none" w:sz="0" w:space="0" w:color="auto"/>
            <w:left w:val="single" w:sz="6" w:space="0" w:color="BBBBBB"/>
            <w:bottom w:val="single" w:sz="6" w:space="0" w:color="BBBBBB"/>
            <w:right w:val="single" w:sz="6" w:space="0" w:color="BBBBBB"/>
          </w:divBdr>
          <w:divsChild>
            <w:div w:id="240869286">
              <w:marLeft w:val="0"/>
              <w:marRight w:val="0"/>
              <w:marTop w:val="0"/>
              <w:marBottom w:val="0"/>
              <w:divBdr>
                <w:top w:val="none" w:sz="0" w:space="0" w:color="auto"/>
                <w:left w:val="none" w:sz="0" w:space="0" w:color="auto"/>
                <w:bottom w:val="none" w:sz="0" w:space="0" w:color="auto"/>
                <w:right w:val="none" w:sz="0" w:space="0" w:color="auto"/>
              </w:divBdr>
              <w:divsChild>
                <w:div w:id="849761923">
                  <w:marLeft w:val="0"/>
                  <w:marRight w:val="0"/>
                  <w:marTop w:val="0"/>
                  <w:marBottom w:val="0"/>
                  <w:divBdr>
                    <w:top w:val="none" w:sz="0" w:space="0" w:color="auto"/>
                    <w:left w:val="none" w:sz="0" w:space="0" w:color="auto"/>
                    <w:bottom w:val="none" w:sz="0" w:space="0" w:color="auto"/>
                    <w:right w:val="none" w:sz="0" w:space="0" w:color="auto"/>
                  </w:divBdr>
                  <w:divsChild>
                    <w:div w:id="999431475">
                      <w:marLeft w:val="0"/>
                      <w:marRight w:val="0"/>
                      <w:marTop w:val="0"/>
                      <w:marBottom w:val="0"/>
                      <w:divBdr>
                        <w:top w:val="none" w:sz="0" w:space="0" w:color="auto"/>
                        <w:left w:val="none" w:sz="0" w:space="0" w:color="auto"/>
                        <w:bottom w:val="none" w:sz="0" w:space="0" w:color="auto"/>
                        <w:right w:val="none" w:sz="0" w:space="0" w:color="auto"/>
                      </w:divBdr>
                      <w:divsChild>
                        <w:div w:id="1287006366">
                          <w:marLeft w:val="0"/>
                          <w:marRight w:val="0"/>
                          <w:marTop w:val="0"/>
                          <w:marBottom w:val="0"/>
                          <w:divBdr>
                            <w:top w:val="none" w:sz="0" w:space="0" w:color="auto"/>
                            <w:left w:val="none" w:sz="0" w:space="0" w:color="auto"/>
                            <w:bottom w:val="none" w:sz="0" w:space="0" w:color="auto"/>
                            <w:right w:val="none" w:sz="0" w:space="0" w:color="auto"/>
                          </w:divBdr>
                          <w:divsChild>
                            <w:div w:id="706181227">
                              <w:marLeft w:val="0"/>
                              <w:marRight w:val="0"/>
                              <w:marTop w:val="0"/>
                              <w:marBottom w:val="0"/>
                              <w:divBdr>
                                <w:top w:val="none" w:sz="0" w:space="0" w:color="auto"/>
                                <w:left w:val="none" w:sz="0" w:space="0" w:color="auto"/>
                                <w:bottom w:val="none" w:sz="0" w:space="0" w:color="auto"/>
                                <w:right w:val="none" w:sz="0" w:space="0" w:color="auto"/>
                              </w:divBdr>
                              <w:divsChild>
                                <w:div w:id="1408763609">
                                  <w:marLeft w:val="0"/>
                                  <w:marRight w:val="0"/>
                                  <w:marTop w:val="0"/>
                                  <w:marBottom w:val="0"/>
                                  <w:divBdr>
                                    <w:top w:val="none" w:sz="0" w:space="0" w:color="auto"/>
                                    <w:left w:val="none" w:sz="0" w:space="0" w:color="auto"/>
                                    <w:bottom w:val="none" w:sz="0" w:space="0" w:color="auto"/>
                                    <w:right w:val="none" w:sz="0" w:space="0" w:color="auto"/>
                                  </w:divBdr>
                                  <w:divsChild>
                                    <w:div w:id="205339844">
                                      <w:marLeft w:val="0"/>
                                      <w:marRight w:val="0"/>
                                      <w:marTop w:val="0"/>
                                      <w:marBottom w:val="0"/>
                                      <w:divBdr>
                                        <w:top w:val="none" w:sz="0" w:space="0" w:color="auto"/>
                                        <w:left w:val="none" w:sz="0" w:space="0" w:color="auto"/>
                                        <w:bottom w:val="none" w:sz="0" w:space="0" w:color="auto"/>
                                        <w:right w:val="none" w:sz="0" w:space="0" w:color="auto"/>
                                      </w:divBdr>
                                      <w:divsChild>
                                        <w:div w:id="304705597">
                                          <w:marLeft w:val="1200"/>
                                          <w:marRight w:val="1200"/>
                                          <w:marTop w:val="0"/>
                                          <w:marBottom w:val="0"/>
                                          <w:divBdr>
                                            <w:top w:val="none" w:sz="0" w:space="0" w:color="auto"/>
                                            <w:left w:val="none" w:sz="0" w:space="0" w:color="auto"/>
                                            <w:bottom w:val="none" w:sz="0" w:space="0" w:color="auto"/>
                                            <w:right w:val="none" w:sz="0" w:space="0" w:color="auto"/>
                                          </w:divBdr>
                                          <w:divsChild>
                                            <w:div w:id="135146049">
                                              <w:marLeft w:val="0"/>
                                              <w:marRight w:val="0"/>
                                              <w:marTop w:val="0"/>
                                              <w:marBottom w:val="0"/>
                                              <w:divBdr>
                                                <w:top w:val="none" w:sz="0" w:space="0" w:color="auto"/>
                                                <w:left w:val="none" w:sz="0" w:space="0" w:color="auto"/>
                                                <w:bottom w:val="none" w:sz="0" w:space="0" w:color="auto"/>
                                                <w:right w:val="none" w:sz="0" w:space="0" w:color="auto"/>
                                              </w:divBdr>
                                              <w:divsChild>
                                                <w:div w:id="465782215">
                                                  <w:marLeft w:val="0"/>
                                                  <w:marRight w:val="0"/>
                                                  <w:marTop w:val="240"/>
                                                  <w:marBottom w:val="0"/>
                                                  <w:divBdr>
                                                    <w:top w:val="none" w:sz="0" w:space="0" w:color="auto"/>
                                                    <w:left w:val="none" w:sz="0" w:space="0" w:color="auto"/>
                                                    <w:bottom w:val="none" w:sz="0" w:space="0" w:color="auto"/>
                                                    <w:right w:val="none" w:sz="0" w:space="0" w:color="auto"/>
                                                  </w:divBdr>
                                                  <w:divsChild>
                                                    <w:div w:id="1614020685">
                                                      <w:marLeft w:val="0"/>
                                                      <w:marRight w:val="0"/>
                                                      <w:marTop w:val="0"/>
                                                      <w:marBottom w:val="0"/>
                                                      <w:divBdr>
                                                        <w:top w:val="none" w:sz="0" w:space="0" w:color="auto"/>
                                                        <w:left w:val="none" w:sz="0" w:space="0" w:color="auto"/>
                                                        <w:bottom w:val="none" w:sz="0" w:space="0" w:color="auto"/>
                                                        <w:right w:val="none" w:sz="0" w:space="0" w:color="auto"/>
                                                      </w:divBdr>
                                                      <w:divsChild>
                                                        <w:div w:id="268390294">
                                                          <w:marLeft w:val="1275"/>
                                                          <w:marRight w:val="0"/>
                                                          <w:marTop w:val="0"/>
                                                          <w:marBottom w:val="0"/>
                                                          <w:divBdr>
                                                            <w:top w:val="none" w:sz="0" w:space="0" w:color="auto"/>
                                                            <w:left w:val="none" w:sz="0" w:space="0" w:color="auto"/>
                                                            <w:bottom w:val="none" w:sz="0" w:space="0" w:color="auto"/>
                                                            <w:right w:val="none" w:sz="0" w:space="0" w:color="auto"/>
                                                          </w:divBdr>
                                                          <w:divsChild>
                                                            <w:div w:id="1681085776">
                                                              <w:marLeft w:val="0"/>
                                                              <w:marRight w:val="0"/>
                                                              <w:marTop w:val="0"/>
                                                              <w:marBottom w:val="0"/>
                                                              <w:divBdr>
                                                                <w:top w:val="none" w:sz="0" w:space="0" w:color="auto"/>
                                                                <w:left w:val="none" w:sz="0" w:space="0" w:color="auto"/>
                                                                <w:bottom w:val="none" w:sz="0" w:space="0" w:color="auto"/>
                                                                <w:right w:val="none" w:sz="0" w:space="0" w:color="auto"/>
                                                              </w:divBdr>
                                                              <w:divsChild>
                                                                <w:div w:id="9019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720822">
      <w:bodyDiv w:val="1"/>
      <w:marLeft w:val="0"/>
      <w:marRight w:val="0"/>
      <w:marTop w:val="0"/>
      <w:marBottom w:val="0"/>
      <w:divBdr>
        <w:top w:val="none" w:sz="0" w:space="0" w:color="auto"/>
        <w:left w:val="none" w:sz="0" w:space="0" w:color="auto"/>
        <w:bottom w:val="none" w:sz="0" w:space="0" w:color="auto"/>
        <w:right w:val="none" w:sz="0" w:space="0" w:color="auto"/>
      </w:divBdr>
      <w:divsChild>
        <w:div w:id="646856017">
          <w:marLeft w:val="0"/>
          <w:marRight w:val="0"/>
          <w:marTop w:val="0"/>
          <w:marBottom w:val="0"/>
          <w:divBdr>
            <w:top w:val="none" w:sz="0" w:space="0" w:color="auto"/>
            <w:left w:val="single" w:sz="6" w:space="0" w:color="BBBBBB"/>
            <w:bottom w:val="single" w:sz="6" w:space="0" w:color="BBBBBB"/>
            <w:right w:val="single" w:sz="6" w:space="0" w:color="BBBBBB"/>
          </w:divBdr>
          <w:divsChild>
            <w:div w:id="1814324575">
              <w:marLeft w:val="0"/>
              <w:marRight w:val="0"/>
              <w:marTop w:val="0"/>
              <w:marBottom w:val="0"/>
              <w:divBdr>
                <w:top w:val="none" w:sz="0" w:space="0" w:color="auto"/>
                <w:left w:val="none" w:sz="0" w:space="0" w:color="auto"/>
                <w:bottom w:val="none" w:sz="0" w:space="0" w:color="auto"/>
                <w:right w:val="none" w:sz="0" w:space="0" w:color="auto"/>
              </w:divBdr>
              <w:divsChild>
                <w:div w:id="1324163370">
                  <w:marLeft w:val="0"/>
                  <w:marRight w:val="0"/>
                  <w:marTop w:val="0"/>
                  <w:marBottom w:val="0"/>
                  <w:divBdr>
                    <w:top w:val="none" w:sz="0" w:space="0" w:color="auto"/>
                    <w:left w:val="none" w:sz="0" w:space="0" w:color="auto"/>
                    <w:bottom w:val="none" w:sz="0" w:space="0" w:color="auto"/>
                    <w:right w:val="none" w:sz="0" w:space="0" w:color="auto"/>
                  </w:divBdr>
                  <w:divsChild>
                    <w:div w:id="610092212">
                      <w:marLeft w:val="0"/>
                      <w:marRight w:val="0"/>
                      <w:marTop w:val="0"/>
                      <w:marBottom w:val="0"/>
                      <w:divBdr>
                        <w:top w:val="none" w:sz="0" w:space="0" w:color="auto"/>
                        <w:left w:val="none" w:sz="0" w:space="0" w:color="auto"/>
                        <w:bottom w:val="none" w:sz="0" w:space="0" w:color="auto"/>
                        <w:right w:val="none" w:sz="0" w:space="0" w:color="auto"/>
                      </w:divBdr>
                      <w:divsChild>
                        <w:div w:id="945621327">
                          <w:marLeft w:val="0"/>
                          <w:marRight w:val="0"/>
                          <w:marTop w:val="0"/>
                          <w:marBottom w:val="0"/>
                          <w:divBdr>
                            <w:top w:val="none" w:sz="0" w:space="0" w:color="auto"/>
                            <w:left w:val="none" w:sz="0" w:space="0" w:color="auto"/>
                            <w:bottom w:val="none" w:sz="0" w:space="0" w:color="auto"/>
                            <w:right w:val="none" w:sz="0" w:space="0" w:color="auto"/>
                          </w:divBdr>
                          <w:divsChild>
                            <w:div w:id="1858037181">
                              <w:marLeft w:val="0"/>
                              <w:marRight w:val="0"/>
                              <w:marTop w:val="0"/>
                              <w:marBottom w:val="0"/>
                              <w:divBdr>
                                <w:top w:val="none" w:sz="0" w:space="0" w:color="auto"/>
                                <w:left w:val="none" w:sz="0" w:space="0" w:color="auto"/>
                                <w:bottom w:val="none" w:sz="0" w:space="0" w:color="auto"/>
                                <w:right w:val="none" w:sz="0" w:space="0" w:color="auto"/>
                              </w:divBdr>
                              <w:divsChild>
                                <w:div w:id="575866396">
                                  <w:marLeft w:val="0"/>
                                  <w:marRight w:val="0"/>
                                  <w:marTop w:val="0"/>
                                  <w:marBottom w:val="0"/>
                                  <w:divBdr>
                                    <w:top w:val="none" w:sz="0" w:space="0" w:color="auto"/>
                                    <w:left w:val="none" w:sz="0" w:space="0" w:color="auto"/>
                                    <w:bottom w:val="none" w:sz="0" w:space="0" w:color="auto"/>
                                    <w:right w:val="none" w:sz="0" w:space="0" w:color="auto"/>
                                  </w:divBdr>
                                  <w:divsChild>
                                    <w:div w:id="1717777132">
                                      <w:marLeft w:val="0"/>
                                      <w:marRight w:val="0"/>
                                      <w:marTop w:val="0"/>
                                      <w:marBottom w:val="0"/>
                                      <w:divBdr>
                                        <w:top w:val="none" w:sz="0" w:space="0" w:color="auto"/>
                                        <w:left w:val="none" w:sz="0" w:space="0" w:color="auto"/>
                                        <w:bottom w:val="none" w:sz="0" w:space="0" w:color="auto"/>
                                        <w:right w:val="none" w:sz="0" w:space="0" w:color="auto"/>
                                      </w:divBdr>
                                      <w:divsChild>
                                        <w:div w:id="170948335">
                                          <w:marLeft w:val="1200"/>
                                          <w:marRight w:val="1200"/>
                                          <w:marTop w:val="0"/>
                                          <w:marBottom w:val="0"/>
                                          <w:divBdr>
                                            <w:top w:val="none" w:sz="0" w:space="0" w:color="auto"/>
                                            <w:left w:val="none" w:sz="0" w:space="0" w:color="auto"/>
                                            <w:bottom w:val="none" w:sz="0" w:space="0" w:color="auto"/>
                                            <w:right w:val="none" w:sz="0" w:space="0" w:color="auto"/>
                                          </w:divBdr>
                                          <w:divsChild>
                                            <w:div w:id="1351031720">
                                              <w:marLeft w:val="0"/>
                                              <w:marRight w:val="0"/>
                                              <w:marTop w:val="0"/>
                                              <w:marBottom w:val="0"/>
                                              <w:divBdr>
                                                <w:top w:val="none" w:sz="0" w:space="0" w:color="auto"/>
                                                <w:left w:val="none" w:sz="0" w:space="0" w:color="auto"/>
                                                <w:bottom w:val="none" w:sz="0" w:space="0" w:color="auto"/>
                                                <w:right w:val="none" w:sz="0" w:space="0" w:color="auto"/>
                                              </w:divBdr>
                                              <w:divsChild>
                                                <w:div w:id="1703167059">
                                                  <w:marLeft w:val="0"/>
                                                  <w:marRight w:val="0"/>
                                                  <w:marTop w:val="240"/>
                                                  <w:marBottom w:val="0"/>
                                                  <w:divBdr>
                                                    <w:top w:val="none" w:sz="0" w:space="0" w:color="auto"/>
                                                    <w:left w:val="none" w:sz="0" w:space="0" w:color="auto"/>
                                                    <w:bottom w:val="none" w:sz="0" w:space="0" w:color="auto"/>
                                                    <w:right w:val="none" w:sz="0" w:space="0" w:color="auto"/>
                                                  </w:divBdr>
                                                  <w:divsChild>
                                                    <w:div w:id="2067993914">
                                                      <w:marLeft w:val="0"/>
                                                      <w:marRight w:val="0"/>
                                                      <w:marTop w:val="0"/>
                                                      <w:marBottom w:val="0"/>
                                                      <w:divBdr>
                                                        <w:top w:val="none" w:sz="0" w:space="0" w:color="auto"/>
                                                        <w:left w:val="none" w:sz="0" w:space="0" w:color="auto"/>
                                                        <w:bottom w:val="none" w:sz="0" w:space="0" w:color="auto"/>
                                                        <w:right w:val="none" w:sz="0" w:space="0" w:color="auto"/>
                                                      </w:divBdr>
                                                      <w:divsChild>
                                                        <w:div w:id="1855264643">
                                                          <w:marLeft w:val="1275"/>
                                                          <w:marRight w:val="0"/>
                                                          <w:marTop w:val="0"/>
                                                          <w:marBottom w:val="0"/>
                                                          <w:divBdr>
                                                            <w:top w:val="none" w:sz="0" w:space="0" w:color="auto"/>
                                                            <w:left w:val="none" w:sz="0" w:space="0" w:color="auto"/>
                                                            <w:bottom w:val="none" w:sz="0" w:space="0" w:color="auto"/>
                                                            <w:right w:val="none" w:sz="0" w:space="0" w:color="auto"/>
                                                          </w:divBdr>
                                                          <w:divsChild>
                                                            <w:div w:id="1110853937">
                                                              <w:marLeft w:val="0"/>
                                                              <w:marRight w:val="0"/>
                                                              <w:marTop w:val="0"/>
                                                              <w:marBottom w:val="0"/>
                                                              <w:divBdr>
                                                                <w:top w:val="none" w:sz="0" w:space="0" w:color="auto"/>
                                                                <w:left w:val="none" w:sz="0" w:space="0" w:color="auto"/>
                                                                <w:bottom w:val="none" w:sz="0" w:space="0" w:color="auto"/>
                                                                <w:right w:val="none" w:sz="0" w:space="0" w:color="auto"/>
                                                              </w:divBdr>
                                                              <w:divsChild>
                                                                <w:div w:id="5301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930069">
      <w:marLeft w:val="0"/>
      <w:marRight w:val="0"/>
      <w:marTop w:val="0"/>
      <w:marBottom w:val="0"/>
      <w:divBdr>
        <w:top w:val="none" w:sz="0" w:space="0" w:color="auto"/>
        <w:left w:val="none" w:sz="0" w:space="0" w:color="auto"/>
        <w:bottom w:val="none" w:sz="0" w:space="0" w:color="auto"/>
        <w:right w:val="none" w:sz="0" w:space="0" w:color="auto"/>
      </w:divBdr>
    </w:div>
    <w:div w:id="1642930070">
      <w:marLeft w:val="0"/>
      <w:marRight w:val="0"/>
      <w:marTop w:val="0"/>
      <w:marBottom w:val="0"/>
      <w:divBdr>
        <w:top w:val="none" w:sz="0" w:space="0" w:color="auto"/>
        <w:left w:val="none" w:sz="0" w:space="0" w:color="auto"/>
        <w:bottom w:val="none" w:sz="0" w:space="0" w:color="auto"/>
        <w:right w:val="none" w:sz="0" w:space="0" w:color="auto"/>
      </w:divBdr>
    </w:div>
    <w:div w:id="1642930071">
      <w:marLeft w:val="0"/>
      <w:marRight w:val="0"/>
      <w:marTop w:val="0"/>
      <w:marBottom w:val="0"/>
      <w:divBdr>
        <w:top w:val="none" w:sz="0" w:space="0" w:color="auto"/>
        <w:left w:val="none" w:sz="0" w:space="0" w:color="auto"/>
        <w:bottom w:val="none" w:sz="0" w:space="0" w:color="auto"/>
        <w:right w:val="none" w:sz="0" w:space="0" w:color="auto"/>
      </w:divBdr>
    </w:div>
    <w:div w:id="1642930073">
      <w:marLeft w:val="0"/>
      <w:marRight w:val="0"/>
      <w:marTop w:val="0"/>
      <w:marBottom w:val="0"/>
      <w:divBdr>
        <w:top w:val="none" w:sz="0" w:space="0" w:color="auto"/>
        <w:left w:val="none" w:sz="0" w:space="0" w:color="auto"/>
        <w:bottom w:val="none" w:sz="0" w:space="0" w:color="auto"/>
        <w:right w:val="none" w:sz="0" w:space="0" w:color="auto"/>
      </w:divBdr>
    </w:div>
    <w:div w:id="1642930079">
      <w:marLeft w:val="30"/>
      <w:marRight w:val="30"/>
      <w:marTop w:val="30"/>
      <w:marBottom w:val="30"/>
      <w:divBdr>
        <w:top w:val="none" w:sz="0" w:space="0" w:color="auto"/>
        <w:left w:val="none" w:sz="0" w:space="0" w:color="auto"/>
        <w:bottom w:val="none" w:sz="0" w:space="0" w:color="auto"/>
        <w:right w:val="none" w:sz="0" w:space="0" w:color="auto"/>
      </w:divBdr>
      <w:divsChild>
        <w:div w:id="1642930074">
          <w:marLeft w:val="0"/>
          <w:marRight w:val="0"/>
          <w:marTop w:val="0"/>
          <w:marBottom w:val="0"/>
          <w:divBdr>
            <w:top w:val="none" w:sz="0" w:space="0" w:color="auto"/>
            <w:left w:val="none" w:sz="0" w:space="0" w:color="auto"/>
            <w:bottom w:val="none" w:sz="0" w:space="0" w:color="auto"/>
            <w:right w:val="none" w:sz="0" w:space="0" w:color="auto"/>
          </w:divBdr>
          <w:divsChild>
            <w:div w:id="1642930072">
              <w:marLeft w:val="45"/>
              <w:marRight w:val="45"/>
              <w:marTop w:val="45"/>
              <w:marBottom w:val="45"/>
              <w:divBdr>
                <w:top w:val="none" w:sz="0" w:space="0" w:color="auto"/>
                <w:left w:val="none" w:sz="0" w:space="0" w:color="auto"/>
                <w:bottom w:val="none" w:sz="0" w:space="0" w:color="auto"/>
                <w:right w:val="none" w:sz="0" w:space="0" w:color="auto"/>
              </w:divBdr>
              <w:divsChild>
                <w:div w:id="1642930080">
                  <w:marLeft w:val="720"/>
                  <w:marRight w:val="720"/>
                  <w:marTop w:val="100"/>
                  <w:marBottom w:val="100"/>
                  <w:divBdr>
                    <w:top w:val="none" w:sz="0" w:space="0" w:color="auto"/>
                    <w:left w:val="none" w:sz="0" w:space="0" w:color="auto"/>
                    <w:bottom w:val="none" w:sz="0" w:space="0" w:color="auto"/>
                    <w:right w:val="none" w:sz="0" w:space="0" w:color="auto"/>
                  </w:divBdr>
                </w:div>
                <w:div w:id="16429300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2930082">
      <w:marLeft w:val="30"/>
      <w:marRight w:val="30"/>
      <w:marTop w:val="30"/>
      <w:marBottom w:val="30"/>
      <w:divBdr>
        <w:top w:val="none" w:sz="0" w:space="0" w:color="auto"/>
        <w:left w:val="none" w:sz="0" w:space="0" w:color="auto"/>
        <w:bottom w:val="none" w:sz="0" w:space="0" w:color="auto"/>
        <w:right w:val="none" w:sz="0" w:space="0" w:color="auto"/>
      </w:divBdr>
      <w:divsChild>
        <w:div w:id="1642930075">
          <w:marLeft w:val="0"/>
          <w:marRight w:val="0"/>
          <w:marTop w:val="0"/>
          <w:marBottom w:val="0"/>
          <w:divBdr>
            <w:top w:val="none" w:sz="0" w:space="0" w:color="auto"/>
            <w:left w:val="none" w:sz="0" w:space="0" w:color="auto"/>
            <w:bottom w:val="none" w:sz="0" w:space="0" w:color="auto"/>
            <w:right w:val="none" w:sz="0" w:space="0" w:color="auto"/>
          </w:divBdr>
          <w:divsChild>
            <w:div w:id="1642930076">
              <w:marLeft w:val="45"/>
              <w:marRight w:val="45"/>
              <w:marTop w:val="45"/>
              <w:marBottom w:val="45"/>
              <w:divBdr>
                <w:top w:val="none" w:sz="0" w:space="0" w:color="auto"/>
                <w:left w:val="none" w:sz="0" w:space="0" w:color="auto"/>
                <w:bottom w:val="none" w:sz="0" w:space="0" w:color="auto"/>
                <w:right w:val="none" w:sz="0" w:space="0" w:color="auto"/>
              </w:divBdr>
              <w:divsChild>
                <w:div w:id="1642930077">
                  <w:marLeft w:val="720"/>
                  <w:marRight w:val="720"/>
                  <w:marTop w:val="100"/>
                  <w:marBottom w:val="100"/>
                  <w:divBdr>
                    <w:top w:val="none" w:sz="0" w:space="0" w:color="auto"/>
                    <w:left w:val="none" w:sz="0" w:space="0" w:color="auto"/>
                    <w:bottom w:val="none" w:sz="0" w:space="0" w:color="auto"/>
                    <w:right w:val="none" w:sz="0" w:space="0" w:color="auto"/>
                  </w:divBdr>
                </w:div>
                <w:div w:id="164293007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2930083">
      <w:marLeft w:val="0"/>
      <w:marRight w:val="0"/>
      <w:marTop w:val="0"/>
      <w:marBottom w:val="0"/>
      <w:divBdr>
        <w:top w:val="none" w:sz="0" w:space="0" w:color="auto"/>
        <w:left w:val="none" w:sz="0" w:space="0" w:color="auto"/>
        <w:bottom w:val="none" w:sz="0" w:space="0" w:color="auto"/>
        <w:right w:val="none" w:sz="0" w:space="0" w:color="auto"/>
      </w:divBdr>
    </w:div>
    <w:div w:id="1642930084">
      <w:marLeft w:val="0"/>
      <w:marRight w:val="0"/>
      <w:marTop w:val="0"/>
      <w:marBottom w:val="0"/>
      <w:divBdr>
        <w:top w:val="none" w:sz="0" w:space="0" w:color="auto"/>
        <w:left w:val="none" w:sz="0" w:space="0" w:color="auto"/>
        <w:bottom w:val="none" w:sz="0" w:space="0" w:color="auto"/>
        <w:right w:val="none" w:sz="0" w:space="0" w:color="auto"/>
      </w:divBdr>
    </w:div>
    <w:div w:id="1642930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2954</Words>
  <Characters>16147</Characters>
  <Application>Microsoft Office Word</Application>
  <DocSecurity>0</DocSecurity>
  <Lines>240</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19204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2012-10-18T15:50:00Z</cp:lastPrinted>
  <dcterms:created xsi:type="dcterms:W3CDTF">2015-11-03T22:50:00Z</dcterms:created>
  <dcterms:modified xsi:type="dcterms:W3CDTF">2015-11-03T22:50:00Z</dcterms:modified>
  <cp:category> </cp:category>
  <cp:contentStatus> </cp:contentStatus>
</cp:coreProperties>
</file>