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6C" w:rsidRPr="00CE5C14" w:rsidRDefault="004E5E6C">
      <w:pPr>
        <w:pStyle w:val="Header1"/>
        <w:tabs>
          <w:tab w:val="clear" w:pos="4320"/>
        </w:tabs>
        <w:jc w:val="right"/>
        <w:rPr>
          <w:color w:val="auto"/>
          <w:sz w:val="22"/>
          <w:szCs w:val="22"/>
        </w:rPr>
      </w:pPr>
      <w:bookmarkStart w:id="0" w:name="_GoBack"/>
      <w:bookmarkEnd w:id="0"/>
      <w:r w:rsidRPr="00CE5C14">
        <w:rPr>
          <w:color w:val="auto"/>
          <w:sz w:val="22"/>
          <w:szCs w:val="22"/>
        </w:rPr>
        <w:t xml:space="preserve">DA </w:t>
      </w:r>
      <w:r w:rsidR="00446EB9" w:rsidRPr="00CE5C14">
        <w:rPr>
          <w:color w:val="auto"/>
          <w:sz w:val="22"/>
          <w:szCs w:val="22"/>
        </w:rPr>
        <w:t>1</w:t>
      </w:r>
      <w:r w:rsidR="00FD5AF7" w:rsidRPr="00CE5C14">
        <w:rPr>
          <w:color w:val="auto"/>
          <w:sz w:val="22"/>
          <w:szCs w:val="22"/>
        </w:rPr>
        <w:t>5</w:t>
      </w:r>
      <w:r w:rsidRPr="00CE5C14">
        <w:rPr>
          <w:color w:val="auto"/>
          <w:sz w:val="22"/>
          <w:szCs w:val="22"/>
        </w:rPr>
        <w:t>-</w:t>
      </w:r>
      <w:r w:rsidR="008A2559" w:rsidRPr="00CE5C14">
        <w:rPr>
          <w:color w:val="auto"/>
          <w:sz w:val="22"/>
          <w:szCs w:val="22"/>
        </w:rPr>
        <w:t>124</w:t>
      </w:r>
    </w:p>
    <w:p w:rsidR="004E5E6C" w:rsidRDefault="004E5E6C">
      <w:pPr>
        <w:rPr>
          <w:rFonts w:ascii="Times New Roman Bold" w:hAnsi="Times New Roman Bold"/>
          <w:sz w:val="22"/>
          <w:u w:val="single"/>
        </w:rPr>
      </w:pPr>
    </w:p>
    <w:p w:rsidR="004E5E6C" w:rsidRDefault="004E5E6C">
      <w:pPr>
        <w:rPr>
          <w:rFonts w:ascii="Times New Roman Bold" w:hAnsi="Times New Roman Bold"/>
          <w:sz w:val="22"/>
          <w:u w:val="single"/>
        </w:rPr>
      </w:pPr>
      <w:r>
        <w:rPr>
          <w:rFonts w:ascii="Times New Roman Bold" w:hAnsi="Times New Roman Bold"/>
          <w:sz w:val="22"/>
          <w:u w:val="single"/>
        </w:rPr>
        <w:t>Via Certifi</w:t>
      </w:r>
      <w:bookmarkStart w:id="1" w:name="bookmark"/>
      <w:bookmarkEnd w:id="1"/>
      <w:r>
        <w:rPr>
          <w:rFonts w:ascii="Times New Roman Bold" w:hAnsi="Times New Roman Bold"/>
          <w:sz w:val="22"/>
          <w:u w:val="single"/>
        </w:rPr>
        <w:t>ed Mail, Return Receipt Requested</w:t>
      </w:r>
    </w:p>
    <w:p w:rsidR="004E5E6C" w:rsidRDefault="004E5E6C">
      <w:pPr>
        <w:rPr>
          <w:rFonts w:ascii="Times New Roman Bold" w:hAnsi="Times New Roman Bold"/>
          <w:sz w:val="22"/>
          <w:u w:val="single"/>
        </w:rPr>
      </w:pPr>
    </w:p>
    <w:p w:rsidR="004E5E6C" w:rsidRDefault="00A901A8" w:rsidP="00A901A8">
      <w:pPr>
        <w:rPr>
          <w:sz w:val="22"/>
          <w:szCs w:val="22"/>
        </w:rPr>
      </w:pPr>
      <w:r>
        <w:rPr>
          <w:sz w:val="22"/>
          <w:szCs w:val="22"/>
        </w:rPr>
        <w:t>Efrain O. Saille</w:t>
      </w:r>
      <w:r w:rsidR="004E5E6C">
        <w:rPr>
          <w:sz w:val="22"/>
          <w:szCs w:val="22"/>
        </w:rPr>
        <w:br/>
      </w:r>
      <w:r>
        <w:rPr>
          <w:sz w:val="22"/>
          <w:szCs w:val="22"/>
        </w:rPr>
        <w:t>1713 S. State Avenue</w:t>
      </w:r>
      <w:r w:rsidR="004E5E6C">
        <w:rPr>
          <w:sz w:val="22"/>
          <w:szCs w:val="22"/>
        </w:rPr>
        <w:t xml:space="preserve"> </w:t>
      </w:r>
    </w:p>
    <w:p w:rsidR="004E5E6C" w:rsidRDefault="00A901A8">
      <w:pPr>
        <w:rPr>
          <w:sz w:val="22"/>
        </w:rPr>
      </w:pPr>
      <w:r>
        <w:rPr>
          <w:sz w:val="22"/>
          <w:szCs w:val="22"/>
        </w:rPr>
        <w:t>Indianapolis, IN 46203</w:t>
      </w:r>
      <w:r w:rsidR="004E5E6C">
        <w:rPr>
          <w:sz w:val="22"/>
          <w:szCs w:val="22"/>
        </w:rPr>
        <w:t xml:space="preserve"> </w:t>
      </w:r>
      <w:r w:rsidR="004E5E6C">
        <w:rPr>
          <w:sz w:val="22"/>
          <w:szCs w:val="22"/>
        </w:rPr>
        <w:br/>
      </w:r>
    </w:p>
    <w:p w:rsidR="004E5E6C" w:rsidRDefault="004E5E6C" w:rsidP="00313EC2">
      <w:pPr>
        <w:widowControl w:val="0"/>
        <w:ind w:left="1170" w:hanging="450"/>
        <w:rPr>
          <w:b/>
          <w:sz w:val="22"/>
        </w:rPr>
      </w:pPr>
      <w:r>
        <w:rPr>
          <w:b/>
          <w:sz w:val="22"/>
        </w:rPr>
        <w:t xml:space="preserve">Re:  Notice of Interim Default Payment Obligation for Auction </w:t>
      </w:r>
      <w:r w:rsidR="00A901A8">
        <w:rPr>
          <w:b/>
          <w:sz w:val="22"/>
        </w:rPr>
        <w:t>94 Construction Permit</w:t>
      </w:r>
      <w:r w:rsidR="00CD050B">
        <w:rPr>
          <w:b/>
          <w:sz w:val="22"/>
        </w:rPr>
        <w:t>s</w:t>
      </w:r>
      <w:r w:rsidR="00A901A8">
        <w:rPr>
          <w:b/>
          <w:sz w:val="22"/>
        </w:rPr>
        <w:t xml:space="preserve"> </w:t>
      </w:r>
      <w:r w:rsidR="003B18A9">
        <w:rPr>
          <w:b/>
          <w:sz w:val="22"/>
        </w:rPr>
        <w:t xml:space="preserve">FM1033-A (Cotulla, TX) and </w:t>
      </w:r>
      <w:r w:rsidR="00A901A8">
        <w:rPr>
          <w:b/>
          <w:sz w:val="22"/>
        </w:rPr>
        <w:t>FM1048-C1</w:t>
      </w:r>
      <w:r>
        <w:rPr>
          <w:b/>
          <w:sz w:val="22"/>
        </w:rPr>
        <w:t xml:space="preserve"> (</w:t>
      </w:r>
      <w:r w:rsidR="00A901A8">
        <w:rPr>
          <w:b/>
          <w:sz w:val="22"/>
        </w:rPr>
        <w:t>Presidio, TX</w:t>
      </w:r>
      <w:r>
        <w:rPr>
          <w:b/>
          <w:sz w:val="22"/>
        </w:rPr>
        <w:t>)</w:t>
      </w:r>
    </w:p>
    <w:p w:rsidR="00CE43FB" w:rsidRDefault="00CE43FB">
      <w:pPr>
        <w:widowControl w:val="0"/>
        <w:ind w:left="720"/>
        <w:rPr>
          <w:b/>
          <w:sz w:val="22"/>
        </w:rPr>
      </w:pPr>
    </w:p>
    <w:p w:rsidR="00CE43FB" w:rsidRPr="0050636B" w:rsidRDefault="00CE43FB" w:rsidP="00CE43FB">
      <w:pPr>
        <w:widowControl w:val="0"/>
        <w:ind w:left="720"/>
        <w:jc w:val="center"/>
        <w:rPr>
          <w:b/>
          <w:sz w:val="22"/>
          <w:u w:val="single"/>
        </w:rPr>
      </w:pPr>
      <w:r w:rsidRPr="0050636B">
        <w:rPr>
          <w:b/>
          <w:sz w:val="22"/>
          <w:u w:val="single"/>
        </w:rPr>
        <w:t xml:space="preserve">DO NOT DISCARD THIS IMPORTANT NOTICE </w:t>
      </w:r>
    </w:p>
    <w:p w:rsidR="007B74E9" w:rsidRDefault="00CE43FB" w:rsidP="00CE43FB">
      <w:pPr>
        <w:widowControl w:val="0"/>
        <w:ind w:left="720"/>
        <w:jc w:val="center"/>
        <w:rPr>
          <w:b/>
          <w:sz w:val="22"/>
          <w:u w:val="single"/>
        </w:rPr>
      </w:pPr>
      <w:r w:rsidRPr="0050636B">
        <w:rPr>
          <w:b/>
          <w:sz w:val="22"/>
          <w:u w:val="single"/>
        </w:rPr>
        <w:t xml:space="preserve">OF A DEMAND FOR PAYMENT </w:t>
      </w:r>
    </w:p>
    <w:p w:rsidR="00CE43FB" w:rsidRPr="0050636B" w:rsidRDefault="00CE43FB" w:rsidP="00CE43FB">
      <w:pPr>
        <w:widowControl w:val="0"/>
        <w:ind w:left="720"/>
        <w:jc w:val="center"/>
        <w:rPr>
          <w:b/>
          <w:sz w:val="22"/>
          <w:u w:val="single"/>
        </w:rPr>
      </w:pPr>
      <w:r w:rsidRPr="0050636B">
        <w:rPr>
          <w:b/>
          <w:sz w:val="22"/>
          <w:u w:val="single"/>
        </w:rPr>
        <w:t>OF A DEBT OWED THE UNITED STATES AND ORDER OF PAYMENT</w:t>
      </w:r>
    </w:p>
    <w:p w:rsidR="004E5E6C" w:rsidRDefault="004E5E6C" w:rsidP="00CE43FB">
      <w:pPr>
        <w:widowControl w:val="0"/>
        <w:jc w:val="center"/>
        <w:rPr>
          <w:sz w:val="22"/>
        </w:rPr>
      </w:pPr>
    </w:p>
    <w:p w:rsidR="004E5E6C" w:rsidRDefault="004E5E6C">
      <w:pPr>
        <w:rPr>
          <w:sz w:val="22"/>
        </w:rPr>
      </w:pPr>
      <w:r>
        <w:rPr>
          <w:sz w:val="22"/>
        </w:rPr>
        <w:t xml:space="preserve">Dear Mr. </w:t>
      </w:r>
      <w:r w:rsidR="00A901A8">
        <w:rPr>
          <w:sz w:val="22"/>
          <w:szCs w:val="22"/>
        </w:rPr>
        <w:t>Saille</w:t>
      </w:r>
      <w:r>
        <w:rPr>
          <w:sz w:val="22"/>
        </w:rPr>
        <w:t>:</w:t>
      </w:r>
    </w:p>
    <w:p w:rsidR="004E5E6C" w:rsidRDefault="004E5E6C">
      <w:pPr>
        <w:rPr>
          <w:sz w:val="22"/>
        </w:rPr>
      </w:pPr>
    </w:p>
    <w:p w:rsidR="00A45E52" w:rsidRDefault="004E5E6C" w:rsidP="003A5896">
      <w:pPr>
        <w:widowControl w:val="0"/>
        <w:ind w:firstLine="720"/>
        <w:rPr>
          <w:sz w:val="22"/>
          <w:szCs w:val="22"/>
        </w:rPr>
      </w:pPr>
      <w:r>
        <w:rPr>
          <w:sz w:val="22"/>
        </w:rPr>
        <w:t xml:space="preserve">This </w:t>
      </w:r>
      <w:r w:rsidR="001D1691">
        <w:rPr>
          <w:sz w:val="22"/>
        </w:rPr>
        <w:t xml:space="preserve">Order </w:t>
      </w:r>
      <w:r>
        <w:rPr>
          <w:sz w:val="22"/>
        </w:rPr>
        <w:t xml:space="preserve">provides notice </w:t>
      </w:r>
      <w:r w:rsidR="00134CA9">
        <w:rPr>
          <w:sz w:val="22"/>
        </w:rPr>
        <w:t xml:space="preserve">and demands payment </w:t>
      </w:r>
      <w:r>
        <w:rPr>
          <w:sz w:val="22"/>
        </w:rPr>
        <w:t>of</w:t>
      </w:r>
      <w:r w:rsidR="00EA16DB">
        <w:rPr>
          <w:sz w:val="22"/>
        </w:rPr>
        <w:t xml:space="preserve"> the </w:t>
      </w:r>
      <w:r>
        <w:rPr>
          <w:sz w:val="22"/>
        </w:rPr>
        <w:t xml:space="preserve">interim default payment obligation </w:t>
      </w:r>
      <w:r w:rsidR="00A901A8">
        <w:rPr>
          <w:sz w:val="22"/>
        </w:rPr>
        <w:t xml:space="preserve">with respect to your default arising out of </w:t>
      </w:r>
      <w:r w:rsidR="008E26A6">
        <w:rPr>
          <w:sz w:val="22"/>
        </w:rPr>
        <w:t>Auction 94</w:t>
      </w:r>
      <w:r w:rsidR="00EA16DB">
        <w:rPr>
          <w:sz w:val="22"/>
        </w:rPr>
        <w:t>.</w:t>
      </w:r>
      <w:r w:rsidR="008E26A6">
        <w:rPr>
          <w:sz w:val="22"/>
        </w:rPr>
        <w:t xml:space="preserve"> </w:t>
      </w:r>
      <w:r w:rsidR="00A45E52">
        <w:rPr>
          <w:sz w:val="22"/>
        </w:rPr>
        <w:t xml:space="preserve"> </w:t>
      </w:r>
      <w:r w:rsidR="00E566FE">
        <w:rPr>
          <w:sz w:val="22"/>
        </w:rPr>
        <w:t>As described fully below, y</w:t>
      </w:r>
      <w:r w:rsidR="00A45E52">
        <w:rPr>
          <w:sz w:val="22"/>
        </w:rPr>
        <w:t xml:space="preserve">ou </w:t>
      </w:r>
      <w:r w:rsidR="00735E67">
        <w:rPr>
          <w:sz w:val="22"/>
        </w:rPr>
        <w:t>were the winning</w:t>
      </w:r>
      <w:r w:rsidR="008E26A6">
        <w:rPr>
          <w:sz w:val="22"/>
        </w:rPr>
        <w:t xml:space="preserve"> bidder </w:t>
      </w:r>
      <w:r w:rsidR="00EE453C">
        <w:rPr>
          <w:sz w:val="22"/>
        </w:rPr>
        <w:t xml:space="preserve">in Auction 94 </w:t>
      </w:r>
      <w:r w:rsidR="008E26A6">
        <w:rPr>
          <w:sz w:val="22"/>
        </w:rPr>
        <w:t xml:space="preserve">for </w:t>
      </w:r>
      <w:r w:rsidR="00A45E52">
        <w:rPr>
          <w:sz w:val="22"/>
        </w:rPr>
        <w:t xml:space="preserve">FM </w:t>
      </w:r>
      <w:r w:rsidR="0074235B">
        <w:rPr>
          <w:sz w:val="22"/>
        </w:rPr>
        <w:t>b</w:t>
      </w:r>
      <w:r w:rsidR="00A45E52">
        <w:rPr>
          <w:sz w:val="22"/>
        </w:rPr>
        <w:t>roadcast construction permit</w:t>
      </w:r>
      <w:r w:rsidR="003B18A9">
        <w:rPr>
          <w:sz w:val="22"/>
        </w:rPr>
        <w:t xml:space="preserve">s FM1033-A (Cotulla, TX) and </w:t>
      </w:r>
      <w:r w:rsidR="00A45E52">
        <w:rPr>
          <w:sz w:val="22"/>
        </w:rPr>
        <w:t>FM1048-C1 (Presidio, TX)</w:t>
      </w:r>
      <w:r w:rsidR="008E26A6">
        <w:rPr>
          <w:sz w:val="22"/>
        </w:rPr>
        <w:t xml:space="preserve"> (hereinafter, “the Permits”)</w:t>
      </w:r>
      <w:r w:rsidR="008415E0">
        <w:rPr>
          <w:sz w:val="22"/>
        </w:rPr>
        <w:t>.</w:t>
      </w:r>
      <w:r w:rsidR="00A45E52">
        <w:rPr>
          <w:rStyle w:val="FootnoteReference"/>
          <w:sz w:val="22"/>
        </w:rPr>
        <w:footnoteReference w:id="1"/>
      </w:r>
      <w:r w:rsidR="003A5896">
        <w:rPr>
          <w:sz w:val="22"/>
        </w:rPr>
        <w:t xml:space="preserve"> </w:t>
      </w:r>
      <w:r w:rsidR="00EA16DB">
        <w:rPr>
          <w:sz w:val="22"/>
        </w:rPr>
        <w:t xml:space="preserve"> </w:t>
      </w:r>
      <w:r w:rsidR="00E566FE">
        <w:rPr>
          <w:sz w:val="22"/>
        </w:rPr>
        <w:t>After the close of Auction 94</w:t>
      </w:r>
      <w:r>
        <w:rPr>
          <w:sz w:val="22"/>
        </w:rPr>
        <w:t xml:space="preserve">, </w:t>
      </w:r>
      <w:r w:rsidR="00A901A8">
        <w:rPr>
          <w:sz w:val="22"/>
        </w:rPr>
        <w:t>you</w:t>
      </w:r>
      <w:r>
        <w:rPr>
          <w:sz w:val="22"/>
        </w:rPr>
        <w:t xml:space="preserve"> defaulted on </w:t>
      </w:r>
      <w:r w:rsidR="00A901A8">
        <w:rPr>
          <w:sz w:val="22"/>
        </w:rPr>
        <w:t xml:space="preserve">your </w:t>
      </w:r>
      <w:r>
        <w:rPr>
          <w:sz w:val="22"/>
        </w:rPr>
        <w:t xml:space="preserve">payment obligations for </w:t>
      </w:r>
      <w:r w:rsidR="00FC4FE8">
        <w:rPr>
          <w:sz w:val="22"/>
        </w:rPr>
        <w:t>your winning bids</w:t>
      </w:r>
      <w:r>
        <w:rPr>
          <w:sz w:val="22"/>
        </w:rPr>
        <w:t xml:space="preserve">.  Thus, </w:t>
      </w:r>
      <w:r w:rsidR="00A45E52">
        <w:rPr>
          <w:sz w:val="22"/>
        </w:rPr>
        <w:t>you</w:t>
      </w:r>
      <w:r>
        <w:rPr>
          <w:sz w:val="22"/>
        </w:rPr>
        <w:t xml:space="preserve"> became subject to the default provisions of section 1.2104(g)</w:t>
      </w:r>
      <w:r w:rsidR="008E26A6">
        <w:rPr>
          <w:sz w:val="22"/>
        </w:rPr>
        <w:t>(2)</w:t>
      </w:r>
      <w:r>
        <w:rPr>
          <w:sz w:val="22"/>
        </w:rPr>
        <w:t xml:space="preserve"> of the Commission’s rules.</w:t>
      </w:r>
      <w:r>
        <w:rPr>
          <w:rStyle w:val="FootnoteReference1"/>
          <w:sz w:val="22"/>
        </w:rPr>
        <w:t xml:space="preserve"> </w:t>
      </w:r>
      <w:r>
        <w:rPr>
          <w:rStyle w:val="FootnoteReference1"/>
          <w:sz w:val="22"/>
        </w:rPr>
        <w:footnoteReference w:id="2"/>
      </w:r>
      <w:r>
        <w:rPr>
          <w:sz w:val="22"/>
        </w:rPr>
        <w:t xml:space="preserve"> </w:t>
      </w:r>
      <w:r>
        <w:rPr>
          <w:color w:val="FF0000"/>
          <w:sz w:val="22"/>
        </w:rPr>
        <w:t xml:space="preserve"> </w:t>
      </w:r>
    </w:p>
    <w:p w:rsidR="001537C6" w:rsidRDefault="001537C6" w:rsidP="00A45E52">
      <w:pPr>
        <w:widowControl w:val="0"/>
        <w:ind w:firstLine="720"/>
        <w:rPr>
          <w:sz w:val="22"/>
          <w:szCs w:val="22"/>
        </w:rPr>
      </w:pPr>
    </w:p>
    <w:p w:rsidR="004E5E6C" w:rsidRDefault="004E5E6C">
      <w:pPr>
        <w:widowControl w:val="0"/>
        <w:ind w:firstLine="720"/>
        <w:rPr>
          <w:sz w:val="22"/>
        </w:rPr>
      </w:pPr>
      <w:r>
        <w:rPr>
          <w:sz w:val="22"/>
        </w:rPr>
        <w:t xml:space="preserve">On </w:t>
      </w:r>
      <w:r w:rsidR="001A545E">
        <w:rPr>
          <w:sz w:val="22"/>
        </w:rPr>
        <w:t>May 14, 2013</w:t>
      </w:r>
      <w:r>
        <w:rPr>
          <w:sz w:val="22"/>
        </w:rPr>
        <w:t xml:space="preserve">, the </w:t>
      </w:r>
      <w:r w:rsidR="0054569A">
        <w:rPr>
          <w:sz w:val="22"/>
        </w:rPr>
        <w:t xml:space="preserve">Media Bureau and the </w:t>
      </w:r>
      <w:r>
        <w:rPr>
          <w:sz w:val="22"/>
        </w:rPr>
        <w:t>Wireless Telecommunications Bureau (“Bureau</w:t>
      </w:r>
      <w:r w:rsidR="0054569A">
        <w:rPr>
          <w:sz w:val="22"/>
        </w:rPr>
        <w:t>s</w:t>
      </w:r>
      <w:r>
        <w:rPr>
          <w:sz w:val="22"/>
        </w:rPr>
        <w:t xml:space="preserve">”) announced the winning bidders in Auction </w:t>
      </w:r>
      <w:r w:rsidR="001A545E">
        <w:rPr>
          <w:sz w:val="22"/>
        </w:rPr>
        <w:t>94</w:t>
      </w:r>
      <w:r>
        <w:rPr>
          <w:sz w:val="22"/>
        </w:rPr>
        <w:t xml:space="preserve">, </w:t>
      </w:r>
      <w:r w:rsidR="008E26A6">
        <w:rPr>
          <w:sz w:val="22"/>
        </w:rPr>
        <w:t xml:space="preserve">which </w:t>
      </w:r>
      <w:r w:rsidR="00E566FE">
        <w:rPr>
          <w:sz w:val="22"/>
        </w:rPr>
        <w:t>includ</w:t>
      </w:r>
      <w:r w:rsidR="008E26A6">
        <w:rPr>
          <w:sz w:val="22"/>
        </w:rPr>
        <w:t xml:space="preserve">ed </w:t>
      </w:r>
      <w:r w:rsidR="001A545E">
        <w:rPr>
          <w:sz w:val="22"/>
        </w:rPr>
        <w:t>you</w:t>
      </w:r>
      <w:r>
        <w:rPr>
          <w:sz w:val="22"/>
        </w:rPr>
        <w:t>.</w:t>
      </w:r>
      <w:r>
        <w:rPr>
          <w:rStyle w:val="FootnoteReference"/>
          <w:sz w:val="22"/>
        </w:rPr>
        <w:footnoteReference w:id="3"/>
      </w:r>
      <w:r>
        <w:rPr>
          <w:sz w:val="22"/>
        </w:rPr>
        <w:t xml:space="preserve">  The Bureau</w:t>
      </w:r>
      <w:r w:rsidR="0054569A">
        <w:rPr>
          <w:sz w:val="22"/>
        </w:rPr>
        <w:t>s</w:t>
      </w:r>
      <w:r>
        <w:rPr>
          <w:sz w:val="22"/>
        </w:rPr>
        <w:t xml:space="preserve"> also announced that by no later than </w:t>
      </w:r>
      <w:r w:rsidR="001A545E">
        <w:rPr>
          <w:sz w:val="22"/>
        </w:rPr>
        <w:t>May 29, 2013</w:t>
      </w:r>
      <w:r>
        <w:rPr>
          <w:sz w:val="22"/>
        </w:rPr>
        <w:t xml:space="preserve">, </w:t>
      </w:r>
      <w:r w:rsidR="00610CE8">
        <w:rPr>
          <w:sz w:val="22"/>
        </w:rPr>
        <w:t xml:space="preserve">each </w:t>
      </w:r>
      <w:r>
        <w:rPr>
          <w:sz w:val="22"/>
        </w:rPr>
        <w:t xml:space="preserve">Auction </w:t>
      </w:r>
      <w:r w:rsidR="001A545E">
        <w:rPr>
          <w:sz w:val="22"/>
        </w:rPr>
        <w:t xml:space="preserve">94 </w:t>
      </w:r>
      <w:r>
        <w:rPr>
          <w:sz w:val="22"/>
        </w:rPr>
        <w:t>winning bidder w</w:t>
      </w:r>
      <w:r w:rsidR="00610CE8">
        <w:rPr>
          <w:sz w:val="22"/>
        </w:rPr>
        <w:t>as</w:t>
      </w:r>
      <w:r>
        <w:rPr>
          <w:sz w:val="22"/>
        </w:rPr>
        <w:t xml:space="preserve"> required to have on deposit enough funds to bring each winning bidder’s deposit to twenty</w:t>
      </w:r>
      <w:r w:rsidR="00CC15AB">
        <w:rPr>
          <w:sz w:val="22"/>
        </w:rPr>
        <w:t xml:space="preserve"> </w:t>
      </w:r>
      <w:r>
        <w:rPr>
          <w:sz w:val="22"/>
        </w:rPr>
        <w:t>percent (20%) of its winning bid</w:t>
      </w:r>
      <w:r w:rsidR="00E566FE">
        <w:rPr>
          <w:sz w:val="22"/>
        </w:rPr>
        <w:t>(s)</w:t>
      </w:r>
      <w:r>
        <w:rPr>
          <w:sz w:val="22"/>
        </w:rPr>
        <w:t>.</w:t>
      </w:r>
      <w:r>
        <w:rPr>
          <w:rStyle w:val="FootnoteReference1"/>
          <w:sz w:val="22"/>
        </w:rPr>
        <w:footnoteReference w:id="4"/>
      </w:r>
      <w:r>
        <w:rPr>
          <w:sz w:val="22"/>
        </w:rPr>
        <w:t xml:space="preserve">  </w:t>
      </w:r>
      <w:r w:rsidR="00FF7604">
        <w:rPr>
          <w:sz w:val="22"/>
        </w:rPr>
        <w:t xml:space="preserve">If a winning bidder’s upfront payment was not sufficient to meet the down payment requirement, the winning bidder </w:t>
      </w:r>
      <w:r w:rsidR="00610CE8">
        <w:rPr>
          <w:sz w:val="22"/>
        </w:rPr>
        <w:t xml:space="preserve">would be </w:t>
      </w:r>
      <w:r w:rsidR="00FF7604">
        <w:rPr>
          <w:sz w:val="22"/>
        </w:rPr>
        <w:t>required to deposit sufficient funds to meet its down payment.</w:t>
      </w:r>
      <w:r w:rsidR="00FF7604">
        <w:rPr>
          <w:rStyle w:val="FootnoteReference"/>
          <w:sz w:val="22"/>
        </w:rPr>
        <w:footnoteReference w:id="5"/>
      </w:r>
      <w:r w:rsidR="00FF7604">
        <w:rPr>
          <w:sz w:val="22"/>
        </w:rPr>
        <w:t xml:space="preserve">  </w:t>
      </w:r>
      <w:r>
        <w:rPr>
          <w:sz w:val="22"/>
        </w:rPr>
        <w:t>The Bureau</w:t>
      </w:r>
      <w:r w:rsidR="0054569A">
        <w:rPr>
          <w:sz w:val="22"/>
        </w:rPr>
        <w:t>s</w:t>
      </w:r>
      <w:r>
        <w:rPr>
          <w:sz w:val="22"/>
        </w:rPr>
        <w:t xml:space="preserve"> further instructed that by </w:t>
      </w:r>
      <w:r w:rsidR="00D3119D">
        <w:rPr>
          <w:sz w:val="22"/>
        </w:rPr>
        <w:t>June 12, 2013</w:t>
      </w:r>
      <w:r>
        <w:rPr>
          <w:sz w:val="22"/>
        </w:rPr>
        <w:t xml:space="preserve">, </w:t>
      </w:r>
      <w:r w:rsidR="00610CE8">
        <w:rPr>
          <w:sz w:val="22"/>
        </w:rPr>
        <w:t>each</w:t>
      </w:r>
      <w:r>
        <w:rPr>
          <w:sz w:val="22"/>
        </w:rPr>
        <w:t xml:space="preserve"> winning bidder w</w:t>
      </w:r>
      <w:r w:rsidR="00610CE8">
        <w:rPr>
          <w:sz w:val="22"/>
        </w:rPr>
        <w:t>as</w:t>
      </w:r>
      <w:r>
        <w:rPr>
          <w:sz w:val="22"/>
        </w:rPr>
        <w:t xml:space="preserve"> required to submit a final payment for the balance of the net amount of each winning bid.</w:t>
      </w:r>
      <w:r>
        <w:rPr>
          <w:sz w:val="22"/>
          <w:vertAlign w:val="superscript"/>
        </w:rPr>
        <w:footnoteReference w:id="6"/>
      </w:r>
      <w:r>
        <w:rPr>
          <w:sz w:val="22"/>
        </w:rPr>
        <w:t xml:space="preserve">  </w:t>
      </w:r>
      <w:r w:rsidR="00956FDE">
        <w:rPr>
          <w:sz w:val="22"/>
        </w:rPr>
        <w:t>The Bureau</w:t>
      </w:r>
      <w:r w:rsidR="0054569A">
        <w:rPr>
          <w:sz w:val="22"/>
        </w:rPr>
        <w:t>s</w:t>
      </w:r>
      <w:r w:rsidR="00956FDE">
        <w:rPr>
          <w:sz w:val="22"/>
        </w:rPr>
        <w:t xml:space="preserve"> also announced </w:t>
      </w:r>
      <w:r w:rsidR="00E566FE">
        <w:rPr>
          <w:sz w:val="22"/>
        </w:rPr>
        <w:t>that by</w:t>
      </w:r>
      <w:r w:rsidR="00956FDE">
        <w:rPr>
          <w:sz w:val="22"/>
        </w:rPr>
        <w:t xml:space="preserve"> midnight on July 24, 2013</w:t>
      </w:r>
      <w:r w:rsidR="00E566FE">
        <w:rPr>
          <w:sz w:val="22"/>
        </w:rPr>
        <w:t>, all winning bidders were required to submit their long</w:t>
      </w:r>
      <w:r w:rsidR="00485826">
        <w:rPr>
          <w:sz w:val="22"/>
        </w:rPr>
        <w:t>-</w:t>
      </w:r>
      <w:r w:rsidR="00E566FE">
        <w:rPr>
          <w:sz w:val="22"/>
        </w:rPr>
        <w:t>form applications</w:t>
      </w:r>
      <w:r w:rsidR="00956FDE">
        <w:rPr>
          <w:sz w:val="22"/>
        </w:rPr>
        <w:t>.</w:t>
      </w:r>
      <w:r w:rsidR="00633257">
        <w:rPr>
          <w:rStyle w:val="FootnoteReference"/>
          <w:sz w:val="22"/>
        </w:rPr>
        <w:footnoteReference w:id="7"/>
      </w:r>
    </w:p>
    <w:p w:rsidR="004E5E6C" w:rsidRDefault="00D3119D">
      <w:pPr>
        <w:widowControl w:val="0"/>
        <w:ind w:firstLine="720"/>
        <w:rPr>
          <w:sz w:val="22"/>
        </w:rPr>
      </w:pPr>
      <w:r>
        <w:rPr>
          <w:sz w:val="22"/>
        </w:rPr>
        <w:lastRenderedPageBreak/>
        <w:t>Your</w:t>
      </w:r>
      <w:r w:rsidR="004E5E6C">
        <w:rPr>
          <w:sz w:val="22"/>
        </w:rPr>
        <w:t xml:space="preserve"> net winning bid </w:t>
      </w:r>
      <w:r w:rsidR="00912E81">
        <w:rPr>
          <w:sz w:val="22"/>
        </w:rPr>
        <w:t>was</w:t>
      </w:r>
      <w:r w:rsidR="004E5E6C">
        <w:rPr>
          <w:sz w:val="22"/>
        </w:rPr>
        <w:t xml:space="preserve"> $</w:t>
      </w:r>
      <w:r>
        <w:rPr>
          <w:sz w:val="22"/>
        </w:rPr>
        <w:t>1</w:t>
      </w:r>
      <w:r w:rsidR="00927EF4">
        <w:rPr>
          <w:sz w:val="22"/>
        </w:rPr>
        <w:t>9</w:t>
      </w:r>
      <w:r w:rsidR="004E5E6C">
        <w:rPr>
          <w:sz w:val="22"/>
        </w:rPr>
        <w:t>,</w:t>
      </w:r>
      <w:r>
        <w:rPr>
          <w:sz w:val="22"/>
        </w:rPr>
        <w:t>8</w:t>
      </w:r>
      <w:r w:rsidR="00927EF4">
        <w:rPr>
          <w:sz w:val="22"/>
        </w:rPr>
        <w:t>25</w:t>
      </w:r>
      <w:r w:rsidR="004E5E6C">
        <w:rPr>
          <w:sz w:val="22"/>
        </w:rPr>
        <w:t>.00.</w:t>
      </w:r>
      <w:r w:rsidR="004E5E6C">
        <w:rPr>
          <w:rStyle w:val="FootnoteReference1"/>
          <w:sz w:val="22"/>
        </w:rPr>
        <w:footnoteReference w:id="8"/>
      </w:r>
      <w:r w:rsidR="004E5E6C">
        <w:rPr>
          <w:sz w:val="22"/>
        </w:rPr>
        <w:t xml:space="preserve">  The Bureau</w:t>
      </w:r>
      <w:r w:rsidR="0054569A">
        <w:rPr>
          <w:sz w:val="22"/>
        </w:rPr>
        <w:t>s</w:t>
      </w:r>
      <w:r w:rsidR="004E5E6C">
        <w:rPr>
          <w:sz w:val="22"/>
        </w:rPr>
        <w:t xml:space="preserve"> applied the $</w:t>
      </w:r>
      <w:r w:rsidR="004F0CC4">
        <w:rPr>
          <w:sz w:val="22"/>
        </w:rPr>
        <w:t>3</w:t>
      </w:r>
      <w:r w:rsidR="004E5E6C">
        <w:rPr>
          <w:sz w:val="22"/>
        </w:rPr>
        <w:t xml:space="preserve">,000.00 upfront payment amount that </w:t>
      </w:r>
      <w:r w:rsidR="00927EF4">
        <w:rPr>
          <w:sz w:val="22"/>
        </w:rPr>
        <w:t>you</w:t>
      </w:r>
      <w:r w:rsidR="004E5E6C">
        <w:rPr>
          <w:sz w:val="22"/>
        </w:rPr>
        <w:t xml:space="preserve"> had on deposit toward </w:t>
      </w:r>
      <w:r w:rsidR="00927EF4">
        <w:rPr>
          <w:sz w:val="22"/>
        </w:rPr>
        <w:t xml:space="preserve">your </w:t>
      </w:r>
      <w:r w:rsidR="004E5E6C">
        <w:rPr>
          <w:sz w:val="22"/>
        </w:rPr>
        <w:t xml:space="preserve">down payment </w:t>
      </w:r>
      <w:r w:rsidR="00EE453C">
        <w:rPr>
          <w:sz w:val="22"/>
        </w:rPr>
        <w:t xml:space="preserve">obligation of $3,965.00 </w:t>
      </w:r>
      <w:r w:rsidR="004E5E6C">
        <w:rPr>
          <w:sz w:val="22"/>
        </w:rPr>
        <w:t xml:space="preserve">and notified </w:t>
      </w:r>
      <w:r w:rsidR="00927EF4">
        <w:rPr>
          <w:sz w:val="22"/>
        </w:rPr>
        <w:t>you</w:t>
      </w:r>
      <w:r w:rsidR="004E5E6C">
        <w:rPr>
          <w:sz w:val="22"/>
        </w:rPr>
        <w:t xml:space="preserve"> that the additional amount due to meet </w:t>
      </w:r>
      <w:r w:rsidR="00927EF4">
        <w:rPr>
          <w:sz w:val="22"/>
        </w:rPr>
        <w:t xml:space="preserve">your </w:t>
      </w:r>
      <w:r w:rsidR="004E5E6C">
        <w:rPr>
          <w:sz w:val="22"/>
        </w:rPr>
        <w:t>down payment obligation was $</w:t>
      </w:r>
      <w:r w:rsidR="00A12718">
        <w:rPr>
          <w:sz w:val="22"/>
        </w:rPr>
        <w:t>965.</w:t>
      </w:r>
      <w:r w:rsidR="004E5E6C">
        <w:rPr>
          <w:sz w:val="22"/>
        </w:rPr>
        <w:t>00.</w:t>
      </w:r>
      <w:r w:rsidR="004E5E6C">
        <w:rPr>
          <w:rStyle w:val="FootnoteReference1"/>
          <w:sz w:val="22"/>
        </w:rPr>
        <w:footnoteReference w:id="9"/>
      </w:r>
      <w:r w:rsidR="004E5E6C">
        <w:rPr>
          <w:sz w:val="22"/>
        </w:rPr>
        <w:t xml:space="preserve">  </w:t>
      </w:r>
      <w:r w:rsidR="00A12718">
        <w:rPr>
          <w:sz w:val="22"/>
        </w:rPr>
        <w:t>You</w:t>
      </w:r>
      <w:r w:rsidR="004E5E6C">
        <w:rPr>
          <w:sz w:val="22"/>
        </w:rPr>
        <w:t xml:space="preserve"> failed to remit </w:t>
      </w:r>
      <w:r w:rsidR="00A12718">
        <w:rPr>
          <w:sz w:val="22"/>
        </w:rPr>
        <w:t xml:space="preserve">your </w:t>
      </w:r>
      <w:r w:rsidR="004E5E6C">
        <w:rPr>
          <w:sz w:val="22"/>
        </w:rPr>
        <w:t xml:space="preserve">required down payment due by </w:t>
      </w:r>
      <w:r w:rsidR="00A12718">
        <w:rPr>
          <w:sz w:val="22"/>
        </w:rPr>
        <w:t>May 29, 2013</w:t>
      </w:r>
      <w:r w:rsidR="004E5E6C">
        <w:rPr>
          <w:sz w:val="22"/>
        </w:rPr>
        <w:t xml:space="preserve">.  Subsequently, </w:t>
      </w:r>
      <w:r w:rsidR="00A12718">
        <w:rPr>
          <w:sz w:val="22"/>
        </w:rPr>
        <w:t>you</w:t>
      </w:r>
      <w:r w:rsidR="004E5E6C">
        <w:rPr>
          <w:sz w:val="22"/>
        </w:rPr>
        <w:t xml:space="preserve"> failed to submit the final payment of $</w:t>
      </w:r>
      <w:r w:rsidR="00A12718">
        <w:rPr>
          <w:sz w:val="22"/>
        </w:rPr>
        <w:t>15,860</w:t>
      </w:r>
      <w:r w:rsidR="004E5E6C">
        <w:rPr>
          <w:sz w:val="22"/>
        </w:rPr>
        <w:t xml:space="preserve">.00 due by </w:t>
      </w:r>
      <w:r w:rsidR="00A12718">
        <w:rPr>
          <w:sz w:val="22"/>
        </w:rPr>
        <w:t>June 12, 201</w:t>
      </w:r>
      <w:r w:rsidR="00742DCE">
        <w:rPr>
          <w:sz w:val="22"/>
        </w:rPr>
        <w:t>3.  Additionally, you did not submit a long-form application for the Permits.</w:t>
      </w:r>
      <w:r w:rsidR="004E5E6C">
        <w:t xml:space="preserve"> </w:t>
      </w:r>
      <w:r w:rsidR="00742DCE">
        <w:t xml:space="preserve"> </w:t>
      </w:r>
      <w:r w:rsidR="004E5E6C">
        <w:rPr>
          <w:sz w:val="22"/>
        </w:rPr>
        <w:t xml:space="preserve">Thus, </w:t>
      </w:r>
      <w:r w:rsidR="00012316">
        <w:rPr>
          <w:sz w:val="22"/>
        </w:rPr>
        <w:t>you</w:t>
      </w:r>
      <w:r w:rsidR="004E5E6C">
        <w:rPr>
          <w:sz w:val="22"/>
        </w:rPr>
        <w:t xml:space="preserve"> became subject to the default provisions of section 1.2104(g)</w:t>
      </w:r>
      <w:r w:rsidR="00EA21FF">
        <w:rPr>
          <w:sz w:val="22"/>
        </w:rPr>
        <w:t>(2)</w:t>
      </w:r>
      <w:r w:rsidR="004E5E6C">
        <w:rPr>
          <w:sz w:val="22"/>
        </w:rPr>
        <w:t xml:space="preserve"> of the Commission’s rules.</w:t>
      </w:r>
      <w:r w:rsidR="004E5E6C">
        <w:rPr>
          <w:rStyle w:val="FootnoteReference1"/>
          <w:sz w:val="22"/>
        </w:rPr>
        <w:t xml:space="preserve"> </w:t>
      </w:r>
      <w:r w:rsidR="004E5E6C">
        <w:rPr>
          <w:rStyle w:val="FootnoteReference1"/>
          <w:sz w:val="22"/>
        </w:rPr>
        <w:footnoteReference w:id="10"/>
      </w:r>
      <w:r w:rsidR="004E5E6C">
        <w:rPr>
          <w:sz w:val="22"/>
        </w:rPr>
        <w:t xml:space="preserve"> </w:t>
      </w:r>
      <w:r w:rsidR="00941913">
        <w:rPr>
          <w:sz w:val="22"/>
        </w:rPr>
        <w:t xml:space="preserve"> </w:t>
      </w:r>
    </w:p>
    <w:p w:rsidR="004E5E6C" w:rsidRDefault="004E5E6C">
      <w:pPr>
        <w:widowControl w:val="0"/>
        <w:ind w:firstLine="720"/>
        <w:rPr>
          <w:sz w:val="22"/>
        </w:rPr>
      </w:pPr>
    </w:p>
    <w:p w:rsidR="004E5E6C" w:rsidRDefault="00AC1435">
      <w:pPr>
        <w:widowControl w:val="0"/>
        <w:ind w:firstLine="720"/>
        <w:rPr>
          <w:sz w:val="22"/>
        </w:rPr>
      </w:pPr>
      <w:r>
        <w:rPr>
          <w:sz w:val="22"/>
        </w:rPr>
        <w:t>Under the Commission’s rules, at the close of the auction a winning bidder assumes a binding obligation to pay the full amount of its accepted winning bid.</w:t>
      </w:r>
      <w:r>
        <w:rPr>
          <w:rStyle w:val="FootnoteReference"/>
          <w:sz w:val="22"/>
        </w:rPr>
        <w:footnoteReference w:id="11"/>
      </w:r>
      <w:r>
        <w:rPr>
          <w:sz w:val="22"/>
        </w:rPr>
        <w:t xml:space="preserve">  A bidder who defaults on that obligation or is disqualified </w:t>
      </w:r>
      <w:r w:rsidRPr="00C61F2A">
        <w:rPr>
          <w:sz w:val="22"/>
        </w:rPr>
        <w:t xml:space="preserve">is considered to be a defaulting bidder under the Commission’s rules and </w:t>
      </w:r>
      <w:r>
        <w:rPr>
          <w:sz w:val="22"/>
        </w:rPr>
        <w:t>is subject to a default payment.</w:t>
      </w:r>
      <w:r>
        <w:rPr>
          <w:rStyle w:val="FootnoteReference1"/>
          <w:sz w:val="22"/>
        </w:rPr>
        <w:footnoteReference w:id="12"/>
      </w:r>
      <w:r>
        <w:rPr>
          <w:sz w:val="22"/>
        </w:rPr>
        <w:t xml:space="preserve">  The default payment has two components: a deficiency payment and an additional payment amount.</w:t>
      </w:r>
      <w:r>
        <w:rPr>
          <w:rStyle w:val="FootnoteReference"/>
          <w:sz w:val="22"/>
        </w:rPr>
        <w:footnoteReference w:id="13"/>
      </w:r>
      <w:r>
        <w:rPr>
          <w:sz w:val="22"/>
        </w:rPr>
        <w:t xml:space="preserve">  The deficiency payment component applies only in the event that the subsequent winning bid the next time a construction permit for the allotment is won is less than the defaulted bid.  The deficiency payment amount is the difference between the bidder’s net defaulted bid and the subsequent net winning bid, or the difference between the bidder’s gross defaulted bid and the subsequent gross winning bid, whichever is less.</w:t>
      </w:r>
      <w:r>
        <w:rPr>
          <w:rStyle w:val="FootnoteReference1"/>
          <w:sz w:val="22"/>
        </w:rPr>
        <w:footnoteReference w:id="14"/>
      </w:r>
      <w:r>
        <w:rPr>
          <w:sz w:val="22"/>
        </w:rPr>
        <w:t xml:space="preserve">  The additional payment amount is owed by each defaulting bidder.</w:t>
      </w:r>
      <w:r>
        <w:rPr>
          <w:rStyle w:val="FootnoteReference"/>
          <w:sz w:val="22"/>
        </w:rPr>
        <w:footnoteReference w:id="15"/>
      </w:r>
      <w:r>
        <w:rPr>
          <w:sz w:val="22"/>
        </w:rPr>
        <w:t xml:space="preserve">  Pursuant to the rule in effect at the time of Auction </w:t>
      </w:r>
      <w:r w:rsidR="00637136">
        <w:rPr>
          <w:sz w:val="22"/>
        </w:rPr>
        <w:t>94</w:t>
      </w:r>
      <w:r>
        <w:rPr>
          <w:sz w:val="22"/>
        </w:rPr>
        <w:t>, the additional payment amount is equal to twenty percent</w:t>
      </w:r>
      <w:r>
        <w:rPr>
          <w:sz w:val="24"/>
        </w:rPr>
        <w:t xml:space="preserve"> </w:t>
      </w:r>
      <w:r>
        <w:rPr>
          <w:sz w:val="22"/>
        </w:rPr>
        <w:t>(20%) of the defaulter’s bid, or the subsequent winning bid, whichever is less.</w:t>
      </w:r>
      <w:r w:rsidR="004E5E6C">
        <w:rPr>
          <w:rStyle w:val="FootnoteReference1"/>
          <w:sz w:val="22"/>
        </w:rPr>
        <w:footnoteReference w:id="16"/>
      </w:r>
      <w:r w:rsidR="004E5E6C">
        <w:rPr>
          <w:rStyle w:val="FootnoteReference1"/>
          <w:sz w:val="22"/>
        </w:rPr>
        <w:t xml:space="preserve"> </w:t>
      </w:r>
      <w:r w:rsidR="004E5E6C">
        <w:rPr>
          <w:sz w:val="22"/>
        </w:rPr>
        <w:t xml:space="preserve"> </w:t>
      </w:r>
    </w:p>
    <w:p w:rsidR="004E5E6C" w:rsidRDefault="004E5E6C">
      <w:pPr>
        <w:widowControl w:val="0"/>
        <w:ind w:firstLine="720"/>
        <w:rPr>
          <w:sz w:val="22"/>
        </w:rPr>
      </w:pPr>
    </w:p>
    <w:p w:rsidR="004E5E6C" w:rsidRDefault="004E5E6C">
      <w:pPr>
        <w:widowControl w:val="0"/>
        <w:ind w:firstLine="720"/>
        <w:rPr>
          <w:sz w:val="22"/>
        </w:rPr>
      </w:pPr>
      <w:r>
        <w:rPr>
          <w:sz w:val="22"/>
        </w:rPr>
        <w:t xml:space="preserve">Until </w:t>
      </w:r>
      <w:r w:rsidR="00912E81">
        <w:rPr>
          <w:sz w:val="22"/>
        </w:rPr>
        <w:t xml:space="preserve">a construction permit for the relevant allotment </w:t>
      </w:r>
      <w:r w:rsidR="00A62BA5">
        <w:rPr>
          <w:sz w:val="22"/>
        </w:rPr>
        <w:t>is</w:t>
      </w:r>
      <w:r w:rsidR="00EE453C">
        <w:rPr>
          <w:sz w:val="22"/>
        </w:rPr>
        <w:t xml:space="preserve"> </w:t>
      </w:r>
      <w:r>
        <w:rPr>
          <w:sz w:val="22"/>
        </w:rPr>
        <w:t xml:space="preserve">won in </w:t>
      </w:r>
      <w:r w:rsidR="00B77165">
        <w:rPr>
          <w:sz w:val="22"/>
        </w:rPr>
        <w:t xml:space="preserve">a </w:t>
      </w:r>
      <w:r>
        <w:rPr>
          <w:sz w:val="22"/>
        </w:rPr>
        <w:t>subsequent auction, the Commission cannot determine the full amount of the default payment that is owed.  Pursuant to its rules, the Commission therefore assesses an interim default payment amounting to twenty percent</w:t>
      </w:r>
      <w:r w:rsidR="00EE453C">
        <w:rPr>
          <w:sz w:val="22"/>
        </w:rPr>
        <w:t xml:space="preserve"> (20%)</w:t>
      </w:r>
      <w:r>
        <w:rPr>
          <w:sz w:val="22"/>
        </w:rPr>
        <w:t xml:space="preserve"> of the net winning bid</w:t>
      </w:r>
      <w:r w:rsidR="00610CE8">
        <w:rPr>
          <w:sz w:val="22"/>
        </w:rPr>
        <w:t>s</w:t>
      </w:r>
      <w:r>
        <w:rPr>
          <w:sz w:val="22"/>
        </w:rPr>
        <w:t>.</w:t>
      </w:r>
      <w:r>
        <w:rPr>
          <w:rStyle w:val="FootnoteReference1"/>
          <w:sz w:val="22"/>
        </w:rPr>
        <w:footnoteReference w:id="17"/>
      </w:r>
      <w:r>
        <w:rPr>
          <w:rStyle w:val="FootnoteReference1"/>
          <w:sz w:val="22"/>
        </w:rPr>
        <w:t xml:space="preserve"> </w:t>
      </w:r>
      <w:r>
        <w:rPr>
          <w:sz w:val="22"/>
        </w:rPr>
        <w:t xml:space="preserve"> Once subsequent winning bid</w:t>
      </w:r>
      <w:r w:rsidR="00610CE8">
        <w:rPr>
          <w:sz w:val="22"/>
        </w:rPr>
        <w:t>s</w:t>
      </w:r>
      <w:r>
        <w:rPr>
          <w:sz w:val="22"/>
        </w:rPr>
        <w:t xml:space="preserve"> for the relevant </w:t>
      </w:r>
      <w:r w:rsidR="001A5F23">
        <w:rPr>
          <w:sz w:val="22"/>
        </w:rPr>
        <w:t>allotment</w:t>
      </w:r>
      <w:r w:rsidR="00E87F49">
        <w:rPr>
          <w:sz w:val="22"/>
        </w:rPr>
        <w:t xml:space="preserve"> </w:t>
      </w:r>
      <w:r w:rsidR="00610CE8">
        <w:rPr>
          <w:sz w:val="22"/>
        </w:rPr>
        <w:t>are</w:t>
      </w:r>
      <w:r>
        <w:rPr>
          <w:sz w:val="22"/>
        </w:rPr>
        <w:t xml:space="preserve"> established, the remaining amount owed by </w:t>
      </w:r>
      <w:r w:rsidR="004703EC">
        <w:rPr>
          <w:sz w:val="22"/>
        </w:rPr>
        <w:t>you</w:t>
      </w:r>
      <w:r>
        <w:rPr>
          <w:sz w:val="22"/>
        </w:rPr>
        <w:t xml:space="preserve">, if any, is then assessed. </w:t>
      </w:r>
    </w:p>
    <w:p w:rsidR="004E5E6C" w:rsidRDefault="004E5E6C">
      <w:pPr>
        <w:ind w:firstLine="720"/>
        <w:rPr>
          <w:sz w:val="22"/>
        </w:rPr>
      </w:pPr>
      <w:r>
        <w:rPr>
          <w:sz w:val="22"/>
        </w:rPr>
        <w:t xml:space="preserve">Accordingly, </w:t>
      </w:r>
      <w:r w:rsidR="00CA60EB">
        <w:rPr>
          <w:sz w:val="22"/>
        </w:rPr>
        <w:t>you are</w:t>
      </w:r>
      <w:r>
        <w:rPr>
          <w:sz w:val="22"/>
        </w:rPr>
        <w:t xml:space="preserve"> considered to be in default on the</w:t>
      </w:r>
      <w:r w:rsidR="00BC22E4">
        <w:rPr>
          <w:sz w:val="22"/>
        </w:rPr>
        <w:t xml:space="preserve"> </w:t>
      </w:r>
      <w:r w:rsidR="00EE453C">
        <w:rPr>
          <w:sz w:val="22"/>
        </w:rPr>
        <w:t xml:space="preserve">Permits </w:t>
      </w:r>
      <w:r>
        <w:rPr>
          <w:sz w:val="22"/>
        </w:rPr>
        <w:t xml:space="preserve">for which </w:t>
      </w:r>
      <w:r w:rsidR="00CA60EB">
        <w:rPr>
          <w:sz w:val="22"/>
        </w:rPr>
        <w:t>you were</w:t>
      </w:r>
      <w:r>
        <w:rPr>
          <w:sz w:val="22"/>
        </w:rPr>
        <w:t xml:space="preserve"> the winning bidder in Auction </w:t>
      </w:r>
      <w:r w:rsidR="00CA60EB">
        <w:rPr>
          <w:sz w:val="22"/>
        </w:rPr>
        <w:t>94</w:t>
      </w:r>
      <w:r>
        <w:rPr>
          <w:sz w:val="22"/>
        </w:rPr>
        <w:t xml:space="preserve">, and </w:t>
      </w:r>
      <w:r w:rsidR="00BC22E4">
        <w:rPr>
          <w:sz w:val="22"/>
        </w:rPr>
        <w:t xml:space="preserve">you are </w:t>
      </w:r>
      <w:r>
        <w:rPr>
          <w:sz w:val="22"/>
        </w:rPr>
        <w:t>subject to the applicable default payment</w:t>
      </w:r>
      <w:r w:rsidR="00B77165">
        <w:rPr>
          <w:sz w:val="22"/>
        </w:rPr>
        <w:t xml:space="preserve"> as shown in Attachment A</w:t>
      </w:r>
      <w:r>
        <w:rPr>
          <w:sz w:val="22"/>
        </w:rPr>
        <w:t>.</w:t>
      </w:r>
      <w:r>
        <w:rPr>
          <w:rStyle w:val="FootnoteReference1"/>
          <w:sz w:val="22"/>
        </w:rPr>
        <w:footnoteReference w:id="18"/>
      </w:r>
      <w:r>
        <w:rPr>
          <w:sz w:val="22"/>
        </w:rPr>
        <w:t xml:space="preserve">  Pursuant to section 1.2104(g)(2) of the Commission’s rules and the procedures established for Auction </w:t>
      </w:r>
      <w:r w:rsidR="00E87F49">
        <w:rPr>
          <w:sz w:val="22"/>
        </w:rPr>
        <w:t>94</w:t>
      </w:r>
      <w:r>
        <w:rPr>
          <w:sz w:val="22"/>
        </w:rPr>
        <w:t xml:space="preserve">, </w:t>
      </w:r>
      <w:r w:rsidR="00E87F49">
        <w:rPr>
          <w:sz w:val="22"/>
        </w:rPr>
        <w:t>you</w:t>
      </w:r>
      <w:r>
        <w:rPr>
          <w:sz w:val="22"/>
        </w:rPr>
        <w:t xml:space="preserve"> ow</w:t>
      </w:r>
      <w:r w:rsidR="00271E0F">
        <w:rPr>
          <w:sz w:val="22"/>
        </w:rPr>
        <w:t>e</w:t>
      </w:r>
      <w:r>
        <w:rPr>
          <w:sz w:val="22"/>
        </w:rPr>
        <w:t xml:space="preserve"> an interim default payment of $</w:t>
      </w:r>
      <w:r w:rsidR="00E87F49">
        <w:rPr>
          <w:sz w:val="22"/>
        </w:rPr>
        <w:t>3,965.00</w:t>
      </w:r>
      <w:r>
        <w:rPr>
          <w:sz w:val="22"/>
        </w:rPr>
        <w:t xml:space="preserve">, which is </w:t>
      </w:r>
      <w:r w:rsidR="00E87F49">
        <w:rPr>
          <w:sz w:val="22"/>
        </w:rPr>
        <w:t xml:space="preserve">twenty </w:t>
      </w:r>
      <w:r>
        <w:rPr>
          <w:sz w:val="22"/>
        </w:rPr>
        <w:t>percent (</w:t>
      </w:r>
      <w:r w:rsidR="00E87F49">
        <w:rPr>
          <w:sz w:val="22"/>
        </w:rPr>
        <w:t>20</w:t>
      </w:r>
      <w:r>
        <w:rPr>
          <w:sz w:val="22"/>
        </w:rPr>
        <w:t xml:space="preserve">%) of </w:t>
      </w:r>
      <w:r w:rsidR="00E87F49">
        <w:rPr>
          <w:sz w:val="22"/>
        </w:rPr>
        <w:t xml:space="preserve">your </w:t>
      </w:r>
      <w:r>
        <w:rPr>
          <w:sz w:val="22"/>
        </w:rPr>
        <w:t>total net winning bid</w:t>
      </w:r>
      <w:r w:rsidR="003B6C47">
        <w:rPr>
          <w:sz w:val="22"/>
        </w:rPr>
        <w:t>s</w:t>
      </w:r>
      <w:r>
        <w:rPr>
          <w:sz w:val="22"/>
        </w:rPr>
        <w:t xml:space="preserve"> of $</w:t>
      </w:r>
      <w:r w:rsidR="00E87F49">
        <w:rPr>
          <w:sz w:val="22"/>
        </w:rPr>
        <w:t>19,825</w:t>
      </w:r>
      <w:r>
        <w:rPr>
          <w:sz w:val="22"/>
        </w:rPr>
        <w:t>.00.</w:t>
      </w:r>
      <w:r>
        <w:rPr>
          <w:rStyle w:val="FootnoteReference1"/>
          <w:sz w:val="22"/>
        </w:rPr>
        <w:footnoteReference w:id="19"/>
      </w:r>
      <w:r>
        <w:rPr>
          <w:sz w:val="22"/>
        </w:rPr>
        <w:t xml:space="preserve">  Pursuant to section 1.2106(e) of the rules, we </w:t>
      </w:r>
      <w:r w:rsidR="00813FB9">
        <w:rPr>
          <w:sz w:val="22"/>
        </w:rPr>
        <w:t xml:space="preserve">will apply </w:t>
      </w:r>
      <w:r w:rsidR="00E87F49">
        <w:rPr>
          <w:sz w:val="22"/>
        </w:rPr>
        <w:t xml:space="preserve">your </w:t>
      </w:r>
      <w:r>
        <w:rPr>
          <w:sz w:val="22"/>
        </w:rPr>
        <w:t>$</w:t>
      </w:r>
      <w:r w:rsidR="00E87F49">
        <w:rPr>
          <w:sz w:val="22"/>
        </w:rPr>
        <w:t>3</w:t>
      </w:r>
      <w:r>
        <w:rPr>
          <w:sz w:val="22"/>
        </w:rPr>
        <w:t>,000.00 payment on deposit toward satisfying this interim default payment obligation.</w:t>
      </w:r>
      <w:r>
        <w:rPr>
          <w:rStyle w:val="FootnoteReference"/>
          <w:sz w:val="22"/>
        </w:rPr>
        <w:footnoteReference w:id="20"/>
      </w:r>
      <w:r>
        <w:rPr>
          <w:sz w:val="22"/>
        </w:rPr>
        <w:t xml:space="preserve">  After doing so, </w:t>
      </w:r>
      <w:r w:rsidR="00E87F49">
        <w:rPr>
          <w:sz w:val="22"/>
        </w:rPr>
        <w:t>you</w:t>
      </w:r>
      <w:r>
        <w:rPr>
          <w:sz w:val="22"/>
        </w:rPr>
        <w:t xml:space="preserve"> </w:t>
      </w:r>
      <w:r w:rsidR="00813FB9">
        <w:rPr>
          <w:sz w:val="22"/>
        </w:rPr>
        <w:t xml:space="preserve">owe </w:t>
      </w:r>
      <w:r>
        <w:rPr>
          <w:sz w:val="22"/>
        </w:rPr>
        <w:t>an outstanding balance of $</w:t>
      </w:r>
      <w:r w:rsidR="00E87F49">
        <w:rPr>
          <w:sz w:val="22"/>
        </w:rPr>
        <w:t>965</w:t>
      </w:r>
      <w:r>
        <w:rPr>
          <w:sz w:val="22"/>
        </w:rPr>
        <w:t xml:space="preserve">.00.  </w:t>
      </w:r>
      <w:r w:rsidR="00B77165">
        <w:rPr>
          <w:sz w:val="22"/>
          <w:szCs w:val="22"/>
        </w:rPr>
        <w:t xml:space="preserve">This debt to the United States is payable in full and without further demand within 30 days of the date of this Order in accordance with the Important Notice Information provided below and Payment Instructions in Attachment B.  Additionally, </w:t>
      </w:r>
      <w:r w:rsidR="00B77165">
        <w:rPr>
          <w:sz w:val="22"/>
        </w:rPr>
        <w:t>o</w:t>
      </w:r>
      <w:r>
        <w:rPr>
          <w:sz w:val="22"/>
        </w:rPr>
        <w:t>nce subsequent winning bid</w:t>
      </w:r>
      <w:r w:rsidR="00B20768">
        <w:rPr>
          <w:sz w:val="22"/>
        </w:rPr>
        <w:t>s</w:t>
      </w:r>
      <w:r>
        <w:rPr>
          <w:sz w:val="22"/>
        </w:rPr>
        <w:t xml:space="preserve"> </w:t>
      </w:r>
      <w:r w:rsidR="00B20768">
        <w:rPr>
          <w:sz w:val="22"/>
        </w:rPr>
        <w:t>are</w:t>
      </w:r>
      <w:r>
        <w:rPr>
          <w:sz w:val="22"/>
        </w:rPr>
        <w:t xml:space="preserve"> established for the relevant </w:t>
      </w:r>
      <w:r w:rsidR="001F7E17">
        <w:rPr>
          <w:sz w:val="22"/>
        </w:rPr>
        <w:t>allotment</w:t>
      </w:r>
      <w:r>
        <w:rPr>
          <w:sz w:val="22"/>
        </w:rPr>
        <w:t xml:space="preserve">, we will determine </w:t>
      </w:r>
      <w:r w:rsidR="00E87F49">
        <w:rPr>
          <w:sz w:val="22"/>
        </w:rPr>
        <w:t>your</w:t>
      </w:r>
      <w:r>
        <w:rPr>
          <w:sz w:val="22"/>
        </w:rPr>
        <w:t xml:space="preserve"> final default payment obligation.</w:t>
      </w:r>
      <w:r>
        <w:rPr>
          <w:rStyle w:val="FootnoteReference1"/>
          <w:sz w:val="22"/>
        </w:rPr>
        <w:t xml:space="preserve"> </w:t>
      </w:r>
      <w:r>
        <w:rPr>
          <w:sz w:val="22"/>
        </w:rPr>
        <w:t xml:space="preserve"> If an additional payment is required, a further order will assess such payment.</w:t>
      </w:r>
      <w:r>
        <w:rPr>
          <w:rStyle w:val="FootnoteReference1"/>
          <w:sz w:val="22"/>
        </w:rPr>
        <w:footnoteReference w:id="21"/>
      </w:r>
      <w:r>
        <w:rPr>
          <w:sz w:val="22"/>
        </w:rPr>
        <w:t xml:space="preserve">  </w:t>
      </w:r>
    </w:p>
    <w:p w:rsidR="004E5E6C" w:rsidRDefault="004E5E6C">
      <w:pPr>
        <w:widowControl w:val="0"/>
        <w:rPr>
          <w:sz w:val="22"/>
        </w:rPr>
      </w:pPr>
    </w:p>
    <w:p w:rsidR="00451FE4" w:rsidRPr="00313EC2" w:rsidRDefault="00451FE4" w:rsidP="00451FE4">
      <w:pPr>
        <w:pStyle w:val="BodyTextIndent"/>
        <w:ind w:firstLine="0"/>
        <w:jc w:val="center"/>
        <w:rPr>
          <w:b/>
          <w:sz w:val="22"/>
          <w:szCs w:val="22"/>
          <w:u w:val="single"/>
        </w:rPr>
      </w:pPr>
      <w:r w:rsidRPr="00313EC2">
        <w:rPr>
          <w:b/>
          <w:sz w:val="22"/>
          <w:szCs w:val="22"/>
          <w:u w:val="single"/>
        </w:rPr>
        <w:t>Important Notice Information</w:t>
      </w:r>
    </w:p>
    <w:p w:rsidR="00451FE4" w:rsidRPr="00313EC2" w:rsidRDefault="00451FE4" w:rsidP="00451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51FE4" w:rsidRDefault="00451FE4" w:rsidP="0050636B">
      <w:pPr>
        <w:widowControl w:val="0"/>
        <w:ind w:firstLine="720"/>
        <w:rPr>
          <w:sz w:val="22"/>
          <w:szCs w:val="22"/>
        </w:rPr>
      </w:pPr>
      <w:r w:rsidRPr="00313EC2">
        <w:rPr>
          <w:sz w:val="22"/>
          <w:szCs w:val="22"/>
        </w:rPr>
        <w:t>The following provides notification of procedures and information required by the Debt Collection Improvement Act of 1996 (“DCIA”).</w:t>
      </w:r>
      <w:r w:rsidRPr="00313EC2">
        <w:rPr>
          <w:rStyle w:val="FootnoteReference"/>
          <w:sz w:val="22"/>
          <w:szCs w:val="22"/>
        </w:rPr>
        <w:footnoteReference w:id="22"/>
      </w:r>
      <w:r w:rsidRPr="00313EC2">
        <w:rPr>
          <w:sz w:val="22"/>
          <w:szCs w:val="22"/>
        </w:rPr>
        <w:t xml:space="preserve">  The outstanding balance shown in Attachment A is a debt you owe to the United States.  It is payable in full, immediately, and without further demand, and payment must be received no later than the payment due date, which is 30 days from the date of this Order (“Due Date”) in accordance with the Payment Instructions in Attachment B.</w:t>
      </w:r>
      <w:r w:rsidRPr="00313EC2">
        <w:rPr>
          <w:rStyle w:val="FootnoteReference"/>
          <w:sz w:val="22"/>
          <w:szCs w:val="22"/>
        </w:rPr>
        <w:footnoteReference w:id="23"/>
      </w:r>
      <w:r w:rsidRPr="00313EC2">
        <w:rPr>
          <w:sz w:val="22"/>
          <w:szCs w:val="22"/>
        </w:rPr>
        <w:t xml:space="preserve">  Any portion of the debt unpaid at the end of the Due Date will be considered delinquent and administrative charges (incurred for processing and handling delinquent debts),</w:t>
      </w:r>
      <w:r w:rsidRPr="00313EC2">
        <w:rPr>
          <w:rStyle w:val="FootnoteReference"/>
          <w:sz w:val="22"/>
          <w:szCs w:val="22"/>
        </w:rPr>
        <w:footnoteReference w:id="24"/>
      </w:r>
      <w:r w:rsidRPr="00313EC2">
        <w:rPr>
          <w:sz w:val="22"/>
          <w:szCs w:val="22"/>
        </w:rPr>
        <w:t xml:space="preserve"> interest,</w:t>
      </w:r>
      <w:r w:rsidRPr="00313EC2">
        <w:rPr>
          <w:rStyle w:val="FootnoteReference"/>
          <w:sz w:val="22"/>
          <w:szCs w:val="22"/>
        </w:rPr>
        <w:footnoteReference w:id="25"/>
      </w:r>
      <w:r w:rsidRPr="00313EC2">
        <w:rPr>
          <w:sz w:val="22"/>
          <w:szCs w:val="22"/>
        </w:rPr>
        <w:t xml:space="preserve"> and penalties</w:t>
      </w:r>
      <w:r w:rsidRPr="00313EC2">
        <w:rPr>
          <w:rStyle w:val="FootnoteReference"/>
          <w:sz w:val="22"/>
          <w:szCs w:val="22"/>
        </w:rPr>
        <w:footnoteReference w:id="26"/>
      </w:r>
      <w:r w:rsidRPr="00313EC2">
        <w:rPr>
          <w:sz w:val="22"/>
          <w:szCs w:val="22"/>
        </w:rPr>
        <w:t xml:space="preserve"> will accrue beginning from that date.  Interest accrues at a minimum annual rate established annually by the United States Treasury in accordance with 31 U.S.C. § 3717.</w:t>
      </w:r>
      <w:r w:rsidRPr="00313EC2">
        <w:rPr>
          <w:rStyle w:val="FootnoteReference"/>
          <w:sz w:val="22"/>
          <w:szCs w:val="22"/>
        </w:rPr>
        <w:footnoteReference w:id="27"/>
      </w:r>
      <w:r w:rsidRPr="00313EC2">
        <w:rPr>
          <w:sz w:val="22"/>
          <w:szCs w:val="22"/>
        </w:rPr>
        <w:t xml:space="preserve">  However, the Commission will waive payment of the accrued interest, if the full amount of the debt is paid within 30 days of the Due Date.</w:t>
      </w:r>
      <w:r w:rsidRPr="00313EC2">
        <w:rPr>
          <w:rStyle w:val="FootnoteReference"/>
          <w:sz w:val="22"/>
          <w:szCs w:val="22"/>
        </w:rPr>
        <w:footnoteReference w:id="28"/>
      </w:r>
      <w:r w:rsidRPr="00313EC2">
        <w:rPr>
          <w:sz w:val="22"/>
          <w:szCs w:val="22"/>
        </w:rPr>
        <w:t xml:space="preserve">  </w:t>
      </w:r>
      <w:r w:rsidR="00B20768" w:rsidRPr="00EB5345">
        <w:rPr>
          <w:sz w:val="22"/>
          <w:szCs w:val="22"/>
        </w:rPr>
        <w:t>A penalty of six percent (6%) accrues on any portion of the debt that remains unpaid for more than 90 days from the Due Date.</w:t>
      </w:r>
      <w:r w:rsidRPr="00EB5345">
        <w:rPr>
          <w:rStyle w:val="FootnoteReference"/>
          <w:sz w:val="22"/>
          <w:szCs w:val="22"/>
        </w:rPr>
        <w:footnoteReference w:id="29"/>
      </w:r>
      <w:r w:rsidRPr="00EB5345">
        <w:rPr>
          <w:sz w:val="22"/>
          <w:szCs w:val="22"/>
        </w:rPr>
        <w:t xml:space="preserve">  </w:t>
      </w:r>
      <w:r w:rsidRPr="00313EC2">
        <w:rPr>
          <w:sz w:val="22"/>
          <w:szCs w:val="22"/>
        </w:rPr>
        <w:t>In addition to these charges, the Commission may initiate administrative offset,</w:t>
      </w:r>
      <w:r w:rsidRPr="00313EC2">
        <w:rPr>
          <w:rStyle w:val="FootnoteReference"/>
          <w:sz w:val="22"/>
          <w:szCs w:val="22"/>
        </w:rPr>
        <w:footnoteReference w:id="30"/>
      </w:r>
      <w:r w:rsidRPr="00313EC2">
        <w:rPr>
          <w:sz w:val="22"/>
          <w:szCs w:val="22"/>
        </w:rPr>
        <w:t xml:space="preserve"> and it may refer the</w:t>
      </w:r>
      <w:r>
        <w:rPr>
          <w:sz w:val="22"/>
          <w:szCs w:val="22"/>
        </w:rPr>
        <w:t xml:space="preserve"> </w:t>
      </w:r>
      <w:r w:rsidRPr="00313EC2">
        <w:rPr>
          <w:sz w:val="22"/>
          <w:szCs w:val="22"/>
        </w:rPr>
        <w:t>delinquent debt to the United States Treasury or the Department of Justice (“DOJ”) for further collection action.</w:t>
      </w:r>
      <w:r w:rsidRPr="00313EC2">
        <w:rPr>
          <w:rStyle w:val="FootnoteReference"/>
          <w:sz w:val="22"/>
          <w:szCs w:val="22"/>
        </w:rPr>
        <w:footnoteReference w:id="31"/>
      </w:r>
      <w:r w:rsidRPr="00313EC2">
        <w:rPr>
          <w:sz w:val="22"/>
          <w:szCs w:val="22"/>
        </w:rPr>
        <w:t xml:space="preserve">  The United States Treasury will impose an additional administrative collection charge,</w:t>
      </w:r>
      <w:r w:rsidRPr="00313EC2">
        <w:rPr>
          <w:rStyle w:val="FootnoteReference"/>
          <w:sz w:val="22"/>
          <w:szCs w:val="22"/>
        </w:rPr>
        <w:footnoteReference w:id="32"/>
      </w:r>
      <w:r w:rsidRPr="00313EC2">
        <w:rPr>
          <w:sz w:val="22"/>
          <w:szCs w:val="22"/>
        </w:rPr>
        <w:t xml:space="preserve"> and it may also commence administrative offset.</w:t>
      </w:r>
      <w:r w:rsidRPr="00313EC2">
        <w:rPr>
          <w:rStyle w:val="FootnoteReference"/>
          <w:sz w:val="22"/>
          <w:szCs w:val="22"/>
        </w:rPr>
        <w:footnoteReference w:id="33"/>
      </w:r>
      <w:r w:rsidRPr="00313EC2">
        <w:rPr>
          <w:sz w:val="22"/>
          <w:szCs w:val="22"/>
        </w:rPr>
        <w:t xml:space="preserve">  An additional surcharge may be imposed, if DOJ initiates judicial action to recover judgment.</w:t>
      </w:r>
      <w:r w:rsidRPr="00313EC2">
        <w:rPr>
          <w:rStyle w:val="FootnoteReference"/>
          <w:sz w:val="22"/>
          <w:szCs w:val="22"/>
        </w:rPr>
        <w:footnoteReference w:id="34"/>
      </w:r>
      <w:r w:rsidRPr="00313EC2">
        <w:rPr>
          <w:sz w:val="22"/>
          <w:szCs w:val="22"/>
        </w:rPr>
        <w:t xml:space="preserve">  Furthermore, any portion of the debt that is unpaid after the Due Date is a delinquent debt, which will trigger application of the Commission’s red light procedures at 47 C.F.R. § 1.1910.</w:t>
      </w:r>
    </w:p>
    <w:p w:rsidR="00451FE4" w:rsidRDefault="00451FE4" w:rsidP="00451FE4">
      <w:pPr>
        <w:widowControl w:val="0"/>
        <w:rPr>
          <w:sz w:val="22"/>
        </w:rPr>
      </w:pPr>
    </w:p>
    <w:p w:rsidR="004E5E6C" w:rsidRDefault="004E5E6C">
      <w:pPr>
        <w:jc w:val="center"/>
        <w:rPr>
          <w:rFonts w:ascii="Times New Roman Bold" w:hAnsi="Times New Roman Bold"/>
          <w:sz w:val="22"/>
          <w:u w:val="single"/>
        </w:rPr>
      </w:pPr>
      <w:r>
        <w:rPr>
          <w:rFonts w:ascii="Times New Roman Bold" w:hAnsi="Times New Roman Bold"/>
          <w:sz w:val="22"/>
          <w:u w:val="single"/>
        </w:rPr>
        <w:t>Ordering Clauses</w:t>
      </w:r>
    </w:p>
    <w:p w:rsidR="004E5E6C" w:rsidRDefault="004E5E6C">
      <w:pPr>
        <w:pStyle w:val="ParaNum"/>
        <w:spacing w:after="0"/>
        <w:ind w:firstLine="720"/>
        <w:jc w:val="left"/>
        <w:rPr>
          <w:kern w:val="0"/>
        </w:rPr>
      </w:pPr>
    </w:p>
    <w:p w:rsidR="004E5E6C" w:rsidRDefault="004E5E6C">
      <w:pPr>
        <w:ind w:firstLine="720"/>
        <w:rPr>
          <w:sz w:val="22"/>
        </w:rPr>
      </w:pPr>
      <w:r>
        <w:rPr>
          <w:sz w:val="22"/>
        </w:rPr>
        <w:t xml:space="preserve">Accordingly, IT IS ORDERED that, pursuant to sections 4(i) and 309 of the Communications Act of 1934, as amended, 47 U.S.C. §§ 154(i), 309, and section 1.2104(g)(2) of the Commission’s rules, 47 C.F.R. § 1.2104(g)(2), </w:t>
      </w:r>
      <w:r w:rsidR="008B077A">
        <w:rPr>
          <w:sz w:val="22"/>
        </w:rPr>
        <w:t>Efrain O. Saille</w:t>
      </w:r>
      <w:r>
        <w:rPr>
          <w:sz w:val="22"/>
        </w:rPr>
        <w:t xml:space="preserve"> </w:t>
      </w:r>
      <w:r w:rsidR="0049796D">
        <w:rPr>
          <w:sz w:val="22"/>
        </w:rPr>
        <w:t xml:space="preserve">is ASSESSED </w:t>
      </w:r>
      <w:r>
        <w:rPr>
          <w:sz w:val="22"/>
        </w:rPr>
        <w:t>an interim default payment</w:t>
      </w:r>
      <w:r w:rsidR="008B3EF2">
        <w:rPr>
          <w:sz w:val="22"/>
        </w:rPr>
        <w:t xml:space="preserve"> of </w:t>
      </w:r>
      <w:r w:rsidR="008B3EF2" w:rsidRPr="008B3EF2">
        <w:t>$965.00</w:t>
      </w:r>
      <w:r w:rsidR="0049796D">
        <w:rPr>
          <w:sz w:val="22"/>
        </w:rPr>
        <w:t xml:space="preserve">, </w:t>
      </w:r>
      <w:r>
        <w:rPr>
          <w:sz w:val="22"/>
        </w:rPr>
        <w:t xml:space="preserve">as computed in Attachment A. </w:t>
      </w:r>
    </w:p>
    <w:p w:rsidR="004E5E6C" w:rsidRDefault="004E5E6C">
      <w:pPr>
        <w:ind w:firstLine="720"/>
        <w:rPr>
          <w:sz w:val="22"/>
        </w:rPr>
      </w:pPr>
    </w:p>
    <w:p w:rsidR="004E5E6C" w:rsidRDefault="004E5E6C">
      <w:pPr>
        <w:ind w:firstLine="720"/>
        <w:rPr>
          <w:sz w:val="22"/>
        </w:rPr>
      </w:pPr>
      <w:r>
        <w:rPr>
          <w:sz w:val="22"/>
        </w:rPr>
        <w:t xml:space="preserve">IT IS FURTHER ORDERED that, pursuant to sections 1.2104 and 1.2106 of the Commission’s rules, 47 C.F.R. §§ 1.2104 and 1.2106, </w:t>
      </w:r>
      <w:r w:rsidR="008B077A">
        <w:rPr>
          <w:sz w:val="22"/>
        </w:rPr>
        <w:t>Efrain O. Saille’s</w:t>
      </w:r>
      <w:r>
        <w:rPr>
          <w:sz w:val="22"/>
        </w:rPr>
        <w:t xml:space="preserve"> funds on deposit with the Commission </w:t>
      </w:r>
      <w:r w:rsidR="0026660F">
        <w:rPr>
          <w:sz w:val="22"/>
        </w:rPr>
        <w:t>will be</w:t>
      </w:r>
      <w:r>
        <w:rPr>
          <w:sz w:val="22"/>
        </w:rPr>
        <w:t xml:space="preserve"> applied toward satisfying the interim default payment obligation. </w:t>
      </w:r>
    </w:p>
    <w:p w:rsidR="004E5E6C" w:rsidRDefault="004E5E6C">
      <w:pPr>
        <w:ind w:firstLine="720"/>
        <w:rPr>
          <w:sz w:val="22"/>
        </w:rPr>
      </w:pPr>
    </w:p>
    <w:p w:rsidR="004E5E6C" w:rsidRDefault="004E5E6C">
      <w:pPr>
        <w:ind w:firstLine="720"/>
        <w:rPr>
          <w:sz w:val="22"/>
        </w:rPr>
      </w:pPr>
      <w:r>
        <w:rPr>
          <w:sz w:val="22"/>
        </w:rPr>
        <w:t>IT IS FURTHER ORDERED that, pursuant to section 1.2104(g)(2) of the Commission’s rules, 47 C.F.R. § 1.2104(g)(2),</w:t>
      </w:r>
      <w:r w:rsidR="00CD050B">
        <w:rPr>
          <w:sz w:val="22"/>
        </w:rPr>
        <w:t xml:space="preserve"> Efrain O. Saille</w:t>
      </w:r>
      <w:r>
        <w:rPr>
          <w:sz w:val="22"/>
        </w:rPr>
        <w:t xml:space="preserve"> will be subject to a final default payment for </w:t>
      </w:r>
      <w:r w:rsidR="00B20768">
        <w:rPr>
          <w:sz w:val="22"/>
        </w:rPr>
        <w:t xml:space="preserve">his </w:t>
      </w:r>
      <w:r>
        <w:rPr>
          <w:sz w:val="22"/>
        </w:rPr>
        <w:t>defaulted winning bid</w:t>
      </w:r>
      <w:r w:rsidR="0026660F">
        <w:rPr>
          <w:sz w:val="22"/>
        </w:rPr>
        <w:t>s</w:t>
      </w:r>
      <w:r>
        <w:rPr>
          <w:sz w:val="22"/>
        </w:rPr>
        <w:t xml:space="preserve"> for </w:t>
      </w:r>
      <w:r w:rsidR="00AE31DA">
        <w:rPr>
          <w:sz w:val="22"/>
        </w:rPr>
        <w:t xml:space="preserve">during Auction 94 for </w:t>
      </w:r>
      <w:r w:rsidR="00CD050B" w:rsidRPr="00CD050B">
        <w:rPr>
          <w:sz w:val="22"/>
        </w:rPr>
        <w:t xml:space="preserve">construction permits </w:t>
      </w:r>
      <w:r w:rsidR="00CD050B" w:rsidRPr="001537C6">
        <w:rPr>
          <w:sz w:val="22"/>
        </w:rPr>
        <w:t>FM1033-A (Cotulla, TX) and FM1048-C1 (Presidio, TX)</w:t>
      </w:r>
      <w:r w:rsidR="0069040F">
        <w:rPr>
          <w:sz w:val="22"/>
        </w:rPr>
        <w:t xml:space="preserve"> </w:t>
      </w:r>
      <w:r w:rsidR="0069040F" w:rsidRPr="00C73B74">
        <w:rPr>
          <w:color w:val="auto"/>
          <w:sz w:val="22"/>
        </w:rPr>
        <w:t xml:space="preserve">once </w:t>
      </w:r>
      <w:r w:rsidR="0069040F">
        <w:rPr>
          <w:sz w:val="22"/>
        </w:rPr>
        <w:t>the allotment associated with the construction permit is won in a subsequent auction and the full payment amount is determined.</w:t>
      </w:r>
    </w:p>
    <w:p w:rsidR="004E5E6C" w:rsidRDefault="004E5E6C">
      <w:pPr>
        <w:ind w:firstLine="720"/>
        <w:rPr>
          <w:sz w:val="22"/>
        </w:rPr>
      </w:pPr>
    </w:p>
    <w:p w:rsidR="00E70CE9" w:rsidRDefault="00451FE4">
      <w:pPr>
        <w:ind w:firstLine="720"/>
        <w:rPr>
          <w:sz w:val="22"/>
        </w:rPr>
      </w:pPr>
      <w:r>
        <w:rPr>
          <w:kern w:val="28"/>
          <w:sz w:val="22"/>
          <w:szCs w:val="22"/>
        </w:rPr>
        <w:t xml:space="preserve">IT IS FURTHER ORDERED that </w:t>
      </w:r>
      <w:r>
        <w:rPr>
          <w:sz w:val="22"/>
        </w:rPr>
        <w:t>Efrain O. Saille’s</w:t>
      </w:r>
      <w:r>
        <w:rPr>
          <w:kern w:val="28"/>
          <w:sz w:val="22"/>
          <w:szCs w:val="22"/>
        </w:rPr>
        <w:t xml:space="preserve"> debt of $965.00 </w:t>
      </w:r>
      <w:r>
        <w:rPr>
          <w:sz w:val="22"/>
          <w:szCs w:val="22"/>
        </w:rPr>
        <w:t xml:space="preserve">is payable in full and without further demand, </w:t>
      </w:r>
      <w:r w:rsidR="00D070B6">
        <w:rPr>
          <w:sz w:val="22"/>
          <w:szCs w:val="22"/>
        </w:rPr>
        <w:t xml:space="preserve">and it must be paid </w:t>
      </w:r>
      <w:r>
        <w:rPr>
          <w:sz w:val="22"/>
          <w:szCs w:val="22"/>
        </w:rPr>
        <w:t>within 30 days of the</w:t>
      </w:r>
      <w:r>
        <w:rPr>
          <w:kern w:val="28"/>
          <w:sz w:val="22"/>
          <w:szCs w:val="22"/>
        </w:rPr>
        <w:t xml:space="preserve"> date of this </w:t>
      </w:r>
      <w:r>
        <w:rPr>
          <w:sz w:val="22"/>
          <w:szCs w:val="22"/>
        </w:rPr>
        <w:t>Order (the Due Date)</w:t>
      </w:r>
      <w:r>
        <w:rPr>
          <w:kern w:val="28"/>
          <w:sz w:val="22"/>
          <w:szCs w:val="22"/>
        </w:rPr>
        <w:t xml:space="preserve">, </w:t>
      </w:r>
      <w:r>
        <w:rPr>
          <w:spacing w:val="-2"/>
          <w:kern w:val="28"/>
          <w:sz w:val="22"/>
          <w:szCs w:val="22"/>
        </w:rPr>
        <w:t xml:space="preserve">in accordance with the payment instructions in Attachment B, </w:t>
      </w:r>
      <w:r>
        <w:rPr>
          <w:spacing w:val="-2"/>
          <w:sz w:val="22"/>
          <w:szCs w:val="22"/>
        </w:rPr>
        <w:t xml:space="preserve">and any portion of the debt unpaid after the Due Date is delinquent, and under </w:t>
      </w:r>
      <w:r>
        <w:rPr>
          <w:kern w:val="28"/>
          <w:sz w:val="22"/>
          <w:szCs w:val="22"/>
        </w:rPr>
        <w:t>31 U.S.C. § 3717</w:t>
      </w:r>
      <w:r>
        <w:rPr>
          <w:sz w:val="22"/>
          <w:szCs w:val="22"/>
        </w:rPr>
        <w:t>, administrative charges, interest, and penalties will accrue</w:t>
      </w:r>
      <w:r>
        <w:rPr>
          <w:kern w:val="28"/>
          <w:sz w:val="22"/>
          <w:szCs w:val="22"/>
        </w:rPr>
        <w:t>.</w:t>
      </w:r>
    </w:p>
    <w:p w:rsidR="00E70CE9" w:rsidRDefault="00E70CE9">
      <w:pPr>
        <w:ind w:firstLine="720"/>
        <w:rPr>
          <w:sz w:val="22"/>
        </w:rPr>
      </w:pPr>
    </w:p>
    <w:p w:rsidR="00E70CE9" w:rsidRDefault="00E70CE9">
      <w:pPr>
        <w:ind w:firstLine="720"/>
        <w:rPr>
          <w:sz w:val="22"/>
        </w:rPr>
      </w:pPr>
    </w:p>
    <w:p w:rsidR="00E70CE9" w:rsidRDefault="00E70CE9">
      <w:pPr>
        <w:ind w:firstLine="720"/>
        <w:rPr>
          <w:sz w:val="22"/>
        </w:rPr>
      </w:pPr>
    </w:p>
    <w:p w:rsidR="00E70CE9" w:rsidRDefault="00E70CE9">
      <w:pPr>
        <w:ind w:firstLine="720"/>
        <w:rPr>
          <w:sz w:val="22"/>
        </w:rPr>
      </w:pPr>
    </w:p>
    <w:p w:rsidR="00E70CE9" w:rsidRDefault="00E70CE9">
      <w:pPr>
        <w:ind w:firstLine="720"/>
        <w:rPr>
          <w:sz w:val="22"/>
        </w:rPr>
      </w:pPr>
    </w:p>
    <w:p w:rsidR="00E70CE9" w:rsidRDefault="00E70CE9">
      <w:pPr>
        <w:ind w:firstLine="720"/>
        <w:rPr>
          <w:sz w:val="22"/>
        </w:rPr>
      </w:pPr>
    </w:p>
    <w:p w:rsidR="00E70CE9" w:rsidRDefault="00E70CE9">
      <w:pPr>
        <w:ind w:firstLine="720"/>
        <w:rPr>
          <w:sz w:val="22"/>
        </w:rPr>
      </w:pPr>
    </w:p>
    <w:p w:rsidR="00B20768" w:rsidRDefault="00B20768">
      <w:pPr>
        <w:ind w:firstLine="720"/>
        <w:rPr>
          <w:sz w:val="22"/>
        </w:rPr>
      </w:pPr>
    </w:p>
    <w:p w:rsidR="00B20768" w:rsidRDefault="00B20768">
      <w:pPr>
        <w:ind w:firstLine="720"/>
        <w:rPr>
          <w:sz w:val="22"/>
        </w:rPr>
      </w:pPr>
    </w:p>
    <w:p w:rsidR="00962815" w:rsidRDefault="00962815" w:rsidP="00962815">
      <w:pPr>
        <w:ind w:firstLine="720"/>
        <w:rPr>
          <w:rFonts w:eastAsia="Times New Roman"/>
          <w:color w:val="auto"/>
          <w:sz w:val="22"/>
          <w:szCs w:val="22"/>
        </w:rPr>
      </w:pPr>
      <w:r w:rsidRPr="0044682F">
        <w:rPr>
          <w:rFonts w:eastAsia="Times New Roman"/>
          <w:color w:val="auto"/>
          <w:sz w:val="22"/>
          <w:szCs w:val="22"/>
        </w:rPr>
        <w:t xml:space="preserve">IT IS FURTHER ORDERED that this Order and a FCC Remittance Advice Form (FCC Form 159, Version 2/03) shall be sent to </w:t>
      </w:r>
      <w:r>
        <w:rPr>
          <w:sz w:val="22"/>
        </w:rPr>
        <w:t xml:space="preserve">Efrain O. Saille </w:t>
      </w:r>
      <w:r w:rsidRPr="0044682F">
        <w:rPr>
          <w:rFonts w:eastAsia="Times New Roman"/>
          <w:color w:val="auto"/>
          <w:sz w:val="22"/>
          <w:szCs w:val="22"/>
        </w:rPr>
        <w:t>by certified mail, return receipt requested.  This action is taken pursuant to authority delegated by section 0.331 of the Commission’s rules, 47 C.F.R. § 0.331.</w:t>
      </w:r>
    </w:p>
    <w:p w:rsidR="00962815" w:rsidRPr="0044682F" w:rsidRDefault="00962815" w:rsidP="00962815">
      <w:pPr>
        <w:ind w:firstLine="720"/>
        <w:rPr>
          <w:rFonts w:eastAsia="Times New Roman"/>
          <w:color w:val="auto"/>
          <w:sz w:val="22"/>
          <w:szCs w:val="22"/>
        </w:rPr>
      </w:pPr>
    </w:p>
    <w:p w:rsidR="004E5E6C" w:rsidRDefault="004E5E6C">
      <w:pPr>
        <w:widowControl w:val="0"/>
        <w:rPr>
          <w:sz w:val="22"/>
        </w:rPr>
      </w:pPr>
    </w:p>
    <w:p w:rsidR="009F6BFD" w:rsidRDefault="004E5E6C">
      <w:pPr>
        <w:widowControl w:val="0"/>
        <w:rPr>
          <w:sz w:val="22"/>
        </w:rPr>
      </w:pPr>
      <w:r>
        <w:rPr>
          <w:sz w:val="22"/>
        </w:rPr>
        <w:tab/>
      </w:r>
      <w:r>
        <w:rPr>
          <w:sz w:val="22"/>
        </w:rPr>
        <w:tab/>
      </w:r>
      <w:r>
        <w:rPr>
          <w:sz w:val="22"/>
        </w:rPr>
        <w:tab/>
      </w:r>
      <w:r>
        <w:rPr>
          <w:sz w:val="22"/>
        </w:rPr>
        <w:tab/>
      </w:r>
      <w:r>
        <w:rPr>
          <w:sz w:val="22"/>
        </w:rPr>
        <w:tab/>
      </w:r>
      <w:r>
        <w:rPr>
          <w:sz w:val="22"/>
        </w:rPr>
        <w:tab/>
        <w:t>Sincerely</w:t>
      </w:r>
      <w:bookmarkStart w:id="2" w:name="OLE_LINK13"/>
      <w:bookmarkEnd w:id="2"/>
      <w:r w:rsidR="009F6BFD">
        <w:rPr>
          <w:sz w:val="22"/>
        </w:rPr>
        <w:t>,</w:t>
      </w:r>
    </w:p>
    <w:p w:rsidR="009F6BFD" w:rsidRDefault="009F6BFD">
      <w:pPr>
        <w:widowControl w:val="0"/>
        <w:rPr>
          <w:sz w:val="22"/>
        </w:rPr>
      </w:pPr>
    </w:p>
    <w:p w:rsidR="004703EC" w:rsidRDefault="004703EC">
      <w:pPr>
        <w:widowControl w:val="0"/>
        <w:rPr>
          <w:sz w:val="22"/>
        </w:rPr>
      </w:pPr>
    </w:p>
    <w:p w:rsidR="009F6BFD" w:rsidRDefault="009F6BFD">
      <w:pPr>
        <w:widowControl w:val="0"/>
        <w:rPr>
          <w:sz w:val="22"/>
        </w:rPr>
      </w:pPr>
    </w:p>
    <w:p w:rsidR="0064293A" w:rsidRDefault="0064293A" w:rsidP="0064293A">
      <w:pPr>
        <w:widowControl w:val="0"/>
        <w:rPr>
          <w:sz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Gary D. Michaels</w:t>
      </w:r>
    </w:p>
    <w:p w:rsidR="0064293A" w:rsidRDefault="0064293A" w:rsidP="0064293A">
      <w:pPr>
        <w:widowControl w:val="0"/>
        <w:ind w:left="3600" w:firstLine="720"/>
        <w:rPr>
          <w:sz w:val="22"/>
        </w:rPr>
      </w:pPr>
      <w:r>
        <w:rPr>
          <w:sz w:val="22"/>
        </w:rPr>
        <w:t>Deputy Chief, Auctions and Spectrum Access Division</w:t>
      </w:r>
    </w:p>
    <w:p w:rsidR="0064293A" w:rsidRDefault="0064293A" w:rsidP="0064293A">
      <w:pPr>
        <w:widowControl w:val="0"/>
        <w:rPr>
          <w:sz w:val="22"/>
        </w:rPr>
      </w:pPr>
      <w:r>
        <w:rPr>
          <w:sz w:val="22"/>
        </w:rPr>
        <w:tab/>
      </w:r>
      <w:r>
        <w:rPr>
          <w:sz w:val="22"/>
        </w:rPr>
        <w:tab/>
      </w:r>
      <w:r>
        <w:rPr>
          <w:sz w:val="22"/>
        </w:rPr>
        <w:tab/>
      </w:r>
      <w:r>
        <w:rPr>
          <w:sz w:val="22"/>
        </w:rPr>
        <w:tab/>
      </w:r>
      <w:r>
        <w:rPr>
          <w:sz w:val="22"/>
        </w:rPr>
        <w:tab/>
      </w:r>
      <w:r>
        <w:rPr>
          <w:sz w:val="22"/>
        </w:rPr>
        <w:tab/>
        <w:t xml:space="preserve">Wireless Telecommunications Bureau </w:t>
      </w:r>
    </w:p>
    <w:p w:rsidR="00E95D05" w:rsidRDefault="00E95D05">
      <w:pPr>
        <w:widowControl w:val="0"/>
        <w:rPr>
          <w:sz w:val="22"/>
        </w:rPr>
      </w:pPr>
    </w:p>
    <w:p w:rsidR="004E5E6C" w:rsidRDefault="004E5E6C">
      <w:pPr>
        <w:widowControl w:val="0"/>
        <w:rPr>
          <w:sz w:val="22"/>
        </w:rPr>
      </w:pPr>
      <w:r>
        <w:rPr>
          <w:sz w:val="22"/>
        </w:rPr>
        <w:t>Attachment</w:t>
      </w:r>
      <w:r w:rsidR="00E70CE9">
        <w:rPr>
          <w:sz w:val="22"/>
        </w:rPr>
        <w:t>s</w:t>
      </w:r>
      <w:r w:rsidR="00382B04">
        <w:rPr>
          <w:sz w:val="22"/>
        </w:rPr>
        <w:t xml:space="preserve"> </w:t>
      </w:r>
      <w:r>
        <w:rPr>
          <w:sz w:val="22"/>
        </w:rPr>
        <w:tab/>
      </w:r>
    </w:p>
    <w:p w:rsidR="004E5E6C" w:rsidRDefault="004E5E6C">
      <w:pPr>
        <w:pStyle w:val="FreeForm"/>
        <w:rPr>
          <w:sz w:val="22"/>
        </w:rPr>
      </w:pPr>
      <w:r>
        <w:br w:type="page"/>
      </w:r>
      <w:r w:rsidRPr="0050636B">
        <w:rPr>
          <w:rFonts w:ascii="Times New Roman Bold" w:hAnsi="Times New Roman Bold"/>
          <w:sz w:val="22"/>
          <w:szCs w:val="22"/>
        </w:rPr>
        <w:t>ATTACHMENT A</w:t>
      </w:r>
    </w:p>
    <w:p w:rsidR="004E5E6C" w:rsidRPr="0050636B" w:rsidRDefault="004E5E6C">
      <w:pPr>
        <w:widowControl w:val="0"/>
        <w:jc w:val="center"/>
        <w:rPr>
          <w:sz w:val="22"/>
          <w:szCs w:val="22"/>
        </w:rPr>
      </w:pPr>
    </w:p>
    <w:p w:rsidR="004E5E6C" w:rsidRDefault="004E5E6C">
      <w:pPr>
        <w:widowControl w:val="0"/>
        <w:jc w:val="center"/>
      </w:pPr>
      <w:r w:rsidRPr="0050636B">
        <w:rPr>
          <w:rFonts w:ascii="Times New Roman Bold" w:hAnsi="Times New Roman Bold"/>
          <w:sz w:val="22"/>
          <w:szCs w:val="22"/>
        </w:rPr>
        <w:t>Interim Default Payment Report</w:t>
      </w:r>
    </w:p>
    <w:p w:rsidR="004E5E6C" w:rsidRDefault="004E5E6C">
      <w:pPr>
        <w:widowControl w:val="0"/>
        <w:jc w:val="center"/>
      </w:pPr>
    </w:p>
    <w:p w:rsidR="004E5E6C" w:rsidRDefault="004E5E6C">
      <w:pPr>
        <w:widowControl w:val="0"/>
        <w:jc w:val="center"/>
      </w:pPr>
    </w:p>
    <w:p w:rsidR="004E5E6C" w:rsidRDefault="004E5E6C">
      <w:pPr>
        <w:widowControl w:val="0"/>
        <w:jc w:val="center"/>
      </w:pPr>
    </w:p>
    <w:tbl>
      <w:tblPr>
        <w:tblpPr w:leftFromText="180" w:rightFromText="180" w:topFromText="180" w:bottomFromText="180" w:vertAnchor="page" w:horzAnchor="page" w:tblpX="2941" w:tblpY="3511"/>
        <w:tblW w:w="0" w:type="auto"/>
        <w:tblLayout w:type="fixed"/>
        <w:tblLook w:val="0000" w:firstRow="0" w:lastRow="0" w:firstColumn="0" w:lastColumn="0" w:noHBand="0" w:noVBand="0"/>
      </w:tblPr>
      <w:tblGrid>
        <w:gridCol w:w="2258"/>
        <w:gridCol w:w="1260"/>
        <w:gridCol w:w="1620"/>
        <w:gridCol w:w="1620"/>
      </w:tblGrid>
      <w:tr w:rsidR="006C2524" w:rsidTr="00E566FE">
        <w:trPr>
          <w:cantSplit/>
          <w:trHeight w:val="880"/>
        </w:trPr>
        <w:tc>
          <w:tcPr>
            <w:tcW w:w="22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E5E6C" w:rsidRDefault="00F14D14" w:rsidP="00091EB0">
            <w:pPr>
              <w:widowControl w:val="0"/>
              <w:jc w:val="center"/>
              <w:rPr>
                <w:rFonts w:ascii="Times New Roman Bold" w:hAnsi="Times New Roman Bold"/>
              </w:rPr>
            </w:pPr>
            <w:r>
              <w:rPr>
                <w:rFonts w:ascii="Times New Roman Bold" w:hAnsi="Times New Roman Bold"/>
              </w:rPr>
              <w:t>FM Broadcast Construction Permit Numbers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E5E6C" w:rsidRDefault="004E5E6C" w:rsidP="00091EB0">
            <w:pPr>
              <w:widowControl w:val="0"/>
              <w:jc w:val="center"/>
              <w:rPr>
                <w:rFonts w:ascii="Times New Roman Bold" w:hAnsi="Times New Roman Bold"/>
              </w:rPr>
            </w:pPr>
            <w:r>
              <w:rPr>
                <w:rFonts w:ascii="Times New Roman Bold" w:hAnsi="Times New Roman Bold"/>
              </w:rPr>
              <w:t>Gross Bid</w:t>
            </w:r>
          </w:p>
          <w:p w:rsidR="004E5E6C" w:rsidRDefault="004E5E6C" w:rsidP="00091EB0">
            <w:pPr>
              <w:widowControl w:val="0"/>
              <w:jc w:val="center"/>
              <w:rPr>
                <w:rFonts w:ascii="Times New Roman Bold" w:hAnsi="Times New Roman Bold"/>
              </w:rPr>
            </w:pPr>
            <w:r>
              <w:rPr>
                <w:rFonts w:ascii="Times New Roman Bold" w:hAnsi="Times New Roman Bold"/>
              </w:rPr>
              <w:t xml:space="preserve">Auction </w:t>
            </w:r>
            <w:r w:rsidR="00F14D14">
              <w:rPr>
                <w:rFonts w:ascii="Times New Roman Bold" w:hAnsi="Times New Roman Bold"/>
              </w:rPr>
              <w:t xml:space="preserve">94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E5E6C" w:rsidRDefault="004E5E6C" w:rsidP="00091EB0">
            <w:pPr>
              <w:widowControl w:val="0"/>
              <w:jc w:val="center"/>
              <w:rPr>
                <w:rFonts w:ascii="Times New Roman Bold" w:hAnsi="Times New Roman Bold"/>
              </w:rPr>
            </w:pPr>
            <w:r>
              <w:rPr>
                <w:rFonts w:ascii="Times New Roman Bold" w:hAnsi="Times New Roman Bold"/>
              </w:rPr>
              <w:t>Net Bid</w:t>
            </w:r>
          </w:p>
          <w:p w:rsidR="004E5E6C" w:rsidRDefault="004E5E6C" w:rsidP="00091EB0">
            <w:pPr>
              <w:widowControl w:val="0"/>
              <w:jc w:val="center"/>
              <w:rPr>
                <w:rFonts w:ascii="Times New Roman Bold" w:hAnsi="Times New Roman Bold"/>
              </w:rPr>
            </w:pPr>
            <w:r>
              <w:rPr>
                <w:rFonts w:ascii="Times New Roman Bold" w:hAnsi="Times New Roman Bold"/>
              </w:rPr>
              <w:t xml:space="preserve">Auction </w:t>
            </w:r>
            <w:r w:rsidR="00F14D14">
              <w:rPr>
                <w:rFonts w:ascii="Times New Roman Bold" w:hAnsi="Times New Roman Bold"/>
              </w:rPr>
              <w:t>94</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E5E6C" w:rsidRDefault="004E5E6C" w:rsidP="00091EB0">
            <w:pPr>
              <w:widowControl w:val="0"/>
              <w:jc w:val="center"/>
              <w:rPr>
                <w:rFonts w:ascii="Times New Roman Bold" w:hAnsi="Times New Roman Bold"/>
              </w:rPr>
            </w:pPr>
            <w:r>
              <w:rPr>
                <w:rFonts w:ascii="Times New Roman Bold" w:hAnsi="Times New Roman Bold"/>
              </w:rPr>
              <w:t>Interim Payment Amount (</w:t>
            </w:r>
            <w:r w:rsidR="00F14D14">
              <w:rPr>
                <w:rFonts w:ascii="Times New Roman Bold" w:hAnsi="Times New Roman Bold"/>
              </w:rPr>
              <w:t>20</w:t>
            </w:r>
            <w:r>
              <w:rPr>
                <w:rFonts w:ascii="Times New Roman Bold" w:hAnsi="Times New Roman Bold"/>
              </w:rPr>
              <w:t xml:space="preserve">%) </w:t>
            </w:r>
          </w:p>
          <w:p w:rsidR="004E5E6C" w:rsidRDefault="004E5E6C" w:rsidP="00091EB0">
            <w:pPr>
              <w:widowControl w:val="0"/>
              <w:jc w:val="center"/>
            </w:pPr>
          </w:p>
        </w:tc>
      </w:tr>
      <w:tr w:rsidR="006C2524" w:rsidTr="00E566FE">
        <w:trPr>
          <w:cantSplit/>
          <w:trHeight w:val="660"/>
        </w:trPr>
        <w:tc>
          <w:tcPr>
            <w:tcW w:w="22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5E6C" w:rsidRDefault="004E5E6C" w:rsidP="00E70CE9">
            <w:pPr>
              <w:widowControl w:val="0"/>
              <w:jc w:val="center"/>
            </w:pPr>
          </w:p>
          <w:p w:rsidR="001A7E68" w:rsidRDefault="006C2524" w:rsidP="00E70CE9">
            <w:pPr>
              <w:widowControl w:val="0"/>
              <w:jc w:val="center"/>
              <w:rPr>
                <w:sz w:val="22"/>
              </w:rPr>
            </w:pPr>
            <w:r w:rsidRPr="001537C6">
              <w:rPr>
                <w:sz w:val="22"/>
              </w:rPr>
              <w:t>FM1033-A</w:t>
            </w:r>
          </w:p>
          <w:p w:rsidR="004E5E6C" w:rsidRDefault="006C2524" w:rsidP="00E70CE9">
            <w:pPr>
              <w:widowControl w:val="0"/>
              <w:jc w:val="center"/>
            </w:pPr>
            <w:r w:rsidRPr="001537C6">
              <w:rPr>
                <w:sz w:val="22"/>
              </w:rPr>
              <w:t>(Cotulla, TX)</w:t>
            </w:r>
          </w:p>
          <w:p w:rsidR="004E5E6C" w:rsidRDefault="004E5E6C" w:rsidP="002521BB">
            <w:pPr>
              <w:widowControl w:val="0"/>
              <w:jc w:val="cente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5E6C" w:rsidRDefault="006C2524" w:rsidP="00091EB0">
            <w:pPr>
              <w:widowControl w:val="0"/>
              <w:jc w:val="center"/>
            </w:pPr>
            <w:r>
              <w:t>$1,500.00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5E6C" w:rsidRDefault="006C2524" w:rsidP="00091EB0">
            <w:pPr>
              <w:widowControl w:val="0"/>
              <w:jc w:val="center"/>
            </w:pPr>
            <w:r>
              <w:t>$975.00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5E6C" w:rsidRDefault="004E5E6C" w:rsidP="00091EB0">
            <w:pPr>
              <w:widowControl w:val="0"/>
              <w:jc w:val="center"/>
            </w:pPr>
            <w:r>
              <w:t>$</w:t>
            </w:r>
            <w:r w:rsidR="006C2524">
              <w:t>195</w:t>
            </w:r>
            <w:r>
              <w:t>.00</w:t>
            </w:r>
          </w:p>
        </w:tc>
      </w:tr>
      <w:tr w:rsidR="006C2524" w:rsidTr="00E566FE">
        <w:trPr>
          <w:cantSplit/>
          <w:trHeight w:val="660"/>
        </w:trPr>
        <w:tc>
          <w:tcPr>
            <w:tcW w:w="22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C2524" w:rsidRDefault="006C2524" w:rsidP="00E70CE9">
            <w:pPr>
              <w:widowControl w:val="0"/>
              <w:jc w:val="center"/>
            </w:pPr>
          </w:p>
          <w:p w:rsidR="006C2524" w:rsidRDefault="006C2524" w:rsidP="00E70CE9">
            <w:pPr>
              <w:widowControl w:val="0"/>
              <w:jc w:val="center"/>
            </w:pPr>
            <w:r w:rsidRPr="0019124C">
              <w:rPr>
                <w:sz w:val="22"/>
              </w:rPr>
              <w:t xml:space="preserve">FM1048-C1 </w:t>
            </w:r>
            <w:r w:rsidR="006A7751">
              <w:rPr>
                <w:sz w:val="22"/>
              </w:rPr>
              <w:t xml:space="preserve">     </w:t>
            </w:r>
            <w:r w:rsidRPr="0019124C">
              <w:rPr>
                <w:sz w:val="22"/>
              </w:rPr>
              <w:t>(Presidio,</w:t>
            </w:r>
            <w:r w:rsidR="006A7751">
              <w:rPr>
                <w:sz w:val="22"/>
              </w:rPr>
              <w:t xml:space="preserve"> </w:t>
            </w:r>
            <w:r w:rsidRPr="0019124C">
              <w:rPr>
                <w:sz w:val="22"/>
              </w:rPr>
              <w:t>TX)</w:t>
            </w:r>
          </w:p>
          <w:p w:rsidR="006C2524" w:rsidRDefault="006C2524" w:rsidP="00E70CE9">
            <w:pPr>
              <w:widowControl w:val="0"/>
              <w:jc w:val="center"/>
            </w:pPr>
          </w:p>
          <w:p w:rsidR="006C2524" w:rsidRDefault="006C2524" w:rsidP="002521BB">
            <w:pPr>
              <w:widowControl w:val="0"/>
              <w:jc w:val="cente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C2524" w:rsidRDefault="006C2524" w:rsidP="00091EB0">
            <w:pPr>
              <w:widowControl w:val="0"/>
              <w:jc w:val="center"/>
            </w:pPr>
            <w:r>
              <w:t>$29,000.00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C2524" w:rsidRDefault="006C2524" w:rsidP="00091EB0">
            <w:pPr>
              <w:widowControl w:val="0"/>
              <w:jc w:val="center"/>
            </w:pPr>
            <w:r>
              <w:t>$18,850.00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C2524" w:rsidRDefault="006C2524" w:rsidP="00091EB0">
            <w:pPr>
              <w:widowControl w:val="0"/>
              <w:jc w:val="center"/>
            </w:pPr>
            <w:r>
              <w:t>$3,770.00</w:t>
            </w:r>
          </w:p>
        </w:tc>
      </w:tr>
    </w:tbl>
    <w:p w:rsidR="004E5E6C" w:rsidRDefault="004E5E6C">
      <w:pPr>
        <w:widowControl w:val="0"/>
        <w:jc w:val="center"/>
      </w:pPr>
    </w:p>
    <w:p w:rsidR="004E5E6C" w:rsidRDefault="004E5E6C">
      <w:pPr>
        <w:widowControl w:val="0"/>
        <w:jc w:val="center"/>
      </w:pPr>
    </w:p>
    <w:p w:rsidR="004E5E6C" w:rsidRDefault="004E5E6C">
      <w:pPr>
        <w:widowControl w:val="0"/>
        <w:jc w:val="center"/>
      </w:pPr>
    </w:p>
    <w:p w:rsidR="004E5E6C" w:rsidRDefault="004E5E6C">
      <w:pPr>
        <w:widowControl w:val="0"/>
        <w:jc w:val="center"/>
      </w:pPr>
    </w:p>
    <w:p w:rsidR="004E5E6C" w:rsidRDefault="004E5E6C"/>
    <w:p w:rsidR="004E5E6C" w:rsidRDefault="004E5E6C">
      <w:r>
        <w:t xml:space="preserve"> </w:t>
      </w:r>
    </w:p>
    <w:tbl>
      <w:tblPr>
        <w:tblW w:w="0" w:type="auto"/>
        <w:jc w:val="center"/>
        <w:tblLayout w:type="fixed"/>
        <w:tblLook w:val="0000" w:firstRow="0" w:lastRow="0" w:firstColumn="0" w:lastColumn="0" w:noHBand="0" w:noVBand="0"/>
      </w:tblPr>
      <w:tblGrid>
        <w:gridCol w:w="3446"/>
        <w:gridCol w:w="1340"/>
      </w:tblGrid>
      <w:tr w:rsidR="004E5E6C">
        <w:trPr>
          <w:cantSplit/>
          <w:trHeight w:val="230"/>
          <w:jc w:val="center"/>
        </w:trPr>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E5E6C" w:rsidRDefault="004E5E6C">
            <w:pPr>
              <w:pStyle w:val="Heading2A"/>
              <w:rPr>
                <w:rFonts w:ascii="Times New Roman" w:hAnsi="Times New Roman"/>
                <w:sz w:val="20"/>
              </w:rPr>
            </w:pPr>
            <w:r>
              <w:rPr>
                <w:rFonts w:ascii="Times New Roman" w:hAnsi="Times New Roman"/>
                <w:sz w:val="20"/>
              </w:rPr>
              <w:t>Interim Default Amount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E5E6C" w:rsidRDefault="004E5E6C" w:rsidP="00DB2DD3">
            <w:pPr>
              <w:pStyle w:val="Heading2A"/>
              <w:jc w:val="center"/>
              <w:rPr>
                <w:rFonts w:ascii="Times New Roman" w:hAnsi="Times New Roman"/>
                <w:sz w:val="20"/>
              </w:rPr>
            </w:pPr>
            <w:r>
              <w:rPr>
                <w:rFonts w:ascii="Times New Roman" w:hAnsi="Times New Roman"/>
                <w:sz w:val="20"/>
              </w:rPr>
              <w:t>$</w:t>
            </w:r>
            <w:r w:rsidR="006C2524">
              <w:rPr>
                <w:rFonts w:ascii="Times New Roman" w:hAnsi="Times New Roman"/>
                <w:sz w:val="20"/>
              </w:rPr>
              <w:t>3,965.00</w:t>
            </w:r>
          </w:p>
        </w:tc>
      </w:tr>
      <w:tr w:rsidR="004E5E6C">
        <w:trPr>
          <w:cantSplit/>
          <w:trHeight w:val="680"/>
          <w:jc w:val="center"/>
        </w:trPr>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E5E6C" w:rsidRDefault="004E5E6C" w:rsidP="00DB2DD3">
            <w:pPr>
              <w:pStyle w:val="Heading2A"/>
              <w:rPr>
                <w:rFonts w:ascii="Times New Roman" w:hAnsi="Times New Roman"/>
                <w:sz w:val="20"/>
              </w:rPr>
            </w:pPr>
            <w:r>
              <w:rPr>
                <w:rFonts w:ascii="Times New Roman" w:hAnsi="Times New Roman"/>
                <w:sz w:val="20"/>
              </w:rPr>
              <w:t>Less Total of Amount</w:t>
            </w:r>
            <w:r w:rsidR="00DB2DD3">
              <w:rPr>
                <w:rFonts w:ascii="Times New Roman" w:hAnsi="Times New Roman"/>
                <w:sz w:val="20"/>
              </w:rPr>
              <w:t>s</w:t>
            </w:r>
            <w:r>
              <w:rPr>
                <w:rFonts w:ascii="Times New Roman" w:hAnsi="Times New Roman"/>
                <w:sz w:val="20"/>
              </w:rPr>
              <w:t xml:space="preserve"> on Deposit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E5E6C" w:rsidRDefault="004E5E6C" w:rsidP="00DB2DD3">
            <w:pPr>
              <w:pStyle w:val="Heading2A"/>
              <w:jc w:val="center"/>
              <w:rPr>
                <w:rFonts w:ascii="Times New Roman" w:hAnsi="Times New Roman"/>
                <w:sz w:val="20"/>
              </w:rPr>
            </w:pPr>
            <w:r>
              <w:rPr>
                <w:rFonts w:ascii="Times New Roman" w:hAnsi="Times New Roman"/>
                <w:sz w:val="20"/>
              </w:rPr>
              <w:t>$</w:t>
            </w:r>
            <w:r w:rsidR="006C2524">
              <w:rPr>
                <w:rFonts w:ascii="Times New Roman" w:hAnsi="Times New Roman"/>
                <w:sz w:val="20"/>
              </w:rPr>
              <w:t>3,000.00</w:t>
            </w:r>
          </w:p>
        </w:tc>
      </w:tr>
      <w:tr w:rsidR="004E5E6C">
        <w:trPr>
          <w:cantSplit/>
          <w:trHeight w:val="230"/>
          <w:jc w:val="center"/>
        </w:trPr>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E5E6C" w:rsidRDefault="004E5E6C">
            <w:pPr>
              <w:pStyle w:val="Heading2A"/>
              <w:rPr>
                <w:rFonts w:ascii="Times New Roman Bold" w:hAnsi="Times New Roman Bold"/>
                <w:sz w:val="20"/>
              </w:rPr>
            </w:pPr>
            <w:r>
              <w:rPr>
                <w:rFonts w:ascii="Times New Roman Bold" w:hAnsi="Times New Roman Bold"/>
                <w:sz w:val="20"/>
              </w:rPr>
              <w:t>Outstanding Balance</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E5E6C" w:rsidRPr="0050636B" w:rsidRDefault="004E5E6C" w:rsidP="006C2524">
            <w:pPr>
              <w:pStyle w:val="Heading2A"/>
              <w:jc w:val="center"/>
              <w:rPr>
                <w:rFonts w:ascii="Times New Roman" w:hAnsi="Times New Roman"/>
                <w:b/>
                <w:sz w:val="20"/>
              </w:rPr>
            </w:pPr>
            <w:r w:rsidRPr="0050636B">
              <w:rPr>
                <w:rFonts w:ascii="Times New Roman" w:hAnsi="Times New Roman"/>
                <w:b/>
                <w:sz w:val="20"/>
              </w:rPr>
              <w:t>$</w:t>
            </w:r>
            <w:r w:rsidR="006C2524" w:rsidRPr="0050636B">
              <w:rPr>
                <w:rFonts w:ascii="Times New Roman" w:hAnsi="Times New Roman"/>
                <w:b/>
                <w:sz w:val="20"/>
              </w:rPr>
              <w:t>965</w:t>
            </w:r>
            <w:r w:rsidRPr="0050636B">
              <w:rPr>
                <w:rFonts w:ascii="Times New Roman" w:hAnsi="Times New Roman"/>
                <w:b/>
                <w:sz w:val="20"/>
              </w:rPr>
              <w:t>.00</w:t>
            </w:r>
          </w:p>
        </w:tc>
      </w:tr>
    </w:tbl>
    <w:p w:rsidR="004E5E6C" w:rsidRDefault="004E5E6C">
      <w:pPr>
        <w:pStyle w:val="Heading2A"/>
      </w:pPr>
    </w:p>
    <w:p w:rsidR="004E5E6C" w:rsidRDefault="004E5E6C"/>
    <w:p w:rsidR="004E5E6C" w:rsidRDefault="004E5E6C">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pPr>
        <w:widowControl w:val="0"/>
        <w:jc w:val="center"/>
        <w:rPr>
          <w:rFonts w:eastAsia="Times New Roman"/>
          <w:color w:val="auto"/>
          <w:lang w:bidi="x-none"/>
        </w:rPr>
      </w:pPr>
    </w:p>
    <w:p w:rsidR="00E70CE9" w:rsidRDefault="00E70CE9" w:rsidP="00E70CE9">
      <w:pPr>
        <w:pStyle w:val="Heading2"/>
        <w:rPr>
          <w:sz w:val="22"/>
          <w:szCs w:val="22"/>
        </w:rPr>
      </w:pPr>
      <w:r>
        <w:rPr>
          <w:sz w:val="22"/>
          <w:szCs w:val="22"/>
        </w:rPr>
        <w:t>ATTACHMENT B</w:t>
      </w:r>
    </w:p>
    <w:p w:rsidR="00E70CE9" w:rsidRDefault="00E70CE9" w:rsidP="00E70CE9">
      <w:pPr>
        <w:widowControl w:val="0"/>
        <w:rPr>
          <w:b/>
          <w:sz w:val="22"/>
          <w:szCs w:val="22"/>
          <w:u w:val="single"/>
        </w:rPr>
      </w:pPr>
    </w:p>
    <w:p w:rsidR="00E70CE9" w:rsidRDefault="00E70CE9" w:rsidP="00E70CE9">
      <w:pPr>
        <w:jc w:val="center"/>
        <w:rPr>
          <w:b/>
          <w:sz w:val="22"/>
          <w:szCs w:val="22"/>
        </w:rPr>
      </w:pPr>
      <w:r>
        <w:rPr>
          <w:b/>
          <w:sz w:val="22"/>
          <w:szCs w:val="22"/>
        </w:rPr>
        <w:t>Payment Instructions</w:t>
      </w:r>
    </w:p>
    <w:p w:rsidR="00E70CE9" w:rsidRDefault="00E70CE9" w:rsidP="00E70CE9">
      <w:pPr>
        <w:jc w:val="center"/>
        <w:rPr>
          <w:b/>
          <w:sz w:val="22"/>
          <w:szCs w:val="22"/>
        </w:rPr>
      </w:pPr>
    </w:p>
    <w:p w:rsidR="00E70CE9" w:rsidRDefault="00E70CE9" w:rsidP="00E70CE9">
      <w:pPr>
        <w:rPr>
          <w:sz w:val="22"/>
        </w:rPr>
      </w:pPr>
      <w:r>
        <w:rPr>
          <w:sz w:val="22"/>
        </w:rPr>
        <w:t>The following information is being provided to assist you in making your payment.</w:t>
      </w:r>
    </w:p>
    <w:p w:rsidR="00E70CE9" w:rsidRDefault="00E70CE9" w:rsidP="00E70CE9">
      <w:pPr>
        <w:rPr>
          <w:b/>
          <w:sz w:val="22"/>
        </w:rPr>
      </w:pPr>
    </w:p>
    <w:p w:rsidR="00E70CE9" w:rsidRDefault="00E70CE9" w:rsidP="00E70CE9">
      <w:pPr>
        <w:rPr>
          <w:sz w:val="22"/>
        </w:rPr>
      </w:pPr>
      <w:r>
        <w:rPr>
          <w:sz w:val="22"/>
        </w:rPr>
        <w:t>All payments must be made in U.S. currency in the form of a wire transfer.  No personal checks, cashier’s checks or other forms of payment will be accepted.  Wire transfer payments must be received by 6:00 PM Eastern Time, no later than thirty days from the date of this Order; however, if the 30th day falls on a non-business day, e.g., Saturday, Sunday or holiday, it is due the next business day.  Applicants must allow sufficient time for the wire transfer to be initiated and for the transmission to be completed prior to the deadline. To submit funds by wire, applicants will need the following information to properly effect the transmittal:</w:t>
      </w:r>
    </w:p>
    <w:p w:rsidR="00E70CE9" w:rsidRDefault="00E70CE9" w:rsidP="00E70CE9">
      <w:pPr>
        <w:rPr>
          <w:sz w:val="22"/>
        </w:rPr>
      </w:pPr>
    </w:p>
    <w:p w:rsidR="00E70CE9" w:rsidRDefault="00E70CE9" w:rsidP="00E70CE9">
      <w:pPr>
        <w:rPr>
          <w:b/>
          <w:sz w:val="22"/>
          <w:szCs w:val="22"/>
        </w:rPr>
      </w:pPr>
      <w:r>
        <w:rPr>
          <w:sz w:val="22"/>
          <w:szCs w:val="22"/>
        </w:rPr>
        <w:t xml:space="preserve">ABA Routing Number: </w:t>
      </w:r>
      <w:r>
        <w:rPr>
          <w:b/>
          <w:sz w:val="22"/>
          <w:szCs w:val="22"/>
        </w:rPr>
        <w:t>021030004</w:t>
      </w:r>
    </w:p>
    <w:p w:rsidR="00E70CE9" w:rsidRDefault="00E70CE9" w:rsidP="00E70CE9">
      <w:pPr>
        <w:rPr>
          <w:b/>
          <w:sz w:val="22"/>
          <w:szCs w:val="22"/>
        </w:rPr>
      </w:pPr>
      <w:r>
        <w:rPr>
          <w:sz w:val="22"/>
          <w:szCs w:val="22"/>
        </w:rPr>
        <w:t xml:space="preserve">Receiving Bank: </w:t>
      </w:r>
      <w:r>
        <w:rPr>
          <w:b/>
          <w:sz w:val="22"/>
          <w:szCs w:val="22"/>
        </w:rPr>
        <w:t>TREAS NYC</w:t>
      </w:r>
    </w:p>
    <w:p w:rsidR="00E70CE9" w:rsidRDefault="00E70CE9" w:rsidP="00E70CE9">
      <w:pPr>
        <w:rPr>
          <w:sz w:val="22"/>
          <w:szCs w:val="22"/>
        </w:rPr>
      </w:pPr>
      <w:r>
        <w:rPr>
          <w:sz w:val="22"/>
          <w:szCs w:val="22"/>
        </w:rPr>
        <w:t xml:space="preserve">                            33 Liberty Street</w:t>
      </w:r>
    </w:p>
    <w:p w:rsidR="00E70CE9" w:rsidRDefault="00E70CE9" w:rsidP="00E70CE9">
      <w:pPr>
        <w:rPr>
          <w:sz w:val="22"/>
          <w:szCs w:val="22"/>
        </w:rPr>
      </w:pPr>
      <w:r>
        <w:rPr>
          <w:sz w:val="22"/>
          <w:szCs w:val="22"/>
        </w:rPr>
        <w:t xml:space="preserve">                            New York, NY  10045</w:t>
      </w:r>
    </w:p>
    <w:p w:rsidR="00E70CE9" w:rsidRDefault="00E70CE9" w:rsidP="00E70CE9">
      <w:pPr>
        <w:rPr>
          <w:sz w:val="22"/>
          <w:szCs w:val="22"/>
        </w:rPr>
      </w:pPr>
      <w:r>
        <w:rPr>
          <w:sz w:val="22"/>
          <w:szCs w:val="22"/>
        </w:rPr>
        <w:t xml:space="preserve">ACCOUNT NAME:  </w:t>
      </w:r>
      <w:r>
        <w:rPr>
          <w:b/>
          <w:sz w:val="22"/>
          <w:szCs w:val="22"/>
        </w:rPr>
        <w:t>FCC</w:t>
      </w:r>
      <w:r>
        <w:rPr>
          <w:sz w:val="22"/>
          <w:szCs w:val="22"/>
        </w:rPr>
        <w:t xml:space="preserve"> </w:t>
      </w:r>
    </w:p>
    <w:p w:rsidR="00E70CE9" w:rsidRDefault="00E70CE9" w:rsidP="00E70CE9">
      <w:pPr>
        <w:rPr>
          <w:b/>
          <w:sz w:val="22"/>
          <w:szCs w:val="22"/>
        </w:rPr>
      </w:pPr>
      <w:r>
        <w:rPr>
          <w:sz w:val="22"/>
          <w:szCs w:val="22"/>
        </w:rPr>
        <w:t>ACCOUNT NUMBER</w:t>
      </w:r>
      <w:r>
        <w:rPr>
          <w:b/>
          <w:bCs/>
          <w:sz w:val="22"/>
          <w:szCs w:val="22"/>
        </w:rPr>
        <w:t>:   27000001</w:t>
      </w:r>
    </w:p>
    <w:p w:rsidR="00E70CE9" w:rsidRDefault="00E70CE9" w:rsidP="00E70CE9">
      <w:pPr>
        <w:rPr>
          <w:sz w:val="22"/>
          <w:szCs w:val="22"/>
        </w:rPr>
      </w:pPr>
      <w:r>
        <w:rPr>
          <w:sz w:val="22"/>
          <w:szCs w:val="22"/>
        </w:rPr>
        <w:t>OBI Field:   (Skip one space between each information item) “AUCTIONPAY”</w:t>
      </w:r>
    </w:p>
    <w:p w:rsidR="00E70CE9" w:rsidRDefault="00E70CE9" w:rsidP="00E70CE9">
      <w:pPr>
        <w:rPr>
          <w:sz w:val="22"/>
          <w:szCs w:val="22"/>
        </w:rPr>
      </w:pPr>
      <w:r>
        <w:rPr>
          <w:sz w:val="22"/>
          <w:szCs w:val="22"/>
        </w:rPr>
        <w:t>APPLICANT FRN: (same as FCC Form 159, block 21)</w:t>
      </w:r>
    </w:p>
    <w:p w:rsidR="00E70CE9" w:rsidRDefault="00E70CE9" w:rsidP="00E70CE9">
      <w:pPr>
        <w:rPr>
          <w:sz w:val="22"/>
          <w:szCs w:val="22"/>
        </w:rPr>
      </w:pPr>
      <w:r>
        <w:rPr>
          <w:sz w:val="22"/>
          <w:szCs w:val="22"/>
        </w:rPr>
        <w:t>PAYMENT TYPE CODE: (same as FCC Form 159, block 24A: “</w:t>
      </w:r>
      <w:r>
        <w:rPr>
          <w:b/>
          <w:sz w:val="22"/>
          <w:szCs w:val="22"/>
        </w:rPr>
        <w:t>APEN</w:t>
      </w:r>
      <w:r>
        <w:rPr>
          <w:sz w:val="22"/>
          <w:szCs w:val="22"/>
        </w:rPr>
        <w:t>”)</w:t>
      </w:r>
    </w:p>
    <w:p w:rsidR="00E70CE9" w:rsidRDefault="00E70CE9" w:rsidP="00E70CE9">
      <w:pPr>
        <w:rPr>
          <w:sz w:val="22"/>
          <w:szCs w:val="22"/>
        </w:rPr>
      </w:pPr>
      <w:r>
        <w:rPr>
          <w:sz w:val="22"/>
          <w:szCs w:val="22"/>
        </w:rPr>
        <w:t>FCC CODE 1:  (same as FCC Form 159, Block 28A:  (“94”)</w:t>
      </w:r>
    </w:p>
    <w:p w:rsidR="00E70CE9" w:rsidRDefault="00E70CE9" w:rsidP="00E70CE9">
      <w:pPr>
        <w:rPr>
          <w:sz w:val="22"/>
          <w:szCs w:val="22"/>
        </w:rPr>
      </w:pPr>
      <w:r>
        <w:rPr>
          <w:sz w:val="22"/>
          <w:szCs w:val="22"/>
        </w:rPr>
        <w:t>PAYOR NAME: (same as FCC Form 159, Block 2)</w:t>
      </w:r>
    </w:p>
    <w:p w:rsidR="00E70CE9" w:rsidRDefault="00E70CE9" w:rsidP="00E70CE9">
      <w:pPr>
        <w:rPr>
          <w:sz w:val="22"/>
          <w:szCs w:val="22"/>
        </w:rPr>
      </w:pPr>
      <w:r>
        <w:rPr>
          <w:sz w:val="22"/>
          <w:szCs w:val="22"/>
        </w:rPr>
        <w:t>LOCKBOX NO.: #</w:t>
      </w:r>
      <w:r>
        <w:rPr>
          <w:b/>
          <w:sz w:val="22"/>
          <w:szCs w:val="22"/>
        </w:rPr>
        <w:t>979088</w:t>
      </w:r>
    </w:p>
    <w:p w:rsidR="00E70CE9" w:rsidRDefault="00E70CE9" w:rsidP="00E70CE9">
      <w:pPr>
        <w:rPr>
          <w:sz w:val="22"/>
          <w:szCs w:val="22"/>
        </w:rPr>
      </w:pPr>
    </w:p>
    <w:p w:rsidR="00E70CE9" w:rsidRDefault="00E70CE9" w:rsidP="00E70CE9">
      <w:pPr>
        <w:rPr>
          <w:sz w:val="22"/>
          <w:szCs w:val="22"/>
        </w:rPr>
      </w:pPr>
      <w:r>
        <w:rPr>
          <w:sz w:val="22"/>
          <w:szCs w:val="22"/>
        </w:rPr>
        <w:t xml:space="preserve">Please fax a completed remittance advice (Form 159) to U.S. Bank, St. Louis, Missouri at (314) 418-4232 </w:t>
      </w:r>
      <w:r>
        <w:rPr>
          <w:b/>
          <w:sz w:val="22"/>
          <w:szCs w:val="22"/>
        </w:rPr>
        <w:t>at least one hour</w:t>
      </w:r>
      <w:r>
        <w:rPr>
          <w:sz w:val="22"/>
          <w:szCs w:val="22"/>
        </w:rPr>
        <w:t xml:space="preserve"> </w:t>
      </w:r>
      <w:r>
        <w:rPr>
          <w:b/>
          <w:sz w:val="22"/>
          <w:szCs w:val="22"/>
        </w:rPr>
        <w:t>before initiating the wire transfer</w:t>
      </w:r>
      <w:r>
        <w:rPr>
          <w:sz w:val="22"/>
          <w:szCs w:val="22"/>
        </w:rPr>
        <w:t xml:space="preserve"> (but on the same business day).</w:t>
      </w:r>
    </w:p>
    <w:p w:rsidR="00E70CE9" w:rsidRDefault="00E70CE9" w:rsidP="00E70CE9">
      <w:pPr>
        <w:rPr>
          <w:sz w:val="22"/>
          <w:szCs w:val="22"/>
        </w:rPr>
      </w:pPr>
    </w:p>
    <w:p w:rsidR="00E70CE9" w:rsidRDefault="00E70CE9" w:rsidP="00E70CE9">
      <w:pPr>
        <w:widowControl w:val="0"/>
        <w:rPr>
          <w:rFonts w:ascii="Times New Roman Bold" w:hAnsi="Times New Roman Bold"/>
          <w:sz w:val="22"/>
        </w:rPr>
      </w:pPr>
      <w:r>
        <w:rPr>
          <w:sz w:val="22"/>
          <w:szCs w:val="22"/>
        </w:rPr>
        <w:t>For questions regarding the submission of payment, and the FCC Form 159, contact Gail Glasser, Office of the Managing Director, Financial Operations, Auctions Accounting Group, at (202) 418-0578.</w:t>
      </w:r>
    </w:p>
    <w:p w:rsidR="00E70CE9" w:rsidRPr="0050636B" w:rsidRDefault="00E70CE9">
      <w:pPr>
        <w:widowControl w:val="0"/>
        <w:jc w:val="center"/>
        <w:rPr>
          <w:rFonts w:eastAsia="Times New Roman"/>
          <w:color w:val="auto"/>
          <w:lang w:bidi="x-none"/>
        </w:rPr>
      </w:pPr>
    </w:p>
    <w:sectPr w:rsidR="00E70CE9" w:rsidRPr="0050636B">
      <w:headerReference w:type="even" r:id="rId7"/>
      <w:headerReference w:type="default" r:id="rId8"/>
      <w:footerReference w:type="even" r:id="rId9"/>
      <w:footerReference w:type="default" r:id="rId10"/>
      <w:headerReference w:type="first" r:id="rId11"/>
      <w:footerReference w:type="first" r:id="rId12"/>
      <w:pgSz w:w="12240" w:h="15840"/>
      <w:pgMar w:top="171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36" w:rsidRDefault="008A6B36">
      <w:r>
        <w:separator/>
      </w:r>
    </w:p>
  </w:endnote>
  <w:endnote w:type="continuationSeparator" w:id="0">
    <w:p w:rsidR="008A6B36" w:rsidRDefault="008A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Bold Italic">
    <w:panose1 w:val="020B070402020209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012316">
    <w:pPr>
      <w:jc w:val="center"/>
      <w:rPr>
        <w:rFonts w:ascii="Times New Roman Bold" w:hAnsi="Times New Roman Bol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012316">
    <w:pPr>
      <w:jc w:val="center"/>
      <w:rPr>
        <w:rFonts w:ascii="Times New Roman Bold" w:hAnsi="Times New Roman Bol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A0" w:rsidRDefault="00E84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36" w:rsidRDefault="008A6B36">
      <w:r>
        <w:separator/>
      </w:r>
    </w:p>
  </w:footnote>
  <w:footnote w:type="continuationSeparator" w:id="0">
    <w:p w:rsidR="008A6B36" w:rsidRDefault="008A6B36">
      <w:r>
        <w:continuationSeparator/>
      </w:r>
    </w:p>
  </w:footnote>
  <w:footnote w:id="1">
    <w:p w:rsidR="00012316" w:rsidRPr="00E70CE9" w:rsidRDefault="00012316" w:rsidP="00E566FE">
      <w:pPr>
        <w:pStyle w:val="FootnoteText"/>
        <w:spacing w:after="120"/>
      </w:pPr>
      <w:r w:rsidRPr="006A7751">
        <w:rPr>
          <w:rStyle w:val="FootnoteReference"/>
        </w:rPr>
        <w:footnoteRef/>
      </w:r>
      <w:r w:rsidRPr="006A7751">
        <w:t xml:space="preserve"> </w:t>
      </w:r>
      <w:r w:rsidRPr="0050636B">
        <w:rPr>
          <w:i/>
        </w:rPr>
        <w:t>See</w:t>
      </w:r>
      <w:r w:rsidRPr="0050636B">
        <w:t xml:space="preserve"> </w:t>
      </w:r>
      <w:r w:rsidRPr="00E70CE9">
        <w:t xml:space="preserve">Auction of FM Broadcast Construction Permit Closes; Winning Bidders Announced for Auction 94, </w:t>
      </w:r>
      <w:r w:rsidRPr="0050636B">
        <w:rPr>
          <w:i/>
        </w:rPr>
        <w:t>Public Notice</w:t>
      </w:r>
      <w:r w:rsidRPr="00E70CE9">
        <w:t xml:space="preserve">, </w:t>
      </w:r>
      <w:r w:rsidR="00D637DA" w:rsidRPr="00E70CE9">
        <w:t>28</w:t>
      </w:r>
      <w:r w:rsidRPr="00E70CE9">
        <w:t xml:space="preserve"> FCC Rcd </w:t>
      </w:r>
      <w:r w:rsidR="00D637DA" w:rsidRPr="00E70CE9">
        <w:t>6973</w:t>
      </w:r>
      <w:r w:rsidR="008E26A6" w:rsidRPr="00E70CE9">
        <w:t xml:space="preserve">, </w:t>
      </w:r>
      <w:r w:rsidR="008F3556">
        <w:t xml:space="preserve">6984-85 </w:t>
      </w:r>
      <w:r w:rsidR="008E26A6" w:rsidRPr="00E70CE9">
        <w:t>Attach. A</w:t>
      </w:r>
      <w:r w:rsidR="00D637DA" w:rsidRPr="00E70CE9">
        <w:t xml:space="preserve"> </w:t>
      </w:r>
      <w:r w:rsidRPr="00E70CE9">
        <w:t>(2013)</w:t>
      </w:r>
      <w:r w:rsidRPr="0050636B">
        <w:t xml:space="preserve"> </w:t>
      </w:r>
      <w:r w:rsidRPr="00E70CE9">
        <w:t>(“</w:t>
      </w:r>
      <w:r w:rsidRPr="0050636B">
        <w:rPr>
          <w:i/>
        </w:rPr>
        <w:t>Auction 94 Closing Public Notice</w:t>
      </w:r>
      <w:r w:rsidRPr="00E70CE9">
        <w:t>”).</w:t>
      </w:r>
    </w:p>
  </w:footnote>
  <w:footnote w:id="2">
    <w:p w:rsidR="00012316" w:rsidRPr="002521BB" w:rsidRDefault="00012316" w:rsidP="000B7DE5">
      <w:pPr>
        <w:pStyle w:val="FootnoteText1"/>
        <w:spacing w:after="120"/>
        <w:rPr>
          <w:rFonts w:eastAsia="Times New Roman"/>
          <w:color w:val="auto"/>
          <w:lang w:bidi="x-none"/>
        </w:rPr>
      </w:pPr>
      <w:r w:rsidRPr="00E70CE9">
        <w:rPr>
          <w:rStyle w:val="FootnoteReference1"/>
        </w:rPr>
        <w:footnoteRef/>
      </w:r>
      <w:r w:rsidRPr="00E70CE9">
        <w:t xml:space="preserve"> 47 C.F.R. § 1.2104(g)(2); </w:t>
      </w:r>
      <w:r w:rsidRPr="00E70CE9">
        <w:rPr>
          <w:i/>
        </w:rPr>
        <w:t>see also</w:t>
      </w:r>
      <w:r w:rsidRPr="00E70CE9">
        <w:t xml:space="preserve"> </w:t>
      </w:r>
      <w:r w:rsidRPr="00E70CE9">
        <w:rPr>
          <w:i/>
        </w:rPr>
        <w:t>Auction 94</w:t>
      </w:r>
      <w:r w:rsidR="003307A5" w:rsidRPr="002521BB">
        <w:rPr>
          <w:i/>
        </w:rPr>
        <w:t xml:space="preserve"> </w:t>
      </w:r>
      <w:r w:rsidRPr="002521BB">
        <w:rPr>
          <w:i/>
        </w:rPr>
        <w:t>Closing Public Notice</w:t>
      </w:r>
      <w:r w:rsidRPr="002521BB">
        <w:t xml:space="preserve">, </w:t>
      </w:r>
      <w:r w:rsidR="008E7FB3" w:rsidRPr="002521BB">
        <w:t xml:space="preserve">28 </w:t>
      </w:r>
      <w:r w:rsidRPr="002521BB">
        <w:t xml:space="preserve">FCC Rcd at </w:t>
      </w:r>
      <w:r w:rsidR="00D6769E" w:rsidRPr="002521BB">
        <w:t xml:space="preserve">6976 </w:t>
      </w:r>
      <w:r w:rsidRPr="002521BB">
        <w:t xml:space="preserve">¶ </w:t>
      </w:r>
      <w:r w:rsidR="00D6769E" w:rsidRPr="002521BB">
        <w:t>13</w:t>
      </w:r>
      <w:r w:rsidRPr="002521BB">
        <w:t>.</w:t>
      </w:r>
    </w:p>
  </w:footnote>
  <w:footnote w:id="3">
    <w:p w:rsidR="00012316" w:rsidRPr="00E70CE9" w:rsidRDefault="00012316" w:rsidP="000B7DE5">
      <w:pPr>
        <w:pStyle w:val="FootnoteText"/>
        <w:spacing w:after="120"/>
      </w:pPr>
      <w:r w:rsidRPr="002521BB">
        <w:rPr>
          <w:rStyle w:val="FootnoteReference"/>
        </w:rPr>
        <w:footnoteRef/>
      </w:r>
      <w:r w:rsidRPr="002521BB">
        <w:t xml:space="preserve"> </w:t>
      </w:r>
      <w:r w:rsidR="00372201" w:rsidRPr="002521BB">
        <w:rPr>
          <w:i/>
        </w:rPr>
        <w:t>See</w:t>
      </w:r>
      <w:r w:rsidR="00372201" w:rsidRPr="002521BB">
        <w:t xml:space="preserve"> </w:t>
      </w:r>
      <w:r w:rsidRPr="0050636B">
        <w:rPr>
          <w:i/>
        </w:rPr>
        <w:t>Auction 94 Closing Public Notice</w:t>
      </w:r>
      <w:r w:rsidRPr="0050636B">
        <w:t xml:space="preserve">, </w:t>
      </w:r>
      <w:r w:rsidR="008E7FB3" w:rsidRPr="00E70CE9">
        <w:t xml:space="preserve">28 </w:t>
      </w:r>
      <w:r w:rsidRPr="00E70CE9">
        <w:t xml:space="preserve">FCC Rcd </w:t>
      </w:r>
      <w:r w:rsidR="00A1081D" w:rsidRPr="00E70CE9">
        <w:t>at 6984-85</w:t>
      </w:r>
      <w:r w:rsidR="008F3556">
        <w:t xml:space="preserve"> Attach. A</w:t>
      </w:r>
      <w:r w:rsidR="00A1081D" w:rsidRPr="00E70CE9">
        <w:t>.</w:t>
      </w:r>
    </w:p>
  </w:footnote>
  <w:footnote w:id="4">
    <w:p w:rsidR="00012316" w:rsidRPr="00E70CE9" w:rsidRDefault="00012316" w:rsidP="000B7DE5">
      <w:pPr>
        <w:pStyle w:val="FootnoteText1"/>
        <w:spacing w:after="120"/>
        <w:rPr>
          <w:rFonts w:eastAsia="Times New Roman"/>
          <w:color w:val="auto"/>
          <w:lang w:bidi="x-none"/>
        </w:rPr>
      </w:pPr>
      <w:r w:rsidRPr="00E70CE9">
        <w:rPr>
          <w:rStyle w:val="FootnoteReference1"/>
        </w:rPr>
        <w:footnoteRef/>
      </w:r>
      <w:r w:rsidRPr="00E70CE9">
        <w:t xml:space="preserve"> </w:t>
      </w:r>
      <w:r w:rsidRPr="0050636B">
        <w:rPr>
          <w:i/>
        </w:rPr>
        <w:t>Id.</w:t>
      </w:r>
      <w:r w:rsidRPr="00E70CE9">
        <w:t xml:space="preserve"> at </w:t>
      </w:r>
      <w:r w:rsidR="00083145" w:rsidRPr="00E70CE9">
        <w:t xml:space="preserve">6974 </w:t>
      </w:r>
      <w:r w:rsidRPr="00E70CE9">
        <w:t xml:space="preserve">¶ </w:t>
      </w:r>
      <w:r w:rsidR="00083145" w:rsidRPr="00E70CE9">
        <w:t>3</w:t>
      </w:r>
      <w:r w:rsidRPr="00E70CE9">
        <w:t xml:space="preserve">; </w:t>
      </w:r>
      <w:r w:rsidRPr="0050636B">
        <w:rPr>
          <w:i/>
        </w:rPr>
        <w:t>see also</w:t>
      </w:r>
      <w:r w:rsidRPr="00E70CE9">
        <w:t xml:space="preserve"> 47 C.F.R. § 1.2107(b)</w:t>
      </w:r>
      <w:r w:rsidR="00553533" w:rsidRPr="00E70CE9">
        <w:t>.</w:t>
      </w:r>
    </w:p>
  </w:footnote>
  <w:footnote w:id="5">
    <w:p w:rsidR="00FF7604" w:rsidRPr="002521BB" w:rsidRDefault="00FF7604" w:rsidP="00FF7604">
      <w:pPr>
        <w:pStyle w:val="FootnoteText"/>
        <w:spacing w:after="120"/>
      </w:pPr>
      <w:r w:rsidRPr="00E70CE9">
        <w:rPr>
          <w:rStyle w:val="FootnoteReference"/>
        </w:rPr>
        <w:footnoteRef/>
      </w:r>
      <w:r w:rsidRPr="00E70CE9">
        <w:t xml:space="preserve"> </w:t>
      </w:r>
      <w:r w:rsidRPr="00E70CE9">
        <w:rPr>
          <w:i/>
        </w:rPr>
        <w:t>Auction 94 Closing Public Notice</w:t>
      </w:r>
      <w:r w:rsidRPr="00E70CE9">
        <w:t>, 28 FCC Rcd</w:t>
      </w:r>
      <w:r w:rsidRPr="002521BB">
        <w:t xml:space="preserve"> at 6974 ¶ 3.  </w:t>
      </w:r>
    </w:p>
  </w:footnote>
  <w:footnote w:id="6">
    <w:p w:rsidR="00012316" w:rsidRPr="00E70CE9" w:rsidRDefault="00012316" w:rsidP="00134CA9">
      <w:pPr>
        <w:pStyle w:val="FootnoteText10"/>
        <w:spacing w:after="120"/>
        <w:rPr>
          <w:rFonts w:ascii="Times New Roman" w:eastAsia="Times New Roman" w:hAnsi="Times New Roman"/>
          <w:color w:val="auto"/>
          <w:lang w:bidi="x-none"/>
        </w:rPr>
      </w:pPr>
      <w:r w:rsidRPr="002521BB">
        <w:rPr>
          <w:rFonts w:ascii="Times New Roman" w:hAnsi="Times New Roman"/>
          <w:vertAlign w:val="superscript"/>
        </w:rPr>
        <w:footnoteRef/>
      </w:r>
      <w:r w:rsidRPr="0050636B">
        <w:rPr>
          <w:rFonts w:ascii="Times New Roman" w:hAnsi="Times New Roman"/>
        </w:rPr>
        <w:t xml:space="preserve"> </w:t>
      </w:r>
      <w:r w:rsidR="00FF7604" w:rsidRPr="0050636B">
        <w:rPr>
          <w:rFonts w:ascii="Times New Roman" w:hAnsi="Times New Roman"/>
          <w:i/>
        </w:rPr>
        <w:t>Id.</w:t>
      </w:r>
      <w:r w:rsidR="00FF7604" w:rsidRPr="0050636B">
        <w:rPr>
          <w:rFonts w:ascii="Times New Roman" w:hAnsi="Times New Roman"/>
        </w:rPr>
        <w:t xml:space="preserve"> </w:t>
      </w:r>
      <w:r w:rsidRPr="00E70CE9">
        <w:rPr>
          <w:rFonts w:ascii="Times New Roman" w:hAnsi="Times New Roman"/>
        </w:rPr>
        <w:t xml:space="preserve">at </w:t>
      </w:r>
      <w:r w:rsidR="000B35D5" w:rsidRPr="00E70CE9">
        <w:rPr>
          <w:rFonts w:ascii="Times New Roman" w:hAnsi="Times New Roman"/>
        </w:rPr>
        <w:t xml:space="preserve">6974 </w:t>
      </w:r>
      <w:r w:rsidRPr="00E70CE9">
        <w:rPr>
          <w:rFonts w:ascii="Times New Roman" w:hAnsi="Times New Roman"/>
        </w:rPr>
        <w:t xml:space="preserve">¶ </w:t>
      </w:r>
      <w:r w:rsidR="000B35D5" w:rsidRPr="00E70CE9">
        <w:rPr>
          <w:rFonts w:ascii="Times New Roman" w:hAnsi="Times New Roman"/>
        </w:rPr>
        <w:t>6</w:t>
      </w:r>
      <w:r w:rsidRPr="00E70CE9">
        <w:rPr>
          <w:rFonts w:ascii="Times New Roman" w:hAnsi="Times New Roman"/>
        </w:rPr>
        <w:t xml:space="preserve">; </w:t>
      </w:r>
      <w:r w:rsidRPr="0050636B">
        <w:rPr>
          <w:rFonts w:ascii="Times New Roman" w:hAnsi="Times New Roman"/>
          <w:i/>
        </w:rPr>
        <w:t>see also</w:t>
      </w:r>
      <w:r w:rsidRPr="00E70CE9">
        <w:rPr>
          <w:rFonts w:ascii="Times New Roman" w:hAnsi="Times New Roman"/>
        </w:rPr>
        <w:t xml:space="preserve"> 47 C.F.R. § 1.2109(a).</w:t>
      </w:r>
      <w:r w:rsidRPr="0050636B">
        <w:rPr>
          <w:rFonts w:ascii="Times New Roman" w:hAnsi="Times New Roman"/>
        </w:rPr>
        <w:t xml:space="preserve">  </w:t>
      </w:r>
    </w:p>
  </w:footnote>
  <w:footnote w:id="7">
    <w:p w:rsidR="00633257" w:rsidRPr="00E70CE9" w:rsidRDefault="00633257" w:rsidP="00E566FE">
      <w:pPr>
        <w:pStyle w:val="FootnoteText"/>
        <w:spacing w:after="120"/>
      </w:pPr>
      <w:r w:rsidRPr="00E70CE9">
        <w:rPr>
          <w:rStyle w:val="FootnoteReference"/>
        </w:rPr>
        <w:footnoteRef/>
      </w:r>
      <w:r w:rsidRPr="00E70CE9">
        <w:t xml:space="preserve"> </w:t>
      </w:r>
      <w:r w:rsidR="00485826" w:rsidRPr="00E70CE9">
        <w:rPr>
          <w:i/>
        </w:rPr>
        <w:t>Auction 94 Closing Public Notice</w:t>
      </w:r>
      <w:r w:rsidR="0097138E" w:rsidRPr="0050636B">
        <w:t>,</w:t>
      </w:r>
      <w:r w:rsidR="00485826" w:rsidRPr="0050636B" w:rsidDel="00485826">
        <w:t xml:space="preserve"> </w:t>
      </w:r>
      <w:r w:rsidR="0097138E" w:rsidRPr="00E70CE9">
        <w:t>28 FCC Rcd</w:t>
      </w:r>
      <w:r w:rsidR="0097138E" w:rsidRPr="002521BB">
        <w:t xml:space="preserve"> at </w:t>
      </w:r>
      <w:r w:rsidR="00596384" w:rsidRPr="00E70CE9">
        <w:t>6977</w:t>
      </w:r>
      <w:r w:rsidRPr="00E70CE9">
        <w:t xml:space="preserve"> ¶ </w:t>
      </w:r>
      <w:r w:rsidR="00596384" w:rsidRPr="00E70CE9">
        <w:t>21</w:t>
      </w:r>
      <w:r w:rsidRPr="00E70CE9">
        <w:t>.</w:t>
      </w:r>
    </w:p>
  </w:footnote>
  <w:footnote w:id="8">
    <w:p w:rsidR="00012316" w:rsidRPr="00AC1435" w:rsidRDefault="00012316" w:rsidP="000B7DE5">
      <w:pPr>
        <w:pStyle w:val="FootnoteText1"/>
        <w:spacing w:after="120"/>
        <w:rPr>
          <w:rFonts w:eastAsia="Times New Roman"/>
          <w:color w:val="auto"/>
          <w:lang w:bidi="x-none"/>
        </w:rPr>
      </w:pPr>
      <w:r w:rsidRPr="00AC1435">
        <w:rPr>
          <w:rStyle w:val="FootnoteReference1"/>
        </w:rPr>
        <w:footnoteRef/>
      </w:r>
      <w:r w:rsidRPr="00AC1435">
        <w:t xml:space="preserve"> </w:t>
      </w:r>
      <w:r w:rsidRPr="00AC1435">
        <w:rPr>
          <w:i/>
        </w:rPr>
        <w:t>See</w:t>
      </w:r>
      <w:r w:rsidRPr="00AC1435">
        <w:t xml:space="preserve"> </w:t>
      </w:r>
      <w:r w:rsidRPr="00AC1435">
        <w:rPr>
          <w:i/>
        </w:rPr>
        <w:t>id</w:t>
      </w:r>
      <w:r w:rsidRPr="00AC1435">
        <w:t xml:space="preserve">. at </w:t>
      </w:r>
      <w:r w:rsidR="00227962" w:rsidRPr="00AC1435">
        <w:t>6984-85</w:t>
      </w:r>
      <w:r w:rsidR="008F3556" w:rsidRPr="00AC1435">
        <w:t xml:space="preserve"> Attach. A</w:t>
      </w:r>
      <w:r w:rsidR="00227962" w:rsidRPr="00AC1435">
        <w:t>.</w:t>
      </w:r>
    </w:p>
  </w:footnote>
  <w:footnote w:id="9">
    <w:p w:rsidR="00012316" w:rsidRPr="00AC1435" w:rsidRDefault="00012316">
      <w:pPr>
        <w:pStyle w:val="FootnoteText1"/>
        <w:spacing w:after="120"/>
        <w:rPr>
          <w:rFonts w:eastAsia="Times New Roman"/>
          <w:color w:val="auto"/>
          <w:lang w:bidi="x-none"/>
        </w:rPr>
      </w:pPr>
      <w:r w:rsidRPr="00AC1435">
        <w:rPr>
          <w:rStyle w:val="FootnoteReference1"/>
        </w:rPr>
        <w:footnoteRef/>
      </w:r>
      <w:r w:rsidRPr="00AC1435">
        <w:t xml:space="preserve"> </w:t>
      </w:r>
      <w:r w:rsidRPr="00AC1435">
        <w:rPr>
          <w:i/>
        </w:rPr>
        <w:t>See id</w:t>
      </w:r>
      <w:r w:rsidR="005A3EC4" w:rsidRPr="00AC1435">
        <w:rPr>
          <w:i/>
        </w:rPr>
        <w:t xml:space="preserve"> </w:t>
      </w:r>
      <w:r w:rsidR="005A3EC4" w:rsidRPr="00AC1435">
        <w:t>at 6990 Attach. B</w:t>
      </w:r>
      <w:r w:rsidRPr="00AC1435">
        <w:t xml:space="preserve">.  </w:t>
      </w:r>
      <w:r w:rsidR="002C557E" w:rsidRPr="00AC1435">
        <w:t xml:space="preserve">On May 14, 2013, </w:t>
      </w:r>
      <w:r w:rsidRPr="00AC1435">
        <w:t xml:space="preserve">Commission staff sent you a pre-filled Remittance Advice Form (Form 159) showing the amount of your first down payment and final payment in an overnight mailing that also included a copy of the </w:t>
      </w:r>
      <w:r w:rsidRPr="00AC1435">
        <w:rPr>
          <w:i/>
        </w:rPr>
        <w:t>Auction 94 Closing Public Notice</w:t>
      </w:r>
      <w:r w:rsidRPr="00AC1435">
        <w:t xml:space="preserve">. </w:t>
      </w:r>
      <w:r w:rsidR="00177DE2" w:rsidRPr="00AC1435">
        <w:t xml:space="preserve"> </w:t>
      </w:r>
    </w:p>
  </w:footnote>
  <w:footnote w:id="10">
    <w:p w:rsidR="00012316" w:rsidRPr="00AC1435" w:rsidRDefault="00012316">
      <w:pPr>
        <w:pStyle w:val="FootnoteText1"/>
        <w:spacing w:after="120"/>
        <w:rPr>
          <w:rFonts w:eastAsia="Times New Roman"/>
          <w:color w:val="auto"/>
          <w:lang w:bidi="x-none"/>
        </w:rPr>
      </w:pPr>
      <w:r w:rsidRPr="00AC1435">
        <w:rPr>
          <w:rStyle w:val="FootnoteReference1"/>
        </w:rPr>
        <w:footnoteRef/>
      </w:r>
      <w:r w:rsidRPr="00AC1435">
        <w:t xml:space="preserve"> 47 C.F.R. §</w:t>
      </w:r>
      <w:r w:rsidR="00742DCE" w:rsidRPr="00AC1435">
        <w:t>§</w:t>
      </w:r>
      <w:r w:rsidRPr="00AC1435">
        <w:t xml:space="preserve"> 1.2104(g)(2)</w:t>
      </w:r>
      <w:r w:rsidR="00742DCE" w:rsidRPr="00AC1435">
        <w:t>, 1.2109(c).</w:t>
      </w:r>
    </w:p>
  </w:footnote>
  <w:footnote w:id="11">
    <w:p w:rsidR="00AC1435" w:rsidRPr="00AC1435" w:rsidRDefault="00AC1435" w:rsidP="00AC1435">
      <w:pPr>
        <w:pStyle w:val="FootnoteText"/>
        <w:spacing w:after="120"/>
        <w:mirrorIndents/>
      </w:pPr>
      <w:r w:rsidRPr="00AC1435">
        <w:rPr>
          <w:rStyle w:val="FootnoteReference"/>
        </w:rPr>
        <w:footnoteRef/>
      </w:r>
      <w:r w:rsidRPr="00AC1435">
        <w:t xml:space="preserve"> 47 C.F.R. § 1.2104(g)(2).  </w:t>
      </w:r>
    </w:p>
  </w:footnote>
  <w:footnote w:id="12">
    <w:p w:rsidR="00AC1435" w:rsidRPr="00AC1435" w:rsidRDefault="00AC1435" w:rsidP="00AC1435">
      <w:pPr>
        <w:pStyle w:val="FootnoteText10"/>
        <w:spacing w:after="120"/>
        <w:mirrorIndents/>
        <w:rPr>
          <w:rFonts w:ascii="Times New Roman" w:eastAsia="Times New Roman" w:hAnsi="Times New Roman"/>
          <w:color w:val="auto"/>
          <w:lang w:bidi="x-none"/>
        </w:rPr>
      </w:pPr>
      <w:r w:rsidRPr="00AC1435">
        <w:rPr>
          <w:rStyle w:val="FootnoteReference1"/>
          <w:rFonts w:ascii="Times New Roman" w:hAnsi="Times New Roman"/>
        </w:rPr>
        <w:footnoteRef/>
      </w:r>
      <w:r w:rsidRPr="00AC1435">
        <w:rPr>
          <w:rFonts w:ascii="Times New Roman" w:hAnsi="Times New Roman"/>
        </w:rPr>
        <w:t xml:space="preserve"> 47 C.F.R. §§ 1.2104(g)(2), 1.2109.</w:t>
      </w:r>
    </w:p>
  </w:footnote>
  <w:footnote w:id="13">
    <w:p w:rsidR="00AC1435" w:rsidRPr="00AC1435" w:rsidRDefault="00AC1435" w:rsidP="00AC1435">
      <w:pPr>
        <w:pStyle w:val="FootnoteText"/>
        <w:spacing w:after="120"/>
        <w:mirrorIndents/>
      </w:pPr>
      <w:r w:rsidRPr="00AC1435">
        <w:rPr>
          <w:rStyle w:val="FootnoteReference"/>
        </w:rPr>
        <w:footnoteRef/>
      </w:r>
      <w:r w:rsidRPr="00AC1435">
        <w:t xml:space="preserve"> 47 C.F.R. § 1.2104(g)(2).  </w:t>
      </w:r>
    </w:p>
  </w:footnote>
  <w:footnote w:id="14">
    <w:p w:rsidR="00AC1435" w:rsidRPr="00AC1435" w:rsidRDefault="00AC1435" w:rsidP="00AC1435">
      <w:pPr>
        <w:pStyle w:val="FootnoteText10"/>
        <w:spacing w:after="120"/>
        <w:mirrorIndents/>
        <w:rPr>
          <w:rFonts w:ascii="Times New Roman" w:eastAsia="Times New Roman" w:hAnsi="Times New Roman"/>
          <w:color w:val="auto"/>
          <w:lang w:bidi="x-none"/>
        </w:rPr>
      </w:pPr>
      <w:r w:rsidRPr="00AC1435">
        <w:rPr>
          <w:rStyle w:val="FootnoteReference1"/>
          <w:rFonts w:ascii="Times New Roman" w:hAnsi="Times New Roman"/>
        </w:rPr>
        <w:footnoteRef/>
      </w:r>
      <w:r w:rsidRPr="00AC1435">
        <w:rPr>
          <w:rFonts w:ascii="Times New Roman" w:hAnsi="Times New Roman"/>
        </w:rPr>
        <w:t xml:space="preserve"> 47 C.F.R § 1.2104(g)(2)(i).</w:t>
      </w:r>
    </w:p>
  </w:footnote>
  <w:footnote w:id="15">
    <w:p w:rsidR="00AC1435" w:rsidRPr="00AC1435" w:rsidRDefault="00AC1435" w:rsidP="00AC1435">
      <w:pPr>
        <w:pStyle w:val="FootnoteText"/>
        <w:spacing w:after="120"/>
      </w:pPr>
      <w:r w:rsidRPr="00AC1435">
        <w:rPr>
          <w:rStyle w:val="FootnoteReference"/>
        </w:rPr>
        <w:footnoteRef/>
      </w:r>
      <w:r w:rsidRPr="00AC1435">
        <w:t xml:space="preserve"> 47 C.F.R § 1.2104(g)(2).</w:t>
      </w:r>
    </w:p>
  </w:footnote>
  <w:footnote w:id="16">
    <w:p w:rsidR="00012316" w:rsidRPr="00E70CE9" w:rsidRDefault="00012316" w:rsidP="0050636B">
      <w:pPr>
        <w:pStyle w:val="FootnoteText1"/>
        <w:spacing w:after="120"/>
        <w:rPr>
          <w:rFonts w:eastAsia="Times New Roman"/>
          <w:color w:val="auto"/>
          <w:lang w:bidi="x-none"/>
        </w:rPr>
      </w:pPr>
      <w:r w:rsidRPr="00AC1435">
        <w:rPr>
          <w:rStyle w:val="FootnoteReference1"/>
        </w:rPr>
        <w:footnoteRef/>
      </w:r>
      <w:r w:rsidR="00AC1435" w:rsidRPr="00AC1435">
        <w:t xml:space="preserve"> </w:t>
      </w:r>
      <w:r w:rsidR="00AC1435" w:rsidRPr="00AC1435">
        <w:rPr>
          <w:i/>
        </w:rPr>
        <w:t>See id.</w:t>
      </w:r>
      <w:r w:rsidRPr="00AC1435">
        <w:t xml:space="preserve">; Auction of FM Broadcast Construction Permits Rescheduled for </w:t>
      </w:r>
      <w:r w:rsidR="00FF1C59" w:rsidRPr="00AC1435">
        <w:t>April 23, 2013</w:t>
      </w:r>
      <w:r w:rsidRPr="00AC1435">
        <w:t xml:space="preserve">; Notice and Filing Requirements, Minimum Opening Bids, Upfront Payments, and Other Procedures for Auction </w:t>
      </w:r>
      <w:r w:rsidR="00FF1C59" w:rsidRPr="00AC1435">
        <w:t>94</w:t>
      </w:r>
      <w:r w:rsidRPr="00AC1435">
        <w:t xml:space="preserve">, </w:t>
      </w:r>
      <w:r w:rsidRPr="00AC1435">
        <w:rPr>
          <w:i/>
        </w:rPr>
        <w:t>Public Notice</w:t>
      </w:r>
      <w:r w:rsidRPr="00AC1435">
        <w:t xml:space="preserve">, </w:t>
      </w:r>
      <w:r w:rsidR="00FF1C59" w:rsidRPr="00AC1435">
        <w:t xml:space="preserve">27 </w:t>
      </w:r>
      <w:r w:rsidRPr="00AC1435">
        <w:t xml:space="preserve">FCC Rcd </w:t>
      </w:r>
      <w:r w:rsidR="00FF1C59" w:rsidRPr="00AC1435">
        <w:t>14299</w:t>
      </w:r>
      <w:r w:rsidR="005A3EC4" w:rsidRPr="00AC1435">
        <w:t>, 14341 ¶ 171</w:t>
      </w:r>
      <w:r w:rsidR="00FF1C59" w:rsidRPr="00AC1435">
        <w:t xml:space="preserve"> </w:t>
      </w:r>
      <w:r w:rsidRPr="00AC1435">
        <w:t>(</w:t>
      </w:r>
      <w:r w:rsidR="00FF1C59" w:rsidRPr="00AC1435">
        <w:t>2013</w:t>
      </w:r>
      <w:r w:rsidRPr="00AC1435">
        <w:t>)</w:t>
      </w:r>
      <w:r w:rsidR="005A3EC4" w:rsidRPr="00AC1435">
        <w:t xml:space="preserve"> (adopting 20 percent of the applicable bid as the additional default payment)</w:t>
      </w:r>
      <w:r w:rsidRPr="00AC1435">
        <w:t xml:space="preserve"> (“</w:t>
      </w:r>
      <w:r w:rsidRPr="00AC1435">
        <w:rPr>
          <w:i/>
        </w:rPr>
        <w:t>Auction 94 Procedures Public Notice</w:t>
      </w:r>
      <w:r w:rsidRPr="00AC1435">
        <w:t>”).</w:t>
      </w:r>
    </w:p>
  </w:footnote>
  <w:footnote w:id="17">
    <w:p w:rsidR="00012316" w:rsidRPr="00E70CE9" w:rsidRDefault="00012316">
      <w:pPr>
        <w:pStyle w:val="FootnoteText1"/>
        <w:spacing w:after="120"/>
      </w:pPr>
      <w:r w:rsidRPr="00E70CE9">
        <w:rPr>
          <w:rStyle w:val="FootnoteReference1"/>
        </w:rPr>
        <w:footnoteRef/>
      </w:r>
      <w:r w:rsidRPr="00E70CE9">
        <w:t xml:space="preserve"> </w:t>
      </w:r>
      <w:r w:rsidRPr="0050636B">
        <w:rPr>
          <w:i/>
        </w:rPr>
        <w:t>See</w:t>
      </w:r>
      <w:r w:rsidRPr="0050636B">
        <w:t xml:space="preserve"> </w:t>
      </w:r>
      <w:r w:rsidRPr="00E70CE9">
        <w:t xml:space="preserve">Amendment of Part 1 of the Commission’s Rules — Competitive Bidding Procedures, WT Docket No. 97-82, </w:t>
      </w:r>
      <w:r w:rsidRPr="0050636B">
        <w:rPr>
          <w:i/>
        </w:rPr>
        <w:t>Third Report and Order and Second Further Notice of Proposed Rule Making</w:t>
      </w:r>
      <w:r w:rsidRPr="00E70CE9">
        <w:rPr>
          <w:shd w:val="clear" w:color="auto" w:fill="FFFFFF"/>
        </w:rPr>
        <w:t xml:space="preserve">, </w:t>
      </w:r>
      <w:r w:rsidRPr="00E70CE9">
        <w:rPr>
          <w:rStyle w:val="documentbody1"/>
          <w:rFonts w:ascii="Times New Roman" w:hAnsi="Times New Roman"/>
          <w:sz w:val="20"/>
        </w:rPr>
        <w:t xml:space="preserve">13 FCC Rcd 374, 434 </w:t>
      </w:r>
      <w:r w:rsidRPr="00E70CE9">
        <w:t xml:space="preserve">¶ 102 (1997); Implementation of Section 309(j) of the Communications Act – Competitive Bidding, PP Docket No. 93-253, </w:t>
      </w:r>
      <w:r w:rsidRPr="0050636B">
        <w:rPr>
          <w:i/>
        </w:rPr>
        <w:t>Fifth Report and Order</w:t>
      </w:r>
      <w:r w:rsidRPr="00E70CE9">
        <w:t xml:space="preserve">, 9 FCC Rcd 5532, 5563 n.51 (1994); </w:t>
      </w:r>
      <w:r w:rsidR="009950FE" w:rsidRPr="0050636B">
        <w:rPr>
          <w:i/>
        </w:rPr>
        <w:t>Auction 94 Procedures Public Notice</w:t>
      </w:r>
      <w:r w:rsidR="00382B04" w:rsidRPr="00382B04">
        <w:t>, 27 FCC Rcd</w:t>
      </w:r>
      <w:r w:rsidR="009950FE" w:rsidRPr="0050636B">
        <w:t xml:space="preserve"> at 14341 ¶ 171;</w:t>
      </w:r>
      <w:r w:rsidR="009950FE" w:rsidRPr="00E70CE9">
        <w:t xml:space="preserve"> </w:t>
      </w:r>
      <w:r w:rsidRPr="0050636B">
        <w:rPr>
          <w:i/>
        </w:rPr>
        <w:t>see also</w:t>
      </w:r>
      <w:r w:rsidRPr="0050636B">
        <w:t xml:space="preserve"> </w:t>
      </w:r>
      <w:r w:rsidRPr="00E70CE9">
        <w:t xml:space="preserve">Implementation of Section 309(j) of the Communications Act – Competitive Bidding, PP Docket No. 93-253, </w:t>
      </w:r>
      <w:r w:rsidRPr="0050636B">
        <w:rPr>
          <w:i/>
        </w:rPr>
        <w:t>Second Report and Order</w:t>
      </w:r>
      <w:r w:rsidRPr="00E70CE9">
        <w:t xml:space="preserve">, 9 FCC Rcd 2348, 2382-83 ¶ 197 (1994). </w:t>
      </w:r>
    </w:p>
  </w:footnote>
  <w:footnote w:id="18">
    <w:p w:rsidR="00012316" w:rsidRPr="00E70CE9" w:rsidRDefault="00012316">
      <w:pPr>
        <w:pStyle w:val="FootnoteText1"/>
        <w:spacing w:after="120"/>
        <w:rPr>
          <w:rFonts w:eastAsia="Times New Roman"/>
          <w:color w:val="auto"/>
          <w:lang w:bidi="x-none"/>
        </w:rPr>
      </w:pPr>
      <w:r w:rsidRPr="00E70CE9">
        <w:rPr>
          <w:rStyle w:val="FootnoteReference1"/>
        </w:rPr>
        <w:footnoteRef/>
      </w:r>
      <w:r w:rsidRPr="00E70CE9">
        <w:t xml:space="preserve"> 47 C.F.R. §§ 1.2104(g)(2), 1.2109(c). </w:t>
      </w:r>
    </w:p>
  </w:footnote>
  <w:footnote w:id="19">
    <w:p w:rsidR="00012316" w:rsidRPr="00E70CE9" w:rsidRDefault="00012316">
      <w:pPr>
        <w:pStyle w:val="FootnoteText1"/>
        <w:spacing w:after="120"/>
        <w:rPr>
          <w:rFonts w:eastAsia="Times New Roman"/>
          <w:color w:val="auto"/>
          <w:lang w:bidi="x-none"/>
        </w:rPr>
      </w:pPr>
      <w:r w:rsidRPr="00E70CE9">
        <w:rPr>
          <w:rStyle w:val="FootnoteReference1"/>
        </w:rPr>
        <w:footnoteRef/>
      </w:r>
      <w:r w:rsidRPr="00E70CE9">
        <w:t xml:space="preserve"> </w:t>
      </w:r>
      <w:r w:rsidR="003B7FF9">
        <w:t>47 C.F.R. §</w:t>
      </w:r>
      <w:r w:rsidR="00B20768" w:rsidRPr="00E70CE9">
        <w:t xml:space="preserve"> 1.2104(g)(2)</w:t>
      </w:r>
      <w:r w:rsidR="00B20768">
        <w:t>.</w:t>
      </w:r>
    </w:p>
  </w:footnote>
  <w:footnote w:id="20">
    <w:p w:rsidR="00012316" w:rsidRPr="002521BB" w:rsidRDefault="00012316">
      <w:pPr>
        <w:pStyle w:val="FootnoteText"/>
        <w:spacing w:after="120"/>
      </w:pPr>
      <w:r w:rsidRPr="002521BB">
        <w:rPr>
          <w:rStyle w:val="FootnoteReference"/>
        </w:rPr>
        <w:footnoteRef/>
      </w:r>
      <w:r w:rsidRPr="002521BB">
        <w:t xml:space="preserve"> 47 C.F.R. § 1.2106(e).</w:t>
      </w:r>
    </w:p>
  </w:footnote>
  <w:footnote w:id="21">
    <w:p w:rsidR="00012316" w:rsidRPr="0050636B" w:rsidRDefault="00012316">
      <w:pPr>
        <w:pStyle w:val="FootnoteText1"/>
        <w:spacing w:after="120"/>
      </w:pPr>
      <w:r w:rsidRPr="002521BB">
        <w:rPr>
          <w:rStyle w:val="FootnoteReference1"/>
        </w:rPr>
        <w:footnoteRef/>
      </w:r>
      <w:r w:rsidRPr="002521BB">
        <w:t xml:space="preserve"> </w:t>
      </w:r>
      <w:r w:rsidRPr="0050636B">
        <w:rPr>
          <w:i/>
        </w:rPr>
        <w:t>See</w:t>
      </w:r>
      <w:r w:rsidRPr="00E70CE9">
        <w:t xml:space="preserve"> Mountain Solutions Ltd., Inc., </w:t>
      </w:r>
      <w:r w:rsidRPr="0050636B">
        <w:rPr>
          <w:i/>
        </w:rPr>
        <w:t>Memorandum Opinion and Order</w:t>
      </w:r>
      <w:r w:rsidRPr="00E70CE9">
        <w:t xml:space="preserve">, 13 FCC Rcd 21983, 21997 ¶ 25 (1998). </w:t>
      </w:r>
    </w:p>
  </w:footnote>
  <w:footnote w:id="22">
    <w:p w:rsidR="00451FE4" w:rsidRDefault="00451FE4" w:rsidP="0050636B">
      <w:pPr>
        <w:pStyle w:val="FootnoteText"/>
        <w:spacing w:after="120"/>
        <w:mirrorIndents/>
      </w:pPr>
      <w:r>
        <w:rPr>
          <w:rStyle w:val="FootnoteReference"/>
        </w:rPr>
        <w:footnoteRef/>
      </w:r>
      <w:r>
        <w:t xml:space="preserve"> Pub. L. No. 104-134, 110 Stat. 1321 (1996) (</w:t>
      </w:r>
      <w:r w:rsidRPr="0050636B">
        <w:t>codified in relevant part at</w:t>
      </w:r>
      <w:r>
        <w:t xml:space="preserve"> 31 U.S.C. §§ 3716 (administrative offset) and 3717 (interest and penalty on claims)); </w:t>
      </w:r>
      <w:r>
        <w:rPr>
          <w:i/>
        </w:rPr>
        <w:t>see also</w:t>
      </w:r>
      <w:r>
        <w:t xml:space="preserve"> 47 C.F.R. §§ 1.1901, 1.1911, 1.1912, 1.1940, 1.1941.</w:t>
      </w:r>
    </w:p>
  </w:footnote>
  <w:footnote w:id="23">
    <w:p w:rsidR="00451FE4" w:rsidRDefault="00451FE4" w:rsidP="0050636B">
      <w:pPr>
        <w:pStyle w:val="FootnoteText"/>
        <w:spacing w:after="120"/>
      </w:pPr>
      <w:r>
        <w:rPr>
          <w:rStyle w:val="FootnoteReference"/>
        </w:rPr>
        <w:footnoteRef/>
      </w:r>
      <w:r>
        <w:t xml:space="preserve"> As noted in Attachment B, if the 30th day falls on a non-business day, payment must be received on the next business day.</w:t>
      </w:r>
    </w:p>
  </w:footnote>
  <w:footnote w:id="24">
    <w:p w:rsidR="00451FE4" w:rsidRDefault="00451FE4" w:rsidP="0050636B">
      <w:pPr>
        <w:pStyle w:val="FootnoteText"/>
        <w:spacing w:after="120"/>
      </w:pPr>
      <w:r>
        <w:rPr>
          <w:rStyle w:val="FootnoteReference"/>
        </w:rPr>
        <w:footnoteRef/>
      </w:r>
      <w:r>
        <w:t xml:space="preserve"> 31 U.S.C. § 3717(e)(1); 47 C.F.R. § 1.1940(c).</w:t>
      </w:r>
    </w:p>
  </w:footnote>
  <w:footnote w:id="25">
    <w:p w:rsidR="00451FE4" w:rsidRDefault="00451FE4" w:rsidP="0050636B">
      <w:pPr>
        <w:pStyle w:val="FootnoteText"/>
        <w:spacing w:after="120"/>
      </w:pPr>
      <w:r>
        <w:rPr>
          <w:rStyle w:val="FootnoteReference"/>
        </w:rPr>
        <w:footnoteRef/>
      </w:r>
      <w:r>
        <w:t xml:space="preserve"> 31 U.S.C. § 3717(b); 47 C.F.R. § 1.1940(b).</w:t>
      </w:r>
    </w:p>
  </w:footnote>
  <w:footnote w:id="26">
    <w:p w:rsidR="00451FE4" w:rsidRDefault="00451FE4" w:rsidP="0050636B">
      <w:pPr>
        <w:pStyle w:val="FootnoteText"/>
        <w:spacing w:after="120"/>
      </w:pPr>
      <w:r>
        <w:rPr>
          <w:rStyle w:val="FootnoteReference"/>
        </w:rPr>
        <w:footnoteRef/>
      </w:r>
      <w:r>
        <w:t xml:space="preserve"> 31 U.S.C. § 3717(e)</w:t>
      </w:r>
      <w:r w:rsidR="00B20768">
        <w:t>(2)</w:t>
      </w:r>
      <w:r>
        <w:t>; 47 C.F.R. § 1.1940(d).</w:t>
      </w:r>
    </w:p>
  </w:footnote>
  <w:footnote w:id="27">
    <w:p w:rsidR="00451FE4" w:rsidRDefault="00451FE4" w:rsidP="0050636B">
      <w:pPr>
        <w:pStyle w:val="FootnoteText"/>
        <w:spacing w:after="120"/>
      </w:pPr>
      <w:r>
        <w:rPr>
          <w:rStyle w:val="FootnoteReference"/>
        </w:rPr>
        <w:footnoteRef/>
      </w:r>
      <w:r>
        <w:t xml:space="preserve"> 47 C.F.R. § 1.1940(b).</w:t>
      </w:r>
    </w:p>
  </w:footnote>
  <w:footnote w:id="28">
    <w:p w:rsidR="00451FE4" w:rsidRDefault="00451FE4" w:rsidP="0050636B">
      <w:pPr>
        <w:pStyle w:val="FootnoteText"/>
        <w:spacing w:after="120"/>
      </w:pPr>
      <w:r>
        <w:rPr>
          <w:rStyle w:val="FootnoteReference"/>
        </w:rPr>
        <w:footnoteRef/>
      </w:r>
      <w:r>
        <w:t xml:space="preserve"> 31 U.S.C. § 3717(d); 47 C.F.R. § 1.1940(g).</w:t>
      </w:r>
    </w:p>
  </w:footnote>
  <w:footnote w:id="29">
    <w:p w:rsidR="00451FE4" w:rsidRDefault="00451FE4" w:rsidP="0050636B">
      <w:pPr>
        <w:pStyle w:val="FootnoteText"/>
        <w:spacing w:after="120"/>
      </w:pPr>
      <w:r>
        <w:rPr>
          <w:rStyle w:val="FootnoteReference"/>
        </w:rPr>
        <w:footnoteRef/>
      </w:r>
      <w:r>
        <w:t xml:space="preserve"> 31 U.S.C. § 3717(e)(2); 47 C.F.R. § 1.1940(d).</w:t>
      </w:r>
    </w:p>
  </w:footnote>
  <w:footnote w:id="30">
    <w:p w:rsidR="00451FE4" w:rsidRDefault="00451FE4" w:rsidP="0050636B">
      <w:pPr>
        <w:pStyle w:val="FootnoteText"/>
        <w:spacing w:after="120"/>
      </w:pPr>
      <w:r>
        <w:rPr>
          <w:rStyle w:val="FootnoteReference"/>
        </w:rPr>
        <w:footnoteRef/>
      </w:r>
      <w:r w:rsidR="0097138E">
        <w:t xml:space="preserve"> </w:t>
      </w:r>
      <w:r>
        <w:t>47 C.F.R. § 1.1912.  Under this provision the Commission may refer the debt to the United States Treasury for centralized administrative offset whereby, subject to certain exceptions, money otherwise payable to the debtor by the United States government may be used to satisfy the debt.  In addition, “unless otherwise prohibited by law,” the Commission may conduct non-centralized, ad hoc case-by-case offsets when centralized offset is unavailable or inappropriate.  47 C.F.R. § 1.1912(c).</w:t>
      </w:r>
    </w:p>
  </w:footnote>
  <w:footnote w:id="31">
    <w:p w:rsidR="00451FE4" w:rsidRDefault="00451FE4" w:rsidP="0050636B">
      <w:pPr>
        <w:pStyle w:val="FootnoteText"/>
        <w:spacing w:after="120"/>
      </w:pPr>
      <w:r>
        <w:rPr>
          <w:rStyle w:val="FootnoteReference"/>
        </w:rPr>
        <w:footnoteRef/>
      </w:r>
      <w:r>
        <w:t xml:space="preserve"> 31 U.S.C. §§ </w:t>
      </w:r>
      <w:r w:rsidR="00B20768">
        <w:t>3711(g), 3716; 28 U.S.C. § 3001</w:t>
      </w:r>
      <w:r>
        <w:t xml:space="preserve"> </w:t>
      </w:r>
      <w:r>
        <w:rPr>
          <w:i/>
        </w:rPr>
        <w:t>et seq</w:t>
      </w:r>
      <w:r>
        <w:t>.; 47 C.F.R. § 1.1912.  Transfer may be made without further notice at any time after the Due Date.</w:t>
      </w:r>
    </w:p>
  </w:footnote>
  <w:footnote w:id="32">
    <w:p w:rsidR="00451FE4" w:rsidRDefault="00451FE4" w:rsidP="0050636B">
      <w:pPr>
        <w:pStyle w:val="FootnoteText"/>
        <w:spacing w:after="120"/>
      </w:pPr>
      <w:r>
        <w:rPr>
          <w:rStyle w:val="FootnoteReference"/>
        </w:rPr>
        <w:footnoteRef/>
      </w:r>
      <w:r>
        <w:t xml:space="preserve"> 31 U.S.C. § 3717(e); 31 C.F.R. § 285.12(j).</w:t>
      </w:r>
    </w:p>
  </w:footnote>
  <w:footnote w:id="33">
    <w:p w:rsidR="00451FE4" w:rsidRDefault="00451FE4" w:rsidP="0050636B">
      <w:pPr>
        <w:pStyle w:val="FootnoteText"/>
        <w:spacing w:after="120"/>
      </w:pPr>
      <w:r>
        <w:rPr>
          <w:rStyle w:val="FootnoteReference"/>
        </w:rPr>
        <w:footnoteRef/>
      </w:r>
      <w:r>
        <w:t xml:space="preserve"> </w:t>
      </w:r>
      <w:r w:rsidRPr="005C6EEE">
        <w:t>31 U.S.C. § 3716;</w:t>
      </w:r>
      <w:r>
        <w:t xml:space="preserve"> 47 C.F.R. § 1.1912(b) (mandatory centralized administrative offset).</w:t>
      </w:r>
    </w:p>
  </w:footnote>
  <w:footnote w:id="34">
    <w:p w:rsidR="00451FE4" w:rsidRDefault="00451FE4" w:rsidP="0050636B">
      <w:pPr>
        <w:pStyle w:val="FootnoteText"/>
        <w:spacing w:after="120"/>
      </w:pPr>
      <w:r>
        <w:rPr>
          <w:rStyle w:val="FootnoteReference"/>
        </w:rPr>
        <w:footnoteRef/>
      </w:r>
      <w:r>
        <w:t xml:space="preserve"> 28 U.S.C. § 3011.</w:t>
      </w:r>
    </w:p>
    <w:p w:rsidR="00451FE4" w:rsidRDefault="00451FE4" w:rsidP="00451FE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202C6B">
    <w:pPr>
      <w:pStyle w:val="Header1"/>
      <w:rPr>
        <w:sz w:val="22"/>
        <w:szCs w:val="22"/>
      </w:rPr>
    </w:pPr>
    <w:r>
      <w:rPr>
        <w:sz w:val="22"/>
        <w:szCs w:val="22"/>
      </w:rPr>
      <w:t>Efrain O. Saille</w:t>
    </w:r>
    <w:r w:rsidR="00012316">
      <w:rPr>
        <w:sz w:val="22"/>
        <w:szCs w:val="22"/>
      </w:rPr>
      <w:t xml:space="preserve">                                                                                       </w:t>
    </w:r>
    <w:r w:rsidR="001537C6">
      <w:rPr>
        <w:sz w:val="22"/>
        <w:szCs w:val="22"/>
      </w:rPr>
      <w:t xml:space="preserve">                                     </w:t>
    </w:r>
    <w:r w:rsidR="00012316" w:rsidRPr="00CE5C14">
      <w:rPr>
        <w:color w:val="auto"/>
        <w:sz w:val="22"/>
        <w:szCs w:val="22"/>
      </w:rPr>
      <w:t xml:space="preserve">DA </w:t>
    </w:r>
    <w:r w:rsidRPr="00CE5C14">
      <w:rPr>
        <w:color w:val="auto"/>
        <w:sz w:val="22"/>
        <w:szCs w:val="22"/>
      </w:rPr>
      <w:t>1</w:t>
    </w:r>
    <w:r w:rsidR="00FD5AF7" w:rsidRPr="00CE5C14">
      <w:rPr>
        <w:color w:val="auto"/>
        <w:sz w:val="22"/>
        <w:szCs w:val="22"/>
      </w:rPr>
      <w:t>5</w:t>
    </w:r>
    <w:r w:rsidR="00012316" w:rsidRPr="00CE5C14">
      <w:rPr>
        <w:color w:val="auto"/>
        <w:sz w:val="22"/>
        <w:szCs w:val="22"/>
      </w:rPr>
      <w:t>-</w:t>
    </w:r>
    <w:r w:rsidR="008A2559" w:rsidRPr="00CE5C14">
      <w:rPr>
        <w:color w:val="auto"/>
        <w:sz w:val="22"/>
        <w:szCs w:val="22"/>
      </w:rPr>
      <w:t>124</w:t>
    </w:r>
  </w:p>
  <w:p w:rsidR="00012316" w:rsidRPr="00710D53" w:rsidRDefault="00FD5AF7">
    <w:pPr>
      <w:pStyle w:val="Header1"/>
      <w:rPr>
        <w:sz w:val="22"/>
        <w:szCs w:val="22"/>
      </w:rPr>
    </w:pPr>
    <w:r>
      <w:rPr>
        <w:sz w:val="22"/>
        <w:szCs w:val="22"/>
      </w:rPr>
      <w:t>January</w:t>
    </w:r>
    <w:r w:rsidR="002521BB">
      <w:rPr>
        <w:sz w:val="22"/>
        <w:szCs w:val="22"/>
      </w:rPr>
      <w:t xml:space="preserve"> </w:t>
    </w:r>
    <w:r w:rsidR="004B1A3F">
      <w:rPr>
        <w:sz w:val="22"/>
        <w:szCs w:val="22"/>
      </w:rPr>
      <w:t>2</w:t>
    </w:r>
    <w:r w:rsidR="00445592">
      <w:rPr>
        <w:sz w:val="22"/>
        <w:szCs w:val="22"/>
      </w:rPr>
      <w:t>9</w:t>
    </w:r>
    <w:r w:rsidR="00202C6B">
      <w:rPr>
        <w:sz w:val="22"/>
        <w:szCs w:val="22"/>
      </w:rPr>
      <w:t>, 201</w:t>
    </w:r>
    <w:r>
      <w:rPr>
        <w:sz w:val="22"/>
        <w:szCs w:val="22"/>
      </w:rPr>
      <w:t>5</w:t>
    </w:r>
  </w:p>
  <w:p w:rsidR="00012316" w:rsidRDefault="00012316">
    <w:pPr>
      <w:pStyle w:val="Header1"/>
      <w:rPr>
        <w:rStyle w:val="PageNumber1"/>
        <w:sz w:val="22"/>
        <w:szCs w:val="22"/>
      </w:rPr>
    </w:pPr>
    <w:r>
      <w:rPr>
        <w:rStyle w:val="PageNumber1"/>
        <w:sz w:val="22"/>
        <w:szCs w:val="22"/>
        <w:lang w:val="fr-FR"/>
      </w:rPr>
      <w:t xml:space="preserve">Page </w:t>
    </w:r>
    <w:r>
      <w:rPr>
        <w:rStyle w:val="PageNumber1"/>
        <w:sz w:val="22"/>
        <w:szCs w:val="22"/>
      </w:rPr>
      <w:fldChar w:fldCharType="begin"/>
    </w:r>
    <w:r>
      <w:rPr>
        <w:rStyle w:val="PageNumber1"/>
        <w:sz w:val="22"/>
        <w:szCs w:val="22"/>
      </w:rPr>
      <w:instrText xml:space="preserve"> PAGE </w:instrText>
    </w:r>
    <w:r>
      <w:rPr>
        <w:rStyle w:val="PageNumber1"/>
        <w:sz w:val="22"/>
        <w:szCs w:val="22"/>
      </w:rPr>
      <w:fldChar w:fldCharType="separate"/>
    </w:r>
    <w:r w:rsidR="00710D53">
      <w:rPr>
        <w:rStyle w:val="PageNumber1"/>
        <w:noProof/>
        <w:sz w:val="22"/>
        <w:szCs w:val="22"/>
      </w:rPr>
      <w:t>6</w:t>
    </w:r>
    <w:r>
      <w:rPr>
        <w:rStyle w:val="PageNumber1"/>
        <w:sz w:val="22"/>
        <w:szCs w:val="22"/>
      </w:rPr>
      <w:fldChar w:fldCharType="end"/>
    </w:r>
  </w:p>
  <w:p w:rsidR="00A84266" w:rsidRDefault="00A84266">
    <w:pPr>
      <w:pStyle w:val="Header1"/>
      <w:rPr>
        <w:rStyle w:val="PageNumber1"/>
        <w:sz w:val="22"/>
        <w:szCs w:val="22"/>
      </w:rPr>
    </w:pPr>
  </w:p>
  <w:p w:rsidR="00A84266" w:rsidRDefault="00A84266">
    <w:pPr>
      <w:pStyle w:val="Header1"/>
      <w:rPr>
        <w:rFonts w:eastAsia="Times New Roman"/>
        <w:color w:val="auto"/>
        <w:sz w:val="22"/>
        <w:szCs w:val="22"/>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202C6B">
    <w:pPr>
      <w:pStyle w:val="Header1"/>
      <w:rPr>
        <w:sz w:val="22"/>
        <w:szCs w:val="22"/>
      </w:rPr>
    </w:pPr>
    <w:r>
      <w:rPr>
        <w:sz w:val="22"/>
        <w:szCs w:val="22"/>
      </w:rPr>
      <w:t>Efrain O. Saille</w:t>
    </w:r>
    <w:r w:rsidR="00012316">
      <w:rPr>
        <w:sz w:val="22"/>
        <w:szCs w:val="22"/>
      </w:rPr>
      <w:t xml:space="preserve">                                                                                   </w:t>
    </w:r>
    <w:r w:rsidR="001537C6">
      <w:rPr>
        <w:sz w:val="22"/>
        <w:szCs w:val="22"/>
      </w:rPr>
      <w:t xml:space="preserve">                                       </w:t>
    </w:r>
    <w:r w:rsidR="00012316">
      <w:rPr>
        <w:sz w:val="22"/>
        <w:szCs w:val="22"/>
      </w:rPr>
      <w:t xml:space="preserve"> </w:t>
    </w:r>
    <w:r w:rsidR="00012316" w:rsidRPr="00CE5C14">
      <w:rPr>
        <w:color w:val="auto"/>
        <w:sz w:val="22"/>
        <w:szCs w:val="22"/>
      </w:rPr>
      <w:t xml:space="preserve">DA </w:t>
    </w:r>
    <w:r w:rsidRPr="00CE5C14">
      <w:rPr>
        <w:color w:val="auto"/>
        <w:sz w:val="22"/>
        <w:szCs w:val="22"/>
      </w:rPr>
      <w:t>1</w:t>
    </w:r>
    <w:r w:rsidR="00FD5AF7" w:rsidRPr="00CE5C14">
      <w:rPr>
        <w:color w:val="auto"/>
        <w:sz w:val="22"/>
        <w:szCs w:val="22"/>
      </w:rPr>
      <w:t>5</w:t>
    </w:r>
    <w:r w:rsidR="00012316" w:rsidRPr="00CE5C14">
      <w:rPr>
        <w:color w:val="auto"/>
        <w:sz w:val="22"/>
        <w:szCs w:val="22"/>
      </w:rPr>
      <w:t>-</w:t>
    </w:r>
    <w:r w:rsidR="008A2559" w:rsidRPr="00CE5C14">
      <w:rPr>
        <w:color w:val="auto"/>
        <w:sz w:val="22"/>
        <w:szCs w:val="22"/>
      </w:rPr>
      <w:t>124</w:t>
    </w:r>
  </w:p>
  <w:p w:rsidR="00012316" w:rsidRPr="00710D53" w:rsidRDefault="00FD5AF7">
    <w:pPr>
      <w:pStyle w:val="Header1"/>
      <w:rPr>
        <w:sz w:val="22"/>
        <w:szCs w:val="22"/>
      </w:rPr>
    </w:pPr>
    <w:r>
      <w:rPr>
        <w:sz w:val="22"/>
        <w:szCs w:val="22"/>
      </w:rPr>
      <w:t>January</w:t>
    </w:r>
    <w:r w:rsidR="00B20768">
      <w:rPr>
        <w:sz w:val="22"/>
        <w:szCs w:val="22"/>
      </w:rPr>
      <w:t xml:space="preserve"> </w:t>
    </w:r>
    <w:r w:rsidR="004B1A3F">
      <w:rPr>
        <w:sz w:val="22"/>
        <w:szCs w:val="22"/>
      </w:rPr>
      <w:t>2</w:t>
    </w:r>
    <w:r w:rsidR="00445592">
      <w:rPr>
        <w:sz w:val="22"/>
        <w:szCs w:val="22"/>
      </w:rPr>
      <w:t>9</w:t>
    </w:r>
    <w:r w:rsidR="00202C6B">
      <w:rPr>
        <w:sz w:val="22"/>
        <w:szCs w:val="22"/>
      </w:rPr>
      <w:t>, 201</w:t>
    </w:r>
    <w:r>
      <w:rPr>
        <w:sz w:val="22"/>
        <w:szCs w:val="22"/>
      </w:rPr>
      <w:t>5</w:t>
    </w:r>
  </w:p>
  <w:p w:rsidR="00012316" w:rsidRDefault="00012316">
    <w:pPr>
      <w:pStyle w:val="Header1"/>
      <w:rPr>
        <w:rStyle w:val="PageNumber1"/>
        <w:sz w:val="22"/>
        <w:szCs w:val="22"/>
      </w:rPr>
    </w:pPr>
    <w:r>
      <w:rPr>
        <w:rStyle w:val="PageNumber1"/>
        <w:sz w:val="22"/>
        <w:szCs w:val="22"/>
        <w:lang w:val="fr-FR"/>
      </w:rPr>
      <w:t xml:space="preserve">Page </w:t>
    </w:r>
    <w:r>
      <w:rPr>
        <w:rStyle w:val="PageNumber1"/>
        <w:sz w:val="22"/>
        <w:szCs w:val="22"/>
      </w:rPr>
      <w:fldChar w:fldCharType="begin"/>
    </w:r>
    <w:r>
      <w:rPr>
        <w:rStyle w:val="PageNumber1"/>
        <w:sz w:val="22"/>
        <w:szCs w:val="22"/>
      </w:rPr>
      <w:instrText xml:space="preserve"> PAGE </w:instrText>
    </w:r>
    <w:r>
      <w:rPr>
        <w:rStyle w:val="PageNumber1"/>
        <w:sz w:val="22"/>
        <w:szCs w:val="22"/>
      </w:rPr>
      <w:fldChar w:fldCharType="separate"/>
    </w:r>
    <w:r w:rsidR="00710D53">
      <w:rPr>
        <w:rStyle w:val="PageNumber1"/>
        <w:noProof/>
        <w:sz w:val="22"/>
        <w:szCs w:val="22"/>
      </w:rPr>
      <w:t>7</w:t>
    </w:r>
    <w:r>
      <w:rPr>
        <w:rStyle w:val="PageNumber1"/>
        <w:sz w:val="22"/>
        <w:szCs w:val="22"/>
      </w:rPr>
      <w:fldChar w:fldCharType="end"/>
    </w:r>
  </w:p>
  <w:p w:rsidR="00A84266" w:rsidRDefault="00A84266">
    <w:pPr>
      <w:pStyle w:val="Header1"/>
      <w:rPr>
        <w:rStyle w:val="PageNumber1"/>
        <w:sz w:val="22"/>
        <w:szCs w:val="22"/>
      </w:rPr>
    </w:pPr>
  </w:p>
  <w:p w:rsidR="00A84266" w:rsidRDefault="00A84266">
    <w:pPr>
      <w:pStyle w:val="Header1"/>
      <w:rPr>
        <w:rFonts w:eastAsia="Times New Roman"/>
        <w:color w:val="auto"/>
        <w:sz w:val="22"/>
        <w:szCs w:val="22"/>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012316">
    <w:pPr>
      <w:pStyle w:val="Header1"/>
      <w:tabs>
        <w:tab w:val="clear" w:pos="4320"/>
        <w:tab w:val="clear" w:pos="8640"/>
      </w:tabs>
      <w:spacing w:before="360" w:line="228" w:lineRule="auto"/>
      <w:jc w:val="center"/>
      <w:rPr>
        <w:sz w:val="28"/>
      </w:rPr>
    </w:pPr>
    <w:r>
      <w:rPr>
        <w:sz w:val="28"/>
      </w:rPr>
      <w:t>Federal Communications Commission</w:t>
    </w:r>
  </w:p>
  <w:p w:rsidR="00012316" w:rsidRDefault="00012316">
    <w:pPr>
      <w:jc w:val="center"/>
      <w:rPr>
        <w:sz w:val="28"/>
      </w:rPr>
    </w:pPr>
    <w:r>
      <w:rPr>
        <w:sz w:val="28"/>
      </w:rPr>
      <w:t>Washington, D.C. 20554</w:t>
    </w:r>
  </w:p>
  <w:p w:rsidR="00012316" w:rsidRDefault="00012316">
    <w:pPr>
      <w:pStyle w:val="Header1"/>
      <w:tabs>
        <w:tab w:val="clear" w:pos="4320"/>
      </w:tabs>
      <w:jc w:val="center"/>
      <w:rPr>
        <w:sz w:val="22"/>
      </w:rPr>
    </w:pPr>
  </w:p>
  <w:p w:rsidR="00012316" w:rsidRDefault="00012316">
    <w:pPr>
      <w:pStyle w:val="Header1"/>
      <w:tabs>
        <w:tab w:val="clear" w:pos="4320"/>
      </w:tabs>
      <w:jc w:val="center"/>
      <w:rPr>
        <w:sz w:val="22"/>
      </w:rPr>
    </w:pPr>
  </w:p>
  <w:p w:rsidR="00012316" w:rsidRDefault="00FD5AF7">
    <w:pPr>
      <w:pStyle w:val="Header1"/>
      <w:tabs>
        <w:tab w:val="clear" w:pos="4320"/>
      </w:tabs>
      <w:jc w:val="center"/>
      <w:rPr>
        <w:sz w:val="22"/>
      </w:rPr>
    </w:pPr>
    <w:r>
      <w:rPr>
        <w:sz w:val="22"/>
      </w:rPr>
      <w:t>January</w:t>
    </w:r>
    <w:r w:rsidR="003D16EA">
      <w:rPr>
        <w:sz w:val="22"/>
      </w:rPr>
      <w:t xml:space="preserve"> </w:t>
    </w:r>
    <w:r w:rsidR="00445592">
      <w:rPr>
        <w:sz w:val="22"/>
      </w:rPr>
      <w:t>29</w:t>
    </w:r>
    <w:r w:rsidR="009439DA">
      <w:rPr>
        <w:sz w:val="22"/>
      </w:rPr>
      <w:t>,</w:t>
    </w:r>
    <w:r w:rsidR="00012316">
      <w:rPr>
        <w:sz w:val="22"/>
      </w:rPr>
      <w:t xml:space="preserve"> 201</w:t>
    </w:r>
    <w:r>
      <w:rPr>
        <w:sz w:val="22"/>
      </w:rPr>
      <w:t>5</w:t>
    </w:r>
  </w:p>
  <w:p w:rsidR="00012316" w:rsidRDefault="00F1667F">
    <w:pPr>
      <w:pStyle w:val="Header1"/>
      <w:tabs>
        <w:tab w:val="clear" w:pos="4320"/>
      </w:tabs>
      <w:jc w:val="right"/>
      <w:rPr>
        <w:rFonts w:eastAsia="Times New Roman"/>
        <w:color w:val="auto"/>
        <w:lang w:bidi="x-none"/>
      </w:rPr>
    </w:pPr>
    <w:r>
      <w:rPr>
        <w:noProof/>
      </w:rPr>
      <w:pict>
        <v:group id="_x0000_s2049" style="position:absolute;left:0;text-align:left;margin-left:58.05pt;margin-top:36.2pt;width:64.8pt;height:64.8pt;z-index:-251657216;mso-position-horizontal-relative:page;mso-position-vertical-relative:page" coordsize="1296,1296">
          <v:rect id="_x0000_s2050" style="position:absolute;width:1296;height:1296" coordsize="21600,21600" filled="f" fillcolor="#3cc" stroked="f">
            <v:fill o:detectmouseclick="t"/>
            <v:stroke joinstyle="round"/>
            <v:path arrowok="t" o:connectlocs="10800,10800"/>
            <v:textbox style="mso-next-textbox:#_x0000_s2050" inset="0,0,0,0">
              <w:txbxContent>
                <w:p w:rsidR="00012316" w:rsidRDefault="00012316">
                  <w:pPr>
                    <w:pStyle w:val="FreeForm"/>
                    <w:rPr>
                      <w:rFonts w:eastAsia="Times New Roman"/>
                      <w:color w:val="auto"/>
                      <w:lang w:bidi="x-none"/>
                    </w:rPr>
                  </w:pPr>
                </w:p>
              </w:txbxContent>
            </v:textbox>
          </v:rect>
          <v:shape id="_x0000_s2051" style="position:absolute;width:1296;height:1296" coordsize="21600,21600" o:spt="100" adj="0,,0" path="">
            <v:stroke joinstyle="round"/>
            <v:imagedata r:id="rId1" o:title="" gain="66873f" blacklevel="163f"/>
            <v:formulas/>
            <v:path o:connecttype="segments"/>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B8E"/>
    <w:rsid w:val="00000273"/>
    <w:rsid w:val="00007BB6"/>
    <w:rsid w:val="00012316"/>
    <w:rsid w:val="000409CF"/>
    <w:rsid w:val="00073DBD"/>
    <w:rsid w:val="00074BC3"/>
    <w:rsid w:val="00081A23"/>
    <w:rsid w:val="00083145"/>
    <w:rsid w:val="00091EB0"/>
    <w:rsid w:val="000A0713"/>
    <w:rsid w:val="000B32B4"/>
    <w:rsid w:val="000B35D5"/>
    <w:rsid w:val="000B3742"/>
    <w:rsid w:val="000B7DE5"/>
    <w:rsid w:val="000C7B8E"/>
    <w:rsid w:val="000D7129"/>
    <w:rsid w:val="00132C49"/>
    <w:rsid w:val="00134CA9"/>
    <w:rsid w:val="00137964"/>
    <w:rsid w:val="001519CC"/>
    <w:rsid w:val="001525F3"/>
    <w:rsid w:val="001537C6"/>
    <w:rsid w:val="00175E64"/>
    <w:rsid w:val="00177715"/>
    <w:rsid w:val="00177DE2"/>
    <w:rsid w:val="001935F3"/>
    <w:rsid w:val="001A545E"/>
    <w:rsid w:val="001A5F23"/>
    <w:rsid w:val="001A7E68"/>
    <w:rsid w:val="001C0245"/>
    <w:rsid w:val="001C60ED"/>
    <w:rsid w:val="001D1691"/>
    <w:rsid w:val="001F15A6"/>
    <w:rsid w:val="001F7E17"/>
    <w:rsid w:val="00202C6B"/>
    <w:rsid w:val="00214B9E"/>
    <w:rsid w:val="00227962"/>
    <w:rsid w:val="002521BB"/>
    <w:rsid w:val="0025403C"/>
    <w:rsid w:val="00256B1F"/>
    <w:rsid w:val="0026660F"/>
    <w:rsid w:val="00271E0F"/>
    <w:rsid w:val="00274355"/>
    <w:rsid w:val="00277145"/>
    <w:rsid w:val="00296798"/>
    <w:rsid w:val="002B364D"/>
    <w:rsid w:val="002C557E"/>
    <w:rsid w:val="00310E3F"/>
    <w:rsid w:val="00313EC2"/>
    <w:rsid w:val="003307A5"/>
    <w:rsid w:val="003445D6"/>
    <w:rsid w:val="00372201"/>
    <w:rsid w:val="00382B04"/>
    <w:rsid w:val="003A4C8C"/>
    <w:rsid w:val="003A5896"/>
    <w:rsid w:val="003B18A9"/>
    <w:rsid w:val="003B6C47"/>
    <w:rsid w:val="003B7FF9"/>
    <w:rsid w:val="003D16EA"/>
    <w:rsid w:val="003F32A1"/>
    <w:rsid w:val="003F5B05"/>
    <w:rsid w:val="00420FA7"/>
    <w:rsid w:val="00422D9A"/>
    <w:rsid w:val="00445592"/>
    <w:rsid w:val="00445826"/>
    <w:rsid w:val="00446EB9"/>
    <w:rsid w:val="00451FE4"/>
    <w:rsid w:val="00452E3D"/>
    <w:rsid w:val="00464A49"/>
    <w:rsid w:val="004703EC"/>
    <w:rsid w:val="00477A91"/>
    <w:rsid w:val="00485826"/>
    <w:rsid w:val="00495A6A"/>
    <w:rsid w:val="0049796D"/>
    <w:rsid w:val="004A3DFA"/>
    <w:rsid w:val="004B1A3F"/>
    <w:rsid w:val="004C70E8"/>
    <w:rsid w:val="004E1807"/>
    <w:rsid w:val="004E5E6C"/>
    <w:rsid w:val="004F0CC4"/>
    <w:rsid w:val="00503398"/>
    <w:rsid w:val="0050636B"/>
    <w:rsid w:val="005165AE"/>
    <w:rsid w:val="00521737"/>
    <w:rsid w:val="0054569A"/>
    <w:rsid w:val="005532D7"/>
    <w:rsid w:val="00553533"/>
    <w:rsid w:val="00566901"/>
    <w:rsid w:val="00567251"/>
    <w:rsid w:val="005810DE"/>
    <w:rsid w:val="00596384"/>
    <w:rsid w:val="005A3EC4"/>
    <w:rsid w:val="005A5565"/>
    <w:rsid w:val="005A59C4"/>
    <w:rsid w:val="006001A4"/>
    <w:rsid w:val="006031D1"/>
    <w:rsid w:val="00610CE8"/>
    <w:rsid w:val="00623A30"/>
    <w:rsid w:val="00633257"/>
    <w:rsid w:val="00637136"/>
    <w:rsid w:val="0064293A"/>
    <w:rsid w:val="00653EB1"/>
    <w:rsid w:val="00656B7F"/>
    <w:rsid w:val="00670F85"/>
    <w:rsid w:val="0069040F"/>
    <w:rsid w:val="00696612"/>
    <w:rsid w:val="006A7751"/>
    <w:rsid w:val="006C2524"/>
    <w:rsid w:val="006D3D37"/>
    <w:rsid w:val="006F305A"/>
    <w:rsid w:val="00707169"/>
    <w:rsid w:val="00710D53"/>
    <w:rsid w:val="007134F1"/>
    <w:rsid w:val="0072147B"/>
    <w:rsid w:val="00726FA9"/>
    <w:rsid w:val="00735E67"/>
    <w:rsid w:val="00741658"/>
    <w:rsid w:val="0074235B"/>
    <w:rsid w:val="00742DCE"/>
    <w:rsid w:val="007723A7"/>
    <w:rsid w:val="00773986"/>
    <w:rsid w:val="007B74E9"/>
    <w:rsid w:val="007C2B60"/>
    <w:rsid w:val="007E2C0D"/>
    <w:rsid w:val="00803710"/>
    <w:rsid w:val="00804AD1"/>
    <w:rsid w:val="00813FB9"/>
    <w:rsid w:val="00816620"/>
    <w:rsid w:val="00824BE7"/>
    <w:rsid w:val="008415E0"/>
    <w:rsid w:val="008459B2"/>
    <w:rsid w:val="00893F95"/>
    <w:rsid w:val="008A2559"/>
    <w:rsid w:val="008A493E"/>
    <w:rsid w:val="008A6B36"/>
    <w:rsid w:val="008B077A"/>
    <w:rsid w:val="008B3EF2"/>
    <w:rsid w:val="008C25D1"/>
    <w:rsid w:val="008D06D6"/>
    <w:rsid w:val="008D1EE9"/>
    <w:rsid w:val="008D21DD"/>
    <w:rsid w:val="008E26A6"/>
    <w:rsid w:val="008E4F20"/>
    <w:rsid w:val="008E7FB3"/>
    <w:rsid w:val="008F3556"/>
    <w:rsid w:val="008F6452"/>
    <w:rsid w:val="008F7E42"/>
    <w:rsid w:val="00905A93"/>
    <w:rsid w:val="00912AD4"/>
    <w:rsid w:val="00912E81"/>
    <w:rsid w:val="0091365A"/>
    <w:rsid w:val="009140D9"/>
    <w:rsid w:val="00914898"/>
    <w:rsid w:val="00916EE4"/>
    <w:rsid w:val="0092280E"/>
    <w:rsid w:val="00927EF4"/>
    <w:rsid w:val="00941913"/>
    <w:rsid w:val="009439DA"/>
    <w:rsid w:val="00956FDE"/>
    <w:rsid w:val="00962815"/>
    <w:rsid w:val="0097138E"/>
    <w:rsid w:val="00971EF9"/>
    <w:rsid w:val="009738B0"/>
    <w:rsid w:val="00992246"/>
    <w:rsid w:val="009950FE"/>
    <w:rsid w:val="009B367A"/>
    <w:rsid w:val="009D0AF5"/>
    <w:rsid w:val="009F6BFD"/>
    <w:rsid w:val="00A0242F"/>
    <w:rsid w:val="00A07EAE"/>
    <w:rsid w:val="00A1081D"/>
    <w:rsid w:val="00A10A61"/>
    <w:rsid w:val="00A12718"/>
    <w:rsid w:val="00A45E52"/>
    <w:rsid w:val="00A573E6"/>
    <w:rsid w:val="00A62BA5"/>
    <w:rsid w:val="00A71030"/>
    <w:rsid w:val="00A84266"/>
    <w:rsid w:val="00A901A8"/>
    <w:rsid w:val="00AC1435"/>
    <w:rsid w:val="00AE2DFD"/>
    <w:rsid w:val="00AE31DA"/>
    <w:rsid w:val="00B06875"/>
    <w:rsid w:val="00B151AB"/>
    <w:rsid w:val="00B15970"/>
    <w:rsid w:val="00B20768"/>
    <w:rsid w:val="00B23CDE"/>
    <w:rsid w:val="00B32EAC"/>
    <w:rsid w:val="00B7248B"/>
    <w:rsid w:val="00B77165"/>
    <w:rsid w:val="00BB2DA7"/>
    <w:rsid w:val="00BC22E4"/>
    <w:rsid w:val="00BE77BC"/>
    <w:rsid w:val="00C45BA0"/>
    <w:rsid w:val="00C635A6"/>
    <w:rsid w:val="00CA1A2A"/>
    <w:rsid w:val="00CA60EB"/>
    <w:rsid w:val="00CC15AB"/>
    <w:rsid w:val="00CC3F24"/>
    <w:rsid w:val="00CD050B"/>
    <w:rsid w:val="00CE43FB"/>
    <w:rsid w:val="00CE59BB"/>
    <w:rsid w:val="00CE5C14"/>
    <w:rsid w:val="00CF1D4B"/>
    <w:rsid w:val="00CF7029"/>
    <w:rsid w:val="00D070B6"/>
    <w:rsid w:val="00D11CE4"/>
    <w:rsid w:val="00D140E8"/>
    <w:rsid w:val="00D1433F"/>
    <w:rsid w:val="00D3119D"/>
    <w:rsid w:val="00D345CA"/>
    <w:rsid w:val="00D3698F"/>
    <w:rsid w:val="00D37EB6"/>
    <w:rsid w:val="00D625E8"/>
    <w:rsid w:val="00D637DA"/>
    <w:rsid w:val="00D6769E"/>
    <w:rsid w:val="00D7787D"/>
    <w:rsid w:val="00DA76E4"/>
    <w:rsid w:val="00DB2DD3"/>
    <w:rsid w:val="00DB51BF"/>
    <w:rsid w:val="00DC4DBB"/>
    <w:rsid w:val="00E14014"/>
    <w:rsid w:val="00E52266"/>
    <w:rsid w:val="00E566FE"/>
    <w:rsid w:val="00E70CE9"/>
    <w:rsid w:val="00E840A0"/>
    <w:rsid w:val="00E87F49"/>
    <w:rsid w:val="00E92C1A"/>
    <w:rsid w:val="00E95D05"/>
    <w:rsid w:val="00EA16DB"/>
    <w:rsid w:val="00EA21FF"/>
    <w:rsid w:val="00EB5345"/>
    <w:rsid w:val="00EB7762"/>
    <w:rsid w:val="00ED23CA"/>
    <w:rsid w:val="00EE453C"/>
    <w:rsid w:val="00EE4F3B"/>
    <w:rsid w:val="00F14D14"/>
    <w:rsid w:val="00F1667F"/>
    <w:rsid w:val="00F418AB"/>
    <w:rsid w:val="00F648C1"/>
    <w:rsid w:val="00F7025C"/>
    <w:rsid w:val="00F75EB3"/>
    <w:rsid w:val="00F85315"/>
    <w:rsid w:val="00F8555E"/>
    <w:rsid w:val="00FC4FE8"/>
    <w:rsid w:val="00FD44E8"/>
    <w:rsid w:val="00FD5AF7"/>
    <w:rsid w:val="00FE621F"/>
    <w:rsid w:val="00FF1C59"/>
    <w:rsid w:val="00FF344A"/>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paragraph" w:styleId="Heading2">
    <w:name w:val="heading 2"/>
    <w:basedOn w:val="Normal"/>
    <w:next w:val="Normal"/>
    <w:link w:val="Heading2Char"/>
    <w:qFormat/>
    <w:locked/>
    <w:rsid w:val="00E70CE9"/>
    <w:pPr>
      <w:keepNext/>
      <w:widowControl w:val="0"/>
      <w:jc w:val="center"/>
      <w:outlineLvl w:val="1"/>
    </w:pPr>
    <w:rPr>
      <w:rFonts w:eastAsia="Times New Roman"/>
      <w:b/>
      <w:color w:val="auto"/>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rPr>
  </w:style>
  <w:style w:type="character" w:customStyle="1" w:styleId="PageNumber1">
    <w:name w:val="Page Number1"/>
    <w:rPr>
      <w:color w:val="000000"/>
      <w:sz w:val="20"/>
    </w:rPr>
  </w:style>
  <w:style w:type="paragraph" w:customStyle="1" w:styleId="FreeForm">
    <w:name w:val="Free Form"/>
    <w:rPr>
      <w:rFonts w:eastAsia="ヒラギノ角ゴ Pro W3"/>
      <w:color w:val="000000"/>
    </w:rPr>
  </w:style>
  <w:style w:type="character" w:customStyle="1" w:styleId="FootnoteReference1">
    <w:name w:val="Footnote Reference1"/>
    <w:rPr>
      <w:color w:val="000000"/>
      <w:sz w:val="20"/>
      <w:vertAlign w:val="superscript"/>
    </w:rPr>
  </w:style>
  <w:style w:type="paragraph" w:customStyle="1" w:styleId="FootnoteText1">
    <w:name w:val="Footnote Text1"/>
    <w:aliases w:val="Footnote Text Char3,Footnote Text Char1 Char,Footnote Text Char1 Char Char Char1,Footnote Text Char Char Char,Footnote Text Char1 Char1 Char,ALTS FOOTNOTE Char1,fn Char,Footnote Text Char2 Char,Footnote Text Char2 Char Char Char,ft"/>
    <w:rPr>
      <w:rFonts w:eastAsia="ヒラギノ角ゴ Pro W3"/>
      <w:color w:val="000000"/>
    </w:rPr>
  </w:style>
  <w:style w:type="character" w:customStyle="1" w:styleId="Unknown0">
    <w:name w:val="Unknown 0"/>
    <w:semiHidden/>
  </w:style>
  <w:style w:type="paragraph" w:customStyle="1" w:styleId="FootnoteText10">
    <w:name w:val="Footnote Text1"/>
    <w:rPr>
      <w:rFonts w:ascii="Helvetica" w:eastAsia="ヒラギノ角ゴ Pro W3" w:hAnsi="Helvetica"/>
      <w:color w:val="000000"/>
    </w:rPr>
  </w:style>
  <w:style w:type="paragraph" w:customStyle="1" w:styleId="Heading5A">
    <w:name w:val="Heading 5 A"/>
    <w:pPr>
      <w:outlineLvl w:val="4"/>
    </w:pPr>
    <w:rPr>
      <w:rFonts w:ascii="Times New Roman Bold" w:eastAsia="ヒラギノ角ゴ Pro W3" w:hAnsi="Times New Roman Bold"/>
      <w:color w:val="000000"/>
      <w:sz w:val="22"/>
    </w:rPr>
  </w:style>
  <w:style w:type="character" w:customStyle="1" w:styleId="Unknown1">
    <w:name w:val="Unknown 1"/>
    <w:semiHidden/>
  </w:style>
  <w:style w:type="character" w:customStyle="1" w:styleId="documentbody1">
    <w:name w:val="documentbody1"/>
    <w:autoRedefine/>
    <w:rPr>
      <w:rFonts w:ascii="Verdana" w:eastAsia="ヒラギノ角ゴ Pro W3" w:hAnsi="Verdana"/>
      <w:b w:val="0"/>
      <w:i w:val="0"/>
      <w:color w:val="000000"/>
      <w:sz w:val="19"/>
      <w:shd w:val="clear" w:color="auto" w:fill="FFFFFF"/>
    </w:rPr>
  </w:style>
  <w:style w:type="paragraph" w:customStyle="1" w:styleId="BodyText21">
    <w:name w:val="Body Text 21"/>
    <w:pPr>
      <w:widowControl w:val="0"/>
      <w:jc w:val="both"/>
    </w:pPr>
    <w:rPr>
      <w:rFonts w:eastAsia="ヒラギノ角ゴ Pro W3"/>
      <w:color w:val="000000"/>
      <w:kern w:val="28"/>
      <w:sz w:val="24"/>
    </w:rPr>
  </w:style>
  <w:style w:type="paragraph" w:customStyle="1" w:styleId="ParaNum">
    <w:name w:val="ParaNum"/>
    <w:pPr>
      <w:widowControl w:val="0"/>
      <w:tabs>
        <w:tab w:val="left" w:pos="360"/>
      </w:tabs>
      <w:spacing w:after="220"/>
      <w:jc w:val="both"/>
    </w:pPr>
    <w:rPr>
      <w:rFonts w:eastAsia="ヒラギノ角ゴ Pro W3"/>
      <w:color w:val="000000"/>
      <w:kern w:val="28"/>
      <w:sz w:val="22"/>
    </w:rPr>
  </w:style>
  <w:style w:type="paragraph" w:customStyle="1" w:styleId="Heading2A">
    <w:name w:val="Heading 2 A"/>
    <w:next w:val="Normal"/>
    <w:autoRedefine/>
    <w:pPr>
      <w:keepNext/>
      <w:spacing w:before="240" w:after="60"/>
      <w:outlineLvl w:val="1"/>
    </w:pPr>
    <w:rPr>
      <w:rFonts w:ascii="Arial Bold Italic" w:eastAsia="ヒラギノ角ゴ Pro W3" w:hAnsi="Arial Bold Italic"/>
      <w:color w:val="000000"/>
      <w:sz w:val="28"/>
    </w:rPr>
  </w:style>
  <w:style w:type="paragraph" w:styleId="BalloonText">
    <w:name w:val="Balloon Text"/>
    <w:basedOn w:val="Normal"/>
    <w:semiHidden/>
    <w:locked/>
    <w:rPr>
      <w:rFonts w:ascii="Tahoma" w:hAnsi="Tahoma" w:cs="Tahoma"/>
      <w:sz w:val="16"/>
      <w:szCs w:val="16"/>
    </w:rPr>
  </w:style>
  <w:style w:type="paragraph" w:styleId="FootnoteText">
    <w:name w:val="footnote text"/>
    <w:basedOn w:val="Normal"/>
    <w:link w:val="FootnoteTextChar"/>
    <w:locked/>
    <w:rPr>
      <w:szCs w:val="20"/>
    </w:rPr>
  </w:style>
  <w:style w:type="character" w:styleId="FootnoteReference">
    <w:name w:val="footnote reference"/>
    <w:semiHidden/>
    <w:locked/>
    <w:rPr>
      <w:vertAlign w:val="superscript"/>
    </w:rPr>
  </w:style>
  <w:style w:type="character" w:customStyle="1" w:styleId="st1">
    <w:name w:val="st1"/>
    <w:basedOn w:val="DefaultParagraphFont"/>
  </w:style>
  <w:style w:type="character" w:styleId="CommentReference">
    <w:name w:val="annotation reference"/>
    <w:locked/>
    <w:rsid w:val="00956FDE"/>
    <w:rPr>
      <w:sz w:val="16"/>
      <w:szCs w:val="16"/>
    </w:rPr>
  </w:style>
  <w:style w:type="paragraph" w:styleId="CommentText">
    <w:name w:val="annotation text"/>
    <w:basedOn w:val="Normal"/>
    <w:link w:val="CommentTextChar"/>
    <w:locked/>
    <w:rsid w:val="00956FDE"/>
    <w:rPr>
      <w:szCs w:val="20"/>
    </w:rPr>
  </w:style>
  <w:style w:type="character" w:customStyle="1" w:styleId="CommentTextChar">
    <w:name w:val="Comment Text Char"/>
    <w:link w:val="CommentText"/>
    <w:rsid w:val="00956FDE"/>
    <w:rPr>
      <w:rFonts w:eastAsia="ヒラギノ角ゴ Pro W3"/>
      <w:color w:val="000000"/>
    </w:rPr>
  </w:style>
  <w:style w:type="paragraph" w:styleId="CommentSubject">
    <w:name w:val="annotation subject"/>
    <w:basedOn w:val="CommentText"/>
    <w:next w:val="CommentText"/>
    <w:link w:val="CommentSubjectChar"/>
    <w:locked/>
    <w:rsid w:val="00956FDE"/>
    <w:rPr>
      <w:b/>
      <w:bCs/>
    </w:rPr>
  </w:style>
  <w:style w:type="character" w:customStyle="1" w:styleId="CommentSubjectChar">
    <w:name w:val="Comment Subject Char"/>
    <w:link w:val="CommentSubject"/>
    <w:rsid w:val="00956FDE"/>
    <w:rPr>
      <w:rFonts w:eastAsia="ヒラギノ角ゴ Pro W3"/>
      <w:b/>
      <w:bCs/>
      <w:color w:val="000000"/>
    </w:rPr>
  </w:style>
  <w:style w:type="paragraph" w:styleId="Header">
    <w:name w:val="header"/>
    <w:basedOn w:val="Normal"/>
    <w:link w:val="HeaderChar"/>
    <w:uiPriority w:val="99"/>
    <w:unhideWhenUsed/>
    <w:locked/>
    <w:rsid w:val="00132C49"/>
    <w:pPr>
      <w:tabs>
        <w:tab w:val="center" w:pos="4680"/>
        <w:tab w:val="right" w:pos="9360"/>
      </w:tabs>
    </w:pPr>
    <w:rPr>
      <w:rFonts w:ascii="Calibri" w:eastAsia="MS Mincho" w:hAnsi="Calibri" w:cs="Arial"/>
      <w:color w:val="auto"/>
      <w:sz w:val="22"/>
      <w:szCs w:val="22"/>
      <w:lang w:eastAsia="ja-JP"/>
    </w:rPr>
  </w:style>
  <w:style w:type="character" w:customStyle="1" w:styleId="HeaderChar">
    <w:name w:val="Header Char"/>
    <w:link w:val="Header"/>
    <w:uiPriority w:val="99"/>
    <w:rsid w:val="00132C49"/>
    <w:rPr>
      <w:rFonts w:ascii="Calibri" w:eastAsia="MS Mincho" w:hAnsi="Calibri" w:cs="Arial"/>
      <w:sz w:val="22"/>
      <w:szCs w:val="22"/>
      <w:lang w:eastAsia="ja-JP"/>
    </w:rPr>
  </w:style>
  <w:style w:type="paragraph" w:styleId="Footer">
    <w:name w:val="footer"/>
    <w:basedOn w:val="Normal"/>
    <w:link w:val="FooterChar"/>
    <w:uiPriority w:val="99"/>
    <w:unhideWhenUsed/>
    <w:locked/>
    <w:rsid w:val="00132C49"/>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link w:val="Footer"/>
    <w:uiPriority w:val="99"/>
    <w:rsid w:val="00132C49"/>
    <w:rPr>
      <w:rFonts w:ascii="Calibri" w:eastAsia="Calibri" w:hAnsi="Calibri" w:cs="Arial"/>
      <w:sz w:val="21"/>
      <w:szCs w:val="22"/>
      <w:lang w:eastAsia="ja-JP"/>
    </w:rPr>
  </w:style>
  <w:style w:type="character" w:customStyle="1" w:styleId="Heading2Char">
    <w:name w:val="Heading 2 Char"/>
    <w:link w:val="Heading2"/>
    <w:rsid w:val="00E70CE9"/>
    <w:rPr>
      <w:b/>
      <w:sz w:val="32"/>
      <w:u w:val="single"/>
    </w:rPr>
  </w:style>
  <w:style w:type="character" w:customStyle="1" w:styleId="FootnoteTextChar">
    <w:name w:val="Footnote Text Char"/>
    <w:link w:val="FootnoteText"/>
    <w:locked/>
    <w:rsid w:val="00451FE4"/>
    <w:rPr>
      <w:rFonts w:eastAsia="ヒラギノ角ゴ Pro W3"/>
      <w:color w:val="000000"/>
    </w:rPr>
  </w:style>
  <w:style w:type="paragraph" w:styleId="BodyTextIndent">
    <w:name w:val="Body Text Indent"/>
    <w:basedOn w:val="Normal"/>
    <w:link w:val="BodyTextIndentChar"/>
    <w:locked/>
    <w:rsid w:val="00451FE4"/>
    <w:pPr>
      <w:ind w:firstLine="720"/>
    </w:pPr>
    <w:rPr>
      <w:rFonts w:eastAsia="Times New Roman"/>
      <w:color w:val="auto"/>
      <w:sz w:val="24"/>
      <w:szCs w:val="20"/>
    </w:rPr>
  </w:style>
  <w:style w:type="character" w:customStyle="1" w:styleId="BodyTextIndentChar">
    <w:name w:val="Body Text Indent Char"/>
    <w:link w:val="BodyTextIndent"/>
    <w:rsid w:val="00451FE4"/>
    <w:rPr>
      <w:sz w:val="24"/>
    </w:rPr>
  </w:style>
  <w:style w:type="paragraph" w:styleId="Revision">
    <w:name w:val="Revision"/>
    <w:hidden/>
    <w:uiPriority w:val="99"/>
    <w:semiHidden/>
    <w:rsid w:val="002521BB"/>
    <w:rPr>
      <w:rFonts w:eastAsia="ヒラギノ角ゴ Pro W3"/>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056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1700</Words>
  <Characters>8909</Characters>
  <Application>Microsoft Office Word</Application>
  <DocSecurity>0</DocSecurity>
  <Lines>234</Lines>
  <Paragraphs>69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2015-01-29T15:14:00Z</cp:lastPrinted>
  <dcterms:created xsi:type="dcterms:W3CDTF">2015-01-29T19:06:00Z</dcterms:created>
  <dcterms:modified xsi:type="dcterms:W3CDTF">2015-01-29T19:06:00Z</dcterms:modified>
  <cp:category> </cp:category>
  <cp:contentStatus> </cp:contentStatus>
</cp:coreProperties>
</file>