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72570D" w:rsidP="00143E12">
            <w:pPr>
              <w:ind w:left="-108"/>
              <w:rPr>
                <w:szCs w:val="22"/>
              </w:rPr>
            </w:pPr>
            <w:r w:rsidRPr="0072570D">
              <w:rPr>
                <w:szCs w:val="22"/>
              </w:rPr>
              <w:t>Application of AT&amp;T Mobility Spectrum LLC and Texas RSA 7B3, L.P., d/b/a Peoples Wireless Services</w:t>
            </w:r>
          </w:p>
          <w:p w:rsidR="00EB3653" w:rsidRDefault="00EB3653" w:rsidP="00143E12">
            <w:pPr>
              <w:ind w:left="-108"/>
            </w:pPr>
          </w:p>
          <w:p w:rsidR="005C0C45" w:rsidRDefault="005C0C45"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w:t>
            </w:r>
            <w:r>
              <w:t xml:space="preserve">Two Lower 700 MHz C Block </w:t>
            </w:r>
            <w:r w:rsidRPr="00D27ABB">
              <w:t>L</w:t>
            </w:r>
            <w:r>
              <w:t>icenses</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094E6A">
              <w:rPr>
                <w:szCs w:val="22"/>
              </w:rPr>
              <w:t>267</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974851"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Pr>
          <w:b/>
          <w:bCs/>
          <w:spacing w:val="-2"/>
          <w:szCs w:val="22"/>
        </w:rPr>
        <w:t xml:space="preserve"> </w:t>
      </w:r>
      <w:r w:rsidR="00DA2F7B" w:rsidRPr="00DA2F7B">
        <w:rPr>
          <w:b/>
          <w:bCs/>
          <w:spacing w:val="-2"/>
          <w:szCs w:val="22"/>
        </w:rPr>
        <w:t xml:space="preserve">November </w:t>
      </w:r>
      <w:r w:rsidR="000A0AD0">
        <w:rPr>
          <w:b/>
          <w:bCs/>
          <w:spacing w:val="-2"/>
          <w:szCs w:val="22"/>
        </w:rPr>
        <w:t>6</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DA2F7B" w:rsidRPr="00DA2F7B">
        <w:rPr>
          <w:b/>
          <w:bCs/>
          <w:spacing w:val="-2"/>
          <w:szCs w:val="22"/>
        </w:rPr>
        <w:t xml:space="preserve">November </w:t>
      </w:r>
      <w:r w:rsidR="000A0AD0">
        <w:rPr>
          <w:b/>
          <w:bCs/>
          <w:spacing w:val="-2"/>
          <w:szCs w:val="22"/>
        </w:rPr>
        <w:t>6</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D3944">
        <w:t>5</w:t>
      </w:r>
      <w:r>
        <w:fldChar w:fldCharType="end"/>
      </w:r>
      <w:r>
        <w:t xml:space="preserve"> or </w:t>
      </w:r>
      <w:r>
        <w:fldChar w:fldCharType="begin"/>
      </w:r>
      <w:r>
        <w:instrText xml:space="preserve"> REF _Ref287447280 \r \h </w:instrText>
      </w:r>
      <w:r>
        <w:fldChar w:fldCharType="separate"/>
      </w:r>
      <w:r w:rsidR="006D3944">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D3944">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D3944">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D3944">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sidR="00623D1F">
        <w:rPr>
          <w:rStyle w:val="StyleParaNum11ptCharCharCharCharCharCharCharCharCharCharCharCharChar"/>
        </w:rPr>
        <w:noBreakHyphen/>
      </w:r>
      <w:r w:rsidR="00094E6A">
        <w:rPr>
          <w:szCs w:val="22"/>
        </w:rPr>
        <w:t>267</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094E6A">
        <w:rPr>
          <w:b/>
          <w:szCs w:val="22"/>
        </w:rPr>
        <w:t>267</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D3944">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5" w:rsidRDefault="00B50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CE119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5" w:rsidRDefault="00B5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35" w:rsidRDefault="00B50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4F723E">
      <w:rPr>
        <w:b/>
      </w:rPr>
      <w:t>1263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4F723E">
      <w:rPr>
        <w:b/>
      </w:rPr>
      <w:t>1263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66AD4"/>
    <w:rsid w:val="00091A01"/>
    <w:rsid w:val="00094E6A"/>
    <w:rsid w:val="000A0AD0"/>
    <w:rsid w:val="000E150E"/>
    <w:rsid w:val="00123C0E"/>
    <w:rsid w:val="0013543B"/>
    <w:rsid w:val="00143E12"/>
    <w:rsid w:val="00182091"/>
    <w:rsid w:val="001D51DD"/>
    <w:rsid w:val="001D7B0C"/>
    <w:rsid w:val="001E3356"/>
    <w:rsid w:val="00201622"/>
    <w:rsid w:val="00201E52"/>
    <w:rsid w:val="002100EF"/>
    <w:rsid w:val="00210E35"/>
    <w:rsid w:val="00235A71"/>
    <w:rsid w:val="002451D0"/>
    <w:rsid w:val="0026439A"/>
    <w:rsid w:val="0027596E"/>
    <w:rsid w:val="002B1E17"/>
    <w:rsid w:val="002B658E"/>
    <w:rsid w:val="002B66B9"/>
    <w:rsid w:val="002B7223"/>
    <w:rsid w:val="002C17BC"/>
    <w:rsid w:val="002D48D9"/>
    <w:rsid w:val="003118D4"/>
    <w:rsid w:val="00370F72"/>
    <w:rsid w:val="00387308"/>
    <w:rsid w:val="00387934"/>
    <w:rsid w:val="003908BF"/>
    <w:rsid w:val="003C6821"/>
    <w:rsid w:val="003D2463"/>
    <w:rsid w:val="0042389B"/>
    <w:rsid w:val="004700F5"/>
    <w:rsid w:val="004C411C"/>
    <w:rsid w:val="004E7198"/>
    <w:rsid w:val="004F4AB6"/>
    <w:rsid w:val="004F723E"/>
    <w:rsid w:val="005030DB"/>
    <w:rsid w:val="00503EFD"/>
    <w:rsid w:val="00510497"/>
    <w:rsid w:val="00511624"/>
    <w:rsid w:val="00536195"/>
    <w:rsid w:val="00574176"/>
    <w:rsid w:val="005863ED"/>
    <w:rsid w:val="005C0C45"/>
    <w:rsid w:val="005D3BB8"/>
    <w:rsid w:val="005E73F3"/>
    <w:rsid w:val="005F06B8"/>
    <w:rsid w:val="005F2F74"/>
    <w:rsid w:val="006028CD"/>
    <w:rsid w:val="0060436B"/>
    <w:rsid w:val="0062201B"/>
    <w:rsid w:val="00623D1F"/>
    <w:rsid w:val="0064484D"/>
    <w:rsid w:val="00677BF9"/>
    <w:rsid w:val="00687E7B"/>
    <w:rsid w:val="006C45FE"/>
    <w:rsid w:val="006D3944"/>
    <w:rsid w:val="006E7C80"/>
    <w:rsid w:val="00700C96"/>
    <w:rsid w:val="0072570D"/>
    <w:rsid w:val="00726B13"/>
    <w:rsid w:val="00741BA0"/>
    <w:rsid w:val="00761362"/>
    <w:rsid w:val="00761D9A"/>
    <w:rsid w:val="00773B58"/>
    <w:rsid w:val="007A2FD8"/>
    <w:rsid w:val="007A4F60"/>
    <w:rsid w:val="007D1CDE"/>
    <w:rsid w:val="00800989"/>
    <w:rsid w:val="008319E5"/>
    <w:rsid w:val="008440B0"/>
    <w:rsid w:val="0085149E"/>
    <w:rsid w:val="008575DB"/>
    <w:rsid w:val="00862858"/>
    <w:rsid w:val="00864E5E"/>
    <w:rsid w:val="00874030"/>
    <w:rsid w:val="0087584F"/>
    <w:rsid w:val="00885CCD"/>
    <w:rsid w:val="008946F0"/>
    <w:rsid w:val="0089475F"/>
    <w:rsid w:val="008D34E0"/>
    <w:rsid w:val="008D6D88"/>
    <w:rsid w:val="008E6A3C"/>
    <w:rsid w:val="00904F2D"/>
    <w:rsid w:val="0094076E"/>
    <w:rsid w:val="00947620"/>
    <w:rsid w:val="00966B5E"/>
    <w:rsid w:val="00974851"/>
    <w:rsid w:val="009F32EB"/>
    <w:rsid w:val="00A14518"/>
    <w:rsid w:val="00A24235"/>
    <w:rsid w:val="00A33E4E"/>
    <w:rsid w:val="00A56AEC"/>
    <w:rsid w:val="00A64011"/>
    <w:rsid w:val="00A81035"/>
    <w:rsid w:val="00A8327C"/>
    <w:rsid w:val="00A976AA"/>
    <w:rsid w:val="00AC4FA9"/>
    <w:rsid w:val="00AC5754"/>
    <w:rsid w:val="00B01256"/>
    <w:rsid w:val="00B02A42"/>
    <w:rsid w:val="00B40735"/>
    <w:rsid w:val="00B41A5F"/>
    <w:rsid w:val="00B43820"/>
    <w:rsid w:val="00B50435"/>
    <w:rsid w:val="00BB230B"/>
    <w:rsid w:val="00BD7E6A"/>
    <w:rsid w:val="00BF6856"/>
    <w:rsid w:val="00C01DA5"/>
    <w:rsid w:val="00C02717"/>
    <w:rsid w:val="00C207BF"/>
    <w:rsid w:val="00C4228A"/>
    <w:rsid w:val="00C71A6B"/>
    <w:rsid w:val="00CC1749"/>
    <w:rsid w:val="00CE0CC0"/>
    <w:rsid w:val="00CE1198"/>
    <w:rsid w:val="00D220F8"/>
    <w:rsid w:val="00D374D4"/>
    <w:rsid w:val="00D55856"/>
    <w:rsid w:val="00D715EA"/>
    <w:rsid w:val="00D857D5"/>
    <w:rsid w:val="00DA2F7B"/>
    <w:rsid w:val="00DE6FA1"/>
    <w:rsid w:val="00DF0E09"/>
    <w:rsid w:val="00DF1DB0"/>
    <w:rsid w:val="00E05513"/>
    <w:rsid w:val="00E229AD"/>
    <w:rsid w:val="00E33C92"/>
    <w:rsid w:val="00E45395"/>
    <w:rsid w:val="00E47DA2"/>
    <w:rsid w:val="00E645CB"/>
    <w:rsid w:val="00E67388"/>
    <w:rsid w:val="00E75422"/>
    <w:rsid w:val="00E76C36"/>
    <w:rsid w:val="00E83165"/>
    <w:rsid w:val="00EA2839"/>
    <w:rsid w:val="00EB3653"/>
    <w:rsid w:val="00EE1966"/>
    <w:rsid w:val="00F17CBD"/>
    <w:rsid w:val="00F609A6"/>
    <w:rsid w:val="00F62373"/>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2963</Words>
  <Characters>17380</Characters>
  <Application>Microsoft Office Word</Application>
  <DocSecurity>0</DocSecurity>
  <Lines>266</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2015-11-06T15:50:00Z</dcterms:created>
  <dcterms:modified xsi:type="dcterms:W3CDTF">2015-11-06T15:50:00Z</dcterms:modified>
  <cp:category> </cp:category>
  <cp:contentStatus> </cp:contentStatus>
</cp:coreProperties>
</file>