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5A6BB" w14:textId="77777777" w:rsidR="00C57B5E" w:rsidRPr="006601CF" w:rsidRDefault="00C57B5E" w:rsidP="00C57B5E">
      <w:pPr>
        <w:jc w:val="center"/>
        <w:rPr>
          <w:b/>
        </w:rPr>
      </w:pPr>
      <w:bookmarkStart w:id="0" w:name="_GoBack"/>
      <w:bookmarkEnd w:id="0"/>
      <w:r w:rsidRPr="006601CF">
        <w:rPr>
          <w:rFonts w:ascii="Times New Roman Bold" w:hAnsi="Times New Roman Bold"/>
          <w:b/>
        </w:rPr>
        <w:t>Before</w:t>
      </w:r>
      <w:r w:rsidRPr="006601CF">
        <w:rPr>
          <w:b/>
        </w:rPr>
        <w:t xml:space="preserve"> </w:t>
      </w:r>
      <w:r w:rsidRPr="00846D13">
        <w:rPr>
          <w:rFonts w:ascii="Times New Roman" w:hAnsi="Times New Roman"/>
          <w:b/>
        </w:rPr>
        <w:t>the</w:t>
      </w:r>
    </w:p>
    <w:p w14:paraId="1A0A57F6" w14:textId="77777777" w:rsidR="00C57B5E" w:rsidRPr="006601CF" w:rsidRDefault="00C57B5E" w:rsidP="00C57B5E">
      <w:pPr>
        <w:pStyle w:val="StyleBoldCentered"/>
        <w:widowControl/>
      </w:pPr>
      <w:r w:rsidRPr="006601CF">
        <w:t>F</w:t>
      </w:r>
      <w:r w:rsidRPr="006601CF">
        <w:rPr>
          <w:caps w:val="0"/>
        </w:rPr>
        <w:t>ederal Communications Commission</w:t>
      </w:r>
    </w:p>
    <w:p w14:paraId="19DD2DF2" w14:textId="77777777" w:rsidR="00C57B5E" w:rsidRPr="006601CF" w:rsidRDefault="00C57B5E" w:rsidP="00C57B5E">
      <w:pPr>
        <w:pStyle w:val="StyleBoldCentered"/>
        <w:widowControl/>
      </w:pPr>
      <w:r w:rsidRPr="006601CF">
        <w:rPr>
          <w:caps w:val="0"/>
        </w:rPr>
        <w:t>Washington, D.C. 20554</w:t>
      </w:r>
    </w:p>
    <w:p w14:paraId="55384B85" w14:textId="77777777" w:rsidR="00C57B5E" w:rsidRPr="006601CF" w:rsidRDefault="00C57B5E" w:rsidP="00C57B5E"/>
    <w:p w14:paraId="6BB60667" w14:textId="77777777" w:rsidR="00C57B5E" w:rsidRPr="006601CF" w:rsidRDefault="00C57B5E" w:rsidP="00C57B5E"/>
    <w:tbl>
      <w:tblPr>
        <w:tblW w:w="0" w:type="auto"/>
        <w:tblLayout w:type="fixed"/>
        <w:tblLook w:val="0000" w:firstRow="0" w:lastRow="0" w:firstColumn="0" w:lastColumn="0" w:noHBand="0" w:noVBand="0"/>
      </w:tblPr>
      <w:tblGrid>
        <w:gridCol w:w="4698"/>
        <w:gridCol w:w="630"/>
        <w:gridCol w:w="4248"/>
      </w:tblGrid>
      <w:tr w:rsidR="00C57B5E" w:rsidRPr="00ED656D" w14:paraId="07A08EB8" w14:textId="77777777" w:rsidTr="001D783B">
        <w:tc>
          <w:tcPr>
            <w:tcW w:w="4698" w:type="dxa"/>
          </w:tcPr>
          <w:p w14:paraId="41209C7F" w14:textId="77777777" w:rsidR="00C57B5E" w:rsidRPr="00ED656D" w:rsidRDefault="00C57B5E" w:rsidP="001D783B">
            <w:pPr>
              <w:tabs>
                <w:tab w:val="center" w:pos="4680"/>
              </w:tabs>
              <w:suppressAutoHyphens/>
              <w:rPr>
                <w:rFonts w:ascii="Times New Roman" w:hAnsi="Times New Roman"/>
                <w:spacing w:val="-2"/>
              </w:rPr>
            </w:pPr>
            <w:r w:rsidRPr="00ED656D">
              <w:rPr>
                <w:rFonts w:ascii="Times New Roman" w:hAnsi="Times New Roman"/>
                <w:spacing w:val="-2"/>
              </w:rPr>
              <w:t>In the Matter of</w:t>
            </w:r>
          </w:p>
          <w:p w14:paraId="1B209060" w14:textId="77777777" w:rsidR="00C57B5E" w:rsidRPr="00ED656D" w:rsidRDefault="00C57B5E" w:rsidP="001D783B">
            <w:pPr>
              <w:tabs>
                <w:tab w:val="center" w:pos="4680"/>
              </w:tabs>
              <w:suppressAutoHyphens/>
              <w:rPr>
                <w:rFonts w:ascii="Times New Roman" w:hAnsi="Times New Roman"/>
                <w:spacing w:val="-2"/>
              </w:rPr>
            </w:pPr>
          </w:p>
          <w:p w14:paraId="4B4F7D5A" w14:textId="77777777" w:rsidR="001D783B" w:rsidRPr="00ED656D" w:rsidRDefault="001D783B" w:rsidP="001D783B">
            <w:pPr>
              <w:tabs>
                <w:tab w:val="center" w:pos="4680"/>
              </w:tabs>
              <w:suppressAutoHyphens/>
              <w:rPr>
                <w:rFonts w:ascii="Times New Roman" w:hAnsi="Times New Roman"/>
              </w:rPr>
            </w:pPr>
            <w:r w:rsidRPr="00ED656D">
              <w:rPr>
                <w:rFonts w:ascii="Times New Roman" w:hAnsi="Times New Roman"/>
                <w:spacing w:val="-2"/>
              </w:rPr>
              <w:t xml:space="preserve">Consumer Watchdog Petition for Rulemaking to Require Edge Providers to Honor ‘Do Not Track’ Requests </w:t>
            </w:r>
          </w:p>
          <w:p w14:paraId="4388D4AA" w14:textId="77777777" w:rsidR="00C57B5E" w:rsidRPr="00ED656D" w:rsidRDefault="00C57B5E" w:rsidP="001D783B">
            <w:pPr>
              <w:tabs>
                <w:tab w:val="center" w:pos="4680"/>
              </w:tabs>
              <w:suppressAutoHyphens/>
              <w:rPr>
                <w:rFonts w:ascii="Times New Roman" w:hAnsi="Times New Roman"/>
                <w:spacing w:val="-2"/>
              </w:rPr>
            </w:pPr>
          </w:p>
        </w:tc>
        <w:tc>
          <w:tcPr>
            <w:tcW w:w="630" w:type="dxa"/>
          </w:tcPr>
          <w:p w14:paraId="735357F8" w14:textId="77777777" w:rsidR="00C57B5E" w:rsidRPr="00ED656D" w:rsidRDefault="00C57B5E" w:rsidP="001D783B">
            <w:pPr>
              <w:tabs>
                <w:tab w:val="center" w:pos="4680"/>
              </w:tabs>
              <w:suppressAutoHyphens/>
              <w:rPr>
                <w:rFonts w:ascii="Times New Roman" w:hAnsi="Times New Roman"/>
                <w:b/>
                <w:spacing w:val="-2"/>
              </w:rPr>
            </w:pPr>
            <w:r w:rsidRPr="00ED656D">
              <w:rPr>
                <w:rFonts w:ascii="Times New Roman" w:hAnsi="Times New Roman"/>
                <w:b/>
                <w:spacing w:val="-2"/>
              </w:rPr>
              <w:t>)</w:t>
            </w:r>
          </w:p>
          <w:p w14:paraId="5F62B99B" w14:textId="77777777" w:rsidR="00C57B5E" w:rsidRPr="00ED656D" w:rsidRDefault="00C57B5E" w:rsidP="001D783B">
            <w:pPr>
              <w:tabs>
                <w:tab w:val="center" w:pos="4680"/>
              </w:tabs>
              <w:suppressAutoHyphens/>
              <w:rPr>
                <w:rFonts w:ascii="Times New Roman" w:hAnsi="Times New Roman"/>
                <w:b/>
                <w:spacing w:val="-2"/>
              </w:rPr>
            </w:pPr>
            <w:r w:rsidRPr="00ED656D">
              <w:rPr>
                <w:rFonts w:ascii="Times New Roman" w:hAnsi="Times New Roman"/>
                <w:b/>
                <w:spacing w:val="-2"/>
              </w:rPr>
              <w:t>)</w:t>
            </w:r>
          </w:p>
          <w:p w14:paraId="69775A87" w14:textId="77777777" w:rsidR="00C57B5E" w:rsidRPr="00ED656D" w:rsidRDefault="00C57B5E" w:rsidP="001D783B">
            <w:pPr>
              <w:tabs>
                <w:tab w:val="center" w:pos="4680"/>
              </w:tabs>
              <w:suppressAutoHyphens/>
              <w:rPr>
                <w:rFonts w:ascii="Times New Roman" w:hAnsi="Times New Roman"/>
                <w:b/>
                <w:spacing w:val="-2"/>
              </w:rPr>
            </w:pPr>
            <w:r w:rsidRPr="00ED656D">
              <w:rPr>
                <w:rFonts w:ascii="Times New Roman" w:hAnsi="Times New Roman"/>
                <w:b/>
                <w:spacing w:val="-2"/>
              </w:rPr>
              <w:t>)</w:t>
            </w:r>
          </w:p>
          <w:p w14:paraId="22D8EA7A" w14:textId="77777777" w:rsidR="00C57B5E" w:rsidRPr="00ED656D" w:rsidRDefault="00C57B5E" w:rsidP="001D783B">
            <w:pPr>
              <w:tabs>
                <w:tab w:val="center" w:pos="4680"/>
              </w:tabs>
              <w:suppressAutoHyphens/>
              <w:rPr>
                <w:rFonts w:ascii="Times New Roman" w:hAnsi="Times New Roman"/>
                <w:b/>
                <w:spacing w:val="-2"/>
              </w:rPr>
            </w:pPr>
            <w:r w:rsidRPr="00ED656D">
              <w:rPr>
                <w:rFonts w:ascii="Times New Roman" w:hAnsi="Times New Roman"/>
                <w:b/>
                <w:spacing w:val="-2"/>
              </w:rPr>
              <w:t>)</w:t>
            </w:r>
          </w:p>
          <w:p w14:paraId="76A80057" w14:textId="77777777" w:rsidR="00C57B5E" w:rsidRPr="00ED656D" w:rsidRDefault="00C57B5E" w:rsidP="001D783B">
            <w:pPr>
              <w:tabs>
                <w:tab w:val="center" w:pos="4680"/>
              </w:tabs>
              <w:suppressAutoHyphens/>
              <w:rPr>
                <w:rFonts w:ascii="Times New Roman" w:hAnsi="Times New Roman"/>
                <w:b/>
                <w:spacing w:val="-2"/>
              </w:rPr>
            </w:pPr>
            <w:r w:rsidRPr="00ED656D">
              <w:rPr>
                <w:rFonts w:ascii="Times New Roman" w:hAnsi="Times New Roman"/>
                <w:b/>
                <w:spacing w:val="-2"/>
              </w:rPr>
              <w:t>)</w:t>
            </w:r>
          </w:p>
          <w:p w14:paraId="26220863" w14:textId="77777777" w:rsidR="00C57B5E" w:rsidRPr="00ED656D" w:rsidRDefault="00C57B5E" w:rsidP="001D783B">
            <w:pPr>
              <w:tabs>
                <w:tab w:val="center" w:pos="4680"/>
              </w:tabs>
              <w:suppressAutoHyphens/>
              <w:rPr>
                <w:rFonts w:ascii="Times New Roman" w:hAnsi="Times New Roman"/>
                <w:b/>
                <w:spacing w:val="-2"/>
              </w:rPr>
            </w:pPr>
            <w:r w:rsidRPr="00ED656D">
              <w:rPr>
                <w:rFonts w:ascii="Times New Roman" w:hAnsi="Times New Roman"/>
                <w:b/>
                <w:spacing w:val="-2"/>
              </w:rPr>
              <w:t>)</w:t>
            </w:r>
          </w:p>
          <w:p w14:paraId="02A87E55" w14:textId="77777777" w:rsidR="00C57B5E" w:rsidRPr="00ED656D" w:rsidRDefault="00C57B5E" w:rsidP="001D783B">
            <w:pPr>
              <w:tabs>
                <w:tab w:val="center" w:pos="4680"/>
              </w:tabs>
              <w:suppressAutoHyphens/>
              <w:rPr>
                <w:rFonts w:ascii="Times New Roman" w:hAnsi="Times New Roman"/>
                <w:spacing w:val="-2"/>
              </w:rPr>
            </w:pPr>
          </w:p>
        </w:tc>
        <w:tc>
          <w:tcPr>
            <w:tcW w:w="4248" w:type="dxa"/>
          </w:tcPr>
          <w:p w14:paraId="1503377B" w14:textId="77777777" w:rsidR="00C57B5E" w:rsidRPr="00ED656D" w:rsidRDefault="00C57B5E" w:rsidP="001D783B">
            <w:pPr>
              <w:tabs>
                <w:tab w:val="center" w:pos="4680"/>
              </w:tabs>
              <w:suppressAutoHyphens/>
              <w:rPr>
                <w:rFonts w:ascii="Times New Roman" w:hAnsi="Times New Roman"/>
                <w:spacing w:val="-2"/>
              </w:rPr>
            </w:pPr>
          </w:p>
          <w:p w14:paraId="377430CB" w14:textId="77777777" w:rsidR="00C57B5E" w:rsidRPr="00ED656D" w:rsidRDefault="00C57B5E" w:rsidP="001D783B">
            <w:pPr>
              <w:pStyle w:val="TOAHeading"/>
              <w:widowControl/>
              <w:tabs>
                <w:tab w:val="clear" w:pos="9360"/>
                <w:tab w:val="center" w:pos="4680"/>
              </w:tabs>
              <w:rPr>
                <w:spacing w:val="-2"/>
                <w:szCs w:val="22"/>
              </w:rPr>
            </w:pPr>
          </w:p>
          <w:p w14:paraId="7F80B4AF" w14:textId="732313AA" w:rsidR="00C57B5E" w:rsidRPr="00ED656D" w:rsidRDefault="001D783B" w:rsidP="001D783B">
            <w:pPr>
              <w:tabs>
                <w:tab w:val="center" w:pos="4680"/>
              </w:tabs>
              <w:suppressAutoHyphens/>
              <w:rPr>
                <w:rFonts w:ascii="Times New Roman" w:hAnsi="Times New Roman"/>
                <w:spacing w:val="-2"/>
              </w:rPr>
            </w:pPr>
            <w:r w:rsidRPr="00ED656D">
              <w:rPr>
                <w:rFonts w:ascii="Times New Roman" w:hAnsi="Times New Roman"/>
                <w:spacing w:val="-2"/>
              </w:rPr>
              <w:t>RM-</w:t>
            </w:r>
            <w:r w:rsidR="004621E8">
              <w:rPr>
                <w:rFonts w:ascii="Times New Roman" w:hAnsi="Times New Roman"/>
                <w:spacing w:val="-2"/>
              </w:rPr>
              <w:t>11757</w:t>
            </w:r>
          </w:p>
        </w:tc>
      </w:tr>
    </w:tbl>
    <w:p w14:paraId="358FE71C" w14:textId="77777777" w:rsidR="00C57B5E" w:rsidRPr="00ED656D" w:rsidRDefault="00C57B5E" w:rsidP="00C57B5E">
      <w:pPr>
        <w:rPr>
          <w:rFonts w:ascii="Times New Roman" w:hAnsi="Times New Roman"/>
        </w:rPr>
      </w:pPr>
    </w:p>
    <w:p w14:paraId="6CA1F4D6" w14:textId="77777777" w:rsidR="00C57B5E" w:rsidRPr="00ED656D" w:rsidRDefault="00C57B5E" w:rsidP="00C57B5E">
      <w:pPr>
        <w:pStyle w:val="StyleBoldCentered"/>
        <w:widowControl/>
        <w:rPr>
          <w:rFonts w:ascii="Times New Roman" w:hAnsi="Times New Roman"/>
        </w:rPr>
      </w:pPr>
      <w:r w:rsidRPr="00ED656D">
        <w:rPr>
          <w:rFonts w:ascii="Times New Roman" w:hAnsi="Times New Roman"/>
        </w:rPr>
        <w:t>Order</w:t>
      </w:r>
    </w:p>
    <w:p w14:paraId="1C3AA384" w14:textId="77777777" w:rsidR="00C57B5E" w:rsidRPr="00ED656D" w:rsidRDefault="00C57B5E" w:rsidP="00C57B5E">
      <w:pPr>
        <w:tabs>
          <w:tab w:val="left" w:pos="-720"/>
        </w:tabs>
        <w:suppressAutoHyphens/>
        <w:spacing w:line="227" w:lineRule="auto"/>
        <w:rPr>
          <w:rFonts w:ascii="Times New Roman" w:hAnsi="Times New Roman"/>
          <w:spacing w:val="-2"/>
        </w:rPr>
      </w:pPr>
    </w:p>
    <w:p w14:paraId="109FB67A" w14:textId="090592F0" w:rsidR="00C57B5E" w:rsidRPr="00ED656D" w:rsidRDefault="00C57B5E" w:rsidP="00C57B5E">
      <w:pPr>
        <w:tabs>
          <w:tab w:val="left" w:pos="720"/>
          <w:tab w:val="right" w:pos="9360"/>
        </w:tabs>
        <w:suppressAutoHyphens/>
        <w:spacing w:line="227" w:lineRule="auto"/>
        <w:rPr>
          <w:rFonts w:ascii="Times New Roman" w:hAnsi="Times New Roman"/>
          <w:spacing w:val="-2"/>
        </w:rPr>
      </w:pPr>
      <w:r w:rsidRPr="00ED656D">
        <w:rPr>
          <w:rFonts w:ascii="Times New Roman" w:hAnsi="Times New Roman"/>
          <w:b/>
          <w:spacing w:val="-2"/>
        </w:rPr>
        <w:t>Adopted:</w:t>
      </w:r>
      <w:r w:rsidR="00EF089F">
        <w:rPr>
          <w:rFonts w:ascii="Times New Roman" w:hAnsi="Times New Roman"/>
          <w:b/>
          <w:spacing w:val="-2"/>
        </w:rPr>
        <w:t xml:space="preserve">  November 6</w:t>
      </w:r>
      <w:r w:rsidRPr="00ED656D">
        <w:rPr>
          <w:rFonts w:ascii="Times New Roman" w:hAnsi="Times New Roman"/>
          <w:b/>
          <w:spacing w:val="-2"/>
        </w:rPr>
        <w:t>, 2015</w:t>
      </w:r>
      <w:r w:rsidRPr="00ED656D">
        <w:rPr>
          <w:rFonts w:ascii="Times New Roman" w:hAnsi="Times New Roman"/>
          <w:b/>
          <w:spacing w:val="-2"/>
        </w:rPr>
        <w:tab/>
        <w:t>Released:</w:t>
      </w:r>
      <w:r w:rsidR="00EF089F">
        <w:rPr>
          <w:rFonts w:ascii="Times New Roman" w:hAnsi="Times New Roman"/>
          <w:b/>
          <w:spacing w:val="-2"/>
        </w:rPr>
        <w:t xml:space="preserve">  November 6</w:t>
      </w:r>
      <w:r w:rsidRPr="00ED656D">
        <w:rPr>
          <w:rFonts w:ascii="Times New Roman" w:hAnsi="Times New Roman"/>
          <w:b/>
          <w:spacing w:val="-2"/>
        </w:rPr>
        <w:t>, 2015</w:t>
      </w:r>
    </w:p>
    <w:p w14:paraId="5A2830A6" w14:textId="77777777" w:rsidR="00C57B5E" w:rsidRPr="00ED656D" w:rsidRDefault="00C57B5E" w:rsidP="00C57B5E">
      <w:pPr>
        <w:rPr>
          <w:rFonts w:ascii="Times New Roman" w:hAnsi="Times New Roman"/>
        </w:rPr>
      </w:pPr>
    </w:p>
    <w:p w14:paraId="577492B2" w14:textId="35E2BAE2" w:rsidR="00C57B5E" w:rsidRPr="00EF089F" w:rsidRDefault="00C57B5E" w:rsidP="00EF089F">
      <w:pPr>
        <w:rPr>
          <w:rFonts w:ascii="Times New Roman" w:hAnsi="Times New Roman"/>
          <w:spacing w:val="-2"/>
        </w:rPr>
      </w:pPr>
      <w:r w:rsidRPr="00ED656D">
        <w:rPr>
          <w:rFonts w:ascii="Times New Roman" w:hAnsi="Times New Roman"/>
        </w:rPr>
        <w:t>By the Chi</w:t>
      </w:r>
      <w:r w:rsidR="001D783B" w:rsidRPr="00ED656D">
        <w:rPr>
          <w:rFonts w:ascii="Times New Roman" w:hAnsi="Times New Roman"/>
        </w:rPr>
        <w:t>ef, Wireline Competition Bureau</w:t>
      </w:r>
      <w:r w:rsidRPr="00ED656D">
        <w:rPr>
          <w:rFonts w:ascii="Times New Roman" w:hAnsi="Times New Roman"/>
        </w:rPr>
        <w:t>:</w:t>
      </w:r>
    </w:p>
    <w:p w14:paraId="2E2CAA6E" w14:textId="77777777" w:rsidR="00C57B5E" w:rsidRPr="00ED656D" w:rsidRDefault="00C57B5E" w:rsidP="00C57B5E">
      <w:pPr>
        <w:rPr>
          <w:rFonts w:ascii="Times New Roman" w:hAnsi="Times New Roman"/>
        </w:rPr>
      </w:pPr>
    </w:p>
    <w:p w14:paraId="029309CB" w14:textId="4EB20967" w:rsidR="008D6907" w:rsidRPr="008D6907" w:rsidRDefault="00CE518A" w:rsidP="008D6907">
      <w:pPr>
        <w:pStyle w:val="ParaNum"/>
        <w:widowControl/>
      </w:pPr>
      <w:r w:rsidRPr="00ED656D">
        <w:rPr>
          <w:szCs w:val="22"/>
        </w:rPr>
        <w:t xml:space="preserve">In this Order, we </w:t>
      </w:r>
      <w:r w:rsidR="00062CC1">
        <w:rPr>
          <w:szCs w:val="22"/>
        </w:rPr>
        <w:t>dismiss</w:t>
      </w:r>
      <w:r w:rsidR="00062CC1" w:rsidRPr="00ED656D">
        <w:rPr>
          <w:szCs w:val="22"/>
        </w:rPr>
        <w:t xml:space="preserve"> </w:t>
      </w:r>
      <w:r w:rsidRPr="00ED656D">
        <w:rPr>
          <w:szCs w:val="22"/>
        </w:rPr>
        <w:t>Consumer Watchdog</w:t>
      </w:r>
      <w:r w:rsidR="00B25006" w:rsidRPr="00ED656D">
        <w:rPr>
          <w:szCs w:val="22"/>
        </w:rPr>
        <w:t>’s</w:t>
      </w:r>
      <w:r w:rsidR="00E3665E" w:rsidRPr="00ED656D">
        <w:rPr>
          <w:szCs w:val="22"/>
        </w:rPr>
        <w:t xml:space="preserve"> </w:t>
      </w:r>
      <w:r w:rsidR="00B25006" w:rsidRPr="00ED656D">
        <w:rPr>
          <w:szCs w:val="22"/>
        </w:rPr>
        <w:t xml:space="preserve">request </w:t>
      </w:r>
      <w:r w:rsidR="005A4989" w:rsidRPr="00ED656D">
        <w:rPr>
          <w:szCs w:val="22"/>
        </w:rPr>
        <w:t xml:space="preserve">that </w:t>
      </w:r>
      <w:r w:rsidRPr="00ED656D">
        <w:rPr>
          <w:szCs w:val="22"/>
        </w:rPr>
        <w:t>the Commission “initiate a</w:t>
      </w:r>
      <w:r>
        <w:rPr>
          <w:szCs w:val="22"/>
        </w:rPr>
        <w:t xml:space="preserve"> rulemaking proceeding requiring ‘edge providers’ (like Google, Facebook, YouTube, Pandora, Netflix, and LinkedIn) to honor ‘Do Not Track’ Requests from consumers</w:t>
      </w:r>
      <w:r w:rsidR="005A4989">
        <w:rPr>
          <w:szCs w:val="22"/>
        </w:rPr>
        <w:t>.</w:t>
      </w:r>
      <w:r>
        <w:rPr>
          <w:szCs w:val="22"/>
        </w:rPr>
        <w:t>”</w:t>
      </w:r>
      <w:r>
        <w:rPr>
          <w:rStyle w:val="FootnoteReference"/>
          <w:szCs w:val="22"/>
        </w:rPr>
        <w:footnoteReference w:id="2"/>
      </w:r>
      <w:r>
        <w:rPr>
          <w:szCs w:val="22"/>
        </w:rPr>
        <w:t xml:space="preserve"> </w:t>
      </w:r>
      <w:r w:rsidR="005A4989">
        <w:rPr>
          <w:szCs w:val="22"/>
        </w:rPr>
        <w:t xml:space="preserve"> The Commission</w:t>
      </w:r>
      <w:r w:rsidR="00B25006">
        <w:rPr>
          <w:szCs w:val="22"/>
        </w:rPr>
        <w:t xml:space="preserve"> has been unequivocal in declaring that it has no intent to regulate edge providers.</w:t>
      </w:r>
      <w:r w:rsidR="000D3DFB">
        <w:rPr>
          <w:rStyle w:val="FootnoteReference"/>
          <w:szCs w:val="22"/>
        </w:rPr>
        <w:footnoteReference w:id="3"/>
      </w:r>
      <w:r w:rsidR="000D3DFB">
        <w:rPr>
          <w:szCs w:val="22"/>
        </w:rPr>
        <w:t xml:space="preserve">  </w:t>
      </w:r>
      <w:r w:rsidR="00610E2B">
        <w:rPr>
          <w:szCs w:val="22"/>
        </w:rPr>
        <w:t>We therefore find that, p</w:t>
      </w:r>
      <w:r w:rsidR="000D3DFB">
        <w:rPr>
          <w:szCs w:val="22"/>
        </w:rPr>
        <w:t xml:space="preserve">ursuant to section 1.401(e) of our rules, the Consumer Watchdog Petition </w:t>
      </w:r>
      <w:r w:rsidR="00E3665E">
        <w:rPr>
          <w:szCs w:val="22"/>
        </w:rPr>
        <w:t>“plainly</w:t>
      </w:r>
      <w:r w:rsidR="000D3DFB">
        <w:rPr>
          <w:szCs w:val="22"/>
        </w:rPr>
        <w:t xml:space="preserve"> do[es]</w:t>
      </w:r>
      <w:r w:rsidR="00E3665E">
        <w:rPr>
          <w:szCs w:val="22"/>
        </w:rPr>
        <w:t xml:space="preserve"> not warrant consideration by the Commission.”</w:t>
      </w:r>
      <w:r w:rsidR="00E3665E">
        <w:rPr>
          <w:rStyle w:val="FootnoteReference"/>
          <w:szCs w:val="22"/>
        </w:rPr>
        <w:footnoteReference w:id="4"/>
      </w:r>
      <w:r w:rsidR="007E172B">
        <w:rPr>
          <w:szCs w:val="22"/>
        </w:rPr>
        <w:t xml:space="preserve"> </w:t>
      </w:r>
    </w:p>
    <w:p w14:paraId="5DEB5D54" w14:textId="77777777" w:rsidR="003E55B1" w:rsidRPr="003E55B1" w:rsidRDefault="003E55B1" w:rsidP="007000A3">
      <w:pPr>
        <w:pStyle w:val="ParaNum"/>
        <w:widowControl/>
        <w:tabs>
          <w:tab w:val="left" w:pos="3600"/>
        </w:tabs>
      </w:pPr>
      <w:r>
        <w:rPr>
          <w:szCs w:val="22"/>
        </w:rPr>
        <w:t>Section 222 of the Communications Act governs telecommunications carriers’ protection and use of information obtained from their customers or other carriers, and calibrates the protection of such information based on its sensitivity.  The Commission has</w:t>
      </w:r>
      <w:r w:rsidR="00394EA1">
        <w:rPr>
          <w:szCs w:val="22"/>
        </w:rPr>
        <w:t xml:space="preserve"> adopted rules implementing section 222’s privacy protections with respect to pro</w:t>
      </w:r>
      <w:r w:rsidR="00610E2B">
        <w:rPr>
          <w:szCs w:val="22"/>
        </w:rPr>
        <w:t>viders of voice services, has amended those rules over time to respond to emerging threats to consumer privacy, and has vigorously enforced those rules.</w:t>
      </w:r>
      <w:r w:rsidR="00610E2B">
        <w:rPr>
          <w:rStyle w:val="FootnoteReference"/>
          <w:szCs w:val="22"/>
        </w:rPr>
        <w:footnoteReference w:id="5"/>
      </w:r>
      <w:r w:rsidR="00394EA1">
        <w:rPr>
          <w:szCs w:val="22"/>
        </w:rPr>
        <w:t xml:space="preserve"> </w:t>
      </w:r>
      <w:r>
        <w:rPr>
          <w:szCs w:val="22"/>
        </w:rPr>
        <w:t xml:space="preserve"> </w:t>
      </w:r>
    </w:p>
    <w:p w14:paraId="29683C48" w14:textId="5407788C" w:rsidR="00A61684" w:rsidRPr="00FE0156" w:rsidRDefault="003E55B1" w:rsidP="00D416CC">
      <w:pPr>
        <w:pStyle w:val="ParaNum"/>
        <w:widowControl/>
        <w:tabs>
          <w:tab w:val="left" w:pos="3600"/>
        </w:tabs>
      </w:pPr>
      <w:r w:rsidRPr="00FE0156">
        <w:rPr>
          <w:szCs w:val="22"/>
        </w:rPr>
        <w:t>Earlier this year, when t</w:t>
      </w:r>
      <w:r w:rsidR="008D6907" w:rsidRPr="00A61684">
        <w:rPr>
          <w:szCs w:val="22"/>
        </w:rPr>
        <w:t>he Commission reclassified broadband Internet access service</w:t>
      </w:r>
      <w:r w:rsidRPr="00A61684">
        <w:rPr>
          <w:szCs w:val="22"/>
        </w:rPr>
        <w:t xml:space="preserve"> (BIAS)</w:t>
      </w:r>
      <w:r w:rsidR="008D6907" w:rsidRPr="00A61684">
        <w:rPr>
          <w:szCs w:val="22"/>
        </w:rPr>
        <w:t xml:space="preserve"> as a telecommunications service under Title II of</w:t>
      </w:r>
      <w:r w:rsidR="00EA3E24" w:rsidRPr="00A61684">
        <w:rPr>
          <w:szCs w:val="22"/>
        </w:rPr>
        <w:t xml:space="preserve"> the Communications Act</w:t>
      </w:r>
      <w:r w:rsidR="00667F1D">
        <w:rPr>
          <w:szCs w:val="22"/>
        </w:rPr>
        <w:t>,</w:t>
      </w:r>
      <w:r w:rsidR="00EA3E24" w:rsidRPr="00A61684">
        <w:rPr>
          <w:szCs w:val="22"/>
        </w:rPr>
        <w:t xml:space="preserve"> </w:t>
      </w:r>
      <w:r w:rsidRPr="00A61684">
        <w:rPr>
          <w:szCs w:val="22"/>
        </w:rPr>
        <w:t xml:space="preserve">it </w:t>
      </w:r>
      <w:r w:rsidR="007D444B" w:rsidRPr="00A61684">
        <w:rPr>
          <w:szCs w:val="22"/>
        </w:rPr>
        <w:t>declined to forbear from</w:t>
      </w:r>
      <w:r w:rsidRPr="00A61684">
        <w:rPr>
          <w:szCs w:val="22"/>
        </w:rPr>
        <w:t xml:space="preserve"> applying</w:t>
      </w:r>
      <w:r w:rsidR="007D444B" w:rsidRPr="00A61684">
        <w:rPr>
          <w:szCs w:val="22"/>
        </w:rPr>
        <w:t xml:space="preserve"> section 222</w:t>
      </w:r>
      <w:r w:rsidRPr="00A61684">
        <w:rPr>
          <w:szCs w:val="22"/>
        </w:rPr>
        <w:t xml:space="preserve"> to BIAS providers</w:t>
      </w:r>
      <w:r w:rsidR="007000A3">
        <w:rPr>
          <w:szCs w:val="22"/>
        </w:rPr>
        <w:t>.</w:t>
      </w:r>
      <w:r>
        <w:rPr>
          <w:rStyle w:val="FootnoteReference"/>
          <w:szCs w:val="22"/>
        </w:rPr>
        <w:footnoteReference w:id="6"/>
      </w:r>
      <w:r w:rsidR="007000A3">
        <w:rPr>
          <w:szCs w:val="22"/>
        </w:rPr>
        <w:t xml:space="preserve">  </w:t>
      </w:r>
      <w:r w:rsidR="007D444B" w:rsidRPr="00FE0156">
        <w:rPr>
          <w:szCs w:val="22"/>
        </w:rPr>
        <w:t xml:space="preserve">The Commission </w:t>
      </w:r>
      <w:r w:rsidR="00D416CC">
        <w:rPr>
          <w:szCs w:val="22"/>
        </w:rPr>
        <w:t>found</w:t>
      </w:r>
      <w:r w:rsidR="007D444B" w:rsidRPr="00FE0156">
        <w:rPr>
          <w:szCs w:val="22"/>
        </w:rPr>
        <w:t xml:space="preserve"> that broadband providers “serve </w:t>
      </w:r>
      <w:r w:rsidR="007D444B" w:rsidRPr="00FE0156">
        <w:rPr>
          <w:szCs w:val="22"/>
        </w:rPr>
        <w:lastRenderedPageBreak/>
        <w:t>as a necessary conduit for information passing between an Internet user and Internet sites or other Internet users, and are in a positio</w:t>
      </w:r>
      <w:r w:rsidR="007D444B" w:rsidRPr="00A61684">
        <w:rPr>
          <w:szCs w:val="22"/>
        </w:rPr>
        <w:t>n to obtain vast amounts of personal and proprietary information about their customers.”</w:t>
      </w:r>
      <w:r w:rsidR="007D444B">
        <w:rPr>
          <w:rStyle w:val="FootnoteReference"/>
          <w:szCs w:val="22"/>
        </w:rPr>
        <w:footnoteReference w:id="7"/>
      </w:r>
      <w:r w:rsidR="007E172B" w:rsidRPr="00FE0156">
        <w:rPr>
          <w:szCs w:val="22"/>
        </w:rPr>
        <w:t xml:space="preserve">  </w:t>
      </w:r>
      <w:r w:rsidR="00D416CC">
        <w:rPr>
          <w:szCs w:val="22"/>
        </w:rPr>
        <w:t>R</w:t>
      </w:r>
      <w:r w:rsidR="00610E2B" w:rsidRPr="00FE0156">
        <w:rPr>
          <w:szCs w:val="22"/>
        </w:rPr>
        <w:t>ecognizing</w:t>
      </w:r>
      <w:r w:rsidR="00D416CC">
        <w:rPr>
          <w:szCs w:val="22"/>
        </w:rPr>
        <w:t>, however,</w:t>
      </w:r>
      <w:r w:rsidR="00610E2B" w:rsidRPr="00FE0156">
        <w:rPr>
          <w:szCs w:val="22"/>
        </w:rPr>
        <w:t xml:space="preserve"> that the existing rules</w:t>
      </w:r>
      <w:r w:rsidR="003B6DF4" w:rsidRPr="00FE0156">
        <w:rPr>
          <w:szCs w:val="22"/>
        </w:rPr>
        <w:t xml:space="preserve"> were written for voice services, </w:t>
      </w:r>
      <w:r w:rsidR="00D416CC">
        <w:rPr>
          <w:szCs w:val="22"/>
        </w:rPr>
        <w:t>the Commission held it was “</w:t>
      </w:r>
      <w:r w:rsidR="00D416CC">
        <w:t>not persuaded that the Commission’s current rules implementing section 222 necessarily would be well suited to broadband Internet access service.”</w:t>
      </w:r>
      <w:r w:rsidR="00D416CC">
        <w:rPr>
          <w:rStyle w:val="FootnoteReference"/>
        </w:rPr>
        <w:footnoteReference w:id="8"/>
      </w:r>
      <w:r w:rsidR="00D416CC">
        <w:t xml:space="preserve">  It therefore </w:t>
      </w:r>
      <w:r w:rsidR="007E172B" w:rsidRPr="00A61684">
        <w:rPr>
          <w:szCs w:val="22"/>
        </w:rPr>
        <w:t>forbo</w:t>
      </w:r>
      <w:r w:rsidR="007D444B" w:rsidRPr="00A61684">
        <w:rPr>
          <w:szCs w:val="22"/>
        </w:rPr>
        <w:t>r</w:t>
      </w:r>
      <w:r w:rsidR="007E172B" w:rsidRPr="00A61684">
        <w:rPr>
          <w:szCs w:val="22"/>
        </w:rPr>
        <w:t>e</w:t>
      </w:r>
      <w:r w:rsidR="007D444B" w:rsidRPr="00A61684">
        <w:rPr>
          <w:szCs w:val="22"/>
        </w:rPr>
        <w:t xml:space="preserve"> from applying </w:t>
      </w:r>
      <w:r w:rsidRPr="00A61684">
        <w:rPr>
          <w:szCs w:val="22"/>
        </w:rPr>
        <w:t xml:space="preserve">the </w:t>
      </w:r>
      <w:r w:rsidR="007D444B" w:rsidRPr="00A61684">
        <w:rPr>
          <w:szCs w:val="22"/>
        </w:rPr>
        <w:t xml:space="preserve">section 222 </w:t>
      </w:r>
      <w:r w:rsidR="00B25006" w:rsidRPr="00A61684">
        <w:rPr>
          <w:szCs w:val="22"/>
        </w:rPr>
        <w:t xml:space="preserve">rules </w:t>
      </w:r>
      <w:r w:rsidR="007D444B" w:rsidRPr="00A61684">
        <w:rPr>
          <w:szCs w:val="22"/>
        </w:rPr>
        <w:t>to</w:t>
      </w:r>
      <w:r w:rsidR="00481066" w:rsidRPr="00A61684">
        <w:rPr>
          <w:szCs w:val="22"/>
        </w:rPr>
        <w:t xml:space="preserve"> BIAS services</w:t>
      </w:r>
      <w:r w:rsidR="007D444B" w:rsidRPr="00A61684">
        <w:rPr>
          <w:szCs w:val="22"/>
        </w:rPr>
        <w:t>, “pending adoption of rules to govern broadband Internet access service in a separate rulemaking proceeding.”</w:t>
      </w:r>
      <w:r w:rsidR="007D444B">
        <w:rPr>
          <w:rStyle w:val="FootnoteReference"/>
          <w:szCs w:val="22"/>
        </w:rPr>
        <w:footnoteReference w:id="9"/>
      </w:r>
      <w:r w:rsidR="007D444B" w:rsidRPr="00FE0156">
        <w:rPr>
          <w:szCs w:val="22"/>
        </w:rPr>
        <w:t xml:space="preserve"> </w:t>
      </w:r>
      <w:r w:rsidR="00D416CC">
        <w:rPr>
          <w:szCs w:val="22"/>
        </w:rPr>
        <w:t xml:space="preserve"> </w:t>
      </w:r>
      <w:r w:rsidR="003B6DF4" w:rsidRPr="00FE0156">
        <w:rPr>
          <w:szCs w:val="22"/>
        </w:rPr>
        <w:t>At the</w:t>
      </w:r>
      <w:r w:rsidR="003B6DF4" w:rsidRPr="00A61684">
        <w:rPr>
          <w:szCs w:val="22"/>
        </w:rPr>
        <w:t xml:space="preserve"> same time, the Commission </w:t>
      </w:r>
      <w:r w:rsidR="00B25006" w:rsidRPr="00A61684">
        <w:rPr>
          <w:szCs w:val="22"/>
        </w:rPr>
        <w:t>specified that in reclassifying BIAS, it was not</w:t>
      </w:r>
      <w:r w:rsidR="003B6DF4" w:rsidRPr="00A61684">
        <w:rPr>
          <w:szCs w:val="22"/>
        </w:rPr>
        <w:t xml:space="preserve"> “regulating the Internet, </w:t>
      </w:r>
      <w:r w:rsidR="003B6DF4" w:rsidRPr="00A61684">
        <w:rPr>
          <w:i/>
          <w:szCs w:val="22"/>
        </w:rPr>
        <w:t>per se</w:t>
      </w:r>
      <w:r w:rsidR="003B6DF4" w:rsidRPr="00A61684">
        <w:rPr>
          <w:szCs w:val="22"/>
        </w:rPr>
        <w:t>, or any Internet applications or content.”</w:t>
      </w:r>
      <w:r w:rsidR="00D416CC">
        <w:rPr>
          <w:rStyle w:val="FootnoteReference"/>
          <w:szCs w:val="22"/>
        </w:rPr>
        <w:footnoteReference w:id="10"/>
      </w:r>
      <w:r w:rsidR="003B6DF4" w:rsidRPr="00A61684">
        <w:rPr>
          <w:szCs w:val="22"/>
        </w:rPr>
        <w:t xml:space="preserve">  Rather, as the Commission explained, its “reclassification of broadband Internet access service involves only the transmission component of Internet access service.”</w:t>
      </w:r>
      <w:r w:rsidR="003B6DF4">
        <w:rPr>
          <w:rStyle w:val="FootnoteReference"/>
          <w:szCs w:val="22"/>
        </w:rPr>
        <w:footnoteReference w:id="11"/>
      </w:r>
      <w:r w:rsidR="003B6DF4">
        <w:t xml:space="preserve">  </w:t>
      </w:r>
    </w:p>
    <w:p w14:paraId="1EDD5BB1" w14:textId="77777777" w:rsidR="00C57B5E" w:rsidRPr="00866A2E" w:rsidRDefault="008D6907" w:rsidP="007000A3">
      <w:pPr>
        <w:pStyle w:val="ParaNum"/>
        <w:widowControl/>
        <w:tabs>
          <w:tab w:val="left" w:pos="3600"/>
        </w:tabs>
      </w:pPr>
      <w:r w:rsidRPr="00FE0156">
        <w:rPr>
          <w:szCs w:val="22"/>
        </w:rPr>
        <w:t>Consumer Watchdog</w:t>
      </w:r>
      <w:r w:rsidR="003D688C" w:rsidRPr="00FE0156">
        <w:rPr>
          <w:szCs w:val="22"/>
        </w:rPr>
        <w:t>’</w:t>
      </w:r>
      <w:r w:rsidR="003D688C" w:rsidRPr="00A61684">
        <w:rPr>
          <w:szCs w:val="22"/>
        </w:rPr>
        <w:t>s request that</w:t>
      </w:r>
      <w:r w:rsidRPr="00A61684">
        <w:rPr>
          <w:szCs w:val="22"/>
        </w:rPr>
        <w:t xml:space="preserve"> </w:t>
      </w:r>
      <w:r w:rsidR="003D688C" w:rsidRPr="00A61684">
        <w:rPr>
          <w:szCs w:val="22"/>
        </w:rPr>
        <w:t>“</w:t>
      </w:r>
      <w:r w:rsidRPr="00A61684">
        <w:rPr>
          <w:szCs w:val="22"/>
        </w:rPr>
        <w:t>the Commission should, in addition to the CPNI rules it intends to adopt, promulgate rules protecting the authorized use of consumers’ personal information by requiring edge providers to honor ‘Do Not Track’ Requests”</w:t>
      </w:r>
      <w:r w:rsidR="003D688C" w:rsidRPr="00A61684">
        <w:rPr>
          <w:szCs w:val="22"/>
        </w:rPr>
        <w:t xml:space="preserve"> is inconsistent with the Commission’s articulation of the </w:t>
      </w:r>
      <w:r w:rsidR="00A61684">
        <w:rPr>
          <w:szCs w:val="22"/>
        </w:rPr>
        <w:t xml:space="preserve">effect of its reclassification of BIAS and the scope of the </w:t>
      </w:r>
      <w:r w:rsidR="003D688C" w:rsidRPr="00FE0156">
        <w:rPr>
          <w:szCs w:val="22"/>
        </w:rPr>
        <w:t xml:space="preserve">privacy practices it </w:t>
      </w:r>
      <w:r w:rsidR="00E64FC8">
        <w:rPr>
          <w:szCs w:val="22"/>
        </w:rPr>
        <w:t xml:space="preserve">stated that it </w:t>
      </w:r>
      <w:r w:rsidR="003D688C" w:rsidRPr="00FE0156">
        <w:rPr>
          <w:szCs w:val="22"/>
        </w:rPr>
        <w:t>intends to address</w:t>
      </w:r>
      <w:r w:rsidR="00A61684">
        <w:rPr>
          <w:szCs w:val="22"/>
        </w:rPr>
        <w:t xml:space="preserve"> pursuant to that reclassification</w:t>
      </w:r>
      <w:r w:rsidR="003D688C" w:rsidRPr="00FE0156">
        <w:rPr>
          <w:szCs w:val="22"/>
        </w:rPr>
        <w:t>.</w:t>
      </w:r>
      <w:r>
        <w:rPr>
          <w:rStyle w:val="FootnoteReference"/>
          <w:szCs w:val="22"/>
        </w:rPr>
        <w:footnoteReference w:id="12"/>
      </w:r>
      <w:r w:rsidR="007D444B" w:rsidRPr="00FE0156">
        <w:rPr>
          <w:szCs w:val="22"/>
        </w:rPr>
        <w:t xml:space="preserve">  </w:t>
      </w:r>
      <w:r w:rsidR="003D688C" w:rsidRPr="00FE0156">
        <w:rPr>
          <w:szCs w:val="22"/>
        </w:rPr>
        <w:t>We therefore</w:t>
      </w:r>
      <w:r w:rsidR="003D688C" w:rsidRPr="00A61684">
        <w:rPr>
          <w:szCs w:val="22"/>
        </w:rPr>
        <w:t xml:space="preserve"> </w:t>
      </w:r>
      <w:r w:rsidR="00866A2E" w:rsidRPr="00A61684">
        <w:rPr>
          <w:szCs w:val="22"/>
        </w:rPr>
        <w:t>find that the Consumer Watchdog Petition</w:t>
      </w:r>
      <w:r w:rsidR="00A61684">
        <w:rPr>
          <w:szCs w:val="22"/>
        </w:rPr>
        <w:t xml:space="preserve"> plainly</w:t>
      </w:r>
      <w:r w:rsidR="00866A2E" w:rsidRPr="00FE0156">
        <w:rPr>
          <w:szCs w:val="22"/>
        </w:rPr>
        <w:t xml:space="preserve"> does not warrant consideration by the Commission pursuant to section 1.401(e) of the Commission’s rules.</w:t>
      </w:r>
    </w:p>
    <w:p w14:paraId="2D135E5B" w14:textId="69606C9A" w:rsidR="00C57B5E" w:rsidRDefault="00C57B5E" w:rsidP="007000A3">
      <w:pPr>
        <w:pStyle w:val="ParaNum"/>
        <w:widowControl/>
        <w:tabs>
          <w:tab w:val="left" w:pos="3600"/>
        </w:tabs>
        <w:rPr>
          <w:szCs w:val="22"/>
        </w:rPr>
      </w:pPr>
      <w:bookmarkStart w:id="1" w:name="_Ref228616763"/>
      <w:r w:rsidRPr="006601CF">
        <w:rPr>
          <w:szCs w:val="22"/>
        </w:rPr>
        <w:t>Accordingly, IT IS OR</w:t>
      </w:r>
      <w:r w:rsidR="00866A2E">
        <w:rPr>
          <w:szCs w:val="22"/>
        </w:rPr>
        <w:t>DERED that, pursuant to section</w:t>
      </w:r>
      <w:r w:rsidR="00AB21CC">
        <w:rPr>
          <w:szCs w:val="22"/>
        </w:rPr>
        <w:t>s 0.91, 0.291, and</w:t>
      </w:r>
      <w:r w:rsidRPr="006601CF">
        <w:rPr>
          <w:szCs w:val="22"/>
        </w:rPr>
        <w:t xml:space="preserve"> </w:t>
      </w:r>
      <w:r w:rsidR="00866A2E">
        <w:rPr>
          <w:szCs w:val="22"/>
        </w:rPr>
        <w:t>1.401(e)</w:t>
      </w:r>
      <w:r>
        <w:rPr>
          <w:szCs w:val="22"/>
        </w:rPr>
        <w:t xml:space="preserve"> </w:t>
      </w:r>
      <w:r w:rsidRPr="006601CF">
        <w:rPr>
          <w:szCs w:val="22"/>
        </w:rPr>
        <w:t>of the Commission</w:t>
      </w:r>
      <w:r>
        <w:rPr>
          <w:szCs w:val="22"/>
        </w:rPr>
        <w:t>’</w:t>
      </w:r>
      <w:r w:rsidR="00EF089F">
        <w:rPr>
          <w:szCs w:val="22"/>
        </w:rPr>
        <w:t>s r</w:t>
      </w:r>
      <w:r w:rsidR="00866A2E">
        <w:rPr>
          <w:szCs w:val="22"/>
        </w:rPr>
        <w:t xml:space="preserve">ules, 47 C.F.R. </w:t>
      </w:r>
      <w:r w:rsidR="00AB21CC">
        <w:rPr>
          <w:szCs w:val="22"/>
        </w:rPr>
        <w:t>§</w:t>
      </w:r>
      <w:r w:rsidR="00866A2E">
        <w:rPr>
          <w:szCs w:val="22"/>
        </w:rPr>
        <w:t xml:space="preserve">§ </w:t>
      </w:r>
      <w:r w:rsidR="00AB21CC">
        <w:rPr>
          <w:szCs w:val="22"/>
        </w:rPr>
        <w:t xml:space="preserve">0.91, 0.291, </w:t>
      </w:r>
      <w:r w:rsidR="00866A2E">
        <w:rPr>
          <w:szCs w:val="22"/>
        </w:rPr>
        <w:t>1.401(e)</w:t>
      </w:r>
      <w:r w:rsidR="003C5FFE">
        <w:rPr>
          <w:szCs w:val="22"/>
        </w:rPr>
        <w:t>,</w:t>
      </w:r>
      <w:r w:rsidRPr="006601CF">
        <w:rPr>
          <w:szCs w:val="22"/>
        </w:rPr>
        <w:t xml:space="preserve"> </w:t>
      </w:r>
      <w:r w:rsidR="00866A2E">
        <w:rPr>
          <w:szCs w:val="22"/>
        </w:rPr>
        <w:t>Consumer Watchdog’s Petition for Rulemaking to</w:t>
      </w:r>
      <w:r w:rsidR="00866A2E">
        <w:rPr>
          <w:spacing w:val="-2"/>
          <w:szCs w:val="22"/>
        </w:rPr>
        <w:t xml:space="preserve"> Require Edge Providers to Honor ‘Do Not Track’ Requests</w:t>
      </w:r>
      <w:r w:rsidR="00866A2E" w:rsidRPr="006601CF">
        <w:rPr>
          <w:szCs w:val="22"/>
        </w:rPr>
        <w:t xml:space="preserve"> </w:t>
      </w:r>
      <w:r w:rsidR="00866A2E">
        <w:rPr>
          <w:szCs w:val="22"/>
        </w:rPr>
        <w:t xml:space="preserve">IS </w:t>
      </w:r>
      <w:r w:rsidR="00667F1D">
        <w:rPr>
          <w:szCs w:val="22"/>
        </w:rPr>
        <w:t>DISMISSED</w:t>
      </w:r>
      <w:r w:rsidR="00866A2E">
        <w:rPr>
          <w:szCs w:val="22"/>
        </w:rPr>
        <w:t>.</w:t>
      </w:r>
      <w:bookmarkStart w:id="2" w:name="comebackhere"/>
      <w:bookmarkEnd w:id="2"/>
    </w:p>
    <w:p w14:paraId="5B17A6B8" w14:textId="26424383" w:rsidR="00C57B5E" w:rsidRDefault="00EF089F" w:rsidP="00EF089F">
      <w:pPr>
        <w:pStyle w:val="ParaNum"/>
        <w:widowControl/>
        <w:tabs>
          <w:tab w:val="left" w:pos="3600"/>
        </w:tabs>
        <w:rPr>
          <w:szCs w:val="22"/>
        </w:rPr>
      </w:pPr>
      <w:r>
        <w:rPr>
          <w:szCs w:val="22"/>
        </w:rPr>
        <w:t xml:space="preserve">IT IS FURTHER ORDERED, pursuant to section 1.102(b)(1) of the Commission’s rules, 47 C.F.R. </w:t>
      </w:r>
      <w:r w:rsidRPr="006601CF">
        <w:rPr>
          <w:szCs w:val="22"/>
        </w:rPr>
        <w:t>§ </w:t>
      </w:r>
      <w:r>
        <w:rPr>
          <w:szCs w:val="22"/>
        </w:rPr>
        <w:t xml:space="preserve">1.102(b)(1), that this Order IS EFFECTIVE upon release.  Petitions for reconsideration under section 1.429 of the Commission’s rules, 47.C.F.R. </w:t>
      </w:r>
      <w:r w:rsidRPr="006601CF">
        <w:rPr>
          <w:szCs w:val="22"/>
        </w:rPr>
        <w:t>§ </w:t>
      </w:r>
      <w:r>
        <w:rPr>
          <w:szCs w:val="22"/>
        </w:rPr>
        <w:t xml:space="preserve">1.429, or applications for review under section 1.115 of the Commission’s rules, 47 C.F.R. </w:t>
      </w:r>
      <w:r w:rsidRPr="006601CF">
        <w:rPr>
          <w:szCs w:val="22"/>
        </w:rPr>
        <w:t>§ </w:t>
      </w:r>
      <w:r>
        <w:rPr>
          <w:szCs w:val="22"/>
        </w:rPr>
        <w:t>1.115, may be filed within thirty days of the date of public notice of this Order</w:t>
      </w:r>
      <w:bookmarkEnd w:id="1"/>
      <w:r w:rsidR="00C57B5E" w:rsidRPr="00EF089F">
        <w:rPr>
          <w:szCs w:val="22"/>
        </w:rPr>
        <w:t>.</w:t>
      </w:r>
    </w:p>
    <w:p w14:paraId="5A642047" w14:textId="42B08909" w:rsidR="005A4989" w:rsidRDefault="005A4989" w:rsidP="00EF089F">
      <w:pPr>
        <w:pStyle w:val="ParaNum"/>
        <w:widowControl/>
        <w:numPr>
          <w:ilvl w:val="0"/>
          <w:numId w:val="0"/>
        </w:numPr>
        <w:tabs>
          <w:tab w:val="left" w:pos="3600"/>
        </w:tabs>
        <w:rPr>
          <w:szCs w:val="22"/>
        </w:rPr>
      </w:pPr>
    </w:p>
    <w:p w14:paraId="751E89BC" w14:textId="71588CED" w:rsidR="00EF089F" w:rsidRPr="00423BAD" w:rsidRDefault="00EF089F" w:rsidP="00EF089F">
      <w:pPr>
        <w:keepNext/>
        <w:tabs>
          <w:tab w:val="left" w:pos="3600"/>
          <w:tab w:val="left" w:pos="4680"/>
        </w:tabs>
        <w:rPr>
          <w:rFonts w:ascii="Times New Roman" w:hAnsi="Times New Roman"/>
        </w:rPr>
      </w:pPr>
      <w:r>
        <w:rPr>
          <w:rFonts w:ascii="Times New Roman" w:hAnsi="Times New Roman"/>
        </w:rPr>
        <w:tab/>
      </w:r>
      <w:r>
        <w:rPr>
          <w:rFonts w:ascii="Times New Roman" w:hAnsi="Times New Roman"/>
        </w:rPr>
        <w:tab/>
      </w:r>
      <w:r w:rsidRPr="00423BAD">
        <w:rPr>
          <w:rFonts w:ascii="Times New Roman" w:hAnsi="Times New Roman"/>
        </w:rPr>
        <w:t>FEDERAL COMMUNICATIONS COMMISSION</w:t>
      </w:r>
    </w:p>
    <w:p w14:paraId="2F96EF8D" w14:textId="77777777" w:rsidR="00EF089F" w:rsidRPr="00423BAD" w:rsidRDefault="00EF089F" w:rsidP="00EF089F">
      <w:pPr>
        <w:keepNext/>
        <w:tabs>
          <w:tab w:val="left" w:pos="3600"/>
        </w:tabs>
        <w:rPr>
          <w:rFonts w:ascii="Times New Roman" w:hAnsi="Times New Roman"/>
        </w:rPr>
      </w:pPr>
    </w:p>
    <w:p w14:paraId="4C70D09C" w14:textId="77777777" w:rsidR="00EF089F" w:rsidRPr="00423BAD" w:rsidRDefault="00EF089F" w:rsidP="00EF089F">
      <w:pPr>
        <w:keepNext/>
        <w:tabs>
          <w:tab w:val="left" w:pos="3600"/>
        </w:tabs>
        <w:rPr>
          <w:rFonts w:ascii="Times New Roman" w:hAnsi="Times New Roman"/>
        </w:rPr>
      </w:pPr>
    </w:p>
    <w:p w14:paraId="1EFFC917" w14:textId="77777777" w:rsidR="00EF089F" w:rsidRPr="00423BAD" w:rsidRDefault="00EF089F" w:rsidP="00EF089F">
      <w:pPr>
        <w:keepNext/>
        <w:tabs>
          <w:tab w:val="left" w:pos="3600"/>
        </w:tabs>
        <w:rPr>
          <w:rFonts w:ascii="Times New Roman" w:hAnsi="Times New Roman"/>
        </w:rPr>
      </w:pPr>
    </w:p>
    <w:p w14:paraId="55D237B8" w14:textId="77777777" w:rsidR="00EF089F" w:rsidRPr="00423BAD" w:rsidRDefault="00EF089F" w:rsidP="00EF089F">
      <w:pPr>
        <w:keepNext/>
        <w:tabs>
          <w:tab w:val="left" w:pos="3600"/>
        </w:tabs>
        <w:rPr>
          <w:rFonts w:ascii="Times New Roman" w:hAnsi="Times New Roman"/>
        </w:rPr>
      </w:pPr>
    </w:p>
    <w:p w14:paraId="7CB068CE" w14:textId="6D2365FE" w:rsidR="00EF089F" w:rsidRPr="00423BAD" w:rsidRDefault="00EF089F" w:rsidP="00EF089F">
      <w:pPr>
        <w:keepNext/>
        <w:tabs>
          <w:tab w:val="left" w:pos="3600"/>
          <w:tab w:val="left" w:pos="4680"/>
        </w:tabs>
        <w:rPr>
          <w:rFonts w:ascii="Times New Roman" w:hAnsi="Times New Roman"/>
          <w:lang w:val="fr-FR"/>
        </w:rPr>
      </w:pPr>
      <w:r w:rsidRPr="00423BAD">
        <w:rPr>
          <w:rFonts w:ascii="Times New Roman" w:hAnsi="Times New Roman"/>
        </w:rPr>
        <w:tab/>
      </w:r>
      <w:r>
        <w:rPr>
          <w:rFonts w:ascii="Times New Roman" w:hAnsi="Times New Roman"/>
        </w:rPr>
        <w:tab/>
      </w:r>
      <w:r w:rsidRPr="00423BAD">
        <w:rPr>
          <w:rFonts w:ascii="Times New Roman" w:hAnsi="Times New Roman"/>
        </w:rPr>
        <w:t>Matthew S. DelNero</w:t>
      </w:r>
    </w:p>
    <w:p w14:paraId="16B1944F" w14:textId="020CB1E5" w:rsidR="00EF089F" w:rsidRPr="00423BAD" w:rsidRDefault="00EF089F" w:rsidP="00EF089F">
      <w:pPr>
        <w:keepNext/>
        <w:tabs>
          <w:tab w:val="left" w:pos="3600"/>
          <w:tab w:val="left" w:pos="4680"/>
        </w:tabs>
        <w:rPr>
          <w:rFonts w:ascii="Times New Roman" w:hAnsi="Times New Roman"/>
          <w:lang w:val="fr-FR"/>
        </w:rPr>
      </w:pPr>
      <w:r w:rsidRPr="00423BAD">
        <w:rPr>
          <w:rFonts w:ascii="Times New Roman" w:hAnsi="Times New Roman"/>
          <w:lang w:val="fr-FR"/>
        </w:rPr>
        <w:tab/>
      </w:r>
      <w:r>
        <w:rPr>
          <w:rFonts w:ascii="Times New Roman" w:hAnsi="Times New Roman"/>
          <w:lang w:val="fr-FR"/>
        </w:rPr>
        <w:tab/>
      </w:r>
      <w:r w:rsidRPr="00423BAD">
        <w:rPr>
          <w:rFonts w:ascii="Times New Roman" w:hAnsi="Times New Roman"/>
        </w:rPr>
        <w:t>Chief, Wireline Competition Bureau</w:t>
      </w:r>
    </w:p>
    <w:p w14:paraId="0986029A" w14:textId="77777777" w:rsidR="00EF089F" w:rsidRPr="00EF089F" w:rsidRDefault="00EF089F" w:rsidP="00EF089F">
      <w:pPr>
        <w:pStyle w:val="ParaNum"/>
        <w:widowControl/>
        <w:numPr>
          <w:ilvl w:val="0"/>
          <w:numId w:val="0"/>
        </w:numPr>
        <w:tabs>
          <w:tab w:val="left" w:pos="3600"/>
        </w:tabs>
        <w:rPr>
          <w:szCs w:val="22"/>
        </w:rPr>
      </w:pPr>
    </w:p>
    <w:sectPr w:rsidR="00EF089F" w:rsidRPr="00EF089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CCF51" w14:textId="77777777" w:rsidR="005939EF" w:rsidRDefault="005939EF">
      <w:pPr>
        <w:spacing w:line="20" w:lineRule="exact"/>
      </w:pPr>
    </w:p>
  </w:endnote>
  <w:endnote w:type="continuationSeparator" w:id="0">
    <w:p w14:paraId="3B201729" w14:textId="77777777" w:rsidR="005939EF" w:rsidRDefault="005939EF">
      <w:r>
        <w:t xml:space="preserve"> </w:t>
      </w:r>
    </w:p>
  </w:endnote>
  <w:endnote w:type="continuationNotice" w:id="1">
    <w:p w14:paraId="08B9B56E" w14:textId="77777777" w:rsidR="005939EF" w:rsidRDefault="005939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E78DE" w14:textId="77777777" w:rsidR="00866A2E" w:rsidRDefault="00866A2E" w:rsidP="0055614C">
    <w:pPr>
      <w:pStyle w:val="Footer"/>
      <w:framePr w:wrap="around" w:vAnchor="text" w:hAnchor="margin" w:xAlign="center" w:y="1"/>
    </w:pPr>
    <w:r>
      <w:fldChar w:fldCharType="begin"/>
    </w:r>
    <w:r>
      <w:instrText xml:space="preserve">PAGE  </w:instrText>
    </w:r>
    <w:r>
      <w:fldChar w:fldCharType="end"/>
    </w:r>
  </w:p>
  <w:p w14:paraId="29DFC46D" w14:textId="77777777" w:rsidR="00866A2E" w:rsidRDefault="00866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3ED8E" w14:textId="77777777" w:rsidR="00866A2E" w:rsidRDefault="00866A2E" w:rsidP="0055614C">
    <w:pPr>
      <w:pStyle w:val="Footer"/>
      <w:framePr w:wrap="around" w:vAnchor="text" w:hAnchor="margin" w:xAlign="center" w:y="1"/>
    </w:pPr>
    <w:r>
      <w:fldChar w:fldCharType="begin"/>
    </w:r>
    <w:r>
      <w:instrText xml:space="preserve">PAGE  </w:instrText>
    </w:r>
    <w:r>
      <w:fldChar w:fldCharType="separate"/>
    </w:r>
    <w:r w:rsidR="001A024F">
      <w:rPr>
        <w:noProof/>
      </w:rPr>
      <w:t>2</w:t>
    </w:r>
    <w:r>
      <w:fldChar w:fldCharType="end"/>
    </w:r>
  </w:p>
  <w:p w14:paraId="06DD23A7" w14:textId="77777777" w:rsidR="00866A2E" w:rsidRDefault="00866A2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5FC62" w14:textId="77777777" w:rsidR="00866A2E" w:rsidRDefault="00866A2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81230" w14:textId="77777777" w:rsidR="005939EF" w:rsidRDefault="005939EF">
      <w:r>
        <w:separator/>
      </w:r>
    </w:p>
  </w:footnote>
  <w:footnote w:type="continuationSeparator" w:id="0">
    <w:p w14:paraId="69BB4FF1" w14:textId="77777777" w:rsidR="005939EF" w:rsidRDefault="005939EF" w:rsidP="00C721AC">
      <w:pPr>
        <w:spacing w:before="120"/>
        <w:rPr>
          <w:sz w:val="20"/>
        </w:rPr>
      </w:pPr>
      <w:r>
        <w:rPr>
          <w:sz w:val="20"/>
        </w:rPr>
        <w:t xml:space="preserve">(Continued from previous page)  </w:t>
      </w:r>
      <w:r>
        <w:rPr>
          <w:sz w:val="20"/>
        </w:rPr>
        <w:separator/>
      </w:r>
    </w:p>
  </w:footnote>
  <w:footnote w:type="continuationNotice" w:id="1">
    <w:p w14:paraId="7FD0E60A" w14:textId="77777777" w:rsidR="005939EF" w:rsidRDefault="005939EF" w:rsidP="00C721AC">
      <w:pPr>
        <w:jc w:val="right"/>
        <w:rPr>
          <w:sz w:val="20"/>
        </w:rPr>
      </w:pPr>
      <w:r>
        <w:rPr>
          <w:sz w:val="20"/>
        </w:rPr>
        <w:t>(continued …)</w:t>
      </w:r>
    </w:p>
  </w:footnote>
  <w:footnote w:id="2">
    <w:p w14:paraId="742DE173" w14:textId="77777777" w:rsidR="00CE518A" w:rsidRDefault="00CE518A" w:rsidP="00CE518A">
      <w:pPr>
        <w:pStyle w:val="FootnoteText"/>
      </w:pPr>
      <w:r>
        <w:rPr>
          <w:rStyle w:val="FootnoteReference"/>
        </w:rPr>
        <w:footnoteRef/>
      </w:r>
      <w:r>
        <w:t xml:space="preserve"> </w:t>
      </w:r>
      <w:r w:rsidR="00B25006" w:rsidRPr="00B25006">
        <w:rPr>
          <w:i/>
        </w:rPr>
        <w:t>See</w:t>
      </w:r>
      <w:r w:rsidR="00B25006">
        <w:t xml:space="preserve"> </w:t>
      </w:r>
      <w:r w:rsidRPr="00FE0156">
        <w:t>Consumer</w:t>
      </w:r>
      <w:r>
        <w:t xml:space="preserve"> Watchdog, Petition for Rulemaking to Require Edge Providers to Honor ‘Do Not Track’ Requests, at 1 (filed June 15, 2015) (Consumer Watchdog Petition).</w:t>
      </w:r>
    </w:p>
  </w:footnote>
  <w:footnote w:id="3">
    <w:p w14:paraId="1F2EF60F" w14:textId="77777777" w:rsidR="000D3DFB" w:rsidRDefault="000D3DFB">
      <w:pPr>
        <w:pStyle w:val="FootnoteText"/>
      </w:pPr>
      <w:r>
        <w:rPr>
          <w:rStyle w:val="FootnoteReference"/>
        </w:rPr>
        <w:footnoteRef/>
      </w:r>
      <w:r>
        <w:t xml:space="preserve"> </w:t>
      </w:r>
      <w:r w:rsidR="00423BAD">
        <w:rPr>
          <w:i/>
        </w:rPr>
        <w:t xml:space="preserve">See infra </w:t>
      </w:r>
      <w:r w:rsidR="00423BAD">
        <w:t>para. 3.</w:t>
      </w:r>
    </w:p>
  </w:footnote>
  <w:footnote w:id="4">
    <w:p w14:paraId="67A26BE6" w14:textId="77777777" w:rsidR="00866A2E" w:rsidRDefault="00866A2E">
      <w:pPr>
        <w:pStyle w:val="FootnoteText"/>
      </w:pPr>
      <w:r>
        <w:rPr>
          <w:rStyle w:val="FootnoteReference"/>
        </w:rPr>
        <w:footnoteRef/>
      </w:r>
      <w:r>
        <w:t xml:space="preserve"> 47 C.F.R. </w:t>
      </w:r>
      <w:r w:rsidRPr="006601CF">
        <w:rPr>
          <w:szCs w:val="22"/>
        </w:rPr>
        <w:t>§</w:t>
      </w:r>
      <w:r>
        <w:rPr>
          <w:szCs w:val="22"/>
        </w:rPr>
        <w:t xml:space="preserve"> 1.401(e) (“Petitions which are moot, premature, repetitive, frivolous, or which plainly do not warrant consideration by the Commission may be denied or dismissed without prejudice to the petitioner.”).</w:t>
      </w:r>
    </w:p>
  </w:footnote>
  <w:footnote w:id="5">
    <w:p w14:paraId="5D123736" w14:textId="5083A8A4" w:rsidR="00610E2B" w:rsidRPr="00423BAD" w:rsidRDefault="00610E2B" w:rsidP="00423BAD">
      <w:pPr>
        <w:spacing w:after="120"/>
        <w:rPr>
          <w:rFonts w:ascii="Times New Roman" w:hAnsi="Times New Roman"/>
          <w:snapToGrid w:val="0"/>
          <w:sz w:val="20"/>
          <w:szCs w:val="20"/>
        </w:rPr>
      </w:pPr>
      <w:r>
        <w:rPr>
          <w:rStyle w:val="FootnoteReference"/>
        </w:rPr>
        <w:footnoteRef/>
      </w:r>
      <w:r>
        <w:t xml:space="preserve"> </w:t>
      </w:r>
      <w:r w:rsidR="0048655C" w:rsidRPr="00423BAD">
        <w:rPr>
          <w:rFonts w:ascii="Times New Roman" w:hAnsi="Times New Roman"/>
          <w:i/>
          <w:sz w:val="20"/>
          <w:szCs w:val="20"/>
        </w:rPr>
        <w:t>See, e.g.</w:t>
      </w:r>
      <w:r w:rsidR="0048655C" w:rsidRPr="00423BAD">
        <w:rPr>
          <w:rFonts w:ascii="Times New Roman" w:hAnsi="Times New Roman"/>
          <w:sz w:val="20"/>
          <w:szCs w:val="20"/>
        </w:rPr>
        <w:t xml:space="preserve">, </w:t>
      </w:r>
      <w:r w:rsidR="0048655C" w:rsidRPr="00423BAD">
        <w:rPr>
          <w:rFonts w:ascii="Times New Roman" w:hAnsi="Times New Roman"/>
          <w:i/>
          <w:sz w:val="20"/>
          <w:szCs w:val="20"/>
        </w:rPr>
        <w:t>Implementation of the Telecommunications Act of 1996: Telecommunications Carriers’ Use of Customer Proprietary Network Information and Other Customer Information; IP-Enabled Services</w:t>
      </w:r>
      <w:r w:rsidR="0048655C" w:rsidRPr="00423BAD">
        <w:rPr>
          <w:rFonts w:ascii="Times New Roman" w:hAnsi="Times New Roman"/>
          <w:sz w:val="20"/>
          <w:szCs w:val="20"/>
        </w:rPr>
        <w:t xml:space="preserve">, CC Docket No. 96-115, WC Docket No. 04-36, Report and Order and Further Notice of Proposed Rulemaking, 22 FCC Rcd 6927, 6929, 6931-32, paras. 3, 7-9 (2007); </w:t>
      </w:r>
      <w:r w:rsidR="0048655C" w:rsidRPr="00423BAD">
        <w:rPr>
          <w:rFonts w:ascii="Times New Roman" w:hAnsi="Times New Roman"/>
          <w:i/>
          <w:sz w:val="20"/>
          <w:szCs w:val="20"/>
        </w:rPr>
        <w:t xml:space="preserve">see also </w:t>
      </w:r>
      <w:r w:rsidR="00423BAD" w:rsidRPr="00423BAD">
        <w:rPr>
          <w:rFonts w:ascii="Times New Roman" w:hAnsi="Times New Roman"/>
          <w:i/>
          <w:snapToGrid w:val="0"/>
          <w:sz w:val="20"/>
          <w:szCs w:val="20"/>
        </w:rPr>
        <w:t>TerraCom, Inc and YourTel America, Inc.</w:t>
      </w:r>
      <w:r w:rsidR="00423BAD" w:rsidRPr="00423BAD">
        <w:rPr>
          <w:rFonts w:ascii="Times New Roman" w:hAnsi="Times New Roman"/>
          <w:snapToGrid w:val="0"/>
          <w:sz w:val="20"/>
          <w:szCs w:val="20"/>
        </w:rPr>
        <w:t xml:space="preserve">, Notice of Apparent Liability for Forfeiture, </w:t>
      </w:r>
      <w:r w:rsidR="00423BAD" w:rsidRPr="00423BAD">
        <w:rPr>
          <w:rFonts w:ascii="Times New Roman" w:hAnsi="Times New Roman"/>
          <w:sz w:val="20"/>
          <w:szCs w:val="20"/>
        </w:rPr>
        <w:t xml:space="preserve">File No.: EB-TCD-13-00009175, </w:t>
      </w:r>
      <w:hyperlink r:id="rId1" w:history="1">
        <w:r w:rsidR="00423BAD" w:rsidRPr="00423BAD">
          <w:rPr>
            <w:rStyle w:val="Hyperlink"/>
            <w:rFonts w:ascii="Times New Roman" w:hAnsi="Times New Roman"/>
            <w:snapToGrid w:val="0"/>
            <w:color w:val="auto"/>
            <w:sz w:val="20"/>
            <w:szCs w:val="20"/>
            <w:u w:val="none"/>
          </w:rPr>
          <w:t>29 FCC Rcd 13325 (2014)</w:t>
        </w:r>
      </w:hyperlink>
      <w:r w:rsidR="00423BAD" w:rsidRPr="00423BAD">
        <w:rPr>
          <w:rFonts w:ascii="Times New Roman" w:hAnsi="Times New Roman"/>
          <w:snapToGrid w:val="0"/>
          <w:sz w:val="20"/>
          <w:szCs w:val="20"/>
        </w:rPr>
        <w:t> (</w:t>
      </w:r>
      <w:r w:rsidR="00423BAD" w:rsidRPr="00423BAD">
        <w:rPr>
          <w:rFonts w:ascii="Times New Roman" w:hAnsi="Times New Roman"/>
          <w:i/>
          <w:iCs/>
          <w:snapToGrid w:val="0"/>
          <w:sz w:val="20"/>
          <w:szCs w:val="20"/>
        </w:rPr>
        <w:t>TerraCom NAL</w:t>
      </w:r>
      <w:r w:rsidR="00423BAD" w:rsidRPr="00423BAD">
        <w:rPr>
          <w:rFonts w:ascii="Times New Roman" w:hAnsi="Times New Roman"/>
          <w:snapToGrid w:val="0"/>
          <w:sz w:val="20"/>
          <w:szCs w:val="20"/>
        </w:rPr>
        <w:t xml:space="preserve">); </w:t>
      </w:r>
      <w:r w:rsidR="00423BAD" w:rsidRPr="00423BAD">
        <w:rPr>
          <w:rFonts w:ascii="Times New Roman" w:hAnsi="Times New Roman"/>
          <w:i/>
          <w:sz w:val="20"/>
          <w:szCs w:val="20"/>
        </w:rPr>
        <w:t>AT&amp;T Services, Inc.</w:t>
      </w:r>
      <w:r w:rsidR="00423BAD" w:rsidRPr="00423BAD">
        <w:rPr>
          <w:rFonts w:ascii="Times New Roman" w:hAnsi="Times New Roman"/>
          <w:sz w:val="20"/>
          <w:szCs w:val="20"/>
        </w:rPr>
        <w:t>, Order, File No.: EB-TCD-14-00016243, 30 FCC Rcd 2808 (Enforcement Bur. 2015) (</w:t>
      </w:r>
      <w:r w:rsidR="00423BAD" w:rsidRPr="00423BAD">
        <w:rPr>
          <w:rFonts w:ascii="Times New Roman" w:hAnsi="Times New Roman"/>
          <w:i/>
          <w:sz w:val="20"/>
          <w:szCs w:val="20"/>
        </w:rPr>
        <w:t>AT&amp;T Order</w:t>
      </w:r>
      <w:r w:rsidR="00423BAD" w:rsidRPr="00423BAD">
        <w:rPr>
          <w:rFonts w:ascii="Times New Roman" w:hAnsi="Times New Roman"/>
          <w:sz w:val="20"/>
          <w:szCs w:val="20"/>
        </w:rPr>
        <w:t>)</w:t>
      </w:r>
      <w:r w:rsidR="00423BAD" w:rsidRPr="00423BAD">
        <w:rPr>
          <w:rFonts w:ascii="Times New Roman" w:hAnsi="Times New Roman"/>
          <w:snapToGrid w:val="0"/>
          <w:sz w:val="20"/>
          <w:szCs w:val="20"/>
        </w:rPr>
        <w:t>.</w:t>
      </w:r>
    </w:p>
  </w:footnote>
  <w:footnote w:id="6">
    <w:p w14:paraId="1EDCF899" w14:textId="77777777" w:rsidR="003E55B1" w:rsidRDefault="003E55B1" w:rsidP="00423BAD">
      <w:pPr>
        <w:pStyle w:val="FootnoteText"/>
      </w:pPr>
      <w:r>
        <w:rPr>
          <w:rStyle w:val="FootnoteReference"/>
        </w:rPr>
        <w:footnoteRef/>
      </w:r>
      <w:r>
        <w:t xml:space="preserve"> </w:t>
      </w:r>
      <w:r>
        <w:rPr>
          <w:i/>
        </w:rPr>
        <w:t>See Protecting and Promoting the Open Internet</w:t>
      </w:r>
      <w:r>
        <w:t>, GN Docket No. 14-28, Report and Order on Remand, D</w:t>
      </w:r>
      <w:r w:rsidR="0048655C">
        <w:t>eclaratory Ruling, and Order, 30</w:t>
      </w:r>
      <w:r>
        <w:t xml:space="preserve"> FCC Rcd </w:t>
      </w:r>
      <w:r w:rsidR="0048655C">
        <w:t>5601,</w:t>
      </w:r>
      <w:r>
        <w:t xml:space="preserve"> paras. 331-425</w:t>
      </w:r>
      <w:r w:rsidR="007000A3">
        <w:t>, 462</w:t>
      </w:r>
      <w:r>
        <w:t xml:space="preserve"> (2015) (</w:t>
      </w:r>
      <w:r>
        <w:rPr>
          <w:i/>
        </w:rPr>
        <w:t>2015 Open Internet Order</w:t>
      </w:r>
      <w:r>
        <w:t>)</w:t>
      </w:r>
      <w:r w:rsidR="007000A3">
        <w:t xml:space="preserve">; 47 U.S.C. </w:t>
      </w:r>
      <w:r w:rsidR="007000A3" w:rsidRPr="006601CF">
        <w:rPr>
          <w:szCs w:val="22"/>
        </w:rPr>
        <w:t>§</w:t>
      </w:r>
      <w:r w:rsidR="007000A3">
        <w:rPr>
          <w:szCs w:val="22"/>
        </w:rPr>
        <w:t xml:space="preserve"> 222</w:t>
      </w:r>
      <w:r>
        <w:t xml:space="preserve">.  </w:t>
      </w:r>
      <w:r>
        <w:rPr>
          <w:szCs w:val="22"/>
        </w:rPr>
        <w:t xml:space="preserve">The Commission defined broadband Internet access service as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w:t>
      </w:r>
      <w:r>
        <w:rPr>
          <w:i/>
        </w:rPr>
        <w:t>See 2015 Open Internet Order</w:t>
      </w:r>
      <w:r w:rsidR="0048655C">
        <w:t>, 30 FCC Rcd at 5746-47</w:t>
      </w:r>
      <w:r>
        <w:t>, para. 337.</w:t>
      </w:r>
    </w:p>
  </w:footnote>
  <w:footnote w:id="7">
    <w:p w14:paraId="1E39C13A" w14:textId="77777777" w:rsidR="00866A2E" w:rsidRDefault="00866A2E">
      <w:pPr>
        <w:pStyle w:val="FootnoteText"/>
      </w:pPr>
      <w:r>
        <w:rPr>
          <w:rStyle w:val="FootnoteReference"/>
        </w:rPr>
        <w:footnoteRef/>
      </w:r>
      <w:r>
        <w:t xml:space="preserve"> </w:t>
      </w:r>
      <w:r>
        <w:rPr>
          <w:i/>
        </w:rPr>
        <w:t xml:space="preserve">See </w:t>
      </w:r>
      <w:r w:rsidR="00423BAD">
        <w:rPr>
          <w:i/>
        </w:rPr>
        <w:t>id.</w:t>
      </w:r>
      <w:r w:rsidR="0048655C">
        <w:t xml:space="preserve"> at 5821</w:t>
      </w:r>
      <w:r>
        <w:t>, para. 463.</w:t>
      </w:r>
    </w:p>
  </w:footnote>
  <w:footnote w:id="8">
    <w:p w14:paraId="28B69807" w14:textId="77777777" w:rsidR="00D416CC" w:rsidRDefault="00D416CC">
      <w:pPr>
        <w:pStyle w:val="FootnoteText"/>
      </w:pPr>
      <w:r>
        <w:rPr>
          <w:rStyle w:val="FootnoteReference"/>
        </w:rPr>
        <w:footnoteRef/>
      </w:r>
      <w:r>
        <w:t xml:space="preserve"> </w:t>
      </w:r>
      <w:r w:rsidR="004E2DFA">
        <w:rPr>
          <w:i/>
        </w:rPr>
        <w:t xml:space="preserve">Id. </w:t>
      </w:r>
      <w:r w:rsidR="004E2DFA">
        <w:t>at 5823, para. 467.</w:t>
      </w:r>
    </w:p>
  </w:footnote>
  <w:footnote w:id="9">
    <w:p w14:paraId="7FF302BB" w14:textId="77777777" w:rsidR="00866A2E" w:rsidRDefault="00866A2E">
      <w:pPr>
        <w:pStyle w:val="FootnoteText"/>
      </w:pPr>
      <w:r>
        <w:rPr>
          <w:rStyle w:val="FootnoteReference"/>
        </w:rPr>
        <w:footnoteRef/>
      </w:r>
      <w:r>
        <w:t xml:space="preserve"> </w:t>
      </w:r>
      <w:r>
        <w:rPr>
          <w:i/>
        </w:rPr>
        <w:t xml:space="preserve">See </w:t>
      </w:r>
      <w:r w:rsidR="00423BAD">
        <w:rPr>
          <w:i/>
        </w:rPr>
        <w:t>id</w:t>
      </w:r>
      <w:r w:rsidR="00E64FC8">
        <w:rPr>
          <w:i/>
        </w:rPr>
        <w:t>.</w:t>
      </w:r>
      <w:r w:rsidR="0048655C">
        <w:t xml:space="preserve"> at 5820, 5823</w:t>
      </w:r>
      <w:r>
        <w:t>, paras. 462, 467.</w:t>
      </w:r>
    </w:p>
  </w:footnote>
  <w:footnote w:id="10">
    <w:p w14:paraId="28BCB6FF" w14:textId="6D370D00" w:rsidR="00D416CC" w:rsidRPr="002A424B" w:rsidRDefault="00D416CC">
      <w:pPr>
        <w:pStyle w:val="FootnoteText"/>
        <w:rPr>
          <w:i/>
        </w:rPr>
      </w:pPr>
      <w:r>
        <w:rPr>
          <w:rStyle w:val="FootnoteReference"/>
        </w:rPr>
        <w:footnoteRef/>
      </w:r>
      <w:r>
        <w:t xml:space="preserve"> </w:t>
      </w:r>
      <w:r w:rsidR="002A424B">
        <w:rPr>
          <w:i/>
        </w:rPr>
        <w:t xml:space="preserve">Id. </w:t>
      </w:r>
      <w:r w:rsidR="002A424B">
        <w:t>at 5775, para. 382;</w:t>
      </w:r>
      <w:r w:rsidR="00E64FC8">
        <w:t xml:space="preserve"> </w:t>
      </w:r>
      <w:r w:rsidR="002A424B">
        <w:rPr>
          <w:i/>
        </w:rPr>
        <w:t>s</w:t>
      </w:r>
      <w:r w:rsidR="00E64FC8">
        <w:rPr>
          <w:i/>
        </w:rPr>
        <w:t>ee also id.</w:t>
      </w:r>
      <w:r w:rsidR="00E64FC8">
        <w:t xml:space="preserve"> at </w:t>
      </w:r>
      <w:r w:rsidR="004E2DFA">
        <w:t>5724</w:t>
      </w:r>
      <w:r w:rsidR="00E64FC8">
        <w:t>, para. 282 n.725 (“In response to parties expressing concerns that section 706 could be read to impose regulations on edge providers or others in the Internet ecosystem, we emphasize that today’s rules apply only to last-mile broadband providers</w:t>
      </w:r>
      <w:r w:rsidR="00667F1D">
        <w:t>.</w:t>
      </w:r>
      <w:r w:rsidR="00E64FC8">
        <w:t>” (internal citations omitted)</w:t>
      </w:r>
      <w:r w:rsidR="004E2DFA">
        <w:t>)</w:t>
      </w:r>
      <w:r w:rsidR="00E64FC8">
        <w:t xml:space="preserve">.  </w:t>
      </w:r>
    </w:p>
  </w:footnote>
  <w:footnote w:id="11">
    <w:p w14:paraId="6AC5203D" w14:textId="77777777" w:rsidR="003B6DF4" w:rsidRPr="00017159" w:rsidRDefault="003B6DF4" w:rsidP="003B6DF4">
      <w:pPr>
        <w:pStyle w:val="FootnoteText"/>
      </w:pPr>
      <w:r>
        <w:rPr>
          <w:rStyle w:val="FootnoteReference"/>
        </w:rPr>
        <w:footnoteRef/>
      </w:r>
      <w:r>
        <w:t xml:space="preserve"> </w:t>
      </w:r>
      <w:r w:rsidR="00423BAD">
        <w:rPr>
          <w:i/>
        </w:rPr>
        <w:t xml:space="preserve">Id. </w:t>
      </w:r>
      <w:r w:rsidR="00423BAD">
        <w:t>at</w:t>
      </w:r>
      <w:r w:rsidR="0048655C">
        <w:t xml:space="preserve"> 5775</w:t>
      </w:r>
      <w:r>
        <w:t>, para. 382.</w:t>
      </w:r>
    </w:p>
  </w:footnote>
  <w:footnote w:id="12">
    <w:p w14:paraId="2772A891" w14:textId="77777777" w:rsidR="00866A2E" w:rsidRDefault="00866A2E">
      <w:pPr>
        <w:pStyle w:val="FootnoteText"/>
      </w:pPr>
      <w:r>
        <w:rPr>
          <w:rStyle w:val="FootnoteReference"/>
        </w:rPr>
        <w:footnoteRef/>
      </w:r>
      <w:r>
        <w:t xml:space="preserve"> Consumer Watchdog Petition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84D4" w14:textId="77777777" w:rsidR="00F66351" w:rsidRDefault="00F6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69490" w14:textId="46563688" w:rsidR="00866A2E" w:rsidRDefault="00866A2E" w:rsidP="00810B6F">
    <w:pPr>
      <w:pStyle w:val="Header"/>
      <w:rPr>
        <w:b w:val="0"/>
      </w:rPr>
    </w:pPr>
    <w:r>
      <w:tab/>
      <w:t>Federal Com</w:t>
    </w:r>
    <w:r w:rsidR="00EE0BFD">
      <w:t>munications Commission</w:t>
    </w:r>
    <w:r w:rsidR="00EE0BFD">
      <w:tab/>
      <w:t>DA 15-1266</w:t>
    </w:r>
  </w:p>
  <w:p w14:paraId="0876218D" w14:textId="7476D39F" w:rsidR="00866A2E" w:rsidRPr="00EE0BFD" w:rsidRDefault="00866A2E" w:rsidP="00EE0BF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EA11A18" wp14:editId="4572DB5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CEB9B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" o:allowincell="f" fillcolor="black" stroked="f">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F26B2" w14:textId="27DC455B" w:rsidR="00866A2E" w:rsidRDefault="00866A2E" w:rsidP="00810B6F">
    <w:pPr>
      <w:pStyle w:val="Header"/>
      <w:rPr>
        <w:b w:val="0"/>
      </w:rPr>
    </w:pPr>
    <w:r>
      <w:rPr>
        <w:noProof/>
      </w:rPr>
      <mc:AlternateContent>
        <mc:Choice Requires="wps">
          <w:drawing>
            <wp:anchor distT="0" distB="0" distL="114300" distR="114300" simplePos="0" relativeHeight="251658240" behindDoc="1" locked="0" layoutInCell="0" allowOverlap="1" wp14:anchorId="62558387" wp14:editId="05A3B39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FF72B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E1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BrgITVXAgAAZwQAAA4AAAAAAAAAAAAAAAAALgIAAGRycy9lMm9Eb2MueG1sUEsBAi0A&#10;FAAGAAgAAAAhAGtzUyXbAAAABwEAAA8AAAAAAAAAAAAAAAAAsQQAAGRycy9kb3ducmV2LnhtbFBL&#10;BQYAAAAABAAEAPMAAAC5BQAAAAA=&#10;" o:allowincell="f" fillcolor="black" stroked="f">
              <w10:wrap anchorx="margin"/>
            </v:rect>
          </w:pict>
        </mc:Fallback>
      </mc:AlternateContent>
    </w:r>
    <w:r>
      <w:tab/>
      <w:t>Federal Communications Commission</w:t>
    </w:r>
    <w:r>
      <w:tab/>
    </w:r>
    <w:r>
      <w:rPr>
        <w:spacing w:val="-2"/>
      </w:rPr>
      <w:t>DA 15-</w:t>
    </w:r>
    <w:r w:rsidR="00EE0BFD">
      <w:rPr>
        <w:spacing w:val="-2"/>
      </w:rPr>
      <w:t>1266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5E"/>
    <w:rsid w:val="00017159"/>
    <w:rsid w:val="00036039"/>
    <w:rsid w:val="00037F90"/>
    <w:rsid w:val="000462F6"/>
    <w:rsid w:val="00062CC1"/>
    <w:rsid w:val="000875BF"/>
    <w:rsid w:val="00096D8C"/>
    <w:rsid w:val="000C0B65"/>
    <w:rsid w:val="000D3DFB"/>
    <w:rsid w:val="000E05FE"/>
    <w:rsid w:val="000E3D42"/>
    <w:rsid w:val="00103418"/>
    <w:rsid w:val="00122BD5"/>
    <w:rsid w:val="00133F79"/>
    <w:rsid w:val="00194A66"/>
    <w:rsid w:val="001A024F"/>
    <w:rsid w:val="001D6BCF"/>
    <w:rsid w:val="001D783B"/>
    <w:rsid w:val="001E01CA"/>
    <w:rsid w:val="001F48E7"/>
    <w:rsid w:val="002404D1"/>
    <w:rsid w:val="002724C1"/>
    <w:rsid w:val="00275CF5"/>
    <w:rsid w:val="0028301F"/>
    <w:rsid w:val="00285017"/>
    <w:rsid w:val="002A2D2E"/>
    <w:rsid w:val="002A424B"/>
    <w:rsid w:val="002C00E8"/>
    <w:rsid w:val="00322E19"/>
    <w:rsid w:val="00343749"/>
    <w:rsid w:val="003660ED"/>
    <w:rsid w:val="00384126"/>
    <w:rsid w:val="00394EA1"/>
    <w:rsid w:val="003B0550"/>
    <w:rsid w:val="003B694F"/>
    <w:rsid w:val="003B6DF4"/>
    <w:rsid w:val="003C5FFE"/>
    <w:rsid w:val="003D688C"/>
    <w:rsid w:val="003E55B1"/>
    <w:rsid w:val="003F171C"/>
    <w:rsid w:val="00412FC5"/>
    <w:rsid w:val="00422276"/>
    <w:rsid w:val="00423BAD"/>
    <w:rsid w:val="004242F1"/>
    <w:rsid w:val="00445A00"/>
    <w:rsid w:val="00451B0F"/>
    <w:rsid w:val="004621E8"/>
    <w:rsid w:val="00481066"/>
    <w:rsid w:val="0048655C"/>
    <w:rsid w:val="004C2EE3"/>
    <w:rsid w:val="004E2DFA"/>
    <w:rsid w:val="004E4A22"/>
    <w:rsid w:val="00504A41"/>
    <w:rsid w:val="00511968"/>
    <w:rsid w:val="005415A6"/>
    <w:rsid w:val="0055614C"/>
    <w:rsid w:val="005671AC"/>
    <w:rsid w:val="005939EF"/>
    <w:rsid w:val="005A4989"/>
    <w:rsid w:val="005E14C2"/>
    <w:rsid w:val="00607BA5"/>
    <w:rsid w:val="00610E2B"/>
    <w:rsid w:val="0061180A"/>
    <w:rsid w:val="006143DD"/>
    <w:rsid w:val="00626EB6"/>
    <w:rsid w:val="00651A95"/>
    <w:rsid w:val="00655D03"/>
    <w:rsid w:val="0065772B"/>
    <w:rsid w:val="00667F1D"/>
    <w:rsid w:val="00672D57"/>
    <w:rsid w:val="00683388"/>
    <w:rsid w:val="00683F84"/>
    <w:rsid w:val="006A6A81"/>
    <w:rsid w:val="006F7393"/>
    <w:rsid w:val="007000A3"/>
    <w:rsid w:val="0070224F"/>
    <w:rsid w:val="007115F7"/>
    <w:rsid w:val="00785689"/>
    <w:rsid w:val="00794CEA"/>
    <w:rsid w:val="0079754B"/>
    <w:rsid w:val="007A1E6D"/>
    <w:rsid w:val="007B0EB2"/>
    <w:rsid w:val="007B2723"/>
    <w:rsid w:val="007D444B"/>
    <w:rsid w:val="007E172B"/>
    <w:rsid w:val="00810B6F"/>
    <w:rsid w:val="00822CE0"/>
    <w:rsid w:val="00841AB1"/>
    <w:rsid w:val="00846D13"/>
    <w:rsid w:val="008534DE"/>
    <w:rsid w:val="00866A2E"/>
    <w:rsid w:val="008C68F1"/>
    <w:rsid w:val="008D6907"/>
    <w:rsid w:val="00916604"/>
    <w:rsid w:val="00921803"/>
    <w:rsid w:val="00926503"/>
    <w:rsid w:val="0095110A"/>
    <w:rsid w:val="009726D8"/>
    <w:rsid w:val="009F76DB"/>
    <w:rsid w:val="00A32C3B"/>
    <w:rsid w:val="00A45F4F"/>
    <w:rsid w:val="00A47506"/>
    <w:rsid w:val="00A600A9"/>
    <w:rsid w:val="00A61684"/>
    <w:rsid w:val="00AA0869"/>
    <w:rsid w:val="00AA55B7"/>
    <w:rsid w:val="00AA5B9E"/>
    <w:rsid w:val="00AB21CC"/>
    <w:rsid w:val="00AB2407"/>
    <w:rsid w:val="00AB53DF"/>
    <w:rsid w:val="00B07E5C"/>
    <w:rsid w:val="00B25006"/>
    <w:rsid w:val="00B811F7"/>
    <w:rsid w:val="00BA01F1"/>
    <w:rsid w:val="00BA5DC6"/>
    <w:rsid w:val="00BA6196"/>
    <w:rsid w:val="00BC6D8C"/>
    <w:rsid w:val="00C34006"/>
    <w:rsid w:val="00C426B1"/>
    <w:rsid w:val="00C57B5E"/>
    <w:rsid w:val="00C66160"/>
    <w:rsid w:val="00C721AC"/>
    <w:rsid w:val="00C90D6A"/>
    <w:rsid w:val="00CA247E"/>
    <w:rsid w:val="00CC72B6"/>
    <w:rsid w:val="00CD656D"/>
    <w:rsid w:val="00CE518A"/>
    <w:rsid w:val="00D0218D"/>
    <w:rsid w:val="00D25FB5"/>
    <w:rsid w:val="00D416CC"/>
    <w:rsid w:val="00D44223"/>
    <w:rsid w:val="00D71096"/>
    <w:rsid w:val="00D94DAB"/>
    <w:rsid w:val="00D95B76"/>
    <w:rsid w:val="00DA2529"/>
    <w:rsid w:val="00DB130A"/>
    <w:rsid w:val="00DB2EBB"/>
    <w:rsid w:val="00DC10A1"/>
    <w:rsid w:val="00DC655F"/>
    <w:rsid w:val="00DD0B59"/>
    <w:rsid w:val="00DD7EBD"/>
    <w:rsid w:val="00DF62B6"/>
    <w:rsid w:val="00E07225"/>
    <w:rsid w:val="00E3665E"/>
    <w:rsid w:val="00E5409F"/>
    <w:rsid w:val="00E64FC8"/>
    <w:rsid w:val="00E76072"/>
    <w:rsid w:val="00EA2C67"/>
    <w:rsid w:val="00EA3E24"/>
    <w:rsid w:val="00ED656D"/>
    <w:rsid w:val="00EE0BFD"/>
    <w:rsid w:val="00EE6488"/>
    <w:rsid w:val="00EF0629"/>
    <w:rsid w:val="00EF089F"/>
    <w:rsid w:val="00F021FA"/>
    <w:rsid w:val="00F5136C"/>
    <w:rsid w:val="00F61807"/>
    <w:rsid w:val="00F62E97"/>
    <w:rsid w:val="00F64209"/>
    <w:rsid w:val="00F66351"/>
    <w:rsid w:val="00F84B8C"/>
    <w:rsid w:val="00F93BF5"/>
    <w:rsid w:val="00FE0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E2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23BAD"/>
    <w:rPr>
      <w:rFonts w:ascii="Calibri" w:hAnsi="Calibri"/>
      <w:sz w:val="22"/>
      <w:szCs w:val="22"/>
    </w:rPr>
  </w:style>
  <w:style w:type="paragraph" w:styleId="Heading1">
    <w:name w:val="heading 1"/>
    <w:basedOn w:val="Normal"/>
    <w:next w:val="ParaNum"/>
    <w:link w:val="Heading1Char"/>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szCs w:val="20"/>
    </w:rPr>
  </w:style>
  <w:style w:type="paragraph" w:styleId="Heading2">
    <w:name w:val="heading 2"/>
    <w:basedOn w:val="Normal"/>
    <w:next w:val="ParaNum"/>
    <w:link w:val="Heading2Char"/>
    <w:autoRedefine/>
    <w:qFormat/>
    <w:rsid w:val="007A1E6D"/>
    <w:pPr>
      <w:keepNext/>
      <w:widowControl w:val="0"/>
      <w:numPr>
        <w:ilvl w:val="1"/>
        <w:numId w:val="3"/>
      </w:numPr>
      <w:spacing w:after="120"/>
      <w:outlineLvl w:val="1"/>
    </w:pPr>
    <w:rPr>
      <w:rFonts w:ascii="Times New Roman" w:hAnsi="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ascii="Times New Roman" w:hAnsi="Times New Roman"/>
      <w:b/>
      <w:snapToGrid w:val="0"/>
      <w:kern w:val="28"/>
      <w:szCs w:val="20"/>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C426B1"/>
    <w:pPr>
      <w:keepNext/>
      <w:widowControl w:val="0"/>
      <w:numPr>
        <w:ilvl w:val="3"/>
        <w:numId w:val="3"/>
      </w:numPr>
      <w:tabs>
        <w:tab w:val="left" w:pos="2880"/>
      </w:tabs>
      <w:spacing w:after="120"/>
      <w:outlineLvl w:val="3"/>
    </w:pPr>
    <w:rPr>
      <w:rFonts w:ascii="Times New Roman" w:hAnsi="Times New Roman"/>
      <w:b/>
      <w:snapToGrid w:val="0"/>
      <w:kern w:val="28"/>
      <w:szCs w:val="20"/>
    </w:rPr>
  </w:style>
  <w:style w:type="paragraph" w:styleId="Heading5">
    <w:name w:val="heading 5"/>
    <w:aliases w:val="Heading 5 Char"/>
    <w:basedOn w:val="Normal"/>
    <w:next w:val="ParaNum"/>
    <w:qFormat/>
    <w:rsid w:val="00511968"/>
    <w:pPr>
      <w:keepNext/>
      <w:widowControl w:val="0"/>
      <w:numPr>
        <w:ilvl w:val="4"/>
        <w:numId w:val="3"/>
      </w:numPr>
      <w:tabs>
        <w:tab w:val="left" w:pos="3600"/>
      </w:tabs>
      <w:suppressAutoHyphens/>
      <w:spacing w:after="120"/>
      <w:outlineLvl w:val="4"/>
    </w:pPr>
    <w:rPr>
      <w:rFonts w:ascii="Times New Roman" w:hAnsi="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ascii="Times New Roman" w:hAnsi="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ascii="Times New Roman" w:hAnsi="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ascii="Times New Roman" w:hAnsi="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ascii="Times New Roman" w:hAnsi="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widowControl w:val="0"/>
      <w:numPr>
        <w:numId w:val="2"/>
      </w:numPr>
      <w:tabs>
        <w:tab w:val="clear" w:pos="1080"/>
        <w:tab w:val="num" w:pos="1440"/>
      </w:tabs>
      <w:spacing w:after="120"/>
    </w:pPr>
    <w:rPr>
      <w:rFonts w:ascii="Times New Roman" w:hAnsi="Times New Roman"/>
      <w:snapToGrid w:val="0"/>
      <w:kern w:val="28"/>
      <w:szCs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2,Footnote Text Char Char1 Char,Footnote Text Char2 Char2 Char Char,Footnote Text Char Char1 Char Char Char,Footnote Text Char1 Char1 Char Char Char Char,Footnote Text Char2 Char Char,fn,fn Char1,Footnote Text Char1"/>
    <w:link w:val="FootnoteTextChar"/>
    <w:rsid w:val="000E3D42"/>
    <w:pPr>
      <w:spacing w:after="120"/>
    </w:pPr>
  </w:style>
  <w:style w:type="character" w:styleId="FootnoteReference">
    <w:name w:val="footnote reference"/>
    <w:aliases w:val="Style 12,(NECG) Footnote Reference,Style 13,Appel note de bas de p,Style 124,fr,o,Style 3,FR,Style 17,Style 6,Footnote Reference/,Style 7"/>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ascii="Times New Roman" w:hAnsi="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hAnsi="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hAnsi="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hAnsi="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hAnsi="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hAnsi="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ascii="Times New Roman" w:hAnsi="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ascii="Times New Roman" w:hAnsi="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ascii="Times New Roman" w:hAnsi="Times New Roman"/>
      <w:noProof/>
      <w:snapToGrid w:val="0"/>
      <w:kern w:val="28"/>
      <w:szCs w:val="20"/>
    </w:rPr>
  </w:style>
  <w:style w:type="paragraph" w:styleId="TOAHeading">
    <w:name w:val="toa heading"/>
    <w:basedOn w:val="Normal"/>
    <w:next w:val="Normal"/>
    <w:semiHidden/>
    <w:pPr>
      <w:widowControl w:val="0"/>
      <w:tabs>
        <w:tab w:val="right" w:pos="9360"/>
      </w:tabs>
      <w:suppressAutoHyphens/>
    </w:pPr>
    <w:rPr>
      <w:rFonts w:ascii="Times New Roman" w:hAnsi="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pPr>
    <w:rPr>
      <w:rFonts w:ascii="Times New Roman" w:hAnsi="Times New Roman"/>
      <w:b/>
      <w:snapToGrid w:val="0"/>
      <w:kern w:val="28"/>
      <w:szCs w:val="20"/>
    </w:rPr>
  </w:style>
  <w:style w:type="paragraph" w:styleId="Footer">
    <w:name w:val="footer"/>
    <w:basedOn w:val="Normal"/>
    <w:pPr>
      <w:widowControl w:val="0"/>
      <w:tabs>
        <w:tab w:val="center" w:pos="4320"/>
        <w:tab w:val="right" w:pos="8640"/>
      </w:tabs>
    </w:pPr>
    <w:rPr>
      <w:rFonts w:ascii="Times New Roman" w:hAnsi="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ascii="Times New Roman" w:hAnsi="Times New Roman"/>
      <w:snapToGrid w:val="0"/>
      <w:kern w:val="28"/>
      <w:szCs w:val="20"/>
    </w:rPr>
  </w:style>
  <w:style w:type="paragraph" w:customStyle="1" w:styleId="Paratitle">
    <w:name w:val="Para title"/>
    <w:basedOn w:val="Normal"/>
    <w:pPr>
      <w:widowControl w:val="0"/>
      <w:tabs>
        <w:tab w:val="center" w:pos="9270"/>
      </w:tabs>
      <w:spacing w:after="240"/>
    </w:pPr>
    <w:rPr>
      <w:rFonts w:ascii="Times New Roman" w:hAnsi="Times New Roman"/>
      <w:snapToGrid w:val="0"/>
      <w:spacing w:val="-2"/>
      <w:kern w:val="28"/>
      <w:szCs w:val="20"/>
    </w:rPr>
  </w:style>
  <w:style w:type="paragraph" w:customStyle="1" w:styleId="Bullet">
    <w:name w:val="Bullet"/>
    <w:basedOn w:val="Normal"/>
    <w:pPr>
      <w:widowControl w:val="0"/>
      <w:tabs>
        <w:tab w:val="left" w:pos="2160"/>
      </w:tabs>
      <w:spacing w:after="220"/>
      <w:ind w:left="2160" w:hanging="720"/>
    </w:pPr>
    <w:rPr>
      <w:rFonts w:ascii="Times New Roman" w:hAnsi="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szCs w:val="20"/>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rPr>
  </w:style>
  <w:style w:type="character" w:styleId="Hyperlink">
    <w:name w:val="Hyperlink"/>
    <w:uiPriority w:val="99"/>
    <w:rsid w:val="002A2D2E"/>
    <w:rPr>
      <w:color w:val="0000FF"/>
      <w:u w:val="single"/>
    </w:rPr>
  </w:style>
  <w:style w:type="character" w:customStyle="1" w:styleId="FootnoteCharacters">
    <w:name w:val="Footnote Characters"/>
    <w:rsid w:val="00C57B5E"/>
    <w:rPr>
      <w:vertAlign w:val="superscript"/>
    </w:rPr>
  </w:style>
  <w:style w:type="character" w:customStyle="1" w:styleId="FootnoteTextChar">
    <w:name w:val="Footnote Text Char"/>
    <w:aliases w:val="Footnote Text Char2 Char2 Char,Footnote Text Char Char1 Char Char,Footnote Text Char2 Char2 Char Char Char,Footnote Text Char Char1 Char Char Char Char,Footnote Text Char1 Char1 Char Char Char Char Char,fn Char,fn Char1 Char"/>
    <w:link w:val="FootnoteText"/>
    <w:rsid w:val="00C57B5E"/>
  </w:style>
  <w:style w:type="character" w:customStyle="1" w:styleId="Heading1Char">
    <w:name w:val="Heading 1 Char"/>
    <w:link w:val="Heading1"/>
    <w:rsid w:val="00C57B5E"/>
    <w:rPr>
      <w:rFonts w:ascii="Times New Roman Bold" w:hAnsi="Times New Roman Bold"/>
      <w:b/>
      <w:caps/>
      <w:snapToGrid w:val="0"/>
      <w:kern w:val="28"/>
      <w:sz w:val="22"/>
    </w:rPr>
  </w:style>
  <w:style w:type="character" w:customStyle="1" w:styleId="ParaNumChar">
    <w:name w:val="ParaNum Char"/>
    <w:link w:val="ParaNum"/>
    <w:locked/>
    <w:rsid w:val="00C57B5E"/>
    <w:rPr>
      <w:snapToGrid w:val="0"/>
      <w:kern w:val="28"/>
      <w:sz w:val="22"/>
    </w:rPr>
  </w:style>
  <w:style w:type="character" w:customStyle="1" w:styleId="Heading2Char">
    <w:name w:val="Heading 2 Char"/>
    <w:link w:val="Heading2"/>
    <w:rsid w:val="00C57B5E"/>
    <w:rPr>
      <w:b/>
      <w:snapToGrid w:val="0"/>
      <w:kern w:val="28"/>
      <w:sz w:val="22"/>
    </w:rPr>
  </w:style>
  <w:style w:type="character" w:customStyle="1" w:styleId="apple-converted-space">
    <w:name w:val="apple-converted-space"/>
    <w:rsid w:val="00C57B5E"/>
  </w:style>
  <w:style w:type="character" w:customStyle="1" w:styleId="cosearchterm">
    <w:name w:val="co_searchterm"/>
    <w:rsid w:val="00C57B5E"/>
  </w:style>
  <w:style w:type="character" w:styleId="CommentReference">
    <w:name w:val="annotation reference"/>
    <w:basedOn w:val="DefaultParagraphFont"/>
    <w:rsid w:val="00866A2E"/>
    <w:rPr>
      <w:sz w:val="18"/>
      <w:szCs w:val="18"/>
    </w:rPr>
  </w:style>
  <w:style w:type="paragraph" w:styleId="CommentText">
    <w:name w:val="annotation text"/>
    <w:basedOn w:val="Normal"/>
    <w:link w:val="CommentTextChar"/>
    <w:rsid w:val="00866A2E"/>
    <w:pPr>
      <w:widowControl w:val="0"/>
    </w:pPr>
    <w:rPr>
      <w:rFonts w:ascii="Times New Roman" w:hAnsi="Times New Roman"/>
      <w:snapToGrid w:val="0"/>
      <w:kern w:val="28"/>
      <w:sz w:val="24"/>
      <w:szCs w:val="24"/>
    </w:rPr>
  </w:style>
  <w:style w:type="character" w:customStyle="1" w:styleId="CommentTextChar">
    <w:name w:val="Comment Text Char"/>
    <w:basedOn w:val="DefaultParagraphFont"/>
    <w:link w:val="CommentText"/>
    <w:rsid w:val="00866A2E"/>
    <w:rPr>
      <w:snapToGrid w:val="0"/>
      <w:kern w:val="28"/>
      <w:sz w:val="24"/>
      <w:szCs w:val="24"/>
    </w:rPr>
  </w:style>
  <w:style w:type="paragraph" w:styleId="CommentSubject">
    <w:name w:val="annotation subject"/>
    <w:basedOn w:val="CommentText"/>
    <w:next w:val="CommentText"/>
    <w:link w:val="CommentSubjectChar"/>
    <w:rsid w:val="00866A2E"/>
    <w:rPr>
      <w:b/>
      <w:bCs/>
      <w:sz w:val="20"/>
      <w:szCs w:val="20"/>
    </w:rPr>
  </w:style>
  <w:style w:type="character" w:customStyle="1" w:styleId="CommentSubjectChar">
    <w:name w:val="Comment Subject Char"/>
    <w:basedOn w:val="CommentTextChar"/>
    <w:link w:val="CommentSubject"/>
    <w:rsid w:val="00866A2E"/>
    <w:rPr>
      <w:b/>
      <w:bCs/>
      <w:snapToGrid w:val="0"/>
      <w:kern w:val="28"/>
      <w:sz w:val="24"/>
      <w:szCs w:val="24"/>
    </w:rPr>
  </w:style>
  <w:style w:type="paragraph" w:styleId="BalloonText">
    <w:name w:val="Balloon Text"/>
    <w:basedOn w:val="Normal"/>
    <w:link w:val="BalloonTextChar"/>
    <w:rsid w:val="00866A2E"/>
    <w:pPr>
      <w:widowControl w:val="0"/>
    </w:pPr>
    <w:rPr>
      <w:rFonts w:ascii="Lucida Grande" w:hAnsi="Lucida Grande" w:cs="Lucida Grande"/>
      <w:snapToGrid w:val="0"/>
      <w:kern w:val="28"/>
      <w:sz w:val="18"/>
      <w:szCs w:val="18"/>
    </w:rPr>
  </w:style>
  <w:style w:type="character" w:customStyle="1" w:styleId="BalloonTextChar">
    <w:name w:val="Balloon Text Char"/>
    <w:basedOn w:val="DefaultParagraphFont"/>
    <w:link w:val="BalloonText"/>
    <w:rsid w:val="00866A2E"/>
    <w:rPr>
      <w:rFonts w:ascii="Lucida Grande" w:hAnsi="Lucida Grande" w:cs="Lucida Grande"/>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23BAD"/>
    <w:rPr>
      <w:rFonts w:ascii="Calibri" w:hAnsi="Calibri"/>
      <w:sz w:val="22"/>
      <w:szCs w:val="22"/>
    </w:rPr>
  </w:style>
  <w:style w:type="paragraph" w:styleId="Heading1">
    <w:name w:val="heading 1"/>
    <w:basedOn w:val="Normal"/>
    <w:next w:val="ParaNum"/>
    <w:link w:val="Heading1Char"/>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szCs w:val="20"/>
    </w:rPr>
  </w:style>
  <w:style w:type="paragraph" w:styleId="Heading2">
    <w:name w:val="heading 2"/>
    <w:basedOn w:val="Normal"/>
    <w:next w:val="ParaNum"/>
    <w:link w:val="Heading2Char"/>
    <w:autoRedefine/>
    <w:qFormat/>
    <w:rsid w:val="007A1E6D"/>
    <w:pPr>
      <w:keepNext/>
      <w:widowControl w:val="0"/>
      <w:numPr>
        <w:ilvl w:val="1"/>
        <w:numId w:val="3"/>
      </w:numPr>
      <w:spacing w:after="120"/>
      <w:outlineLvl w:val="1"/>
    </w:pPr>
    <w:rPr>
      <w:rFonts w:ascii="Times New Roman" w:hAnsi="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ascii="Times New Roman" w:hAnsi="Times New Roman"/>
      <w:b/>
      <w:snapToGrid w:val="0"/>
      <w:kern w:val="28"/>
      <w:szCs w:val="20"/>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C426B1"/>
    <w:pPr>
      <w:keepNext/>
      <w:widowControl w:val="0"/>
      <w:numPr>
        <w:ilvl w:val="3"/>
        <w:numId w:val="3"/>
      </w:numPr>
      <w:tabs>
        <w:tab w:val="left" w:pos="2880"/>
      </w:tabs>
      <w:spacing w:after="120"/>
      <w:outlineLvl w:val="3"/>
    </w:pPr>
    <w:rPr>
      <w:rFonts w:ascii="Times New Roman" w:hAnsi="Times New Roman"/>
      <w:b/>
      <w:snapToGrid w:val="0"/>
      <w:kern w:val="28"/>
      <w:szCs w:val="20"/>
    </w:rPr>
  </w:style>
  <w:style w:type="paragraph" w:styleId="Heading5">
    <w:name w:val="heading 5"/>
    <w:aliases w:val="Heading 5 Char"/>
    <w:basedOn w:val="Normal"/>
    <w:next w:val="ParaNum"/>
    <w:qFormat/>
    <w:rsid w:val="00511968"/>
    <w:pPr>
      <w:keepNext/>
      <w:widowControl w:val="0"/>
      <w:numPr>
        <w:ilvl w:val="4"/>
        <w:numId w:val="3"/>
      </w:numPr>
      <w:tabs>
        <w:tab w:val="left" w:pos="3600"/>
      </w:tabs>
      <w:suppressAutoHyphens/>
      <w:spacing w:after="120"/>
      <w:outlineLvl w:val="4"/>
    </w:pPr>
    <w:rPr>
      <w:rFonts w:ascii="Times New Roman" w:hAnsi="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ascii="Times New Roman" w:hAnsi="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ascii="Times New Roman" w:hAnsi="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ascii="Times New Roman" w:hAnsi="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ascii="Times New Roman" w:hAnsi="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widowControl w:val="0"/>
      <w:numPr>
        <w:numId w:val="2"/>
      </w:numPr>
      <w:tabs>
        <w:tab w:val="clear" w:pos="1080"/>
        <w:tab w:val="num" w:pos="1440"/>
      </w:tabs>
      <w:spacing w:after="120"/>
    </w:pPr>
    <w:rPr>
      <w:rFonts w:ascii="Times New Roman" w:hAnsi="Times New Roman"/>
      <w:snapToGrid w:val="0"/>
      <w:kern w:val="28"/>
      <w:szCs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2,Footnote Text Char Char1 Char,Footnote Text Char2 Char2 Char Char,Footnote Text Char Char1 Char Char Char,Footnote Text Char1 Char1 Char Char Char Char,Footnote Text Char2 Char Char,fn,fn Char1,Footnote Text Char1"/>
    <w:link w:val="FootnoteTextChar"/>
    <w:rsid w:val="000E3D42"/>
    <w:pPr>
      <w:spacing w:after="120"/>
    </w:pPr>
  </w:style>
  <w:style w:type="character" w:styleId="FootnoteReference">
    <w:name w:val="footnote reference"/>
    <w:aliases w:val="Style 12,(NECG) Footnote Reference,Style 13,Appel note de bas de p,Style 124,fr,o,Style 3,FR,Style 17,Style 6,Footnote Reference/,Style 7"/>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ascii="Times New Roman" w:hAnsi="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hAnsi="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hAnsi="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hAnsi="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hAnsi="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hAnsi="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ascii="Times New Roman" w:hAnsi="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ascii="Times New Roman" w:hAnsi="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ascii="Times New Roman" w:hAnsi="Times New Roman"/>
      <w:noProof/>
      <w:snapToGrid w:val="0"/>
      <w:kern w:val="28"/>
      <w:szCs w:val="20"/>
    </w:rPr>
  </w:style>
  <w:style w:type="paragraph" w:styleId="TOAHeading">
    <w:name w:val="toa heading"/>
    <w:basedOn w:val="Normal"/>
    <w:next w:val="Normal"/>
    <w:semiHidden/>
    <w:pPr>
      <w:widowControl w:val="0"/>
      <w:tabs>
        <w:tab w:val="right" w:pos="9360"/>
      </w:tabs>
      <w:suppressAutoHyphens/>
    </w:pPr>
    <w:rPr>
      <w:rFonts w:ascii="Times New Roman" w:hAnsi="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pPr>
    <w:rPr>
      <w:rFonts w:ascii="Times New Roman" w:hAnsi="Times New Roman"/>
      <w:b/>
      <w:snapToGrid w:val="0"/>
      <w:kern w:val="28"/>
      <w:szCs w:val="20"/>
    </w:rPr>
  </w:style>
  <w:style w:type="paragraph" w:styleId="Footer">
    <w:name w:val="footer"/>
    <w:basedOn w:val="Normal"/>
    <w:pPr>
      <w:widowControl w:val="0"/>
      <w:tabs>
        <w:tab w:val="center" w:pos="4320"/>
        <w:tab w:val="right" w:pos="8640"/>
      </w:tabs>
    </w:pPr>
    <w:rPr>
      <w:rFonts w:ascii="Times New Roman" w:hAnsi="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ascii="Times New Roman" w:hAnsi="Times New Roman"/>
      <w:snapToGrid w:val="0"/>
      <w:kern w:val="28"/>
      <w:szCs w:val="20"/>
    </w:rPr>
  </w:style>
  <w:style w:type="paragraph" w:customStyle="1" w:styleId="Paratitle">
    <w:name w:val="Para title"/>
    <w:basedOn w:val="Normal"/>
    <w:pPr>
      <w:widowControl w:val="0"/>
      <w:tabs>
        <w:tab w:val="center" w:pos="9270"/>
      </w:tabs>
      <w:spacing w:after="240"/>
    </w:pPr>
    <w:rPr>
      <w:rFonts w:ascii="Times New Roman" w:hAnsi="Times New Roman"/>
      <w:snapToGrid w:val="0"/>
      <w:spacing w:val="-2"/>
      <w:kern w:val="28"/>
      <w:szCs w:val="20"/>
    </w:rPr>
  </w:style>
  <w:style w:type="paragraph" w:customStyle="1" w:styleId="Bullet">
    <w:name w:val="Bullet"/>
    <w:basedOn w:val="Normal"/>
    <w:pPr>
      <w:widowControl w:val="0"/>
      <w:tabs>
        <w:tab w:val="left" w:pos="2160"/>
      </w:tabs>
      <w:spacing w:after="220"/>
      <w:ind w:left="2160" w:hanging="720"/>
    </w:pPr>
    <w:rPr>
      <w:rFonts w:ascii="Times New Roman" w:hAnsi="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szCs w:val="20"/>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rPr>
  </w:style>
  <w:style w:type="character" w:styleId="Hyperlink">
    <w:name w:val="Hyperlink"/>
    <w:uiPriority w:val="99"/>
    <w:rsid w:val="002A2D2E"/>
    <w:rPr>
      <w:color w:val="0000FF"/>
      <w:u w:val="single"/>
    </w:rPr>
  </w:style>
  <w:style w:type="character" w:customStyle="1" w:styleId="FootnoteCharacters">
    <w:name w:val="Footnote Characters"/>
    <w:rsid w:val="00C57B5E"/>
    <w:rPr>
      <w:vertAlign w:val="superscript"/>
    </w:rPr>
  </w:style>
  <w:style w:type="character" w:customStyle="1" w:styleId="FootnoteTextChar">
    <w:name w:val="Footnote Text Char"/>
    <w:aliases w:val="Footnote Text Char2 Char2 Char,Footnote Text Char Char1 Char Char,Footnote Text Char2 Char2 Char Char Char,Footnote Text Char Char1 Char Char Char Char,Footnote Text Char1 Char1 Char Char Char Char Char,fn Char,fn Char1 Char"/>
    <w:link w:val="FootnoteText"/>
    <w:rsid w:val="00C57B5E"/>
  </w:style>
  <w:style w:type="character" w:customStyle="1" w:styleId="Heading1Char">
    <w:name w:val="Heading 1 Char"/>
    <w:link w:val="Heading1"/>
    <w:rsid w:val="00C57B5E"/>
    <w:rPr>
      <w:rFonts w:ascii="Times New Roman Bold" w:hAnsi="Times New Roman Bold"/>
      <w:b/>
      <w:caps/>
      <w:snapToGrid w:val="0"/>
      <w:kern w:val="28"/>
      <w:sz w:val="22"/>
    </w:rPr>
  </w:style>
  <w:style w:type="character" w:customStyle="1" w:styleId="ParaNumChar">
    <w:name w:val="ParaNum Char"/>
    <w:link w:val="ParaNum"/>
    <w:locked/>
    <w:rsid w:val="00C57B5E"/>
    <w:rPr>
      <w:snapToGrid w:val="0"/>
      <w:kern w:val="28"/>
      <w:sz w:val="22"/>
    </w:rPr>
  </w:style>
  <w:style w:type="character" w:customStyle="1" w:styleId="Heading2Char">
    <w:name w:val="Heading 2 Char"/>
    <w:link w:val="Heading2"/>
    <w:rsid w:val="00C57B5E"/>
    <w:rPr>
      <w:b/>
      <w:snapToGrid w:val="0"/>
      <w:kern w:val="28"/>
      <w:sz w:val="22"/>
    </w:rPr>
  </w:style>
  <w:style w:type="character" w:customStyle="1" w:styleId="apple-converted-space">
    <w:name w:val="apple-converted-space"/>
    <w:rsid w:val="00C57B5E"/>
  </w:style>
  <w:style w:type="character" w:customStyle="1" w:styleId="cosearchterm">
    <w:name w:val="co_searchterm"/>
    <w:rsid w:val="00C57B5E"/>
  </w:style>
  <w:style w:type="character" w:styleId="CommentReference">
    <w:name w:val="annotation reference"/>
    <w:basedOn w:val="DefaultParagraphFont"/>
    <w:rsid w:val="00866A2E"/>
    <w:rPr>
      <w:sz w:val="18"/>
      <w:szCs w:val="18"/>
    </w:rPr>
  </w:style>
  <w:style w:type="paragraph" w:styleId="CommentText">
    <w:name w:val="annotation text"/>
    <w:basedOn w:val="Normal"/>
    <w:link w:val="CommentTextChar"/>
    <w:rsid w:val="00866A2E"/>
    <w:pPr>
      <w:widowControl w:val="0"/>
    </w:pPr>
    <w:rPr>
      <w:rFonts w:ascii="Times New Roman" w:hAnsi="Times New Roman"/>
      <w:snapToGrid w:val="0"/>
      <w:kern w:val="28"/>
      <w:sz w:val="24"/>
      <w:szCs w:val="24"/>
    </w:rPr>
  </w:style>
  <w:style w:type="character" w:customStyle="1" w:styleId="CommentTextChar">
    <w:name w:val="Comment Text Char"/>
    <w:basedOn w:val="DefaultParagraphFont"/>
    <w:link w:val="CommentText"/>
    <w:rsid w:val="00866A2E"/>
    <w:rPr>
      <w:snapToGrid w:val="0"/>
      <w:kern w:val="28"/>
      <w:sz w:val="24"/>
      <w:szCs w:val="24"/>
    </w:rPr>
  </w:style>
  <w:style w:type="paragraph" w:styleId="CommentSubject">
    <w:name w:val="annotation subject"/>
    <w:basedOn w:val="CommentText"/>
    <w:next w:val="CommentText"/>
    <w:link w:val="CommentSubjectChar"/>
    <w:rsid w:val="00866A2E"/>
    <w:rPr>
      <w:b/>
      <w:bCs/>
      <w:sz w:val="20"/>
      <w:szCs w:val="20"/>
    </w:rPr>
  </w:style>
  <w:style w:type="character" w:customStyle="1" w:styleId="CommentSubjectChar">
    <w:name w:val="Comment Subject Char"/>
    <w:basedOn w:val="CommentTextChar"/>
    <w:link w:val="CommentSubject"/>
    <w:rsid w:val="00866A2E"/>
    <w:rPr>
      <w:b/>
      <w:bCs/>
      <w:snapToGrid w:val="0"/>
      <w:kern w:val="28"/>
      <w:sz w:val="24"/>
      <w:szCs w:val="24"/>
    </w:rPr>
  </w:style>
  <w:style w:type="paragraph" w:styleId="BalloonText">
    <w:name w:val="Balloon Text"/>
    <w:basedOn w:val="Normal"/>
    <w:link w:val="BalloonTextChar"/>
    <w:rsid w:val="00866A2E"/>
    <w:pPr>
      <w:widowControl w:val="0"/>
    </w:pPr>
    <w:rPr>
      <w:rFonts w:ascii="Lucida Grande" w:hAnsi="Lucida Grande" w:cs="Lucida Grande"/>
      <w:snapToGrid w:val="0"/>
      <w:kern w:val="28"/>
      <w:sz w:val="18"/>
      <w:szCs w:val="18"/>
    </w:rPr>
  </w:style>
  <w:style w:type="character" w:customStyle="1" w:styleId="BalloonTextChar">
    <w:name w:val="Balloon Text Char"/>
    <w:basedOn w:val="DefaultParagraphFont"/>
    <w:link w:val="BalloonText"/>
    <w:rsid w:val="00866A2E"/>
    <w:rPr>
      <w:rFonts w:ascii="Lucida Grande" w:hAnsi="Lucida Grande" w:cs="Lucida Grande"/>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next.westlaw.com/Link/Document/FullText?findType=Y&amp;serNum=2034690957&amp;pubNum=0004493&amp;originatingDoc=I29819ff91b0711e5b4bafa136b480ad2&amp;refType=CA&amp;originationContext=document&amp;transitionType=DocumentItem&amp;contextData=(sc.Keyc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590</Words>
  <Characters>3408</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3998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2015-11-06T16:33:00Z</dcterms:created>
  <dcterms:modified xsi:type="dcterms:W3CDTF">2015-11-06T16:33:00Z</dcterms:modified>
  <cp:category> </cp:category>
  <cp:contentStatus> </cp:contentStatus>
</cp:coreProperties>
</file>