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FC0549" w:rsidRDefault="008B56A1" w:rsidP="00325AAF">
      <w:pPr>
        <w:spacing w:after="120"/>
        <w:contextualSpacing/>
        <w:jc w:val="right"/>
        <w:rPr>
          <w:b/>
          <w:szCs w:val="22"/>
        </w:rPr>
      </w:pPr>
      <w:bookmarkStart w:id="0" w:name="_GoBack"/>
      <w:bookmarkEnd w:id="0"/>
      <w:r w:rsidRPr="00FC0549">
        <w:rPr>
          <w:b/>
          <w:szCs w:val="22"/>
        </w:rPr>
        <w:t>DA 1</w:t>
      </w:r>
      <w:r w:rsidR="00A37C13">
        <w:rPr>
          <w:b/>
          <w:szCs w:val="22"/>
        </w:rPr>
        <w:t>5-131</w:t>
      </w:r>
    </w:p>
    <w:p w:rsidR="00C82B6B" w:rsidRDefault="00B45C67" w:rsidP="00325AAF">
      <w:pPr>
        <w:spacing w:after="120"/>
        <w:contextualSpacing/>
        <w:jc w:val="right"/>
        <w:rPr>
          <w:b/>
          <w:sz w:val="24"/>
        </w:rPr>
      </w:pPr>
      <w:r>
        <w:rPr>
          <w:b/>
          <w:sz w:val="24"/>
        </w:rPr>
        <w:t>January</w:t>
      </w:r>
      <w:r w:rsidR="00A53F44">
        <w:rPr>
          <w:b/>
          <w:sz w:val="24"/>
        </w:rPr>
        <w:t xml:space="preserve"> </w:t>
      </w:r>
      <w:r>
        <w:rPr>
          <w:b/>
          <w:sz w:val="24"/>
        </w:rPr>
        <w:t>30, 2015</w:t>
      </w:r>
    </w:p>
    <w:p w:rsidR="00B45C67" w:rsidRPr="00854B58" w:rsidRDefault="00B45C67" w:rsidP="00325AAF">
      <w:pPr>
        <w:spacing w:after="120"/>
        <w:contextualSpacing/>
        <w:jc w:val="right"/>
        <w:rPr>
          <w:b/>
          <w:sz w:val="24"/>
        </w:rPr>
      </w:pPr>
    </w:p>
    <w:p w:rsidR="001A4F4D" w:rsidRDefault="008B56A1" w:rsidP="00AE78F1">
      <w:pPr>
        <w:spacing w:after="240"/>
        <w:jc w:val="center"/>
        <w:rPr>
          <w:b/>
          <w:sz w:val="24"/>
        </w:rPr>
      </w:pPr>
      <w:r>
        <w:rPr>
          <w:b/>
          <w:sz w:val="24"/>
        </w:rPr>
        <w:t>AUCTION OF ADVANCED WIRELESS SERVICE</w:t>
      </w:r>
      <w:r w:rsidR="0042445F">
        <w:rPr>
          <w:b/>
          <w:sz w:val="24"/>
        </w:rPr>
        <w:t>S</w:t>
      </w:r>
      <w:r>
        <w:rPr>
          <w:b/>
          <w:sz w:val="24"/>
        </w:rPr>
        <w:t xml:space="preserve"> (AWS-3) LICENSES</w:t>
      </w:r>
      <w:r w:rsidR="00A47A2B">
        <w:rPr>
          <w:b/>
          <w:sz w:val="24"/>
        </w:rPr>
        <w:t xml:space="preserve"> CLOSES</w:t>
      </w:r>
    </w:p>
    <w:p w:rsidR="001A4F4D" w:rsidRDefault="008B56A1" w:rsidP="001A4F4D">
      <w:pPr>
        <w:spacing w:after="240"/>
        <w:jc w:val="center"/>
        <w:rPr>
          <w:b/>
          <w:sz w:val="24"/>
        </w:rPr>
      </w:pPr>
      <w:r>
        <w:rPr>
          <w:b/>
          <w:sz w:val="24"/>
        </w:rPr>
        <w:t>WINNING BIDDER</w:t>
      </w:r>
      <w:r w:rsidR="0042445F">
        <w:rPr>
          <w:b/>
          <w:sz w:val="24"/>
        </w:rPr>
        <w:t>S</w:t>
      </w:r>
      <w:r>
        <w:rPr>
          <w:b/>
          <w:sz w:val="24"/>
        </w:rPr>
        <w:t xml:space="preserve"> ANNOUNCED FOR AUCTION 97</w:t>
      </w:r>
    </w:p>
    <w:p w:rsidR="00C82B6B" w:rsidRPr="00FC0549" w:rsidRDefault="008B56A1" w:rsidP="00325AAF">
      <w:pPr>
        <w:spacing w:after="120"/>
        <w:contextualSpacing/>
        <w:jc w:val="center"/>
        <w:rPr>
          <w:b/>
          <w:szCs w:val="22"/>
        </w:rPr>
      </w:pPr>
      <w:r w:rsidRPr="00FC0549">
        <w:rPr>
          <w:b/>
          <w:szCs w:val="22"/>
        </w:rPr>
        <w:t xml:space="preserve">FCC Forms 601 and 602 Due </w:t>
      </w:r>
      <w:r w:rsidR="00B45C67">
        <w:rPr>
          <w:b/>
          <w:szCs w:val="22"/>
        </w:rPr>
        <w:t>February 13, 2015</w:t>
      </w:r>
    </w:p>
    <w:p w:rsidR="0042445F" w:rsidRDefault="0042445F" w:rsidP="00325AAF">
      <w:pPr>
        <w:spacing w:after="120"/>
        <w:contextualSpacing/>
        <w:jc w:val="center"/>
        <w:rPr>
          <w:b/>
          <w:szCs w:val="22"/>
        </w:rPr>
      </w:pPr>
      <w:r>
        <w:rPr>
          <w:b/>
          <w:szCs w:val="22"/>
        </w:rPr>
        <w:t xml:space="preserve">Down Payments Due </w:t>
      </w:r>
      <w:r w:rsidR="00B45C67">
        <w:rPr>
          <w:b/>
          <w:szCs w:val="22"/>
        </w:rPr>
        <w:t>February 13, 2015</w:t>
      </w:r>
    </w:p>
    <w:p w:rsidR="008B56A1" w:rsidRPr="00FC0549" w:rsidRDefault="008B56A1" w:rsidP="00325AAF">
      <w:pPr>
        <w:spacing w:after="120"/>
        <w:contextualSpacing/>
        <w:jc w:val="center"/>
        <w:rPr>
          <w:b/>
          <w:szCs w:val="22"/>
        </w:rPr>
      </w:pPr>
      <w:r w:rsidRPr="00FC0549">
        <w:rPr>
          <w:b/>
          <w:szCs w:val="22"/>
        </w:rPr>
        <w:t xml:space="preserve">Final Payments Due </w:t>
      </w:r>
      <w:r w:rsidR="00B45C67">
        <w:rPr>
          <w:b/>
          <w:szCs w:val="22"/>
        </w:rPr>
        <w:t>March 2, 2015</w:t>
      </w:r>
    </w:p>
    <w:p w:rsidR="00C82B6B" w:rsidRPr="00FC0549" w:rsidRDefault="008B56A1" w:rsidP="00325AAF">
      <w:pPr>
        <w:spacing w:after="120"/>
        <w:contextualSpacing/>
        <w:jc w:val="center"/>
        <w:rPr>
          <w:b/>
          <w:szCs w:val="22"/>
        </w:rPr>
      </w:pPr>
      <w:r w:rsidRPr="00FC0549">
        <w:rPr>
          <w:b/>
          <w:szCs w:val="22"/>
        </w:rPr>
        <w:t>Ten-Day Petition to Deny Period</w:t>
      </w:r>
    </w:p>
    <w:p w:rsidR="008B56A1" w:rsidRDefault="008B56A1" w:rsidP="00C82B6B">
      <w:pPr>
        <w:jc w:val="center"/>
        <w:rPr>
          <w:sz w:val="24"/>
        </w:rPr>
      </w:pPr>
    </w:p>
    <w:p w:rsidR="008B56A1" w:rsidRPr="00545F16" w:rsidRDefault="008B56A1" w:rsidP="008B56A1">
      <w:pPr>
        <w:pStyle w:val="Heading1"/>
      </w:pPr>
      <w:r>
        <w:t>INTRODUCTION</w:t>
      </w:r>
    </w:p>
    <w:p w:rsidR="00B40C39" w:rsidRDefault="008B56A1" w:rsidP="008B56A1">
      <w:pPr>
        <w:pStyle w:val="ParaNum"/>
      </w:pPr>
      <w:r w:rsidRPr="00A946D7">
        <w:t xml:space="preserve">On </w:t>
      </w:r>
      <w:r w:rsidR="00B45C67">
        <w:t>January 29, 2015</w:t>
      </w:r>
      <w:r w:rsidRPr="00A946D7">
        <w:t xml:space="preserve"> the Federal Communications Commission </w:t>
      </w:r>
      <w:r>
        <w:t xml:space="preserve">(“Commission”) </w:t>
      </w:r>
      <w:r w:rsidRPr="00A946D7">
        <w:t xml:space="preserve">completed </w:t>
      </w:r>
      <w:r>
        <w:t>an</w:t>
      </w:r>
      <w:r w:rsidRPr="00A946D7">
        <w:t xml:space="preserve"> auction </w:t>
      </w:r>
      <w:r>
        <w:t xml:space="preserve">of </w:t>
      </w:r>
      <w:r w:rsidR="006C22ED">
        <w:t xml:space="preserve">Advanced Wireless Service </w:t>
      </w:r>
      <w:r w:rsidR="00AB5230">
        <w:t>l</w:t>
      </w:r>
      <w:r w:rsidR="006C22ED">
        <w:t>icenses</w:t>
      </w:r>
      <w:r w:rsidR="00B40C39">
        <w:t xml:space="preserve"> in the 1695-1710 MHz, 1755-1780 MHz, and 2155-2180 MHz bands (collectively, the </w:t>
      </w:r>
      <w:r w:rsidR="007002EB">
        <w:t>“</w:t>
      </w:r>
      <w:r w:rsidR="00B40C39">
        <w:t>AWS-3</w:t>
      </w:r>
      <w:r w:rsidR="007002EB">
        <w:t>”</w:t>
      </w:r>
      <w:r w:rsidR="00B40C39">
        <w:t xml:space="preserve"> bands).  This auction,</w:t>
      </w:r>
      <w:r>
        <w:t xml:space="preserve"> which was designated Auc</w:t>
      </w:r>
      <w:r w:rsidRPr="00545F16">
        <w:t xml:space="preserve">tion </w:t>
      </w:r>
      <w:r>
        <w:t>9</w:t>
      </w:r>
      <w:r w:rsidR="006C22ED">
        <w:t>7</w:t>
      </w:r>
      <w:r w:rsidR="00B40C39">
        <w:t>, raised (in net bids) a total of $</w:t>
      </w:r>
      <w:r w:rsidR="00304EE7">
        <w:t>41,329,673,325</w:t>
      </w:r>
      <w:r w:rsidR="00B40C39">
        <w:t xml:space="preserve">, with </w:t>
      </w:r>
      <w:r w:rsidR="00304EE7">
        <w:t>31</w:t>
      </w:r>
      <w:r w:rsidR="00B40C39">
        <w:t xml:space="preserve"> winning </w:t>
      </w:r>
      <w:r w:rsidR="0016586A">
        <w:t>bidders</w:t>
      </w:r>
      <w:r w:rsidR="00B40C39">
        <w:t xml:space="preserve"> winning a total of </w:t>
      </w:r>
      <w:r w:rsidR="00304EE7">
        <w:t>1,611</w:t>
      </w:r>
      <w:r w:rsidR="00B40C39">
        <w:t xml:space="preserve"> licenses</w:t>
      </w:r>
      <w:r>
        <w:t xml:space="preserve">.  </w:t>
      </w:r>
    </w:p>
    <w:p w:rsidR="002848C6" w:rsidRDefault="00B40C39" w:rsidP="00CA14B1">
      <w:pPr>
        <w:pStyle w:val="ParaNum"/>
      </w:pPr>
      <w:r w:rsidRPr="00D415F5">
        <w:rPr>
          <w:szCs w:val="24"/>
        </w:rPr>
        <w:t xml:space="preserve">The </w:t>
      </w:r>
      <w:r w:rsidR="00D705B7" w:rsidRPr="00D415F5">
        <w:rPr>
          <w:szCs w:val="24"/>
        </w:rPr>
        <w:t>Wireless Telecommunications Bureau (</w:t>
      </w:r>
      <w:r w:rsidR="007002EB">
        <w:rPr>
          <w:szCs w:val="24"/>
        </w:rPr>
        <w:t>“</w:t>
      </w:r>
      <w:r w:rsidR="00BA55DD" w:rsidRPr="00D415F5">
        <w:rPr>
          <w:szCs w:val="24"/>
        </w:rPr>
        <w:t>Bureau</w:t>
      </w:r>
      <w:r w:rsidR="007002EB">
        <w:rPr>
          <w:szCs w:val="24"/>
        </w:rPr>
        <w:t>”</w:t>
      </w:r>
      <w:r w:rsidR="00D705B7" w:rsidRPr="00D415F5">
        <w:rPr>
          <w:szCs w:val="24"/>
        </w:rPr>
        <w:t>)</w:t>
      </w:r>
      <w:r w:rsidRPr="00D415F5">
        <w:rPr>
          <w:szCs w:val="24"/>
        </w:rPr>
        <w:t xml:space="preserve"> established reserve prices </w:t>
      </w:r>
      <w:r w:rsidR="0016586A" w:rsidRPr="00D415F5">
        <w:rPr>
          <w:szCs w:val="24"/>
        </w:rPr>
        <w:t>for the AW</w:t>
      </w:r>
      <w:r w:rsidR="004A3D9B" w:rsidRPr="00D415F5">
        <w:rPr>
          <w:szCs w:val="24"/>
        </w:rPr>
        <w:t>S</w:t>
      </w:r>
      <w:r w:rsidR="0016586A" w:rsidRPr="00D415F5">
        <w:rPr>
          <w:szCs w:val="24"/>
        </w:rPr>
        <w:t xml:space="preserve">-3 licenses offered </w:t>
      </w:r>
      <w:r w:rsidRPr="00D415F5">
        <w:rPr>
          <w:szCs w:val="24"/>
        </w:rPr>
        <w:t>in Auction 97</w:t>
      </w:r>
      <w:r w:rsidR="00D705B7" w:rsidRPr="00D415F5">
        <w:rPr>
          <w:szCs w:val="24"/>
        </w:rPr>
        <w:t xml:space="preserve"> in order to comply with a </w:t>
      </w:r>
      <w:r w:rsidRPr="00D415F5">
        <w:rPr>
          <w:szCs w:val="24"/>
        </w:rPr>
        <w:t xml:space="preserve">statutory requirement </w:t>
      </w:r>
      <w:r w:rsidR="00D705B7" w:rsidRPr="00D415F5">
        <w:rPr>
          <w:szCs w:val="24"/>
        </w:rPr>
        <w:t xml:space="preserve">that auction proceeds </w:t>
      </w:r>
      <w:r w:rsidRPr="002848C6">
        <w:t>fund</w:t>
      </w:r>
      <w:r w:rsidRPr="00D415F5">
        <w:rPr>
          <w:szCs w:val="24"/>
        </w:rPr>
        <w:t xml:space="preserve"> the </w:t>
      </w:r>
      <w:r w:rsidR="00D705B7" w:rsidRPr="00D415F5">
        <w:rPr>
          <w:szCs w:val="24"/>
        </w:rPr>
        <w:t xml:space="preserve">estimated </w:t>
      </w:r>
      <w:r w:rsidRPr="00D415F5">
        <w:rPr>
          <w:szCs w:val="24"/>
        </w:rPr>
        <w:t xml:space="preserve">relocation </w:t>
      </w:r>
      <w:r w:rsidR="00D705B7" w:rsidRPr="00D415F5">
        <w:rPr>
          <w:szCs w:val="24"/>
        </w:rPr>
        <w:t xml:space="preserve">or sharing </w:t>
      </w:r>
      <w:r w:rsidR="00C2576D">
        <w:rPr>
          <w:szCs w:val="24"/>
        </w:rPr>
        <w:t xml:space="preserve">costs </w:t>
      </w:r>
      <w:r w:rsidR="00D705B7" w:rsidRPr="00D415F5">
        <w:rPr>
          <w:szCs w:val="24"/>
        </w:rPr>
        <w:t>of</w:t>
      </w:r>
      <w:r w:rsidRPr="00D415F5">
        <w:rPr>
          <w:szCs w:val="24"/>
        </w:rPr>
        <w:t xml:space="preserve"> federal government entities that currently operate in the</w:t>
      </w:r>
      <w:r w:rsidR="0016586A" w:rsidRPr="00D415F5">
        <w:rPr>
          <w:szCs w:val="24"/>
        </w:rPr>
        <w:t xml:space="preserve"> 1695-1710 MHz and 1755-1780 MHz bands.</w:t>
      </w:r>
      <w:r w:rsidR="0016586A">
        <w:rPr>
          <w:rStyle w:val="FootnoteReference"/>
          <w:szCs w:val="24"/>
        </w:rPr>
        <w:footnoteReference w:id="2"/>
      </w:r>
      <w:r w:rsidR="0016586A" w:rsidRPr="00D415F5">
        <w:rPr>
          <w:szCs w:val="24"/>
        </w:rPr>
        <w:t xml:space="preserve"> </w:t>
      </w:r>
      <w:r w:rsidRPr="00D415F5">
        <w:rPr>
          <w:szCs w:val="24"/>
        </w:rPr>
        <w:t xml:space="preserve"> </w:t>
      </w:r>
      <w:r w:rsidR="001279ED">
        <w:t>Specifically, t</w:t>
      </w:r>
      <w:r w:rsidR="00BA55DD">
        <w:t>he Bureau established an</w:t>
      </w:r>
      <w:r w:rsidR="008B56A1">
        <w:t xml:space="preserve"> aggregate reserve </w:t>
      </w:r>
      <w:r w:rsidR="00AB5230">
        <w:t>price of $</w:t>
      </w:r>
      <w:r w:rsidR="00D705B7">
        <w:t>579,775,900</w:t>
      </w:r>
      <w:r w:rsidR="00AB5230">
        <w:t xml:space="preserve"> for the 1695-1710</w:t>
      </w:r>
      <w:r w:rsidR="00413865">
        <w:t xml:space="preserve"> </w:t>
      </w:r>
      <w:r w:rsidR="00AB5230">
        <w:t>MH</w:t>
      </w:r>
      <w:r w:rsidR="00D705B7">
        <w:t>z</w:t>
      </w:r>
      <w:r w:rsidR="00AB5230">
        <w:t xml:space="preserve"> </w:t>
      </w:r>
      <w:r w:rsidR="00D705B7">
        <w:t>band,</w:t>
      </w:r>
      <w:r w:rsidR="00AB5230">
        <w:t xml:space="preserve"> and a separate aggregate reserve price of $</w:t>
      </w:r>
      <w:r w:rsidR="00BA55DD">
        <w:t>10,066,326,600</w:t>
      </w:r>
      <w:r w:rsidR="008B56A1">
        <w:t xml:space="preserve"> </w:t>
      </w:r>
      <w:r w:rsidR="00AB5230">
        <w:t>for the paired 1755-1780MHz/2155-2180 MHz</w:t>
      </w:r>
      <w:r w:rsidR="00BA55DD">
        <w:t xml:space="preserve"> band</w:t>
      </w:r>
      <w:r w:rsidR="008B56A1">
        <w:t>.</w:t>
      </w:r>
      <w:r w:rsidR="008B56A1">
        <w:rPr>
          <w:rStyle w:val="FootnoteReference"/>
        </w:rPr>
        <w:footnoteReference w:id="3"/>
      </w:r>
      <w:r w:rsidR="008B56A1">
        <w:t xml:space="preserve">  </w:t>
      </w:r>
      <w:r w:rsidR="003378DD" w:rsidRPr="00D415F5">
        <w:rPr>
          <w:color w:val="000000"/>
          <w:szCs w:val="24"/>
        </w:rPr>
        <w:t xml:space="preserve">In order for Auction 97 to close </w:t>
      </w:r>
      <w:r w:rsidR="003378DD" w:rsidRPr="00CC207F">
        <w:t xml:space="preserve">in compliance with </w:t>
      </w:r>
      <w:r w:rsidR="003378DD">
        <w:t>the statute</w:t>
      </w:r>
      <w:r w:rsidR="003378DD" w:rsidRPr="00D415F5">
        <w:rPr>
          <w:color w:val="000000"/>
          <w:szCs w:val="24"/>
        </w:rPr>
        <w:t>, the total winning bids</w:t>
      </w:r>
      <w:r w:rsidR="00FB5906">
        <w:rPr>
          <w:color w:val="000000"/>
          <w:szCs w:val="24"/>
        </w:rPr>
        <w:t xml:space="preserve"> for each band</w:t>
      </w:r>
      <w:r w:rsidR="003378DD" w:rsidRPr="00D415F5">
        <w:rPr>
          <w:color w:val="000000"/>
          <w:szCs w:val="24"/>
        </w:rPr>
        <w:t>, net of bidding credits applicable at the close of bidding, w</w:t>
      </w:r>
      <w:r w:rsidR="00FB5906">
        <w:rPr>
          <w:color w:val="000000"/>
          <w:szCs w:val="24"/>
        </w:rPr>
        <w:t>as</w:t>
      </w:r>
      <w:r w:rsidR="003378DD" w:rsidRPr="00D415F5">
        <w:rPr>
          <w:color w:val="000000"/>
          <w:szCs w:val="24"/>
        </w:rPr>
        <w:t xml:space="preserve"> required to equal or exceed the respective reserve prices established for these bands</w:t>
      </w:r>
      <w:r w:rsidR="003378DD" w:rsidRPr="00CC207F">
        <w:t>.</w:t>
      </w:r>
      <w:r w:rsidR="003378DD">
        <w:t xml:space="preserve">  </w:t>
      </w:r>
      <w:r w:rsidR="003378DD" w:rsidRPr="00CC207F">
        <w:t xml:space="preserve">At the close of Auction </w:t>
      </w:r>
      <w:r w:rsidR="003378DD">
        <w:t>97, t</w:t>
      </w:r>
      <w:r w:rsidR="008B56A1">
        <w:t xml:space="preserve">he </w:t>
      </w:r>
      <w:r w:rsidR="003378DD">
        <w:t xml:space="preserve">net </w:t>
      </w:r>
      <w:r w:rsidR="008B56A1" w:rsidRPr="00CC207F">
        <w:t xml:space="preserve">total winning bids </w:t>
      </w:r>
      <w:r w:rsidR="008B56A1">
        <w:t xml:space="preserve">in </w:t>
      </w:r>
      <w:r w:rsidR="003378DD">
        <w:t xml:space="preserve">the 1695-1710 MHz band exceeded the reserve price for </w:t>
      </w:r>
      <w:r w:rsidR="00D67286">
        <w:t xml:space="preserve">the </w:t>
      </w:r>
      <w:r w:rsidR="003378DD">
        <w:t>band, and the</w:t>
      </w:r>
      <w:r w:rsidR="00B529C4" w:rsidRPr="00B529C4">
        <w:t xml:space="preserve"> </w:t>
      </w:r>
      <w:r w:rsidR="00B529C4">
        <w:t xml:space="preserve">net </w:t>
      </w:r>
      <w:r w:rsidR="00B529C4" w:rsidRPr="00CC207F">
        <w:t xml:space="preserve">total winning bids </w:t>
      </w:r>
      <w:r w:rsidR="00B529C4">
        <w:t>for licenses in the paired 1755/2155-2180 MHz band</w:t>
      </w:r>
      <w:r w:rsidR="008B56A1" w:rsidRPr="00791ABE">
        <w:t xml:space="preserve"> </w:t>
      </w:r>
      <w:r w:rsidR="00B529C4">
        <w:t>exceeded</w:t>
      </w:r>
      <w:r w:rsidR="008B56A1" w:rsidRPr="00791ABE">
        <w:t xml:space="preserve"> the</w:t>
      </w:r>
      <w:r w:rsidR="008B56A1" w:rsidRPr="00CC207F">
        <w:t xml:space="preserve"> reserve </w:t>
      </w:r>
      <w:r w:rsidR="008B56A1">
        <w:t>price</w:t>
      </w:r>
      <w:r w:rsidR="00B529C4">
        <w:t xml:space="preserve"> for </w:t>
      </w:r>
      <w:r w:rsidR="00D67286">
        <w:t xml:space="preserve">the </w:t>
      </w:r>
      <w:r w:rsidR="00B529C4">
        <w:t>band</w:t>
      </w:r>
      <w:r w:rsidR="008B56A1">
        <w:t xml:space="preserve">.   </w:t>
      </w:r>
    </w:p>
    <w:p w:rsidR="008B56A1" w:rsidRPr="00545F16" w:rsidRDefault="002848C6" w:rsidP="002848C6">
      <w:pPr>
        <w:pStyle w:val="Heading1"/>
        <w:tabs>
          <w:tab w:val="left" w:pos="720"/>
        </w:tabs>
      </w:pPr>
      <w:r>
        <w:t>auction</w:t>
      </w:r>
      <w:r w:rsidR="008B56A1">
        <w:t xml:space="preserve"> RESULTS</w:t>
      </w:r>
    </w:p>
    <w:p w:rsidR="008B56A1" w:rsidRPr="00545F16" w:rsidRDefault="008B56A1" w:rsidP="008B56A1">
      <w:pPr>
        <w:pStyle w:val="ParaNum"/>
      </w:pPr>
      <w:r w:rsidRPr="00A946D7">
        <w:t xml:space="preserve">This </w:t>
      </w:r>
      <w:r>
        <w:t>P</w:t>
      </w:r>
      <w:r w:rsidRPr="00A946D7">
        <w:t xml:space="preserve">ublic </w:t>
      </w:r>
      <w:r>
        <w:t>N</w:t>
      </w:r>
      <w:r w:rsidRPr="00A946D7">
        <w:t>otice provides</w:t>
      </w:r>
      <w:r w:rsidRPr="00545F16">
        <w:t xml:space="preserve"> detailed information concerning winning bidders, down payments, final payments</w:t>
      </w:r>
      <w:r>
        <w:t>,</w:t>
      </w:r>
      <w:r w:rsidRPr="00545F16">
        <w:t xml:space="preserve"> refunds, FCC Forms 601 and </w:t>
      </w:r>
      <w:r w:rsidRPr="00441794">
        <w:t>602 filing</w:t>
      </w:r>
      <w:r w:rsidRPr="00545F16">
        <w:t xml:space="preserve"> requirements, and licensing matters.  Key information appears in the following attachments:</w:t>
      </w:r>
    </w:p>
    <w:p w:rsidR="008B56A1" w:rsidRPr="00240CD9" w:rsidRDefault="008B56A1" w:rsidP="008B56A1">
      <w:pPr>
        <w:pStyle w:val="BodyTextIndent"/>
        <w:widowControl/>
      </w:pPr>
      <w:r w:rsidRPr="00240CD9">
        <w:rPr>
          <w:b/>
        </w:rPr>
        <w:t>Attachment A:</w:t>
      </w:r>
      <w:r>
        <w:tab/>
      </w:r>
      <w:r w:rsidRPr="00240CD9">
        <w:t xml:space="preserve">“Winning Bids” lists </w:t>
      </w:r>
      <w:r w:rsidR="00031D5F">
        <w:t xml:space="preserve">each </w:t>
      </w:r>
      <w:r w:rsidRPr="00240CD9">
        <w:t xml:space="preserve">winning bidder and </w:t>
      </w:r>
      <w:r>
        <w:t>its</w:t>
      </w:r>
      <w:r w:rsidRPr="00240CD9">
        <w:t xml:space="preserve"> </w:t>
      </w:r>
      <w:r>
        <w:t>total</w:t>
      </w:r>
      <w:r w:rsidRPr="00240CD9">
        <w:t xml:space="preserve"> winning bid amounts.</w:t>
      </w:r>
    </w:p>
    <w:p w:rsidR="008B56A1" w:rsidRPr="00240CD9" w:rsidRDefault="008B56A1" w:rsidP="008B56A1">
      <w:pPr>
        <w:widowControl/>
        <w:ind w:left="2880" w:hanging="2160"/>
      </w:pPr>
    </w:p>
    <w:p w:rsidR="008B56A1" w:rsidRDefault="008B56A1" w:rsidP="008B56A1">
      <w:pPr>
        <w:widowControl/>
        <w:ind w:left="2880" w:hanging="2160"/>
      </w:pPr>
      <w:r w:rsidRPr="00240CD9">
        <w:rPr>
          <w:b/>
        </w:rPr>
        <w:lastRenderedPageBreak/>
        <w:t>Attachment B:</w:t>
      </w:r>
      <w:r w:rsidRPr="00240CD9">
        <w:rPr>
          <w:b/>
        </w:rPr>
        <w:tab/>
      </w:r>
      <w:r w:rsidRPr="00240CD9">
        <w:t xml:space="preserve">“Bidder Payment/Refund” lists down payments and final payments owed by </w:t>
      </w:r>
      <w:r w:rsidR="00BF1A48">
        <w:t xml:space="preserve">each </w:t>
      </w:r>
      <w:r w:rsidRPr="00240CD9">
        <w:t>winning bidder and refunds due</w:t>
      </w:r>
      <w:r>
        <w:t xml:space="preserve"> to other applicants</w:t>
      </w:r>
      <w:r w:rsidRPr="00240CD9">
        <w:t>.</w:t>
      </w:r>
      <w:r w:rsidRPr="00240CD9">
        <w:rPr>
          <w:rStyle w:val="FootnoteReference"/>
        </w:rPr>
        <w:footnoteReference w:id="4"/>
      </w:r>
    </w:p>
    <w:p w:rsidR="008B56A1" w:rsidRDefault="008B56A1" w:rsidP="008B56A1">
      <w:pPr>
        <w:widowControl/>
        <w:ind w:left="2880" w:hanging="2160"/>
      </w:pPr>
    </w:p>
    <w:p w:rsidR="008B56A1" w:rsidRDefault="008B56A1" w:rsidP="008B56A1">
      <w:pPr>
        <w:widowControl/>
        <w:ind w:left="2880" w:hanging="2160"/>
      </w:pPr>
      <w:r w:rsidRPr="00240CD9">
        <w:rPr>
          <w:b/>
        </w:rPr>
        <w:t>Attachment C:</w:t>
      </w:r>
      <w:r w:rsidRPr="00240CD9">
        <w:tab/>
        <w:t>“Withdrawal Payment Report” lists bid withdrawal payments owed by bidders, if any</w:t>
      </w:r>
      <w:r>
        <w:t>.</w:t>
      </w:r>
    </w:p>
    <w:p w:rsidR="008B56A1" w:rsidRDefault="008B56A1" w:rsidP="008B56A1">
      <w:pPr>
        <w:widowControl/>
        <w:ind w:left="2880" w:hanging="2160"/>
      </w:pPr>
    </w:p>
    <w:p w:rsidR="008B56A1" w:rsidRPr="00545F16" w:rsidRDefault="008B56A1" w:rsidP="008B56A1">
      <w:pPr>
        <w:widowControl/>
        <w:ind w:left="2880" w:hanging="2160"/>
      </w:pPr>
      <w:r w:rsidRPr="00B80E10">
        <w:rPr>
          <w:b/>
        </w:rPr>
        <w:t xml:space="preserve">Attachment </w:t>
      </w:r>
      <w:r>
        <w:rPr>
          <w:b/>
        </w:rPr>
        <w:t>D</w:t>
      </w:r>
      <w:r w:rsidRPr="00B80E10">
        <w:rPr>
          <w:b/>
        </w:rPr>
        <w:t>:</w:t>
      </w:r>
      <w:r w:rsidRPr="00545F16">
        <w:rPr>
          <w:b/>
        </w:rPr>
        <w:tab/>
      </w:r>
      <w:r w:rsidRPr="00545F16">
        <w:t xml:space="preserve">“Instructions for Completing FCC Form 601 </w:t>
      </w:r>
      <w:r>
        <w:t>and</w:t>
      </w:r>
      <w:r w:rsidRPr="00545F16">
        <w:t xml:space="preserve"> </w:t>
      </w:r>
      <w:r>
        <w:t xml:space="preserve">FCC </w:t>
      </w:r>
      <w:r w:rsidRPr="00545F16">
        <w:t xml:space="preserve">Form 602” provides detailed information about how a winning bidder should complete the required </w:t>
      </w:r>
      <w:r>
        <w:t>long-form application (</w:t>
      </w:r>
      <w:r w:rsidRPr="00545F16">
        <w:t>FCC Form 601</w:t>
      </w:r>
      <w:r>
        <w:t>)</w:t>
      </w:r>
      <w:r w:rsidRPr="00545F16">
        <w:t xml:space="preserve"> and </w:t>
      </w:r>
      <w:r>
        <w:t>ownership disclosure report (</w:t>
      </w:r>
      <w:r w:rsidRPr="00545F16">
        <w:t>FCC Form 602</w:t>
      </w:r>
      <w:r>
        <w:t>)</w:t>
      </w:r>
      <w:r w:rsidRPr="00545F16">
        <w:t xml:space="preserve"> for </w:t>
      </w:r>
      <w:r w:rsidR="003C7C23">
        <w:t xml:space="preserve">AWS-3 </w:t>
      </w:r>
      <w:r w:rsidRPr="00545F16">
        <w:t>license</w:t>
      </w:r>
      <w:r>
        <w:t>s won in Auction 9</w:t>
      </w:r>
      <w:r w:rsidR="006C22ED">
        <w:t>7</w:t>
      </w:r>
      <w:r>
        <w:t>.</w:t>
      </w:r>
    </w:p>
    <w:p w:rsidR="00413865" w:rsidRDefault="00413865" w:rsidP="00A732F8">
      <w:pPr>
        <w:widowControl/>
        <w:spacing w:after="120"/>
      </w:pPr>
    </w:p>
    <w:p w:rsidR="008B56A1" w:rsidRDefault="008B56A1" w:rsidP="00A732F8">
      <w:pPr>
        <w:widowControl/>
        <w:spacing w:after="120"/>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rsidR="008B56A1" w:rsidRDefault="008B56A1" w:rsidP="008B56A1">
      <w:pPr>
        <w:pStyle w:val="ParaNum"/>
      </w:pPr>
      <w:r w:rsidRPr="007A4136">
        <w:t>Concurrent with the release of this Public Notice, the Commission is making available information previously withheld under the limited information procedures for Auction 9</w:t>
      </w:r>
      <w:r w:rsidR="00AA45B8">
        <w:t>7</w:t>
      </w:r>
      <w:r w:rsidRPr="007A4136">
        <w:t>.  Results</w:t>
      </w:r>
      <w:r>
        <w:t xml:space="preserve"> files that include the identities of bidders and the net amounts of bids are now available on the web page for Auction 9</w:t>
      </w:r>
      <w:r w:rsidR="00AA45B8">
        <w:t>7</w:t>
      </w:r>
      <w:r>
        <w:t xml:space="preserve"> (</w:t>
      </w:r>
      <w:hyperlink r:id="rId8" w:history="1">
        <w:r w:rsidR="00412D5F" w:rsidRPr="00DA3070">
          <w:rPr>
            <w:rStyle w:val="Hyperlink"/>
          </w:rPr>
          <w:t>http://wireless.fcc.gov/auctions/97/</w:t>
        </w:r>
      </w:hyperlink>
      <w:r>
        <w:t>) and in the FCC Auction System (</w:t>
      </w:r>
      <w:hyperlink r:id="rId9" w:history="1">
        <w:r w:rsidRPr="00F23AC5">
          <w:rPr>
            <w:rStyle w:val="Hyperlink"/>
          </w:rPr>
          <w:t>http://auctions.fcc.gov/</w:t>
        </w:r>
      </w:hyperlink>
      <w:r>
        <w:t xml:space="preserve">).  The limited information results files (without the identities of bidders and the net amounts of bids) </w:t>
      </w:r>
      <w:r w:rsidR="00BF1A48">
        <w:t xml:space="preserve">also </w:t>
      </w:r>
      <w:r>
        <w:t>remain available on the web page for Auction 9</w:t>
      </w:r>
      <w:r w:rsidR="00AA45B8">
        <w:t>7</w:t>
      </w:r>
      <w:r>
        <w:t xml:space="preserve">.  Additionally, the </w:t>
      </w:r>
      <w:r w:rsidR="00C8409A">
        <w:t>publicly available</w:t>
      </w:r>
      <w:r>
        <w:t xml:space="preserve"> applications to participate in the auction (FCC Forms 175) now display the licenses that were selected by each applicant as well as any application exhibits that may have been suppressed during the auction.  The applications are viewable in the FCC Auction System via the Auction Application Search (</w:t>
      </w:r>
      <w:hyperlink r:id="rId10" w:history="1">
        <w:r w:rsidRPr="002D249B">
          <w:rPr>
            <w:rStyle w:val="Hyperlink"/>
          </w:rPr>
          <w:t>https://auctionfiling.fcc.gov/form175/search175/index.htm</w:t>
        </w:r>
      </w:hyperlink>
      <w:r>
        <w:t xml:space="preserve">).  </w:t>
      </w:r>
    </w:p>
    <w:p w:rsidR="008B56A1" w:rsidRDefault="008B56A1" w:rsidP="008B56A1">
      <w:pPr>
        <w:pStyle w:val="Heading1"/>
      </w:pPr>
      <w:r>
        <w:t>post-auction payments and requirements</w:t>
      </w:r>
    </w:p>
    <w:p w:rsidR="008B56A1" w:rsidRDefault="008B56A1" w:rsidP="008B56A1">
      <w:pPr>
        <w:pStyle w:val="Heading2"/>
        <w:keepLines/>
        <w:widowControl/>
        <w:ind w:left="1627"/>
      </w:pPr>
      <w:r w:rsidRPr="002E0E68">
        <w:t>Down Payments</w:t>
      </w:r>
    </w:p>
    <w:p w:rsidR="008B56A1" w:rsidRDefault="00F01448" w:rsidP="008B56A1">
      <w:pPr>
        <w:pStyle w:val="ParaNum"/>
      </w:pPr>
      <w:r>
        <w:t xml:space="preserve">In the </w:t>
      </w:r>
      <w:r w:rsidRPr="00B132DC">
        <w:rPr>
          <w:i/>
        </w:rPr>
        <w:t>Auction 9</w:t>
      </w:r>
      <w:r>
        <w:rPr>
          <w:i/>
        </w:rPr>
        <w:t>7</w:t>
      </w:r>
      <w:r w:rsidRPr="00B132DC">
        <w:rPr>
          <w:i/>
        </w:rPr>
        <w:t xml:space="preserve"> Procedures Public Notice</w:t>
      </w:r>
      <w:r>
        <w:t>, the Bureau exercised its discretion under section 1.2107(b)</w:t>
      </w:r>
      <w:r w:rsidRPr="00490EDD">
        <w:t xml:space="preserve"> </w:t>
      </w:r>
      <w:r w:rsidRPr="00474CE7">
        <w:t xml:space="preserve">to </w:t>
      </w:r>
      <w:r>
        <w:t>set the</w:t>
      </w:r>
      <w:r w:rsidRPr="00474CE7">
        <w:t xml:space="preserve"> down payment</w:t>
      </w:r>
      <w:r>
        <w:t xml:space="preserve"> deadline for Auction 97 to be the later of January 7, 2015</w:t>
      </w:r>
      <w:r w:rsidR="00BF1A48">
        <w:t>,</w:t>
      </w:r>
      <w:r>
        <w:t xml:space="preserve"> or</w:t>
      </w:r>
      <w:r w:rsidRPr="00474CE7">
        <w:t xml:space="preserve"> ten business days following </w:t>
      </w:r>
      <w:r>
        <w:t>the release of the auction closing</w:t>
      </w:r>
      <w:r w:rsidRPr="00474CE7">
        <w:t xml:space="preserve"> public notice.</w:t>
      </w:r>
      <w:r>
        <w:rPr>
          <w:rStyle w:val="FootnoteReference"/>
        </w:rPr>
        <w:footnoteReference w:id="5"/>
      </w:r>
      <w:r w:rsidR="008B56A1" w:rsidRPr="00BB560F">
        <w:t xml:space="preserve"> </w:t>
      </w:r>
      <w:r>
        <w:t xml:space="preserve">  </w:t>
      </w:r>
      <w:r w:rsidR="004943C0" w:rsidRPr="004943C0">
        <w:t xml:space="preserve"> </w:t>
      </w:r>
      <w:r w:rsidR="004943C0">
        <w:t xml:space="preserve">Accordingly, the down payment deadline for Auction 97 is </w:t>
      </w:r>
      <w:r w:rsidR="00B45C67">
        <w:t xml:space="preserve">February 13, </w:t>
      </w:r>
      <w:r w:rsidR="004943C0">
        <w:t>2015.  E</w:t>
      </w:r>
      <w:r w:rsidR="004943C0" w:rsidRPr="00481F8C">
        <w:t xml:space="preserve">ach winning bidder in Auction </w:t>
      </w:r>
      <w:r w:rsidR="004943C0">
        <w:t>97</w:t>
      </w:r>
      <w:r w:rsidR="004943C0" w:rsidRPr="00481F8C">
        <w:t xml:space="preserve"> must</w:t>
      </w:r>
      <w:r w:rsidR="004943C0">
        <w:t>,</w:t>
      </w:r>
      <w:r w:rsidR="004943C0" w:rsidRPr="00481F8C">
        <w:t xml:space="preserve"> </w:t>
      </w:r>
      <w:r w:rsidR="008B56A1" w:rsidRPr="00BB560F">
        <w:t xml:space="preserve">by </w:t>
      </w:r>
      <w:r w:rsidR="008B56A1" w:rsidRPr="00BB560F">
        <w:rPr>
          <w:b/>
        </w:rPr>
        <w:t xml:space="preserve">6:00 p.m. Eastern Time (ET) on </w:t>
      </w:r>
      <w:r w:rsidR="00B45C67">
        <w:rPr>
          <w:b/>
        </w:rPr>
        <w:t xml:space="preserve">February 13, </w:t>
      </w:r>
      <w:r w:rsidR="00B750E1" w:rsidRPr="00BB560F">
        <w:rPr>
          <w:b/>
        </w:rPr>
        <w:t>2015</w:t>
      </w:r>
      <w:r w:rsidR="008B56A1" w:rsidRPr="00BB560F">
        <w:t>,</w:t>
      </w:r>
      <w:r w:rsidR="008B56A1" w:rsidRPr="00BA4C4A">
        <w:t xml:space="preserve"> </w:t>
      </w:r>
      <w:r w:rsidR="008B56A1" w:rsidRPr="00481F8C">
        <w:t>have on deposit with the Commission enough funds to cover the down payment(s) on its winning bids.</w:t>
      </w:r>
      <w:r w:rsidR="008B56A1" w:rsidRPr="00481F8C">
        <w:rPr>
          <w:rStyle w:val="FootnoteReference"/>
        </w:rPr>
        <w:footnoteReference w:id="6"/>
      </w:r>
      <w:r w:rsidR="008B56A1" w:rsidRPr="00481F8C">
        <w:t xml:space="preserve">  Specifically, each winning bidder’s total deposit must be twenty percent of the </w:t>
      </w:r>
      <w:r w:rsidR="008B56A1">
        <w:t xml:space="preserve">aggregate </w:t>
      </w:r>
      <w:r w:rsidR="008B56A1" w:rsidRPr="00481F8C">
        <w:t>net</w:t>
      </w:r>
      <w:r w:rsidR="008B56A1" w:rsidRPr="00253951">
        <w:t xml:space="preserve"> amount of its winning bid</w:t>
      </w:r>
      <w:r w:rsidR="008B56A1">
        <w:t>s</w:t>
      </w:r>
      <w:r w:rsidR="008B56A1" w:rsidRPr="00253951">
        <w:t>.</w:t>
      </w:r>
      <w:r w:rsidR="008B56A1">
        <w:t xml:space="preserve">  </w:t>
      </w:r>
      <w:r>
        <w:t>If a</w:t>
      </w:r>
      <w:r w:rsidR="008B56A1" w:rsidRPr="00587B67">
        <w:t xml:space="preserve"> winning bidder’s upfront payment is </w:t>
      </w:r>
      <w:r w:rsidR="007F057F">
        <w:t xml:space="preserve">not </w:t>
      </w:r>
      <w:r w:rsidR="008B56A1" w:rsidRPr="00587B67">
        <w:t xml:space="preserve">sufficient to meet this </w:t>
      </w:r>
      <w:r w:rsidR="008B56A1" w:rsidRPr="00EC2ABA">
        <w:t xml:space="preserve">requirement, </w:t>
      </w:r>
      <w:r w:rsidR="008B56A1">
        <w:t xml:space="preserve">it </w:t>
      </w:r>
      <w:r w:rsidR="007F057F">
        <w:t>must</w:t>
      </w:r>
      <w:r w:rsidR="008B56A1">
        <w:t xml:space="preserve"> </w:t>
      </w:r>
      <w:r w:rsidR="008B56A1" w:rsidRPr="00EC2ABA">
        <w:t>deposit additional funds to meet its required down payment</w:t>
      </w:r>
      <w:r w:rsidR="008B56A1">
        <w:t>.</w:t>
      </w:r>
      <w:r w:rsidR="008B56A1">
        <w:rPr>
          <w:rStyle w:val="FootnoteReference"/>
        </w:rPr>
        <w:footnoteReference w:id="7"/>
      </w:r>
      <w:r w:rsidR="008B56A1">
        <w:t xml:space="preserve"> </w:t>
      </w:r>
    </w:p>
    <w:p w:rsidR="00E06674" w:rsidRDefault="00E06674" w:rsidP="007642D6">
      <w:pPr>
        <w:pStyle w:val="ParaNum"/>
        <w:widowControl/>
      </w:pPr>
      <w:r>
        <w:t xml:space="preserve">The </w:t>
      </w:r>
      <w:r w:rsidR="008B14E1">
        <w:t xml:space="preserve">down payment </w:t>
      </w:r>
      <w:r>
        <w:t xml:space="preserve">amount now due from each winning bidder, if any, is set forth in the “Additional Amount Due After Upfront Payment Balance Applied Due by  </w:t>
      </w:r>
      <w:r w:rsidR="001645C9">
        <w:t xml:space="preserve">February 13, </w:t>
      </w:r>
      <w:r>
        <w:t>2015” column of Attachment B.  Note that a payment and FCC Remittance Advice Form (FCC Form 159) are necessary only if a winning bidder’s upfront payment does not cover the required total down payment (as reflected in Attachment B).</w:t>
      </w:r>
    </w:p>
    <w:p w:rsidR="00297616" w:rsidRPr="003B727D" w:rsidRDefault="00297616" w:rsidP="008B56A1">
      <w:pPr>
        <w:pStyle w:val="ParaNum"/>
      </w:pPr>
      <w:r>
        <w:t xml:space="preserve">Wire transfers for down payments must be received by the Commission by </w:t>
      </w:r>
      <w:r>
        <w:rPr>
          <w:b/>
        </w:rPr>
        <w:t xml:space="preserve">6:00 p.m. ET on, </w:t>
      </w:r>
      <w:r w:rsidR="00B45C67">
        <w:rPr>
          <w:b/>
        </w:rPr>
        <w:t xml:space="preserve">February 13, </w:t>
      </w:r>
      <w:r>
        <w:rPr>
          <w:b/>
        </w:rPr>
        <w:t>2015</w:t>
      </w:r>
      <w:r>
        <w:t>.  If a winning bidder fails to complete the down payment process consistent with the payment method described in this</w:t>
      </w:r>
      <w:r w:rsidR="00AB528A">
        <w:t xml:space="preserve"> </w:t>
      </w:r>
      <w:r>
        <w:t>Public Notice</w:t>
      </w:r>
      <w:r w:rsidR="00AB528A">
        <w:t xml:space="preserve"> by 6:00 p.m. on</w:t>
      </w:r>
      <w:r w:rsidR="00B45C67">
        <w:t xml:space="preserve"> February 13, 2015</w:t>
      </w:r>
      <w:r w:rsidR="00AB528A">
        <w:t>, it will be in default.</w:t>
      </w:r>
      <w:r w:rsidR="00AB528A">
        <w:rPr>
          <w:rStyle w:val="FootnoteReference"/>
        </w:rPr>
        <w:footnoteReference w:id="8"/>
      </w:r>
      <w:r w:rsidR="00AB528A">
        <w:t xml:space="preserve"> </w:t>
      </w:r>
      <w:r>
        <w:t xml:space="preserve"> </w:t>
      </w:r>
      <w:r w:rsidR="00AB528A">
        <w:t xml:space="preserve"> </w:t>
      </w:r>
    </w:p>
    <w:p w:rsidR="008B56A1" w:rsidRPr="00545F16" w:rsidRDefault="008B56A1" w:rsidP="008B56A1">
      <w:pPr>
        <w:pStyle w:val="Heading2"/>
        <w:keepLines/>
        <w:widowControl/>
        <w:ind w:left="1627"/>
      </w:pPr>
      <w:r w:rsidRPr="00545F16">
        <w:t>Final Payments</w:t>
      </w:r>
    </w:p>
    <w:p w:rsidR="008B56A1" w:rsidRDefault="004943C0" w:rsidP="008B56A1">
      <w:pPr>
        <w:pStyle w:val="ParaNum"/>
      </w:pPr>
      <w:r>
        <w:t xml:space="preserve">In the </w:t>
      </w:r>
      <w:r w:rsidRPr="00B132DC">
        <w:rPr>
          <w:i/>
        </w:rPr>
        <w:t>Auction 9</w:t>
      </w:r>
      <w:r>
        <w:rPr>
          <w:i/>
        </w:rPr>
        <w:t>7</w:t>
      </w:r>
      <w:r w:rsidRPr="00B132DC">
        <w:rPr>
          <w:i/>
        </w:rPr>
        <w:t xml:space="preserve"> Procedures Public Notice</w:t>
      </w:r>
      <w:r>
        <w:t>, the Bureau set the</w:t>
      </w:r>
      <w:r w:rsidRPr="00474CE7">
        <w:t xml:space="preserve"> </w:t>
      </w:r>
      <w:r>
        <w:t>final</w:t>
      </w:r>
      <w:r w:rsidRPr="00474CE7">
        <w:t xml:space="preserve"> payment</w:t>
      </w:r>
      <w:r>
        <w:t xml:space="preserve"> deadline for Auction 97 to be the later of January 21, 2015 or</w:t>
      </w:r>
      <w:r w:rsidRPr="00474CE7">
        <w:t xml:space="preserve"> ten business days </w:t>
      </w:r>
      <w:r>
        <w:t>after the deadline for submitting down payments</w:t>
      </w:r>
      <w:r w:rsidRPr="00474CE7">
        <w:t>.</w:t>
      </w:r>
      <w:r>
        <w:rPr>
          <w:rStyle w:val="FootnoteReference"/>
        </w:rPr>
        <w:footnoteReference w:id="9"/>
      </w:r>
      <w:r>
        <w:t xml:space="preserve">  Accordingly, the final payment deadline for Auction 97 is </w:t>
      </w:r>
      <w:r w:rsidR="00B45C67">
        <w:t>March 2</w:t>
      </w:r>
      <w:r>
        <w:t xml:space="preserve">, 2015.  </w:t>
      </w:r>
      <w:r w:rsidR="00F63EEB">
        <w:t>Each</w:t>
      </w:r>
      <w:r w:rsidR="008B56A1" w:rsidRPr="00266002">
        <w:t xml:space="preserve"> winning bidder will be required to submit the balance of the net amount of its winning bid</w:t>
      </w:r>
      <w:r w:rsidR="008B56A1">
        <w:t>(s)</w:t>
      </w:r>
      <w:r w:rsidR="008B56A1" w:rsidRPr="00266002">
        <w:t xml:space="preserve"> </w:t>
      </w:r>
      <w:r w:rsidR="008B56A1" w:rsidRPr="00BA4C4A">
        <w:t xml:space="preserve">as set out in the </w:t>
      </w:r>
      <w:r w:rsidR="008B56A1" w:rsidRPr="00AA45B8">
        <w:t xml:space="preserve">“Final Balance Due by </w:t>
      </w:r>
      <w:r w:rsidR="008B56A1" w:rsidRPr="00B750E1">
        <w:t xml:space="preserve"> </w:t>
      </w:r>
      <w:r w:rsidR="001645C9">
        <w:t xml:space="preserve">March 2 , </w:t>
      </w:r>
      <w:r w:rsidR="008B56A1" w:rsidRPr="00B750E1">
        <w:t>201</w:t>
      </w:r>
      <w:r w:rsidR="000D19C2" w:rsidRPr="00B750E1">
        <w:t>5</w:t>
      </w:r>
      <w:r w:rsidR="008B56A1" w:rsidRPr="00B750E1">
        <w:rPr>
          <w:szCs w:val="22"/>
        </w:rPr>
        <w:t xml:space="preserve"> </w:t>
      </w:r>
      <w:r w:rsidR="008B56A1" w:rsidRPr="00AA45B8">
        <w:t>or (Refund)” column of Attachment B.</w:t>
      </w:r>
      <w:r w:rsidR="008B56A1" w:rsidRPr="00AA45B8">
        <w:rPr>
          <w:rStyle w:val="FootnoteReference"/>
        </w:rPr>
        <w:footnoteReference w:id="10"/>
      </w:r>
      <w:r w:rsidR="008B56A1" w:rsidRPr="00AA45B8">
        <w:t xml:space="preserve">  The winning bidder must pay the full amount of the Final Balance Due shown in Attachment B by </w:t>
      </w:r>
      <w:r w:rsidR="008B56A1" w:rsidRPr="00AA45B8">
        <w:rPr>
          <w:b/>
        </w:rPr>
        <w:t xml:space="preserve">6:00 p.m. ET on </w:t>
      </w:r>
      <w:r w:rsidR="001645C9">
        <w:rPr>
          <w:b/>
        </w:rPr>
        <w:t>March 2</w:t>
      </w:r>
      <w:r w:rsidR="008B56A1" w:rsidRPr="008A2D12">
        <w:rPr>
          <w:b/>
        </w:rPr>
        <w:t>, 201</w:t>
      </w:r>
      <w:r w:rsidR="000D19C2" w:rsidRPr="008A2D12">
        <w:rPr>
          <w:b/>
        </w:rPr>
        <w:t>5</w:t>
      </w:r>
      <w:r w:rsidR="008B56A1" w:rsidRPr="008A2D12">
        <w:t xml:space="preserve"> (or by 6:00 p.m. ET on </w:t>
      </w:r>
      <w:r w:rsidR="001645C9">
        <w:t>March 16</w:t>
      </w:r>
      <w:r w:rsidR="008B56A1" w:rsidRPr="008A2D12">
        <w:t>, 201</w:t>
      </w:r>
      <w:r w:rsidR="008A2D12">
        <w:t>5</w:t>
      </w:r>
      <w:r w:rsidR="008B56A1" w:rsidRPr="008A2D12">
        <w:t xml:space="preserve">, </w:t>
      </w:r>
      <w:r w:rsidR="008B56A1" w:rsidRPr="00AA45B8">
        <w:t>along with the five percent late fee required by section 1.2109(a) of the Commission’s rules)</w:t>
      </w:r>
      <w:r w:rsidR="009B4965">
        <w:t xml:space="preserve">.  </w:t>
      </w:r>
      <w:r w:rsidR="008B56A1" w:rsidRPr="00266002">
        <w:t xml:space="preserve">Full and timely payment of winning bids and any applicable late fees must be made in accordance with </w:t>
      </w:r>
      <w:r w:rsidR="008B56A1">
        <w:t>s</w:t>
      </w:r>
      <w:r w:rsidR="008B56A1" w:rsidRPr="00266002">
        <w:t xml:space="preserve">ection 1.2109(a) </w:t>
      </w:r>
      <w:r w:rsidR="008B56A1">
        <w:t xml:space="preserve">of the Commission’s rules </w:t>
      </w:r>
      <w:r w:rsidR="008B56A1" w:rsidRPr="00266002">
        <w:t>and must occur before a</w:t>
      </w:r>
      <w:r w:rsidR="008B56A1">
        <w:t>ction will be taken upon the</w:t>
      </w:r>
      <w:r w:rsidR="008B56A1" w:rsidRPr="00266002">
        <w:t xml:space="preserve"> winning bidder’s long-form application (FCC Form 601).</w:t>
      </w:r>
      <w:r w:rsidR="008B56A1" w:rsidRPr="00266002">
        <w:rPr>
          <w:rStyle w:val="FootnoteReference"/>
        </w:rPr>
        <w:footnoteReference w:id="11"/>
      </w:r>
      <w:r w:rsidR="008B56A1">
        <w:t xml:space="preserve">  Specifically, </w:t>
      </w:r>
      <w:r w:rsidR="008B56A1" w:rsidRPr="00D917B2">
        <w:rPr>
          <w:szCs w:val="22"/>
        </w:rPr>
        <w:t>licenses</w:t>
      </w:r>
      <w:r w:rsidR="008B56A1">
        <w:t xml:space="preserve"> will be granted only after the full and timely payment of winning bids and any applicable late fees, in accordance with section 1.2109(a).</w:t>
      </w:r>
      <w:r w:rsidR="008B56A1">
        <w:rPr>
          <w:rStyle w:val="FootnoteReference"/>
        </w:rPr>
        <w:footnoteReference w:id="12"/>
      </w:r>
    </w:p>
    <w:p w:rsidR="008B56A1" w:rsidRDefault="008B56A1" w:rsidP="008B56A1">
      <w:pPr>
        <w:pStyle w:val="ParaNum"/>
      </w:pPr>
      <w:r w:rsidRPr="00552DCB">
        <w:t xml:space="preserve">Wire transfers </w:t>
      </w:r>
      <w:r>
        <w:t>of</w:t>
      </w:r>
      <w:r w:rsidRPr="00552DCB">
        <w:t xml:space="preserve"> final </w:t>
      </w:r>
      <w:r w:rsidRPr="00E66A9A">
        <w:t xml:space="preserve">payments must be received by the Commission by </w:t>
      </w:r>
      <w:r w:rsidRPr="00E66A9A">
        <w:rPr>
          <w:b/>
        </w:rPr>
        <w:t xml:space="preserve">6:00 p.m. ET </w:t>
      </w:r>
      <w:r w:rsidRPr="008A2D12">
        <w:rPr>
          <w:b/>
        </w:rPr>
        <w:t xml:space="preserve">on </w:t>
      </w:r>
      <w:r w:rsidR="001645C9">
        <w:rPr>
          <w:b/>
        </w:rPr>
        <w:t>March 2</w:t>
      </w:r>
      <w:r w:rsidRPr="008A2D12">
        <w:rPr>
          <w:b/>
        </w:rPr>
        <w:t>, 201</w:t>
      </w:r>
      <w:r w:rsidR="000D19C2" w:rsidRPr="008A2D12">
        <w:rPr>
          <w:b/>
        </w:rPr>
        <w:t>5</w:t>
      </w:r>
      <w:r w:rsidRPr="008A2D12">
        <w:t xml:space="preserve"> (or by 6:00 p.m. ET on</w:t>
      </w:r>
      <w:r w:rsidR="001645C9">
        <w:t xml:space="preserve"> March 16</w:t>
      </w:r>
      <w:r w:rsidRPr="008A2D12">
        <w:t>, 201</w:t>
      </w:r>
      <w:r w:rsidR="000D19C2" w:rsidRPr="008A2D12">
        <w:t>5</w:t>
      </w:r>
      <w:r w:rsidRPr="00AA45B8">
        <w:t>, along with the five percent late fee required by section 1.2109(a) of the Commission’s rules).</w:t>
      </w:r>
      <w:r w:rsidRPr="00AA45B8">
        <w:rPr>
          <w:rStyle w:val="FootnoteReference"/>
        </w:rPr>
        <w:footnoteReference w:id="13"/>
      </w:r>
      <w:r w:rsidRPr="006C0569">
        <w:t xml:space="preserve">  If </w:t>
      </w:r>
      <w:r w:rsidR="00F63EEB">
        <w:t>a</w:t>
      </w:r>
      <w:r w:rsidRPr="006C0569">
        <w:t xml:space="preserve"> winning bidder fails to complete the final payment consistent with the payment method described in this Public Notice by 6:00 p.m. ET on </w:t>
      </w:r>
      <w:r w:rsidR="001645C9">
        <w:t xml:space="preserve">March 2, </w:t>
      </w:r>
      <w:r w:rsidRPr="008A2D12">
        <w:t>201</w:t>
      </w:r>
      <w:r w:rsidR="000D19C2" w:rsidRPr="008A2D12">
        <w:t>5</w:t>
      </w:r>
      <w:r w:rsidRPr="008A2D12">
        <w:t xml:space="preserve"> (or by</w:t>
      </w:r>
      <w:r w:rsidRPr="008A2D12">
        <w:rPr>
          <w:b/>
        </w:rPr>
        <w:t xml:space="preserve"> </w:t>
      </w:r>
      <w:r w:rsidRPr="008A2D12">
        <w:t xml:space="preserve">6:00 p.m. ET on </w:t>
      </w:r>
      <w:r w:rsidR="001645C9">
        <w:t>March 16</w:t>
      </w:r>
      <w:r w:rsidRPr="008A2D12">
        <w:t>, 201</w:t>
      </w:r>
      <w:r w:rsidR="008A2D12">
        <w:t>5</w:t>
      </w:r>
      <w:r w:rsidRPr="008A2D12">
        <w:rPr>
          <w:szCs w:val="22"/>
        </w:rPr>
        <w:t>,</w:t>
      </w:r>
      <w:r w:rsidRPr="006C0569">
        <w:t xml:space="preserve"> along</w:t>
      </w:r>
      <w:r w:rsidRPr="00C67531">
        <w:t xml:space="preserve"> with the five percent late fee)</w:t>
      </w:r>
      <w:r w:rsidR="004943C0">
        <w:t>,</w:t>
      </w:r>
      <w:r w:rsidRPr="00C67531">
        <w:t xml:space="preserve"> </w:t>
      </w:r>
      <w:r>
        <w:t xml:space="preserve">it </w:t>
      </w:r>
      <w:r w:rsidRPr="00C67531">
        <w:t xml:space="preserve">will </w:t>
      </w:r>
      <w:r>
        <w:t>be</w:t>
      </w:r>
      <w:r w:rsidRPr="00C67531">
        <w:t xml:space="preserve"> in default</w:t>
      </w:r>
      <w:r w:rsidRPr="003314CD">
        <w:t>.</w:t>
      </w:r>
      <w:r w:rsidRPr="003314CD">
        <w:rPr>
          <w:rStyle w:val="FootnoteReference"/>
        </w:rPr>
        <w:footnoteReference w:id="14"/>
      </w:r>
    </w:p>
    <w:p w:rsidR="008B56A1" w:rsidRPr="00300242" w:rsidRDefault="00E1550F" w:rsidP="008B56A1">
      <w:pPr>
        <w:pStyle w:val="ParaNum"/>
        <w:rPr>
          <w:szCs w:val="22"/>
        </w:rPr>
      </w:pPr>
      <w:r>
        <w:rPr>
          <w:szCs w:val="22"/>
        </w:rPr>
        <w:t>A winning bidder</w:t>
      </w:r>
      <w:r w:rsidR="008B56A1" w:rsidRPr="00300242">
        <w:rPr>
          <w:szCs w:val="22"/>
        </w:rPr>
        <w:t>’s request for a tribal lands bidding credit has no effect on the</w:t>
      </w:r>
      <w:r w:rsidR="008B56A1" w:rsidRPr="00300242">
        <w:rPr>
          <w:snapToGrid/>
          <w:kern w:val="0"/>
          <w:szCs w:val="22"/>
        </w:rPr>
        <w:t xml:space="preserve"> applicant’s obligations to make </w:t>
      </w:r>
      <w:r w:rsidR="008B56A1" w:rsidRPr="00D917B2">
        <w:t>any</w:t>
      </w:r>
      <w:r w:rsidR="008B56A1" w:rsidRPr="00300242">
        <w:rPr>
          <w:snapToGrid/>
          <w:kern w:val="0"/>
          <w:szCs w:val="22"/>
        </w:rPr>
        <w:t xml:space="preserve"> auction payments</w:t>
      </w:r>
      <w:r w:rsidR="008B56A1">
        <w:rPr>
          <w:snapToGrid/>
          <w:kern w:val="0"/>
          <w:szCs w:val="22"/>
        </w:rPr>
        <w:t>,</w:t>
      </w:r>
      <w:r w:rsidR="008B56A1" w:rsidRPr="00300242">
        <w:rPr>
          <w:snapToGrid/>
          <w:kern w:val="0"/>
          <w:szCs w:val="22"/>
        </w:rPr>
        <w:t xml:space="preserve"> including down</w:t>
      </w:r>
      <w:r w:rsidR="00906B0D">
        <w:rPr>
          <w:snapToGrid/>
          <w:kern w:val="0"/>
          <w:szCs w:val="22"/>
        </w:rPr>
        <w:t xml:space="preserve"> </w:t>
      </w:r>
      <w:r w:rsidR="008B56A1" w:rsidRPr="00300242">
        <w:rPr>
          <w:snapToGrid/>
          <w:kern w:val="0"/>
          <w:szCs w:val="22"/>
        </w:rPr>
        <w:t>and final payments</w:t>
      </w:r>
      <w:r w:rsidR="008B56A1">
        <w:rPr>
          <w:snapToGrid/>
          <w:kern w:val="0"/>
          <w:szCs w:val="22"/>
        </w:rPr>
        <w:t>,</w:t>
      </w:r>
      <w:r w:rsidR="008B56A1" w:rsidRPr="00300242">
        <w:rPr>
          <w:snapToGrid/>
          <w:kern w:val="0"/>
          <w:szCs w:val="22"/>
        </w:rPr>
        <w:t xml:space="preserve"> </w:t>
      </w:r>
      <w:r>
        <w:rPr>
          <w:snapToGrid/>
          <w:kern w:val="0"/>
          <w:szCs w:val="22"/>
        </w:rPr>
        <w:t xml:space="preserve">that are </w:t>
      </w:r>
      <w:r w:rsidR="008B56A1" w:rsidRPr="00300242">
        <w:rPr>
          <w:snapToGrid/>
          <w:kern w:val="0"/>
          <w:szCs w:val="22"/>
        </w:rPr>
        <w:t>due before the award of the credit.</w:t>
      </w:r>
      <w:r w:rsidR="008B56A1">
        <w:rPr>
          <w:rStyle w:val="FootnoteReference"/>
          <w:snapToGrid/>
          <w:kern w:val="0"/>
          <w:szCs w:val="22"/>
        </w:rPr>
        <w:footnoteReference w:id="15"/>
      </w:r>
      <w:r w:rsidR="008B56A1" w:rsidRPr="00300242">
        <w:rPr>
          <w:snapToGrid/>
          <w:kern w:val="0"/>
          <w:szCs w:val="22"/>
        </w:rPr>
        <w:t xml:space="preserve">  </w:t>
      </w:r>
      <w:r>
        <w:rPr>
          <w:snapToGrid/>
          <w:kern w:val="0"/>
          <w:szCs w:val="22"/>
        </w:rPr>
        <w:t xml:space="preserve">Thus, </w:t>
      </w:r>
      <w:r>
        <w:t>a winning bidder’s Final Balance Due and any applicable late fees must be paid in full by the due date</w:t>
      </w:r>
      <w:r w:rsidRPr="00AA45B8">
        <w:t xml:space="preserve"> even if the winning</w:t>
      </w:r>
      <w:r>
        <w:t xml:space="preserve"> bidder has applied for a tribal lands bidding credit</w:t>
      </w:r>
      <w:r>
        <w:rPr>
          <w:szCs w:val="22"/>
        </w:rPr>
        <w:t>.</w:t>
      </w:r>
      <w:r>
        <w:rPr>
          <w:rStyle w:val="FootnoteReference"/>
          <w:szCs w:val="22"/>
        </w:rPr>
        <w:footnoteReference w:id="16"/>
      </w:r>
      <w:r>
        <w:rPr>
          <w:szCs w:val="22"/>
        </w:rPr>
        <w:t xml:space="preserve">  </w:t>
      </w:r>
      <w:r w:rsidR="008B56A1" w:rsidRPr="00300242">
        <w:rPr>
          <w:snapToGrid/>
          <w:kern w:val="0"/>
          <w:szCs w:val="22"/>
        </w:rPr>
        <w:t xml:space="preserve">If a request for a tribal lands bidding credit is approved, the amount </w:t>
      </w:r>
      <w:r w:rsidR="00906B0D">
        <w:rPr>
          <w:snapToGrid/>
          <w:kern w:val="0"/>
          <w:szCs w:val="22"/>
        </w:rPr>
        <w:t xml:space="preserve">of the credit </w:t>
      </w:r>
      <w:r w:rsidR="008B56A1" w:rsidRPr="00300242">
        <w:rPr>
          <w:snapToGrid/>
          <w:kern w:val="0"/>
          <w:szCs w:val="22"/>
        </w:rPr>
        <w:t>will be calculated and awarded prior to license grant.</w:t>
      </w:r>
      <w:r w:rsidR="008B56A1">
        <w:rPr>
          <w:rStyle w:val="FootnoteReference"/>
          <w:snapToGrid/>
          <w:kern w:val="0"/>
          <w:szCs w:val="22"/>
        </w:rPr>
        <w:footnoteReference w:id="17"/>
      </w:r>
    </w:p>
    <w:p w:rsidR="008B56A1" w:rsidRPr="004415E6" w:rsidRDefault="008B56A1" w:rsidP="008B56A1">
      <w:pPr>
        <w:pStyle w:val="Heading2"/>
        <w:keepLines/>
        <w:widowControl/>
        <w:ind w:left="1627"/>
      </w:pPr>
      <w:bookmarkStart w:id="1" w:name="_Toc124648777"/>
      <w:bookmarkStart w:id="2" w:name="_Toc124649151"/>
      <w:bookmarkStart w:id="3" w:name="_Toc124649222"/>
      <w:bookmarkStart w:id="4" w:name="_Toc124649413"/>
      <w:bookmarkStart w:id="5" w:name="_Toc124650000"/>
      <w:bookmarkStart w:id="6" w:name="_Toc124650094"/>
      <w:bookmarkStart w:id="7" w:name="_Toc124661262"/>
      <w:bookmarkStart w:id="8" w:name="_Toc124661377"/>
      <w:bookmarkStart w:id="9" w:name="_Toc124661472"/>
      <w:r w:rsidRPr="004415E6">
        <w:t>Method of Payment</w:t>
      </w:r>
      <w:bookmarkEnd w:id="1"/>
      <w:bookmarkEnd w:id="2"/>
      <w:bookmarkEnd w:id="3"/>
      <w:bookmarkEnd w:id="4"/>
      <w:bookmarkEnd w:id="5"/>
      <w:bookmarkEnd w:id="6"/>
      <w:bookmarkEnd w:id="7"/>
      <w:bookmarkEnd w:id="8"/>
      <w:bookmarkEnd w:id="9"/>
      <w:r w:rsidRPr="004415E6">
        <w:t xml:space="preserve"> for </w:t>
      </w:r>
      <w:r w:rsidR="00CF01D6">
        <w:t xml:space="preserve">Down and </w:t>
      </w:r>
      <w:r w:rsidRPr="004415E6">
        <w:t>Final Payment</w:t>
      </w:r>
      <w:r w:rsidR="00CF01D6">
        <w:t>s</w:t>
      </w:r>
    </w:p>
    <w:p w:rsidR="008B56A1" w:rsidRPr="00DB33C5" w:rsidRDefault="008B56A1" w:rsidP="008B56A1">
      <w:pPr>
        <w:pStyle w:val="ParaNum"/>
      </w:pPr>
      <w:r w:rsidRPr="00067D3E">
        <w:t>All payments must be in U.S. dollars and made in the form of a wire transfer.</w:t>
      </w:r>
      <w:r>
        <w:rPr>
          <w:rStyle w:val="FootnoteReference"/>
        </w:rPr>
        <w:footnoteReference w:id="18"/>
      </w:r>
      <w:r w:rsidRPr="00067D3E">
        <w:t xml:space="preserve">  No checks, credit card payments, </w:t>
      </w:r>
      <w:r>
        <w:t xml:space="preserve">automated clearing house (“ACH”), </w:t>
      </w:r>
      <w:r w:rsidRPr="00067D3E">
        <w:t xml:space="preserve">or other forms of payment will be accepted.  </w:t>
      </w:r>
      <w:r>
        <w:t>Each</w:t>
      </w:r>
      <w:r w:rsidRPr="00067D3E">
        <w:t xml:space="preserve"> payment must be accompanied by a completed FCC Form 159.</w:t>
      </w:r>
      <w:r w:rsidRPr="00067D3E">
        <w:rPr>
          <w:rStyle w:val="FootnoteReference"/>
        </w:rPr>
        <w:footnoteReference w:id="19"/>
      </w:r>
      <w:r>
        <w:t xml:space="preserve">  A p</w:t>
      </w:r>
      <w:r w:rsidRPr="00545F16">
        <w:t>artially</w:t>
      </w:r>
      <w:r>
        <w:t>-</w:t>
      </w:r>
      <w:r w:rsidRPr="00545F16">
        <w:t>completed cop</w:t>
      </w:r>
      <w:r>
        <w:t>y</w:t>
      </w:r>
      <w:r w:rsidRPr="00545F16">
        <w:t xml:space="preserve"> of FCC Form 159 </w:t>
      </w:r>
      <w:r>
        <w:t xml:space="preserve">for the final payment </w:t>
      </w:r>
      <w:r w:rsidRPr="00545F16">
        <w:t xml:space="preserve">will be sent to </w:t>
      </w:r>
      <w:r w:rsidR="00DC7598">
        <w:t xml:space="preserve">each </w:t>
      </w:r>
      <w:r w:rsidRPr="00545F16">
        <w:t>winning bidder to facilitate submission of the correct payment</w:t>
      </w:r>
      <w:r>
        <w:t>s.</w:t>
      </w:r>
    </w:p>
    <w:p w:rsidR="008B56A1" w:rsidRDefault="00CF01D6" w:rsidP="008B56A1">
      <w:pPr>
        <w:pStyle w:val="ParaNum"/>
      </w:pPr>
      <w:r>
        <w:t>All down payments and</w:t>
      </w:r>
      <w:r w:rsidR="008B56A1">
        <w:t xml:space="preserve"> final p</w:t>
      </w:r>
      <w:r w:rsidR="008B56A1" w:rsidRPr="003314CD">
        <w:t>ayment</w:t>
      </w:r>
      <w:r>
        <w:t>s</w:t>
      </w:r>
      <w:r w:rsidR="008B56A1" w:rsidRPr="003314CD">
        <w:t xml:space="preserve"> must be preceded by </w:t>
      </w:r>
      <w:r w:rsidR="008B56A1">
        <w:t xml:space="preserve">an accurate and complete </w:t>
      </w:r>
      <w:r w:rsidR="008B56A1" w:rsidRPr="003314CD">
        <w:t>FCC</w:t>
      </w:r>
      <w:r w:rsidR="008B56A1">
        <w:t> </w:t>
      </w:r>
      <w:r w:rsidR="008B56A1" w:rsidRPr="003314CD">
        <w:t xml:space="preserve">Remittance Advice Form (FCC Form 159).  At least one hour before placing the order for the wire transfer (but on the same business day), </w:t>
      </w:r>
      <w:r w:rsidR="00F63EEB">
        <w:t>each</w:t>
      </w:r>
      <w:r w:rsidR="008B56A1">
        <w:t xml:space="preserve"> </w:t>
      </w:r>
      <w:r w:rsidR="008B56A1" w:rsidRPr="003314CD">
        <w:t xml:space="preserve">winning bidder must fax </w:t>
      </w:r>
      <w:r w:rsidR="00F63EEB">
        <w:t>its</w:t>
      </w:r>
      <w:r w:rsidR="008B56A1" w:rsidRPr="003314CD">
        <w:t xml:space="preserve"> completed FCC Form 159 to U.S.</w:t>
      </w:r>
      <w:r w:rsidR="008B56A1">
        <w:t> </w:t>
      </w:r>
      <w:r w:rsidR="008B56A1" w:rsidRPr="003314CD">
        <w:t>Bank in St. Louis, Missouri, at (314) 418-4232.  Proper completion of the FCC Form 159 is critical to ensuring correct credit of</w:t>
      </w:r>
      <w:r w:rsidR="008B56A1">
        <w:t xml:space="preserve"> the</w:t>
      </w:r>
      <w:r w:rsidR="008B56A1" w:rsidRPr="003314CD">
        <w:t xml:space="preserve"> </w:t>
      </w:r>
      <w:r w:rsidR="008B56A1">
        <w:t xml:space="preserve">winning </w:t>
      </w:r>
      <w:r w:rsidR="008B56A1" w:rsidRPr="003314CD">
        <w:t>bidder</w:t>
      </w:r>
      <w:r w:rsidR="008B56A1">
        <w:t>’s</w:t>
      </w:r>
      <w:r w:rsidR="008B56A1" w:rsidRPr="003314CD">
        <w:t xml:space="preserve"> deposits.  </w:t>
      </w:r>
      <w:r w:rsidR="00F63EEB">
        <w:t>Each</w:t>
      </w:r>
      <w:r w:rsidR="008B56A1" w:rsidRPr="003314CD">
        <w:t xml:space="preserve"> winning bidder</w:t>
      </w:r>
      <w:r w:rsidR="0037178E">
        <w:t>’s</w:t>
      </w:r>
      <w:r w:rsidR="008B56A1" w:rsidRPr="003314CD">
        <w:t xml:space="preserve"> </w:t>
      </w:r>
      <w:r w:rsidR="0037178E">
        <w:t xml:space="preserve">FCC Form 159 </w:t>
      </w:r>
      <w:r w:rsidR="008B56A1" w:rsidRPr="003314CD">
        <w:t xml:space="preserve">must use </w:t>
      </w:r>
      <w:r w:rsidR="008B56A1">
        <w:t xml:space="preserve">the same FCC </w:t>
      </w:r>
      <w:r w:rsidR="008B56A1" w:rsidRPr="003314CD">
        <w:t xml:space="preserve">Registration Number (FRN) </w:t>
      </w:r>
      <w:r w:rsidR="008B56A1">
        <w:t>for the applicant that was used in its</w:t>
      </w:r>
      <w:r w:rsidR="008B56A1" w:rsidRPr="003314CD">
        <w:t xml:space="preserve"> short-form application (FCC Form 175).</w:t>
      </w:r>
    </w:p>
    <w:p w:rsidR="008B56A1" w:rsidRPr="00CE72F1" w:rsidRDefault="008B56A1" w:rsidP="008B56A1">
      <w:pPr>
        <w:pStyle w:val="ParaNum"/>
      </w:pPr>
      <w:r w:rsidRPr="00CE72F1">
        <w:t xml:space="preserve">To submit funds by wire transfer, </w:t>
      </w:r>
      <w:r>
        <w:t xml:space="preserve">the </w:t>
      </w:r>
      <w:r w:rsidRPr="00CE72F1">
        <w:t>winning bidder will need the following information:</w:t>
      </w:r>
      <w:r w:rsidR="00603D84">
        <w:t xml:space="preserve">  </w:t>
      </w:r>
    </w:p>
    <w:p w:rsidR="008B56A1" w:rsidRPr="00797EC2" w:rsidRDefault="008B56A1" w:rsidP="008B56A1">
      <w:pPr>
        <w:pStyle w:val="TOAHeading"/>
        <w:keepNext/>
        <w:keepLines/>
        <w:widowControl/>
        <w:tabs>
          <w:tab w:val="clear" w:pos="9360"/>
        </w:tabs>
        <w:suppressAutoHyphens w:val="0"/>
        <w:ind w:left="720"/>
      </w:pPr>
      <w:r w:rsidRPr="00797EC2">
        <w:t xml:space="preserve">ABA Routing Number:  </w:t>
      </w:r>
      <w:r w:rsidRPr="00320E87">
        <w:rPr>
          <w:b/>
        </w:rPr>
        <w:t>021030004</w:t>
      </w:r>
    </w:p>
    <w:p w:rsidR="008B56A1" w:rsidRPr="00797EC2" w:rsidRDefault="008B56A1" w:rsidP="008B56A1">
      <w:pPr>
        <w:keepNext/>
        <w:keepLines/>
        <w:widowControl/>
        <w:tabs>
          <w:tab w:val="left" w:pos="2340"/>
        </w:tabs>
        <w:ind w:left="720"/>
      </w:pPr>
      <w:r w:rsidRPr="00797EC2">
        <w:t>Receiving Bank:</w:t>
      </w:r>
      <w:r w:rsidRPr="00797EC2">
        <w:tab/>
      </w:r>
      <w:r w:rsidRPr="00797EC2">
        <w:rPr>
          <w:b/>
        </w:rPr>
        <w:t>TREAS NYC</w:t>
      </w:r>
    </w:p>
    <w:p w:rsidR="008B56A1" w:rsidRPr="00797EC2" w:rsidRDefault="008B56A1" w:rsidP="008B56A1">
      <w:pPr>
        <w:widowControl/>
        <w:tabs>
          <w:tab w:val="left" w:pos="2340"/>
        </w:tabs>
        <w:ind w:left="1440" w:firstLine="720"/>
      </w:pPr>
      <w:r w:rsidRPr="00797EC2">
        <w:tab/>
        <w:t>33 Liberty Street</w:t>
      </w:r>
    </w:p>
    <w:p w:rsidR="008B56A1" w:rsidRPr="00797EC2" w:rsidRDefault="008B56A1" w:rsidP="008B56A1">
      <w:pPr>
        <w:widowControl/>
        <w:tabs>
          <w:tab w:val="left" w:pos="2340"/>
        </w:tabs>
        <w:ind w:left="1440" w:firstLine="720"/>
      </w:pPr>
      <w:r w:rsidRPr="00797EC2">
        <w:tab/>
        <w:t>New York, NY  10045</w:t>
      </w:r>
    </w:p>
    <w:p w:rsidR="008B56A1" w:rsidRPr="00797EC2" w:rsidRDefault="008B56A1" w:rsidP="008B56A1">
      <w:pPr>
        <w:widowControl/>
        <w:ind w:left="720"/>
        <w:rPr>
          <w:b/>
        </w:rPr>
      </w:pPr>
      <w:r w:rsidRPr="00797EC2">
        <w:t xml:space="preserve">ACCOUNT NAME:  </w:t>
      </w:r>
      <w:r w:rsidRPr="00797EC2">
        <w:rPr>
          <w:b/>
        </w:rPr>
        <w:t>FCC</w:t>
      </w:r>
    </w:p>
    <w:p w:rsidR="008B56A1" w:rsidRPr="00797EC2" w:rsidRDefault="008B56A1" w:rsidP="008B56A1">
      <w:pPr>
        <w:pStyle w:val="TOAHeading"/>
        <w:widowControl/>
        <w:tabs>
          <w:tab w:val="clear" w:pos="9360"/>
        </w:tabs>
        <w:suppressAutoHyphens w:val="0"/>
        <w:ind w:left="720"/>
      </w:pPr>
      <w:r w:rsidRPr="00797EC2">
        <w:t xml:space="preserve">ACCOUNT NUMBER:  </w:t>
      </w:r>
      <w:r w:rsidRPr="00320E87">
        <w:rPr>
          <w:b/>
        </w:rPr>
        <w:t>27000001</w:t>
      </w:r>
      <w:r w:rsidRPr="00797EC2">
        <w:t xml:space="preserve"> </w:t>
      </w:r>
    </w:p>
    <w:p w:rsidR="008B56A1" w:rsidRPr="00797EC2" w:rsidRDefault="008B56A1" w:rsidP="008B56A1">
      <w:pPr>
        <w:widowControl/>
        <w:ind w:left="720"/>
      </w:pPr>
      <w:r w:rsidRPr="00797EC2">
        <w:t>OBI Field:  (Skip one space between each information item) “AUCTIONPAY”</w:t>
      </w:r>
    </w:p>
    <w:p w:rsidR="008B56A1" w:rsidRPr="00797EC2" w:rsidRDefault="008B56A1" w:rsidP="008B56A1">
      <w:pPr>
        <w:widowControl/>
        <w:ind w:left="720"/>
      </w:pPr>
      <w:r w:rsidRPr="00797EC2">
        <w:t>APPLICANT FRN:  (same as FCC Form 159, block 21)</w:t>
      </w:r>
    </w:p>
    <w:p w:rsidR="008B56A1" w:rsidRPr="00797EC2" w:rsidRDefault="008B56A1" w:rsidP="008B56A1">
      <w:pPr>
        <w:widowControl/>
        <w:ind w:left="720"/>
      </w:pPr>
      <w:r w:rsidRPr="00797EC2">
        <w:t>PAYMENT TYPE CODE:  (same as FCC Form 159, block 24A: “</w:t>
      </w:r>
      <w:r>
        <w:t>D09</w:t>
      </w:r>
      <w:r w:rsidR="00077C32">
        <w:t>7</w:t>
      </w:r>
      <w:r w:rsidRPr="00797EC2">
        <w:t>”)</w:t>
      </w:r>
    </w:p>
    <w:p w:rsidR="008B56A1" w:rsidRPr="00797EC2" w:rsidRDefault="008B56A1" w:rsidP="008B56A1">
      <w:pPr>
        <w:widowControl/>
        <w:ind w:left="720"/>
      </w:pPr>
      <w:r w:rsidRPr="00797EC2">
        <w:t>PAYOR NAME:  (same as FCC Form 159, Block 2)</w:t>
      </w:r>
    </w:p>
    <w:p w:rsidR="008B56A1" w:rsidRDefault="008B56A1" w:rsidP="008B56A1">
      <w:pPr>
        <w:widowControl/>
        <w:ind w:firstLine="720"/>
        <w:rPr>
          <w:b/>
        </w:rPr>
      </w:pPr>
      <w:r w:rsidRPr="00797EC2">
        <w:t xml:space="preserve">LOCKBOX NO.:  </w:t>
      </w:r>
      <w:r w:rsidRPr="00320E87">
        <w:t>#</w:t>
      </w:r>
      <w:r w:rsidRPr="00320E87">
        <w:rPr>
          <w:b/>
        </w:rPr>
        <w:t>979088</w:t>
      </w:r>
    </w:p>
    <w:p w:rsidR="008B56A1" w:rsidRDefault="008B56A1" w:rsidP="008B56A1">
      <w:pPr>
        <w:widowControl/>
        <w:ind w:firstLine="720"/>
        <w:rPr>
          <w:b/>
        </w:rPr>
      </w:pPr>
    </w:p>
    <w:p w:rsidR="008B56A1" w:rsidRDefault="008B56A1" w:rsidP="008B56A1">
      <w:pPr>
        <w:pStyle w:val="ParaNum"/>
      </w:pPr>
      <w:r>
        <w:t xml:space="preserve">Each </w:t>
      </w:r>
      <w:r w:rsidRPr="00552DCB">
        <w:t xml:space="preserve">winning bidder is responsible for </w:t>
      </w:r>
      <w:r>
        <w:t>e</w:t>
      </w:r>
      <w:r w:rsidRPr="00552DCB">
        <w:t xml:space="preserve">nsuring timely submission of </w:t>
      </w:r>
      <w:r>
        <w:t>its payment and</w:t>
      </w:r>
      <w:r w:rsidRPr="00552DCB">
        <w:t xml:space="preserve"> </w:t>
      </w:r>
      <w:r>
        <w:t xml:space="preserve">for </w:t>
      </w:r>
      <w:r w:rsidRPr="00552DCB">
        <w:t xml:space="preserve">timely filing of an accurate and complete </w:t>
      </w:r>
      <w:r w:rsidRPr="00253951">
        <w:t>FCC Remittance Advice Form (</w:t>
      </w:r>
      <w:r w:rsidRPr="00552DCB">
        <w:t>FCC Form 159</w:t>
      </w:r>
      <w:r>
        <w:t>).  Each</w:t>
      </w:r>
      <w:r w:rsidRPr="003314CD">
        <w:t xml:space="preserve"> winning bidder should coordinate with its financial institution </w:t>
      </w:r>
      <w:r>
        <w:t xml:space="preserve">well ahead of the due date </w:t>
      </w:r>
      <w:r w:rsidRPr="003314CD">
        <w:t xml:space="preserve">regarding its wire transfer and </w:t>
      </w:r>
      <w:r>
        <w:t xml:space="preserve">should </w:t>
      </w:r>
      <w:r w:rsidRPr="003314CD">
        <w:t>allow sufficient time for the wire transfer to be initiated and completed prior to the deadline</w:t>
      </w:r>
      <w:r w:rsidR="00915F75">
        <w:t xml:space="preserve"> to avoid default</w:t>
      </w:r>
      <w:r w:rsidRPr="003314CD">
        <w:t>.</w:t>
      </w:r>
      <w:r>
        <w:t xml:space="preserve">  The Commission repeatedly has cautioned auction participants about the importance of planning ahead to prepare for unforeseen last-minute difficulties in making payments by wire transfer.</w:t>
      </w:r>
      <w:r>
        <w:rPr>
          <w:rStyle w:val="FootnoteReference"/>
        </w:rPr>
        <w:footnoteReference w:id="20"/>
      </w:r>
      <w:r w:rsidRPr="00CA6746">
        <w:t xml:space="preserve"> </w:t>
      </w:r>
    </w:p>
    <w:p w:rsidR="008B56A1" w:rsidRDefault="008B56A1" w:rsidP="008B56A1">
      <w:pPr>
        <w:pStyle w:val="ParaNum"/>
      </w:pPr>
      <w:r>
        <w:t>Please direct q</w:t>
      </w:r>
      <w:r w:rsidRPr="00067D3E">
        <w:t xml:space="preserve">uestions concerning the calculation and submission of </w:t>
      </w:r>
      <w:r w:rsidR="00F63EEB">
        <w:t>down payments,</w:t>
      </w:r>
      <w:r>
        <w:t xml:space="preserve"> </w:t>
      </w:r>
      <w:r w:rsidRPr="00067D3E">
        <w:t>final payment</w:t>
      </w:r>
      <w:r w:rsidR="00F63EEB">
        <w:t>s</w:t>
      </w:r>
      <w:r w:rsidRPr="00067D3E">
        <w:t xml:space="preserve">, </w:t>
      </w:r>
      <w:r>
        <w:t xml:space="preserve">and </w:t>
      </w:r>
      <w:r w:rsidRPr="00067D3E">
        <w:t>the FCC Form 159 to Gail Glasser</w:t>
      </w:r>
      <w:r>
        <w:t xml:space="preserve"> of the Office of Managing Director’s Auctions Accounting Group</w:t>
      </w:r>
      <w:r w:rsidRPr="00067D3E">
        <w:t xml:space="preserve"> at (202) 418-0578</w:t>
      </w:r>
      <w:r w:rsidR="00077C32">
        <w:t xml:space="preserve"> or Theresa Meeks at (202) 418-2945</w:t>
      </w:r>
      <w:r w:rsidRPr="00067D3E">
        <w:t>.</w:t>
      </w:r>
    </w:p>
    <w:p w:rsidR="008B56A1" w:rsidRDefault="00664F01" w:rsidP="008B56A1">
      <w:pPr>
        <w:pStyle w:val="ParaNum"/>
      </w:pPr>
      <w:r>
        <w:t>Each</w:t>
      </w:r>
      <w:r w:rsidR="008B56A1">
        <w:t xml:space="preserve"> winning bidder should </w:t>
      </w:r>
      <w:r w:rsidR="008B56A1" w:rsidRPr="00552DCB">
        <w:t xml:space="preserve">obtain confirmation from its financial institution that </w:t>
      </w:r>
      <w:r w:rsidR="008B56A1">
        <w:t>its wire transfer to U.S Bank was successful.  It should also confirm with Commission staff that its</w:t>
      </w:r>
      <w:r w:rsidR="008B56A1" w:rsidRPr="00552DCB">
        <w:t xml:space="preserve"> payment </w:t>
      </w:r>
      <w:r w:rsidR="008B56A1">
        <w:t>was timely received by the Commission and that it was deposited into</w:t>
      </w:r>
      <w:r w:rsidR="008B56A1" w:rsidRPr="00552DCB">
        <w:t xml:space="preserve"> the proper account</w:t>
      </w:r>
      <w:r w:rsidR="008B56A1">
        <w:t xml:space="preserve"> by the specified deadline</w:t>
      </w:r>
      <w:r w:rsidR="008B56A1" w:rsidRPr="00552DCB">
        <w:t>.</w:t>
      </w:r>
      <w:r w:rsidR="008B56A1">
        <w:t xml:space="preserve">  Such confirmation may be obtained by contacting Gail Glasser at (202) 418-0578, or Theresa Meeks at (202) 418-2945</w:t>
      </w:r>
      <w:r w:rsidR="008B56A1" w:rsidRPr="00274FDF">
        <w:t>.</w:t>
      </w:r>
    </w:p>
    <w:p w:rsidR="008B56A1" w:rsidRPr="00CC66BF" w:rsidRDefault="008B56A1" w:rsidP="008B56A1">
      <w:pPr>
        <w:pStyle w:val="Heading2"/>
        <w:keepLines/>
        <w:widowControl/>
        <w:ind w:left="1627"/>
      </w:pPr>
      <w:bookmarkStart w:id="10" w:name="_Toc124648778"/>
      <w:bookmarkStart w:id="11" w:name="_Toc124649152"/>
      <w:bookmarkStart w:id="12" w:name="_Toc124649223"/>
      <w:bookmarkStart w:id="13" w:name="_Toc124649414"/>
      <w:bookmarkStart w:id="14" w:name="_Toc124650001"/>
      <w:bookmarkStart w:id="15" w:name="_Toc124650095"/>
      <w:bookmarkStart w:id="16" w:name="_Toc124661263"/>
      <w:bookmarkStart w:id="17" w:name="_Toc124661378"/>
      <w:bookmarkStart w:id="18" w:name="_Toc124661473"/>
      <w:r w:rsidRPr="00CC0FE2">
        <w:t>Withdrawal, Default and</w:t>
      </w:r>
      <w:r w:rsidRPr="00CC66BF">
        <w:t xml:space="preserve"> Disqualification Payments</w:t>
      </w:r>
      <w:bookmarkEnd w:id="10"/>
      <w:bookmarkEnd w:id="11"/>
      <w:bookmarkEnd w:id="12"/>
      <w:bookmarkEnd w:id="13"/>
      <w:bookmarkEnd w:id="14"/>
      <w:bookmarkEnd w:id="15"/>
      <w:bookmarkEnd w:id="16"/>
      <w:bookmarkEnd w:id="17"/>
      <w:bookmarkEnd w:id="18"/>
    </w:p>
    <w:p w:rsidR="008B56A1" w:rsidRDefault="008B56A1" w:rsidP="008B56A1">
      <w:pPr>
        <w:pStyle w:val="ParaNum"/>
      </w:pPr>
      <w:r w:rsidRPr="00CC66BF">
        <w:t>The Commission imposes payment</w:t>
      </w:r>
      <w:r>
        <w:t xml:space="preserve"> obligation</w:t>
      </w:r>
      <w:r w:rsidRPr="00CC66BF">
        <w:t xml:space="preserve">s on bidders that withdraw provisionally winning bids during the course of an auction, </w:t>
      </w:r>
      <w:r>
        <w:t xml:space="preserve">on </w:t>
      </w:r>
      <w:r w:rsidR="00915F75">
        <w:t xml:space="preserve">bidders </w:t>
      </w:r>
      <w:r w:rsidRPr="00CC66BF">
        <w:t xml:space="preserve">that default on payments due after an auction closes, and </w:t>
      </w:r>
      <w:r>
        <w:t xml:space="preserve">on </w:t>
      </w:r>
      <w:r w:rsidR="00915F75">
        <w:t xml:space="preserve">bidders </w:t>
      </w:r>
      <w:r w:rsidRPr="00CC66BF">
        <w:t>that are disqualified.</w:t>
      </w:r>
      <w:r w:rsidRPr="00CC66BF">
        <w:rPr>
          <w:rStyle w:val="FootnoteReference"/>
        </w:rPr>
        <w:footnoteReference w:id="21"/>
      </w:r>
    </w:p>
    <w:p w:rsidR="008B56A1" w:rsidRDefault="008B56A1" w:rsidP="008B56A1">
      <w:pPr>
        <w:pStyle w:val="Heading3"/>
        <w:widowControl/>
        <w:tabs>
          <w:tab w:val="num" w:pos="2160"/>
        </w:tabs>
      </w:pPr>
      <w:r>
        <w:t>Bid Withdrawal Payments</w:t>
      </w:r>
    </w:p>
    <w:p w:rsidR="008B56A1" w:rsidRDefault="008B56A1" w:rsidP="008B56A1">
      <w:pPr>
        <w:pStyle w:val="ParaNum"/>
        <w:widowControl/>
      </w:pPr>
      <w:r w:rsidRPr="00B80E10">
        <w:t xml:space="preserve">A bidder that withdraws a provisionally winning bid during the course of an auction is subject to a bid withdrawal payment </w:t>
      </w:r>
      <w:r>
        <w:t xml:space="preserve">obligation </w:t>
      </w:r>
      <w:r w:rsidRPr="00B80E10">
        <w:t>equal to the difference between the amount of the withdrawn bid and the amount of the subsequent winning bid.</w:t>
      </w:r>
      <w:r>
        <w:rPr>
          <w:rStyle w:val="FootnoteReference"/>
        </w:rPr>
        <w:footnoteReference w:id="22"/>
      </w:r>
      <w:r w:rsidRPr="00B80E10">
        <w:t xml:space="preserve">  No withdrawal payment will be assessed for a withdrawn bid if either the subsequent winning bid or any of the intervening subsequent withdrawn bids equals or exceeds that withdrawn bid.</w:t>
      </w:r>
      <w:r>
        <w:rPr>
          <w:rStyle w:val="FootnoteReference"/>
        </w:rPr>
        <w:footnoteReference w:id="23"/>
      </w:r>
    </w:p>
    <w:p w:rsidR="00687E79" w:rsidRDefault="00687E79" w:rsidP="008B56A1">
      <w:pPr>
        <w:pStyle w:val="ParaNum"/>
        <w:widowControl/>
      </w:pPr>
      <w:r w:rsidRPr="00B80E10">
        <w:t xml:space="preserve">If a provisionally winning bid is withdrawn on a license that remains unsold at the close of the auction, </w:t>
      </w:r>
      <w:r>
        <w:t>the b</w:t>
      </w:r>
      <w:r w:rsidRPr="00B80E10">
        <w:t>idder will be required to make an interim</w:t>
      </w:r>
      <w:r>
        <w:t xml:space="preserve"> p</w:t>
      </w:r>
      <w:r w:rsidRPr="00B80E10">
        <w:t xml:space="preserve">ayment equal to </w:t>
      </w:r>
      <w:r>
        <w:t xml:space="preserve">ten </w:t>
      </w:r>
      <w:r w:rsidRPr="00B80E10">
        <w:t>percent of the net amount of the withdrawn bid.</w:t>
      </w:r>
      <w:r w:rsidRPr="00B80E10">
        <w:rPr>
          <w:rStyle w:val="FootnoteReference"/>
        </w:rPr>
        <w:footnoteReference w:id="24"/>
      </w:r>
      <w:r w:rsidRPr="00B80E10">
        <w:t xml:space="preserve">  This payment amount is deducted from any upfront payments or down payments that </w:t>
      </w:r>
      <w:r>
        <w:t>the b</w:t>
      </w:r>
      <w:r w:rsidRPr="00B80E10">
        <w:t>idder has deposited with the Commission.</w:t>
      </w:r>
      <w:r>
        <w:rPr>
          <w:rStyle w:val="FootnoteReference"/>
        </w:rPr>
        <w:footnoteReference w:id="25"/>
      </w:r>
      <w:r w:rsidRPr="00B80E10">
        <w:t xml:space="preserve">  If, in a subsequent auction, that license receives a bid in an amount equal to or greater than the withdrawn bid amount, then no final bid withdrawal payment will be assessed and</w:t>
      </w:r>
      <w:r>
        <w:t>,</w:t>
      </w:r>
      <w:r w:rsidRPr="00B80E10">
        <w:t xml:space="preserve"> upon appropriate request, the Commission will refund the interim payment.  If, in a subsequent auction, the winning bid amount for that license is less than </w:t>
      </w:r>
      <w:r>
        <w:t>the original b</w:t>
      </w:r>
      <w:r w:rsidRPr="00B80E10">
        <w:t xml:space="preserve">idder’s withdrawn bid amount, then </w:t>
      </w:r>
      <w:r>
        <w:t>the withdrawing b</w:t>
      </w:r>
      <w:r w:rsidRPr="00B80E10">
        <w:t xml:space="preserve">idder will be required to make a final bid withdrawal payment equal to either the difference between </w:t>
      </w:r>
      <w:r>
        <w:t>it</w:t>
      </w:r>
      <w:r w:rsidRPr="00B80E10">
        <w:t xml:space="preserve">s net withdrawn bid and the subsequent net winning bid, or the difference between </w:t>
      </w:r>
      <w:r>
        <w:t>it</w:t>
      </w:r>
      <w:r w:rsidRPr="00B80E10">
        <w:t xml:space="preserve">s gross withdrawn bid and the subsequent gross winning bid, whichever difference is smaller.  The interim payment will be applied toward the </w:t>
      </w:r>
      <w:r>
        <w:t xml:space="preserve">final bid </w:t>
      </w:r>
      <w:r w:rsidRPr="00B80E10">
        <w:t>withdrawal payment.</w:t>
      </w:r>
    </w:p>
    <w:p w:rsidR="008B56A1" w:rsidRPr="00FA56A3" w:rsidRDefault="008B56A1" w:rsidP="008B56A1">
      <w:pPr>
        <w:pStyle w:val="ParaNum"/>
      </w:pPr>
      <w:r w:rsidRPr="00FE48C1">
        <w:t>Attachment C</w:t>
      </w:r>
      <w:r w:rsidRPr="00FE48C1">
        <w:rPr>
          <w:b/>
        </w:rPr>
        <w:t xml:space="preserve"> </w:t>
      </w:r>
      <w:r w:rsidRPr="00FE48C1">
        <w:t xml:space="preserve">identifies bidders </w:t>
      </w:r>
      <w:r>
        <w:t xml:space="preserve">that </w:t>
      </w:r>
      <w:r w:rsidR="00383864">
        <w:t>owe withdrawal payments to the Commission as a result of bid withdrawals made</w:t>
      </w:r>
      <w:r>
        <w:t xml:space="preserve"> in Auction 9</w:t>
      </w:r>
      <w:r w:rsidR="00AA45B8">
        <w:t>7</w:t>
      </w:r>
      <w:r>
        <w:t xml:space="preserve">.  </w:t>
      </w:r>
      <w:r w:rsidR="00383864">
        <w:t>Any upfront payments or down payments that the withdrawing bidder has deposited with the Commission will first be applied to satisfy the withdrawal payment amount</w:t>
      </w:r>
      <w:r w:rsidR="00E9080B">
        <w:t>(s)</w:t>
      </w:r>
      <w:r w:rsidR="00383864">
        <w:t xml:space="preserve"> </w:t>
      </w:r>
      <w:r w:rsidR="00E9080B">
        <w:t xml:space="preserve">due </w:t>
      </w:r>
      <w:r w:rsidR="00383864">
        <w:t>before being applied toward a winn</w:t>
      </w:r>
      <w:r w:rsidR="007C6F68">
        <w:t>in</w:t>
      </w:r>
      <w:r w:rsidR="00383864">
        <w:t>g bidder’s down payment.</w:t>
      </w:r>
      <w:r w:rsidRPr="004B216F">
        <w:t xml:space="preserve">  </w:t>
      </w:r>
    </w:p>
    <w:p w:rsidR="008B56A1" w:rsidRDefault="008B56A1" w:rsidP="008B56A1">
      <w:pPr>
        <w:pStyle w:val="Heading3"/>
        <w:widowControl/>
      </w:pPr>
      <w:r w:rsidRPr="0075740E">
        <w:t xml:space="preserve">Bid Default/Disqualification Payments from Auction </w:t>
      </w:r>
      <w:r>
        <w:t>9</w:t>
      </w:r>
      <w:r w:rsidR="00AA45B8">
        <w:t>7</w:t>
      </w:r>
    </w:p>
    <w:p w:rsidR="008B56A1" w:rsidRPr="0075740E" w:rsidRDefault="008B56A1" w:rsidP="00C8409A">
      <w:pPr>
        <w:pStyle w:val="ParaNum"/>
      </w:pPr>
      <w:r w:rsidRPr="0075740E">
        <w:t xml:space="preserve">If a winning bidder defaults or is disqualified after the close of the auction (i.e., </w:t>
      </w:r>
      <w:r w:rsidR="007C6F68">
        <w:t>fails to remit the required down payment</w:t>
      </w:r>
      <w:r w:rsidR="00AD6713">
        <w:t xml:space="preserve"> and any withdrawal payment(s)</w:t>
      </w:r>
      <w:r w:rsidR="007C6F68">
        <w:t xml:space="preserve"> </w:t>
      </w:r>
      <w:r w:rsidR="00343F60">
        <w:t>by</w:t>
      </w:r>
      <w:r w:rsidR="007C6F68">
        <w:t xml:space="preserve"> the specified deadline, </w:t>
      </w:r>
      <w:r w:rsidRPr="0075740E">
        <w:t>fails to submit a timely long-form application, fails to make full payment</w:t>
      </w:r>
      <w:r>
        <w:t xml:space="preserve"> of the balance of its winning bid(s) by the specified deadline</w:t>
      </w:r>
      <w:r w:rsidRPr="0075740E">
        <w:t>, or is otherwise disqualified</w:t>
      </w:r>
      <w:r>
        <w:t xml:space="preserve"> for any reason</w:t>
      </w:r>
      <w:r w:rsidRPr="0075740E">
        <w:t xml:space="preserve">), the defaulting bidder </w:t>
      </w:r>
      <w:r w:rsidRPr="00067D3E">
        <w:t xml:space="preserve">will be </w:t>
      </w:r>
      <w:r>
        <w:t>subject to</w:t>
      </w:r>
      <w:r w:rsidRPr="00067D3E">
        <w:t xml:space="preserve"> </w:t>
      </w:r>
      <w:r w:rsidRPr="0075740E">
        <w:t>the payment</w:t>
      </w:r>
      <w:r>
        <w:t xml:space="preserve"> obligation</w:t>
      </w:r>
      <w:r w:rsidRPr="0075740E">
        <w:t xml:space="preserve">s described in </w:t>
      </w:r>
      <w:r>
        <w:t>section</w:t>
      </w:r>
      <w:r w:rsidRPr="0075740E">
        <w:t xml:space="preserve"> 1.2104(g)(2).</w:t>
      </w:r>
      <w:r>
        <w:rPr>
          <w:rStyle w:val="FootnoteReference"/>
        </w:rPr>
        <w:footnoteReference w:id="26"/>
      </w:r>
      <w:r w:rsidRPr="0075740E">
        <w:t xml:space="preserve">  </w:t>
      </w:r>
      <w:r w:rsidRPr="00524C76">
        <w:t xml:space="preserve">These payment obligations include a deficiency payment </w:t>
      </w:r>
      <w:r w:rsidR="000476DA">
        <w:t xml:space="preserve">and an additional payment amount.  The deficiency payment component applies only in the event that the subsequent winning bid </w:t>
      </w:r>
      <w:r w:rsidR="000476DA" w:rsidRPr="00524C76">
        <w:t>the next time a license covering the same spectrum is won in an auction</w:t>
      </w:r>
      <w:r w:rsidR="000476DA">
        <w:t xml:space="preserve"> is less than the defaulted bid.  The deficiency payment amount is </w:t>
      </w:r>
      <w:r w:rsidRPr="00524C76">
        <w:t xml:space="preserve">equal to the difference between the amount of the </w:t>
      </w:r>
      <w:r>
        <w:t xml:space="preserve">defaulter’s </w:t>
      </w:r>
      <w:r w:rsidRPr="00524C76">
        <w:t xml:space="preserve">bid and the amount of the </w:t>
      </w:r>
      <w:r w:rsidR="000476DA">
        <w:t xml:space="preserve">subsequent </w:t>
      </w:r>
      <w:r w:rsidRPr="00524C76">
        <w:t>winning bid</w:t>
      </w:r>
      <w:r w:rsidR="000476DA">
        <w:t xml:space="preserve">.  The </w:t>
      </w:r>
      <w:r w:rsidRPr="00524C76">
        <w:t xml:space="preserve">additional payment </w:t>
      </w:r>
      <w:r w:rsidR="000476DA">
        <w:t xml:space="preserve">amount is owed by each defaulting bidder and is </w:t>
      </w:r>
      <w:r w:rsidRPr="00524C76">
        <w:t>equal to a percent</w:t>
      </w:r>
      <w:r w:rsidR="00080DD6">
        <w:t>age</w:t>
      </w:r>
      <w:r w:rsidRPr="00524C76">
        <w:t xml:space="preserve"> of the defaulter’s bid</w:t>
      </w:r>
      <w:r w:rsidRPr="0075740E">
        <w:t xml:space="preserve"> or the subsequent winning bid, whichever is less.</w:t>
      </w:r>
      <w:r w:rsidRPr="0075740E">
        <w:rPr>
          <w:rStyle w:val="FootnoteReference"/>
        </w:rPr>
        <w:footnoteReference w:id="27"/>
      </w:r>
      <w:r>
        <w:t xml:space="preserve">  The additional default payment </w:t>
      </w:r>
      <w:r w:rsidRPr="00114D3D">
        <w:t xml:space="preserve">for Auction </w:t>
      </w:r>
      <w:r>
        <w:t>9</w:t>
      </w:r>
      <w:r w:rsidR="00AA45B8">
        <w:t>7</w:t>
      </w:r>
      <w:r w:rsidRPr="00114D3D">
        <w:t xml:space="preserve"> licenses</w:t>
      </w:r>
      <w:r>
        <w:t xml:space="preserve"> was set at fifteen percent of the applicable bid.</w:t>
      </w:r>
      <w:r>
        <w:rPr>
          <w:rStyle w:val="FootnoteReference"/>
        </w:rPr>
        <w:footnoteReference w:id="28"/>
      </w:r>
    </w:p>
    <w:p w:rsidR="00C16BB3" w:rsidRDefault="00C16BB3" w:rsidP="008B56A1">
      <w:pPr>
        <w:pStyle w:val="ParaNum"/>
      </w:pPr>
      <w:r w:rsidRPr="00120594">
        <w:t xml:space="preserve">If a winning bidder fails to remit the required down payment </w:t>
      </w:r>
      <w:r w:rsidRPr="006C0569">
        <w:t xml:space="preserve">by </w:t>
      </w:r>
      <w:r>
        <w:t xml:space="preserve">the </w:t>
      </w:r>
      <w:r w:rsidR="001645C9">
        <w:t>February 13</w:t>
      </w:r>
      <w:r w:rsidRPr="006C0569">
        <w:t>, 201</w:t>
      </w:r>
      <w:r>
        <w:t>5 deadline specified in this Public Notice</w:t>
      </w:r>
      <w:r w:rsidRPr="006C0569">
        <w:t>, the bidder w</w:t>
      </w:r>
      <w:r w:rsidRPr="00120594">
        <w:t>ill be deemed to have defaulted, its long-form application will be dismissed, and it will be liable for a default payment as described above.</w:t>
      </w:r>
      <w:r w:rsidRPr="00120594">
        <w:rPr>
          <w:rStyle w:val="FootnoteReference"/>
        </w:rPr>
        <w:footnoteReference w:id="29"/>
      </w:r>
    </w:p>
    <w:p w:rsidR="008B56A1" w:rsidRDefault="008B56A1" w:rsidP="008B56A1">
      <w:pPr>
        <w:pStyle w:val="ParaNum"/>
      </w:pPr>
      <w:r w:rsidRPr="00120594">
        <w:t xml:space="preserve">If a winning bidder fails to pay the balance of its winning bid in a lump sum by the deadline specified </w:t>
      </w:r>
      <w:r>
        <w:t>in this Public Notice</w:t>
      </w:r>
      <w:r w:rsidRPr="00120594">
        <w:t xml:space="preserve">, it will be allowed to make </w:t>
      </w:r>
      <w:r>
        <w:t xml:space="preserve">a late </w:t>
      </w:r>
      <w:r w:rsidRPr="00120594">
        <w:t>payment within ten business days after the payment deadline, provided that it also pays a late fee equal to five percent of the amount due.</w:t>
      </w:r>
      <w:r w:rsidRPr="00120594">
        <w:rPr>
          <w:rStyle w:val="FootnoteReference"/>
        </w:rPr>
        <w:footnoteReference w:id="30"/>
      </w:r>
      <w:r w:rsidRPr="00120594">
        <w:t xml:space="preserve">  </w:t>
      </w:r>
      <w:r>
        <w:t>If</w:t>
      </w:r>
      <w:r w:rsidRPr="00120594">
        <w:t xml:space="preserve"> a winning bidder fails to pay </w:t>
      </w:r>
      <w:r>
        <w:t xml:space="preserve">(a) </w:t>
      </w:r>
      <w:r w:rsidRPr="00120594">
        <w:t xml:space="preserve">the balance of its winning bid </w:t>
      </w:r>
      <w:r>
        <w:t xml:space="preserve">by the payment deadline </w:t>
      </w:r>
      <w:r w:rsidRPr="006C0569">
        <w:t xml:space="preserve">on </w:t>
      </w:r>
      <w:r w:rsidR="001645C9">
        <w:t>March 2</w:t>
      </w:r>
      <w:r w:rsidRPr="006C0569">
        <w:t>, 201</w:t>
      </w:r>
      <w:r w:rsidR="008A2D12">
        <w:t>5</w:t>
      </w:r>
      <w:r w:rsidRPr="006C0569">
        <w:t>, or (b) the balance of its winning bid plus the late fee by the late payment deadline on</w:t>
      </w:r>
      <w:r w:rsidR="001645C9">
        <w:t xml:space="preserve"> March 16</w:t>
      </w:r>
      <w:r>
        <w:t>, 201</w:t>
      </w:r>
      <w:r w:rsidR="008A2D12">
        <w:t>5</w:t>
      </w:r>
      <w:r w:rsidRPr="006C0569">
        <w:t>, it will</w:t>
      </w:r>
      <w:r w:rsidRPr="00120594">
        <w:t xml:space="preserve"> be deemed to have defaulted</w:t>
      </w:r>
      <w:r>
        <w:t xml:space="preserve">, and it will be </w:t>
      </w:r>
      <w:r w:rsidRPr="00120594">
        <w:t>subject to applicable default payments.</w:t>
      </w:r>
      <w:r w:rsidRPr="00120594">
        <w:rPr>
          <w:rStyle w:val="FootnoteReference"/>
        </w:rPr>
        <w:footnoteReference w:id="31"/>
      </w:r>
    </w:p>
    <w:p w:rsidR="008B56A1" w:rsidRPr="000C01C9" w:rsidRDefault="008B56A1" w:rsidP="008B56A1">
      <w:pPr>
        <w:pStyle w:val="ParaNum"/>
      </w:pPr>
      <w:r>
        <w:t>The Commission will review an applicant’s long-form application only after receipt of full and timely payment for the winning bid amount and any applicable late fees.  The relevant l</w:t>
      </w:r>
      <w:r w:rsidRPr="00545F16">
        <w:t xml:space="preserve">icense </w:t>
      </w:r>
      <w:r w:rsidRPr="00067D3E">
        <w:t xml:space="preserve">will be </w:t>
      </w:r>
      <w:r>
        <w:t>granted only after full and timely payment of any winning bids (and any applicable late fees) and a determination that the</w:t>
      </w:r>
      <w:r w:rsidRPr="00067D3E">
        <w:t xml:space="preserve"> long-form application meets Commission requirements for grant.</w:t>
      </w:r>
      <w:r w:rsidRPr="00067D3E">
        <w:rPr>
          <w:rStyle w:val="FootnoteReference"/>
        </w:rPr>
        <w:footnoteReference w:id="32"/>
      </w:r>
      <w:r w:rsidRPr="00067D3E">
        <w:t xml:space="preserve">  </w:t>
      </w:r>
    </w:p>
    <w:p w:rsidR="008B56A1" w:rsidRPr="00545F16" w:rsidRDefault="008B56A1" w:rsidP="008B56A1">
      <w:pPr>
        <w:pStyle w:val="ParaNum"/>
      </w:pPr>
      <w:r>
        <w:t>A bidder</w:t>
      </w:r>
      <w:r w:rsidRPr="00545F16">
        <w:t xml:space="preserve">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sidRPr="00545F16">
        <w:rPr>
          <w:rStyle w:val="FootnoteReference"/>
        </w:rPr>
        <w:footnoteReference w:id="33"/>
      </w:r>
    </w:p>
    <w:p w:rsidR="008B56A1" w:rsidRPr="00545F16" w:rsidRDefault="008B56A1" w:rsidP="008B56A1">
      <w:pPr>
        <w:pStyle w:val="Heading2"/>
        <w:keepLines/>
        <w:widowControl/>
        <w:ind w:left="1627"/>
      </w:pPr>
      <w:r w:rsidRPr="00545F16">
        <w:t>Refund of Excess Payments</w:t>
      </w:r>
    </w:p>
    <w:p w:rsidR="008B56A1" w:rsidRDefault="008B56A1" w:rsidP="008B56A1">
      <w:pPr>
        <w:pStyle w:val="ParaNum"/>
      </w:pPr>
      <w:r w:rsidRPr="00545F16">
        <w:t>Upfront monies on deposit that are in excess of</w:t>
      </w:r>
      <w:r>
        <w:t xml:space="preserve"> an applicant’s Auction 9</w:t>
      </w:r>
      <w:r w:rsidR="00AA45B8">
        <w:t>7</w:t>
      </w:r>
      <w:r>
        <w:t xml:space="preserve"> obligations may</w:t>
      </w:r>
      <w:r w:rsidRPr="00545F16">
        <w:t xml:space="preserve"> be refunded to the payer of record as identified on </w:t>
      </w:r>
      <w:r>
        <w:t xml:space="preserve">the </w:t>
      </w:r>
      <w:r w:rsidRPr="00545F16">
        <w:t>FCC Form 159</w:t>
      </w:r>
      <w:r>
        <w:t xml:space="preserve">.  To receive a refund, an applicant must submit a </w:t>
      </w:r>
      <w:r w:rsidRPr="00A43A34">
        <w:t xml:space="preserve">refund request and </w:t>
      </w:r>
      <w:r>
        <w:t xml:space="preserve">provide </w:t>
      </w:r>
      <w:r w:rsidRPr="00A43A34">
        <w:t xml:space="preserve">wire transfer instructions.  </w:t>
      </w:r>
      <w:r>
        <w:t>Each a</w:t>
      </w:r>
      <w:r w:rsidRPr="00A43A34">
        <w:t xml:space="preserve">pplicant </w:t>
      </w:r>
      <w:r>
        <w:t>can</w:t>
      </w:r>
      <w:r w:rsidRPr="00A43A34">
        <w:t xml:space="preserve"> provide this information by </w:t>
      </w:r>
      <w:r>
        <w:t xml:space="preserve">using the Commission’s Integrated Spectrum Auction System (“ISAS”) to </w:t>
      </w:r>
      <w:r w:rsidRPr="00AE7B75">
        <w:t xml:space="preserve">file its refund information electronically using the “See Wire Transfer for Refund Purposes” link found on the My Auctions page by </w:t>
      </w:r>
      <w:r w:rsidR="00CC12B9" w:rsidRPr="00CC12B9">
        <w:rPr>
          <w:b/>
        </w:rPr>
        <w:t>February 13</w:t>
      </w:r>
      <w:r w:rsidRPr="008A2D12">
        <w:rPr>
          <w:b/>
        </w:rPr>
        <w:t>, 201</w:t>
      </w:r>
      <w:r w:rsidR="008A2D12" w:rsidRPr="008A2D12">
        <w:rPr>
          <w:b/>
        </w:rPr>
        <w:t>5</w:t>
      </w:r>
      <w:r w:rsidRPr="00AE7B75">
        <w:t>.</w:t>
      </w:r>
      <w:r w:rsidRPr="006C0569">
        <w:t xml:space="preserve">  After this date</w:t>
      </w:r>
      <w:r w:rsidRPr="00552DCB">
        <w:t xml:space="preserve">, </w:t>
      </w:r>
      <w:r>
        <w:t xml:space="preserve">an </w:t>
      </w:r>
      <w:r w:rsidRPr="00552DCB">
        <w:t xml:space="preserve">applicant must send a </w:t>
      </w:r>
      <w:r>
        <w:t xml:space="preserve">written </w:t>
      </w:r>
      <w:r w:rsidRPr="00552DCB">
        <w:t>request for refund</w:t>
      </w:r>
      <w:r>
        <w:t>,</w:t>
      </w:r>
      <w:r w:rsidRPr="00552DCB">
        <w:t xml:space="preserve"> along with the necessary wire transfer instructions and FRN</w:t>
      </w:r>
      <w:r>
        <w:t>,</w:t>
      </w:r>
      <w:r w:rsidRPr="00552DCB">
        <w:t xml:space="preserve"> by fa</w:t>
      </w:r>
      <w:r>
        <w:t>x</w:t>
      </w:r>
      <w:r w:rsidRPr="00552DCB">
        <w:t xml:space="preserve"> to Gail Glasser of the Office of the Managing Director at (202) 418-2843</w:t>
      </w:r>
      <w:r>
        <w:t xml:space="preserve"> (FAX)</w:t>
      </w:r>
      <w:r w:rsidRPr="00552DCB">
        <w:t>.  Any questions concerning refunds should be referred to Gail Glasser at (202) 418-0578.</w:t>
      </w:r>
      <w:r>
        <w:t xml:space="preserve">  </w:t>
      </w:r>
      <w:r w:rsidR="0073607F">
        <w:t xml:space="preserve">An applicant seeking a refund should </w:t>
      </w:r>
      <w:r>
        <w:t xml:space="preserve">verify that the Tax Identification Number (“TIN”) associated with </w:t>
      </w:r>
      <w:r w:rsidR="0073607F">
        <w:t xml:space="preserve">its </w:t>
      </w:r>
      <w:r>
        <w:t>FRN is correct</w:t>
      </w:r>
      <w:r w:rsidR="0073607F">
        <w:t xml:space="preserve"> by</w:t>
      </w:r>
      <w:r>
        <w:t xml:space="preserve"> visit</w:t>
      </w:r>
      <w:r w:rsidR="0073607F">
        <w:t>ing</w:t>
      </w:r>
      <w:r>
        <w:t xml:space="preserve"> the FCC Registration Number website </w:t>
      </w:r>
      <w:hyperlink r:id="rId11" w:history="1">
        <w:r w:rsidRPr="00743FF0">
          <w:rPr>
            <w:rStyle w:val="Hyperlink"/>
          </w:rPr>
          <w:t>https://apps.fcc.gov/coresWeb/publicHome.do</w:t>
        </w:r>
      </w:hyperlink>
      <w:r>
        <w:t xml:space="preserve"> to update </w:t>
      </w:r>
      <w:r w:rsidR="0073607F">
        <w:t xml:space="preserve">its </w:t>
      </w:r>
      <w:r>
        <w:t xml:space="preserve">records before submitting </w:t>
      </w:r>
      <w:r w:rsidR="0073607F">
        <w:t xml:space="preserve">a </w:t>
      </w:r>
      <w:r>
        <w:t>refund request.</w:t>
      </w:r>
      <w:r w:rsidR="0073607F" w:rsidRPr="0073607F">
        <w:t xml:space="preserve"> </w:t>
      </w:r>
      <w:r w:rsidR="0073607F">
        <w:t xml:space="preserve"> An FRN with no TIN on file cannot be processed until a TIN is provided.  </w:t>
      </w:r>
    </w:p>
    <w:p w:rsidR="008B56A1" w:rsidRPr="00552DCB" w:rsidRDefault="008B56A1" w:rsidP="008B56A1">
      <w:pPr>
        <w:pStyle w:val="Heading2"/>
        <w:keepLines/>
        <w:widowControl/>
        <w:ind w:left="1627"/>
      </w:pPr>
      <w:r w:rsidRPr="00552DCB">
        <w:t>FCC Form 601</w:t>
      </w:r>
    </w:p>
    <w:p w:rsidR="008B56A1" w:rsidRDefault="005469DA" w:rsidP="008B56A1">
      <w:pPr>
        <w:pStyle w:val="ParaNum"/>
      </w:pPr>
      <w:r>
        <w:rPr>
          <w:b/>
        </w:rPr>
        <w:t>By</w:t>
      </w:r>
      <w:r w:rsidR="008B56A1" w:rsidRPr="008A2D12">
        <w:rPr>
          <w:b/>
        </w:rPr>
        <w:t xml:space="preserve"> 6:00 p.m. ET on </w:t>
      </w:r>
      <w:r w:rsidR="00517480">
        <w:rPr>
          <w:b/>
        </w:rPr>
        <w:t>February 13</w:t>
      </w:r>
      <w:r w:rsidR="008B56A1" w:rsidRPr="008A2D12">
        <w:rPr>
          <w:b/>
        </w:rPr>
        <w:t>, 201</w:t>
      </w:r>
      <w:r w:rsidR="00517480">
        <w:rPr>
          <w:b/>
        </w:rPr>
        <w:t>5</w:t>
      </w:r>
      <w:r w:rsidR="008B56A1" w:rsidRPr="006C0569">
        <w:t xml:space="preserve">, each winning bidder must </w:t>
      </w:r>
      <w:r w:rsidR="008B56A1">
        <w:t xml:space="preserve">submit </w:t>
      </w:r>
      <w:r w:rsidR="008B56A1" w:rsidRPr="006C0569">
        <w:t>electronically a properly-completed long-form application (FCC Form 601) for</w:t>
      </w:r>
      <w:r w:rsidR="008B56A1">
        <w:t xml:space="preserve"> all licenses </w:t>
      </w:r>
      <w:r w:rsidR="008B56A1" w:rsidRPr="00545F16">
        <w:t xml:space="preserve">for which </w:t>
      </w:r>
      <w:r w:rsidR="008B56A1">
        <w:t>it was</w:t>
      </w:r>
      <w:r w:rsidR="008B56A1" w:rsidRPr="00545F16">
        <w:t xml:space="preserve"> the winning bidder</w:t>
      </w:r>
      <w:r w:rsidR="008B56A1">
        <w:t xml:space="preserve"> in Auction 9</w:t>
      </w:r>
      <w:r w:rsidR="00AA45B8">
        <w:t>7</w:t>
      </w:r>
      <w:r w:rsidR="008B56A1" w:rsidRPr="005869DD">
        <w:t xml:space="preserve">.  Attachment </w:t>
      </w:r>
      <w:r w:rsidR="008B56A1">
        <w:t>D</w:t>
      </w:r>
      <w:r w:rsidR="008B56A1" w:rsidRPr="000F79A6">
        <w:t xml:space="preserve"> </w:t>
      </w:r>
      <w:r w:rsidR="008B56A1" w:rsidRPr="005869DD">
        <w:t>provides</w:t>
      </w:r>
      <w:r w:rsidR="008B56A1" w:rsidRPr="00545F16">
        <w:t xml:space="preserve"> instructions for completing the </w:t>
      </w:r>
      <w:r w:rsidR="008B56A1">
        <w:t>long-form application and describes how certain information will be automatically transferred from a winning bidder’s short-form application (FCC Form 175) to its long-form application (FCC Form 601).</w:t>
      </w:r>
    </w:p>
    <w:p w:rsidR="008B56A1" w:rsidRPr="00E44BE5" w:rsidRDefault="008B56A1" w:rsidP="008B56A1">
      <w:pPr>
        <w:pStyle w:val="ParaNum"/>
      </w:pPr>
      <w:r w:rsidRPr="00E44BE5">
        <w:t xml:space="preserve">An applicant that fails to submit the required long-form application before the specified deadline and fails to establish good cause for any late-filed submission shall be deemed to have defaulted and shall be subject to the payments set forth in </w:t>
      </w:r>
      <w:r>
        <w:t>s</w:t>
      </w:r>
      <w:r w:rsidRPr="00E44BE5">
        <w:t>ection 1.2104(g) of the Commission’s rules.</w:t>
      </w:r>
      <w:r w:rsidRPr="00E44BE5">
        <w:rPr>
          <w:rStyle w:val="FootnoteReference"/>
          <w:bCs/>
        </w:rPr>
        <w:footnoteReference w:id="34"/>
      </w:r>
    </w:p>
    <w:p w:rsidR="008B56A1" w:rsidRPr="00545F16" w:rsidRDefault="008B56A1" w:rsidP="008B56A1">
      <w:pPr>
        <w:pStyle w:val="Heading2"/>
        <w:keepLines/>
        <w:widowControl/>
        <w:ind w:left="1627"/>
      </w:pPr>
      <w:r w:rsidRPr="00545F16">
        <w:t>Tribal Land</w:t>
      </w:r>
      <w:r>
        <w:t>s</w:t>
      </w:r>
      <w:r w:rsidRPr="00545F16">
        <w:t xml:space="preserve"> Bidding Credit</w:t>
      </w:r>
    </w:p>
    <w:p w:rsidR="008B56A1" w:rsidRPr="005869DD" w:rsidRDefault="008B56A1" w:rsidP="008B56A1">
      <w:pPr>
        <w:pStyle w:val="ParaNum"/>
      </w:pPr>
      <w:r>
        <w:t xml:space="preserve">The Commission has implemented a tribal lands bidding credit to encourage the growth of wireless services on the lands of federally-recognized tribes.  For information relating to the tribal lands bidding credit, </w:t>
      </w:r>
      <w:r w:rsidRPr="00DA06C1">
        <w:t>se</w:t>
      </w:r>
      <w:r w:rsidRPr="00FF26ED">
        <w:t xml:space="preserve">e </w:t>
      </w:r>
      <w:r w:rsidRPr="005869DD">
        <w:t xml:space="preserve">Attachment </w:t>
      </w:r>
      <w:r>
        <w:t>D</w:t>
      </w:r>
      <w:r w:rsidRPr="005869DD">
        <w:t>.</w:t>
      </w:r>
      <w:r w:rsidR="007A2F41">
        <w:rPr>
          <w:rStyle w:val="FootnoteReference"/>
        </w:rPr>
        <w:footnoteReference w:id="35"/>
      </w:r>
    </w:p>
    <w:p w:rsidR="008B56A1" w:rsidRPr="00240CD9" w:rsidRDefault="008B56A1" w:rsidP="008B56A1">
      <w:pPr>
        <w:pStyle w:val="Heading2"/>
        <w:keepLines/>
        <w:widowControl/>
        <w:ind w:left="1627"/>
      </w:pPr>
      <w:r w:rsidRPr="00240CD9">
        <w:t>FCC Form 602</w:t>
      </w:r>
    </w:p>
    <w:p w:rsidR="008B56A1" w:rsidRPr="00B80E10" w:rsidRDefault="008B56A1" w:rsidP="008B56A1">
      <w:pPr>
        <w:pStyle w:val="ParaNum"/>
      </w:pPr>
      <w:r w:rsidRPr="00240CD9">
        <w:t xml:space="preserve">Pursuant to </w:t>
      </w:r>
      <w:r>
        <w:t>s</w:t>
      </w:r>
      <w:r w:rsidRPr="00240CD9">
        <w:t>ections 1.919 and 1.2107(f) of the Commission’s rules, an applicant for a license in an auctionable service must</w:t>
      </w:r>
      <w:r>
        <w:t xml:space="preserve">, at the time of submitting its FCC Form 601, </w:t>
      </w:r>
      <w:r w:rsidRPr="00240CD9">
        <w:t xml:space="preserve">have on file with the Commission a current </w:t>
      </w:r>
      <w:r>
        <w:t>ownership disclosure information report (</w:t>
      </w:r>
      <w:r w:rsidRPr="00240CD9">
        <w:t>FCC Form 602</w:t>
      </w:r>
      <w:r>
        <w:t>) providing</w:t>
      </w:r>
      <w:r w:rsidRPr="00240CD9">
        <w:t xml:space="preserve"> the applicant’s complete and accurate ownership information.</w:t>
      </w:r>
      <w:r w:rsidRPr="00240CD9">
        <w:rPr>
          <w:rStyle w:val="FootnoteReference"/>
        </w:rPr>
        <w:footnoteReference w:id="36"/>
      </w:r>
      <w:r w:rsidRPr="00240CD9">
        <w:t xml:space="preserve">  </w:t>
      </w:r>
      <w:r>
        <w:t>As explaine</w:t>
      </w:r>
      <w:r w:rsidRPr="00FF26ED">
        <w:t xml:space="preserve">d in </w:t>
      </w:r>
      <w:r w:rsidRPr="005869DD">
        <w:t xml:space="preserve">Attachment </w:t>
      </w:r>
      <w:r>
        <w:t>D</w:t>
      </w:r>
      <w:r w:rsidRPr="005869DD">
        <w:t>,</w:t>
      </w:r>
      <w:r w:rsidRPr="00FF26ED">
        <w:t xml:space="preserve"> fili</w:t>
      </w:r>
      <w:r w:rsidRPr="00DA06C1">
        <w:t>ng</w:t>
      </w:r>
      <w:r w:rsidRPr="00240CD9">
        <w:t xml:space="preserve"> an</w:t>
      </w:r>
      <w:r>
        <w:t xml:space="preserve"> ownership disclosure information report</w:t>
      </w:r>
      <w:r w:rsidRPr="00240CD9">
        <w:t xml:space="preserve"> </w:t>
      </w:r>
      <w:r>
        <w:t>(</w:t>
      </w:r>
      <w:r w:rsidRPr="00240CD9">
        <w:t>FCC Form 602</w:t>
      </w:r>
      <w:r>
        <w:t>)</w:t>
      </w:r>
      <w:r w:rsidRPr="00240CD9">
        <w:t xml:space="preserve"> is a separate requirement from, and in addition to, the ownership reporting requirements associated with filing </w:t>
      </w:r>
      <w:r>
        <w:t xml:space="preserve">an </w:t>
      </w:r>
      <w:r w:rsidRPr="00240CD9">
        <w:t>FCC Form 601, Exhibit A</w:t>
      </w:r>
      <w:r w:rsidRPr="00B80E10">
        <w:t>.</w:t>
      </w:r>
      <w:r w:rsidRPr="00B80E10">
        <w:rPr>
          <w:rStyle w:val="FootnoteReference"/>
        </w:rPr>
        <w:footnoteReference w:id="37"/>
      </w:r>
      <w:r>
        <w:t xml:space="preserve">  A winning bidder should carefully follow the instructions set forth </w:t>
      </w:r>
      <w:r w:rsidRPr="00FF26ED">
        <w:t xml:space="preserve">in </w:t>
      </w:r>
      <w:r w:rsidRPr="005869DD">
        <w:t xml:space="preserve">Attachment </w:t>
      </w:r>
      <w:r>
        <w:t>D</w:t>
      </w:r>
      <w:r w:rsidRPr="005869DD">
        <w:t xml:space="preserve"> when</w:t>
      </w:r>
      <w:r>
        <w:t xml:space="preserve"> filing its ownership disclosure report</w:t>
      </w:r>
      <w:r w:rsidRPr="00B80E10">
        <w:t>.</w:t>
      </w:r>
      <w:r>
        <w:t xml:space="preserve">  </w:t>
      </w:r>
    </w:p>
    <w:p w:rsidR="008B56A1" w:rsidRPr="00545F16" w:rsidRDefault="008B56A1" w:rsidP="008B56A1">
      <w:pPr>
        <w:pStyle w:val="Heading2"/>
        <w:keepLines/>
        <w:widowControl/>
        <w:ind w:left="1627"/>
      </w:pPr>
      <w:r w:rsidRPr="00545F16">
        <w:t>Maintaining Accuracy of Information</w:t>
      </w:r>
    </w:p>
    <w:p w:rsidR="008B56A1" w:rsidRDefault="008B56A1" w:rsidP="007642D6">
      <w:pPr>
        <w:pStyle w:val="ParaNum"/>
        <w:widowControl/>
      </w:pPr>
      <w:r w:rsidRPr="00545F16">
        <w:t xml:space="preserve">After the auction closes, all </w:t>
      </w:r>
      <w:r>
        <w:t xml:space="preserve">required </w:t>
      </w:r>
      <w:r w:rsidRPr="00545F16">
        <w:t xml:space="preserve">changes </w:t>
      </w:r>
      <w:r>
        <w:t xml:space="preserve">to an applicant’s information must be made by filing or amending the applicant’s long-form application(s) (FCC Form 601) </w:t>
      </w:r>
      <w:r w:rsidRPr="00545F16">
        <w:t xml:space="preserve">in </w:t>
      </w:r>
      <w:r>
        <w:t>the Commission’s Universal Licensing System</w:t>
      </w:r>
      <w:r w:rsidRPr="00545F16">
        <w:t>.</w:t>
      </w:r>
      <w:r>
        <w:rPr>
          <w:rStyle w:val="FootnoteReference"/>
        </w:rPr>
        <w:footnoteReference w:id="38"/>
      </w:r>
      <w:r w:rsidRPr="00545F16">
        <w:t xml:space="preserve">  </w:t>
      </w:r>
      <w:r>
        <w:t>With the release of this Public Notice, a</w:t>
      </w:r>
      <w:r w:rsidRPr="00545F16">
        <w:t xml:space="preserve">pplicants are no longer required to maintain </w:t>
      </w:r>
      <w:r>
        <w:t xml:space="preserve">the </w:t>
      </w:r>
      <w:r w:rsidRPr="00545F16">
        <w:t xml:space="preserve">accuracy and completeness of information furnished on </w:t>
      </w:r>
      <w:r w:rsidRPr="001A6B11">
        <w:t>their short-form applications and exhibits.</w:t>
      </w:r>
    </w:p>
    <w:p w:rsidR="008B56A1" w:rsidRPr="00545F16" w:rsidRDefault="008B56A1" w:rsidP="008B56A1">
      <w:pPr>
        <w:pStyle w:val="Heading2"/>
        <w:keepLines/>
        <w:widowControl/>
        <w:ind w:left="1627"/>
      </w:pPr>
      <w:r w:rsidRPr="00545F16">
        <w:t>Application Processing</w:t>
      </w:r>
      <w:r>
        <w:t>, Petitions to Deny,</w:t>
      </w:r>
      <w:r w:rsidRPr="00545F16">
        <w:t xml:space="preserve"> and License Grant</w:t>
      </w:r>
    </w:p>
    <w:p w:rsidR="008B56A1" w:rsidRDefault="008B56A1" w:rsidP="008B56A1">
      <w:pPr>
        <w:pStyle w:val="ParaNum"/>
      </w:pPr>
      <w:r>
        <w:t xml:space="preserve">After its initial review of the long-form applications, the Bureau will issue a public notice listing the applications that are acceptable for filing.  </w:t>
      </w:r>
      <w:r w:rsidRPr="00553AE2">
        <w:t xml:space="preserve">Pursuant to </w:t>
      </w:r>
      <w:r>
        <w:t>section</w:t>
      </w:r>
      <w:r w:rsidRPr="00553AE2">
        <w:t xml:space="preserve"> 1.2108(b)</w:t>
      </w:r>
      <w:r>
        <w:t xml:space="preserve"> of the Commission’s rules</w:t>
      </w:r>
      <w:r w:rsidRPr="00553AE2">
        <w:t xml:space="preserve">, interested parties will have </w:t>
      </w:r>
      <w:r w:rsidRPr="00391AE7">
        <w:t>ten</w:t>
      </w:r>
      <w:r w:rsidRPr="00D60359">
        <w:rPr>
          <w:b/>
        </w:rPr>
        <w:t xml:space="preserve"> </w:t>
      </w:r>
      <w:r w:rsidRPr="00553AE2">
        <w:t xml:space="preserve">days </w:t>
      </w:r>
      <w:r>
        <w:t xml:space="preserve">from the release of that public notice within which </w:t>
      </w:r>
      <w:r w:rsidRPr="00553AE2">
        <w:t xml:space="preserve">to file petitions to deny </w:t>
      </w:r>
      <w:r>
        <w:t>any of these applications</w:t>
      </w:r>
      <w:r w:rsidRPr="00553AE2">
        <w:t>.</w:t>
      </w:r>
      <w:r w:rsidRPr="00553AE2">
        <w:rPr>
          <w:rStyle w:val="FootnoteReference"/>
        </w:rPr>
        <w:footnoteReference w:id="39"/>
      </w:r>
      <w:r>
        <w:t xml:space="preserve">  </w:t>
      </w:r>
      <w:r w:rsidRPr="00553AE2">
        <w:t xml:space="preserve">An applicant </w:t>
      </w:r>
      <w:r>
        <w:t>may</w:t>
      </w:r>
      <w:r w:rsidRPr="00553AE2">
        <w:t xml:space="preserve"> file an opposition to any petition to deny within </w:t>
      </w:r>
      <w:r w:rsidRPr="00822FBC">
        <w:t>five business</w:t>
      </w:r>
      <w:r w:rsidRPr="00553AE2">
        <w:t xml:space="preserve"> days after the </w:t>
      </w:r>
      <w:r>
        <w:t xml:space="preserve">time for filing </w:t>
      </w:r>
      <w:r w:rsidRPr="00553AE2">
        <w:t xml:space="preserve">petitions to deny </w:t>
      </w:r>
      <w:r>
        <w:t>has expired</w:t>
      </w:r>
      <w:r w:rsidRPr="00553AE2">
        <w:t>.</w:t>
      </w:r>
      <w:r w:rsidRPr="00553AE2">
        <w:rPr>
          <w:rStyle w:val="FootnoteReference"/>
        </w:rPr>
        <w:footnoteReference w:id="40"/>
      </w:r>
      <w:r w:rsidRPr="00553AE2">
        <w:t xml:space="preserve">  </w:t>
      </w:r>
      <w:r>
        <w:t xml:space="preserve">Replies must be filed </w:t>
      </w:r>
      <w:r w:rsidRPr="00553AE2">
        <w:t xml:space="preserve">within </w:t>
      </w:r>
      <w:r w:rsidRPr="00822FBC">
        <w:t>five</w:t>
      </w:r>
      <w:r w:rsidRPr="00822FBC">
        <w:rPr>
          <w:b/>
        </w:rPr>
        <w:t xml:space="preserve"> </w:t>
      </w:r>
      <w:r w:rsidRPr="00822FBC">
        <w:t>business days</w:t>
      </w:r>
      <w:r w:rsidRPr="00553AE2">
        <w:t xml:space="preserve"> after the </w:t>
      </w:r>
      <w:r>
        <w:t xml:space="preserve">time for </w:t>
      </w:r>
      <w:r w:rsidRPr="00553AE2">
        <w:t xml:space="preserve">filing oppositions </w:t>
      </w:r>
      <w:r>
        <w:t>to a petition to deny has expired</w:t>
      </w:r>
      <w:r w:rsidRPr="00553AE2">
        <w:t>.</w:t>
      </w:r>
      <w:r w:rsidRPr="00553AE2">
        <w:rPr>
          <w:rStyle w:val="FootnoteReference"/>
        </w:rPr>
        <w:footnoteReference w:id="41"/>
      </w:r>
      <w:r>
        <w:t xml:space="preserve">  The Commission reminds all parties and their counsel that the Commission intends to use its authority fully to deter the filing of frivolous pleadings.</w:t>
      </w:r>
      <w:r>
        <w:rPr>
          <w:rStyle w:val="FootnoteReference"/>
        </w:rPr>
        <w:footnoteReference w:id="42"/>
      </w:r>
      <w:r>
        <w:t xml:space="preserve">  </w:t>
      </w:r>
    </w:p>
    <w:p w:rsidR="008B56A1" w:rsidRPr="001343A8" w:rsidRDefault="007002EB" w:rsidP="008B56A1">
      <w:pPr>
        <w:pStyle w:val="ParaNum"/>
      </w:pPr>
      <w:r w:rsidRPr="00553AE2">
        <w:t>After the long-form review process</w:t>
      </w:r>
      <w:r>
        <w:t xml:space="preserve"> is completed</w:t>
      </w:r>
      <w:r w:rsidRPr="00553AE2">
        <w:t xml:space="preserve">, if Commission </w:t>
      </w:r>
      <w:r>
        <w:t xml:space="preserve">staff </w:t>
      </w:r>
      <w:r w:rsidRPr="00553AE2">
        <w:t xml:space="preserve">determines that additional payment from </w:t>
      </w:r>
      <w:r>
        <w:t xml:space="preserve">an </w:t>
      </w:r>
      <w:r w:rsidRPr="00553AE2">
        <w:t xml:space="preserve">applicant </w:t>
      </w:r>
      <w:r>
        <w:t>is due</w:t>
      </w:r>
      <w:r w:rsidRPr="00553AE2">
        <w:t xml:space="preserve">, the Bureau will provide further instructions in a future </w:t>
      </w:r>
      <w:r>
        <w:t>p</w:t>
      </w:r>
      <w:r w:rsidRPr="00553AE2">
        <w:t xml:space="preserve">ublic </w:t>
      </w:r>
      <w:r>
        <w:t>n</w:t>
      </w:r>
      <w:r w:rsidRPr="00553AE2">
        <w:t>otice</w:t>
      </w:r>
      <w:r>
        <w:t xml:space="preserve"> or by demand letter</w:t>
      </w:r>
      <w:r w:rsidRPr="00553AE2">
        <w:t>.</w:t>
      </w:r>
      <w:r>
        <w:rPr>
          <w:rStyle w:val="FootnoteReference"/>
        </w:rPr>
        <w:footnoteReference w:id="43"/>
      </w:r>
      <w:r w:rsidRPr="00553AE2">
        <w:t xml:space="preserve">  </w:t>
      </w:r>
      <w:r w:rsidR="008B56A1" w:rsidRPr="00553AE2">
        <w:t xml:space="preserve">If Commission </w:t>
      </w:r>
      <w:r w:rsidR="008B56A1">
        <w:t xml:space="preserve">staff </w:t>
      </w:r>
      <w:r w:rsidR="008B56A1" w:rsidRPr="00553AE2">
        <w:t>determines that an applicant is otherwise qualified</w:t>
      </w:r>
      <w:r w:rsidR="008B56A1">
        <w:t xml:space="preserve"> and</w:t>
      </w:r>
      <w:r w:rsidR="008B56A1" w:rsidRPr="00553AE2">
        <w:t xml:space="preserve"> that there are no substantial and material issues of fact, </w:t>
      </w:r>
      <w:r w:rsidR="008B56A1">
        <w:t>the Bureau</w:t>
      </w:r>
      <w:r w:rsidR="008B56A1" w:rsidRPr="00553AE2">
        <w:t xml:space="preserve"> will issue a public notice announcing grant of the license to the applicant.</w:t>
      </w:r>
      <w:r w:rsidR="008B56A1">
        <w:rPr>
          <w:rStyle w:val="FootnoteReference"/>
        </w:rPr>
        <w:footnoteReference w:id="44"/>
      </w:r>
    </w:p>
    <w:p w:rsidR="008B56A1" w:rsidRPr="00545F16" w:rsidRDefault="008B56A1" w:rsidP="008B56A1">
      <w:pPr>
        <w:pStyle w:val="Heading1"/>
      </w:pPr>
      <w:r>
        <w:t>OTHER IMPORTANT INFORMATION</w:t>
      </w:r>
    </w:p>
    <w:p w:rsidR="008B56A1" w:rsidRPr="00545F16" w:rsidRDefault="009C4C65" w:rsidP="008B56A1">
      <w:pPr>
        <w:pStyle w:val="Heading2"/>
        <w:keepLines/>
        <w:widowControl/>
        <w:ind w:left="1627"/>
      </w:pPr>
      <w:r>
        <w:t xml:space="preserve">Continuing </w:t>
      </w:r>
      <w:r w:rsidR="008B56A1">
        <w:t>Prohibition on Certain Communications</w:t>
      </w:r>
    </w:p>
    <w:p w:rsidR="008B56A1" w:rsidRPr="008A2D12" w:rsidRDefault="008B56A1" w:rsidP="007642D6">
      <w:pPr>
        <w:pStyle w:val="ParaNum"/>
        <w:widowControl/>
      </w:pPr>
      <w:r w:rsidRPr="00545F16">
        <w:t xml:space="preserve">To ensure the competitiveness of the auction process, the Commission’s rules prohibit </w:t>
      </w:r>
      <w:r>
        <w:t>auction applicants for licenses in any of the same or overlapping geographic license areas</w:t>
      </w:r>
      <w:r w:rsidRPr="00545F16">
        <w:t xml:space="preserve"> from communicating with each other about bids, bidding strategies, or settlements unless such applicants have identified each other on their </w:t>
      </w:r>
      <w:r>
        <w:t xml:space="preserve">short-form </w:t>
      </w:r>
      <w:r w:rsidRPr="00545F16">
        <w:t xml:space="preserve">applications as parties with whom they have entered into agreements under </w:t>
      </w:r>
      <w:r>
        <w:t>s</w:t>
      </w:r>
      <w:r w:rsidRPr="00545F16">
        <w:t>ection 1.2105(a)(2)(viii).</w:t>
      </w:r>
      <w:r w:rsidRPr="00553218">
        <w:rPr>
          <w:rStyle w:val="FootnoteReference"/>
        </w:rPr>
        <w:footnoteReference w:id="45"/>
      </w:r>
      <w:r>
        <w:t xml:space="preserve">  As explained more fully in the </w:t>
      </w:r>
      <w:r>
        <w:rPr>
          <w:i/>
        </w:rPr>
        <w:t>Auction 9</w:t>
      </w:r>
      <w:r w:rsidR="00AA45B8">
        <w:rPr>
          <w:i/>
        </w:rPr>
        <w:t>7</w:t>
      </w:r>
      <w:r>
        <w:rPr>
          <w:i/>
        </w:rPr>
        <w:t xml:space="preserve"> Procedures Public </w:t>
      </w:r>
      <w:r w:rsidRPr="004E171A">
        <w:rPr>
          <w:i/>
        </w:rPr>
        <w:t>Notice</w:t>
      </w:r>
      <w:r>
        <w:t>,</w:t>
      </w:r>
      <w:r>
        <w:rPr>
          <w:i/>
        </w:rPr>
        <w:t xml:space="preserve"> </w:t>
      </w:r>
      <w:r w:rsidRPr="00545F16">
        <w:t xml:space="preserve">this prohibition began at the </w:t>
      </w:r>
      <w:r w:rsidRPr="00552DCB">
        <w:t xml:space="preserve">short-form application filing deadline </w:t>
      </w:r>
      <w:r>
        <w:t xml:space="preserve">at 6:00 p.m. ET on </w:t>
      </w:r>
      <w:r w:rsidR="00AA45B8">
        <w:t>September 12, 2014</w:t>
      </w:r>
      <w:r>
        <w:t xml:space="preserve"> </w:t>
      </w:r>
      <w:r w:rsidRPr="00552DCB">
        <w:t xml:space="preserve">and </w:t>
      </w:r>
      <w:r>
        <w:t xml:space="preserve">continues until </w:t>
      </w:r>
      <w:r w:rsidRPr="00552DCB">
        <w:t>the down payment deadline</w:t>
      </w:r>
      <w:r>
        <w:t xml:space="preserve">, which is </w:t>
      </w:r>
      <w:r w:rsidRPr="00C530B6">
        <w:rPr>
          <w:b/>
        </w:rPr>
        <w:t xml:space="preserve">6:00 p.m. ET </w:t>
      </w:r>
      <w:r w:rsidRPr="006C0569">
        <w:rPr>
          <w:b/>
        </w:rPr>
        <w:t xml:space="preserve">on </w:t>
      </w:r>
      <w:r w:rsidR="00517480">
        <w:rPr>
          <w:b/>
        </w:rPr>
        <w:t>February 13</w:t>
      </w:r>
      <w:r w:rsidRPr="008A2D12">
        <w:rPr>
          <w:b/>
        </w:rPr>
        <w:t>, 201</w:t>
      </w:r>
      <w:r w:rsidR="008A2D12" w:rsidRPr="008A2D12">
        <w:rPr>
          <w:b/>
        </w:rPr>
        <w:t>5</w:t>
      </w:r>
      <w:r w:rsidRPr="008A2D12">
        <w:t>.</w:t>
      </w:r>
      <w:r w:rsidRPr="008A2D12">
        <w:rPr>
          <w:rStyle w:val="FootnoteReference"/>
        </w:rPr>
        <w:footnoteReference w:id="46"/>
      </w:r>
      <w:r w:rsidRPr="008A2D12">
        <w:t xml:space="preserve">  </w:t>
      </w:r>
    </w:p>
    <w:p w:rsidR="008B56A1" w:rsidRDefault="008B56A1" w:rsidP="008B56A1">
      <w:pPr>
        <w:pStyle w:val="ParaNum"/>
      </w:pPr>
      <w:r w:rsidRPr="003778C6">
        <w:t xml:space="preserve">The prohibition </w:t>
      </w:r>
      <w:r>
        <w:t xml:space="preserve">on certain communications </w:t>
      </w:r>
      <w:r w:rsidRPr="003778C6">
        <w:t xml:space="preserve">applies to all applicants in Auction </w:t>
      </w:r>
      <w:r>
        <w:t>9</w:t>
      </w:r>
      <w:r w:rsidR="00AA45B8">
        <w:t>7</w:t>
      </w:r>
      <w:r w:rsidRPr="003778C6">
        <w:t xml:space="preserve"> unless they have identifie</w:t>
      </w:r>
      <w:r w:rsidRPr="00552DCB">
        <w:t xml:space="preserve">d each other on their </w:t>
      </w:r>
      <w:r>
        <w:t>short-form</w:t>
      </w:r>
      <w:r w:rsidRPr="00552DCB">
        <w:t xml:space="preserve"> applications as parties with whom they have entered into agreements under </w:t>
      </w:r>
      <w:r>
        <w:t>s</w:t>
      </w:r>
      <w:r w:rsidRPr="00552DCB">
        <w:t>ection 1.2105(a)(2)(viii)</w:t>
      </w:r>
      <w:r>
        <w:t>,</w:t>
      </w:r>
      <w:r w:rsidRPr="00552DCB">
        <w:t xml:space="preserve"> regardless of whether an applicant became a qualified bidder or actually participated in the bidding</w:t>
      </w:r>
      <w:r>
        <w:t>.</w:t>
      </w:r>
      <w:r>
        <w:rPr>
          <w:rStyle w:val="FootnoteReference"/>
        </w:rPr>
        <w:footnoteReference w:id="47"/>
      </w:r>
      <w:r>
        <w:t xml:space="preserve">  This </w:t>
      </w:r>
      <w:r w:rsidRPr="00552DCB">
        <w:t>prohibition continues for all applicants until the down payment deadline regardless of whether a</w:t>
      </w:r>
      <w:r>
        <w:t>n applicant is a winning bidder or</w:t>
      </w:r>
      <w:r w:rsidRPr="00552DCB">
        <w:t xml:space="preserve"> needs to make an additional payment by the down payment deadline.</w:t>
      </w:r>
      <w:r>
        <w:rPr>
          <w:rStyle w:val="FootnoteReference"/>
        </w:rPr>
        <w:footnoteReference w:id="48"/>
      </w:r>
      <w:r>
        <w:t xml:space="preserve">  Each applicant in this auction certified its compliance with section 1.2105(c) when it filed its short-form application.</w:t>
      </w:r>
      <w:r>
        <w:rPr>
          <w:rStyle w:val="FootnoteReference"/>
        </w:rPr>
        <w:footnoteReference w:id="49"/>
      </w:r>
      <w:r w:rsidRPr="00552DCB">
        <w:t xml:space="preserve"> </w:t>
      </w:r>
    </w:p>
    <w:p w:rsidR="008B56A1" w:rsidRPr="00552DCB" w:rsidRDefault="008B56A1" w:rsidP="008B56A1">
      <w:pPr>
        <w:pStyle w:val="Heading2"/>
        <w:keepLines/>
        <w:widowControl/>
        <w:ind w:left="1627"/>
      </w:pPr>
      <w:r w:rsidRPr="00552DCB">
        <w:t>Return of SecurID</w:t>
      </w:r>
      <w:r w:rsidRPr="00120594">
        <w:t>®</w:t>
      </w:r>
      <w:r w:rsidRPr="00552DCB">
        <w:t xml:space="preserve"> </w:t>
      </w:r>
      <w:r>
        <w:t>Tokens</w:t>
      </w:r>
    </w:p>
    <w:p w:rsidR="008B56A1" w:rsidRPr="00BA4C4A" w:rsidRDefault="008B56A1" w:rsidP="008B56A1">
      <w:pPr>
        <w:pStyle w:val="ParaNum"/>
      </w:pPr>
      <w:r w:rsidRPr="0033487C">
        <w:t xml:space="preserve">The </w:t>
      </w:r>
      <w:r w:rsidRPr="0033487C">
        <w:rPr>
          <w:szCs w:val="22"/>
        </w:rPr>
        <w:t>SecurID</w:t>
      </w:r>
      <w:r w:rsidRPr="0033487C">
        <w:rPr>
          <w:szCs w:val="22"/>
          <w:vertAlign w:val="superscript"/>
        </w:rPr>
        <w:t xml:space="preserve">® </w:t>
      </w:r>
      <w:r w:rsidRPr="0033487C">
        <w:t xml:space="preserve">tokens distributed to qualified bidders are tailored to this auction and will not </w:t>
      </w:r>
      <w:r w:rsidR="00C223FD">
        <w:t>function in</w:t>
      </w:r>
      <w:r w:rsidRPr="0033487C">
        <w:t xml:space="preserve"> future auctions.  The Commission will send each bidder, along with the copy of this Public Notice, a pre-addressed, stamped envelope to return its </w:t>
      </w:r>
      <w:r w:rsidRPr="0033487C">
        <w:rPr>
          <w:szCs w:val="22"/>
        </w:rPr>
        <w:t>SecurID</w:t>
      </w:r>
      <w:r w:rsidRPr="0033487C">
        <w:rPr>
          <w:szCs w:val="22"/>
          <w:vertAlign w:val="superscript"/>
        </w:rPr>
        <w:t xml:space="preserve">® </w:t>
      </w:r>
      <w:r w:rsidRPr="0033487C">
        <w:t>tokens.  Each bidder should return</w:t>
      </w:r>
      <w:r>
        <w:t xml:space="preserve"> its SecurID</w:t>
      </w:r>
      <w:r w:rsidRPr="0033487C">
        <w:rPr>
          <w:szCs w:val="22"/>
          <w:vertAlign w:val="superscript"/>
        </w:rPr>
        <w:t>®</w:t>
      </w:r>
      <w:r>
        <w:t xml:space="preserve"> </w:t>
      </w:r>
      <w:r w:rsidRPr="00BA4C4A">
        <w:t>token</w:t>
      </w:r>
      <w:r w:rsidR="00343F60">
        <w:t>(s)</w:t>
      </w:r>
      <w:r>
        <w:t xml:space="preserve"> to the Commission for recycling</w:t>
      </w:r>
      <w:r w:rsidRPr="00BA4C4A">
        <w:t xml:space="preserve"> by </w:t>
      </w:r>
      <w:r w:rsidR="00CC12B9" w:rsidRPr="00CC12B9">
        <w:rPr>
          <w:b/>
        </w:rPr>
        <w:t>February 13</w:t>
      </w:r>
      <w:r w:rsidRPr="00CF0407">
        <w:rPr>
          <w:b/>
        </w:rPr>
        <w:t>, 201</w:t>
      </w:r>
      <w:r w:rsidR="00CF0407" w:rsidRPr="00CF0407">
        <w:rPr>
          <w:b/>
        </w:rPr>
        <w:t>5</w:t>
      </w:r>
      <w:r w:rsidRPr="00CF0407">
        <w:rPr>
          <w:szCs w:val="22"/>
        </w:rPr>
        <w:t>.</w:t>
      </w:r>
    </w:p>
    <w:p w:rsidR="008B56A1" w:rsidRDefault="008B56A1" w:rsidP="008B56A1">
      <w:pPr>
        <w:pStyle w:val="Heading2"/>
        <w:keepLines/>
        <w:widowControl/>
        <w:ind w:left="1627"/>
      </w:pPr>
      <w:r>
        <w:t>Contact Information</w:t>
      </w:r>
    </w:p>
    <w:p w:rsidR="008B56A1" w:rsidRPr="00044584" w:rsidRDefault="008B56A1" w:rsidP="008B56A1">
      <w:pPr>
        <w:pStyle w:val="ParaNum"/>
      </w:pPr>
      <w:r>
        <w:t>For further information, contact:</w:t>
      </w:r>
    </w:p>
    <w:tbl>
      <w:tblPr>
        <w:tblW w:w="9828" w:type="dxa"/>
        <w:tblLayout w:type="fixed"/>
        <w:tblLook w:val="0000" w:firstRow="0" w:lastRow="0" w:firstColumn="0" w:lastColumn="0" w:noHBand="0" w:noVBand="0"/>
      </w:tblPr>
      <w:tblGrid>
        <w:gridCol w:w="4968"/>
        <w:gridCol w:w="4860"/>
      </w:tblGrid>
      <w:tr w:rsidR="008B56A1" w:rsidRPr="00545F16" w:rsidTr="008B3255">
        <w:trPr>
          <w:cantSplit/>
          <w:trHeight w:val="791"/>
        </w:trPr>
        <w:tc>
          <w:tcPr>
            <w:tcW w:w="4968" w:type="dxa"/>
          </w:tcPr>
          <w:p w:rsidR="008B56A1" w:rsidRPr="005F7DCE" w:rsidRDefault="008B56A1" w:rsidP="008B3255">
            <w:pPr>
              <w:widowControl/>
              <w:rPr>
                <w:b/>
                <w:szCs w:val="22"/>
              </w:rPr>
            </w:pPr>
            <w:r w:rsidRPr="005F7DCE">
              <w:rPr>
                <w:b/>
                <w:szCs w:val="22"/>
              </w:rPr>
              <w:t>News Media</w:t>
            </w:r>
          </w:p>
        </w:tc>
        <w:tc>
          <w:tcPr>
            <w:tcW w:w="4860" w:type="dxa"/>
          </w:tcPr>
          <w:p w:rsidR="008B56A1" w:rsidRPr="005F7DCE" w:rsidRDefault="008B56A1" w:rsidP="008B3255">
            <w:pPr>
              <w:widowControl/>
              <w:rPr>
                <w:b/>
                <w:szCs w:val="22"/>
              </w:rPr>
            </w:pPr>
            <w:r w:rsidRPr="005F7DCE">
              <w:rPr>
                <w:b/>
                <w:szCs w:val="22"/>
              </w:rPr>
              <w:t xml:space="preserve">Wireless Telecommunications Bureau </w:t>
            </w:r>
          </w:p>
          <w:p w:rsidR="008B56A1" w:rsidRPr="005F7DCE" w:rsidRDefault="008B56A1" w:rsidP="008B3255">
            <w:pPr>
              <w:widowControl/>
              <w:rPr>
                <w:b/>
                <w:szCs w:val="22"/>
              </w:rPr>
            </w:pPr>
            <w:r w:rsidRPr="00C3123E">
              <w:rPr>
                <w:szCs w:val="22"/>
              </w:rPr>
              <w:t>Cecilia Sulhoff at (202) 418-0587</w:t>
            </w:r>
          </w:p>
        </w:tc>
      </w:tr>
      <w:tr w:rsidR="008B56A1" w:rsidRPr="00545F16" w:rsidTr="008B3255">
        <w:trPr>
          <w:cantSplit/>
          <w:trHeight w:val="1298"/>
        </w:trPr>
        <w:tc>
          <w:tcPr>
            <w:tcW w:w="4968" w:type="dxa"/>
          </w:tcPr>
          <w:p w:rsidR="008B56A1" w:rsidRPr="005F7DCE" w:rsidRDefault="008B56A1" w:rsidP="008B3255">
            <w:pPr>
              <w:widowControl/>
              <w:rPr>
                <w:b/>
                <w:i/>
                <w:szCs w:val="22"/>
              </w:rPr>
            </w:pPr>
            <w:r w:rsidRPr="005F7DCE">
              <w:rPr>
                <w:b/>
                <w:szCs w:val="22"/>
              </w:rPr>
              <w:t>Licensing Information</w:t>
            </w:r>
          </w:p>
          <w:p w:rsidR="008B56A1" w:rsidRPr="005F7DCE" w:rsidRDefault="008B56A1" w:rsidP="008B3255">
            <w:pPr>
              <w:widowControl/>
              <w:ind w:left="360"/>
              <w:rPr>
                <w:szCs w:val="22"/>
              </w:rPr>
            </w:pPr>
            <w:r w:rsidRPr="005F7DCE">
              <w:rPr>
                <w:szCs w:val="22"/>
              </w:rPr>
              <w:t xml:space="preserve">Service Rules, Policies, Regulations </w:t>
            </w:r>
          </w:p>
          <w:p w:rsidR="008B56A1" w:rsidRPr="005F7DCE" w:rsidRDefault="008B56A1" w:rsidP="008B3255">
            <w:pPr>
              <w:widowControl/>
              <w:ind w:left="360"/>
              <w:rPr>
                <w:szCs w:val="22"/>
              </w:rPr>
            </w:pPr>
            <w:r w:rsidRPr="005F7DCE">
              <w:rPr>
                <w:szCs w:val="22"/>
              </w:rPr>
              <w:t xml:space="preserve">Licensing Issues, Engineering Issues </w:t>
            </w:r>
          </w:p>
          <w:p w:rsidR="008B56A1" w:rsidRDefault="008B56A1" w:rsidP="008B3255">
            <w:pPr>
              <w:widowControl/>
              <w:ind w:left="360"/>
              <w:rPr>
                <w:szCs w:val="22"/>
              </w:rPr>
            </w:pPr>
            <w:r w:rsidRPr="005F7DCE">
              <w:rPr>
                <w:szCs w:val="22"/>
              </w:rPr>
              <w:t>Due Diligence, Incumbency Issues</w:t>
            </w:r>
          </w:p>
          <w:p w:rsidR="008B56A1" w:rsidRDefault="008B56A1" w:rsidP="008B3255">
            <w:pPr>
              <w:widowControl/>
              <w:ind w:left="360"/>
              <w:rPr>
                <w:szCs w:val="22"/>
              </w:rPr>
            </w:pPr>
          </w:p>
          <w:p w:rsidR="008B56A1" w:rsidRPr="005F7DCE" w:rsidRDefault="008B56A1" w:rsidP="008B3255">
            <w:pPr>
              <w:widowControl/>
              <w:ind w:left="360"/>
              <w:rPr>
                <w:szCs w:val="22"/>
              </w:rPr>
            </w:pPr>
            <w:r>
              <w:rPr>
                <w:szCs w:val="22"/>
              </w:rPr>
              <w:t>Filing Forms 601 and 602</w:t>
            </w:r>
          </w:p>
          <w:p w:rsidR="008B56A1" w:rsidRPr="005F7DCE" w:rsidRDefault="008B56A1" w:rsidP="008B3255">
            <w:pPr>
              <w:widowControl/>
              <w:rPr>
                <w:b/>
                <w:i/>
                <w:szCs w:val="22"/>
              </w:rPr>
            </w:pPr>
          </w:p>
        </w:tc>
        <w:tc>
          <w:tcPr>
            <w:tcW w:w="4860" w:type="dxa"/>
          </w:tcPr>
          <w:p w:rsidR="008B56A1" w:rsidRPr="005F7DCE" w:rsidRDefault="008B56A1" w:rsidP="008B3255">
            <w:pPr>
              <w:widowControl/>
              <w:rPr>
                <w:b/>
                <w:szCs w:val="22"/>
              </w:rPr>
            </w:pPr>
            <w:r>
              <w:rPr>
                <w:b/>
                <w:szCs w:val="22"/>
              </w:rPr>
              <w:t xml:space="preserve">Broadband </w:t>
            </w:r>
            <w:r w:rsidRPr="005F7DCE">
              <w:rPr>
                <w:b/>
                <w:szCs w:val="22"/>
              </w:rPr>
              <w:t>Division</w:t>
            </w:r>
          </w:p>
          <w:p w:rsidR="008B56A1" w:rsidRDefault="00AA45B8" w:rsidP="008B3255">
            <w:pPr>
              <w:widowControl/>
              <w:rPr>
                <w:szCs w:val="22"/>
              </w:rPr>
            </w:pPr>
            <w:r>
              <w:rPr>
                <w:szCs w:val="22"/>
              </w:rPr>
              <w:t>Genevieve Ross</w:t>
            </w:r>
            <w:r w:rsidR="008B56A1">
              <w:rPr>
                <w:szCs w:val="22"/>
              </w:rPr>
              <w:t xml:space="preserve"> (Attorney) or Janet Young (Engineer) at (202) 418-2487</w:t>
            </w:r>
          </w:p>
          <w:p w:rsidR="008B56A1" w:rsidRDefault="008B56A1" w:rsidP="008B3255">
            <w:pPr>
              <w:widowControl/>
              <w:rPr>
                <w:szCs w:val="22"/>
              </w:rPr>
            </w:pPr>
          </w:p>
          <w:p w:rsidR="008B56A1" w:rsidRDefault="008B56A1" w:rsidP="008B3255">
            <w:pPr>
              <w:widowControl/>
              <w:rPr>
                <w:szCs w:val="22"/>
              </w:rPr>
            </w:pPr>
          </w:p>
          <w:p w:rsidR="008B56A1" w:rsidRDefault="008B56A1" w:rsidP="008B3255">
            <w:pPr>
              <w:widowControl/>
              <w:rPr>
                <w:color w:val="000000"/>
                <w:szCs w:val="22"/>
              </w:rPr>
            </w:pPr>
            <w:r w:rsidRPr="004A59B9">
              <w:rPr>
                <w:b/>
                <w:color w:val="000000"/>
                <w:szCs w:val="22"/>
              </w:rPr>
              <w:t>ULS Support Hotline</w:t>
            </w:r>
            <w:r>
              <w:rPr>
                <w:color w:val="000000"/>
                <w:szCs w:val="22"/>
              </w:rPr>
              <w:t xml:space="preserve"> </w:t>
            </w:r>
          </w:p>
          <w:p w:rsidR="008B56A1" w:rsidRDefault="008B56A1" w:rsidP="008B3255">
            <w:pPr>
              <w:widowControl/>
              <w:rPr>
                <w:color w:val="000000"/>
                <w:szCs w:val="22"/>
              </w:rPr>
            </w:pPr>
            <w:r>
              <w:rPr>
                <w:color w:val="000000"/>
                <w:szCs w:val="22"/>
              </w:rPr>
              <w:t xml:space="preserve">(877) 480-3201, option 2 </w:t>
            </w:r>
          </w:p>
          <w:p w:rsidR="008B56A1" w:rsidRDefault="008B56A1" w:rsidP="008B3255">
            <w:pPr>
              <w:widowControl/>
              <w:rPr>
                <w:szCs w:val="22"/>
              </w:rPr>
            </w:pPr>
            <w:r>
              <w:rPr>
                <w:color w:val="000000"/>
                <w:szCs w:val="22"/>
              </w:rPr>
              <w:t>(717) 338-2824 (TTY)</w:t>
            </w:r>
            <w:r>
              <w:rPr>
                <w:szCs w:val="22"/>
              </w:rPr>
              <w:t xml:space="preserve"> </w:t>
            </w:r>
          </w:p>
          <w:p w:rsidR="008B56A1" w:rsidRPr="005F7DCE" w:rsidRDefault="008B56A1" w:rsidP="008B3255">
            <w:pPr>
              <w:widowControl/>
              <w:rPr>
                <w:b/>
                <w:szCs w:val="22"/>
              </w:rPr>
            </w:pPr>
          </w:p>
        </w:tc>
      </w:tr>
      <w:tr w:rsidR="008B56A1" w:rsidRPr="00545F16" w:rsidTr="008B3255">
        <w:trPr>
          <w:cantSplit/>
          <w:trHeight w:val="1308"/>
        </w:trPr>
        <w:tc>
          <w:tcPr>
            <w:tcW w:w="4968" w:type="dxa"/>
          </w:tcPr>
          <w:p w:rsidR="008B56A1" w:rsidRPr="005F7DCE" w:rsidRDefault="008B56A1" w:rsidP="008B3255">
            <w:pPr>
              <w:widowControl/>
              <w:rPr>
                <w:b/>
                <w:szCs w:val="22"/>
              </w:rPr>
            </w:pPr>
            <w:r w:rsidRPr="005F7DCE">
              <w:rPr>
                <w:b/>
                <w:szCs w:val="22"/>
              </w:rPr>
              <w:t>Auction Payment Information</w:t>
            </w:r>
          </w:p>
          <w:p w:rsidR="008B56A1" w:rsidRPr="005F7DCE" w:rsidRDefault="008B56A1" w:rsidP="008B3255">
            <w:pPr>
              <w:widowControl/>
              <w:ind w:left="360"/>
              <w:rPr>
                <w:szCs w:val="22"/>
              </w:rPr>
            </w:pPr>
            <w:r w:rsidRPr="005F7DCE">
              <w:rPr>
                <w:szCs w:val="22"/>
              </w:rPr>
              <w:t>Wire Transfers</w:t>
            </w:r>
          </w:p>
          <w:p w:rsidR="008B56A1" w:rsidRPr="005F7DCE" w:rsidRDefault="008B56A1" w:rsidP="008B3255">
            <w:pPr>
              <w:widowControl/>
              <w:ind w:left="360"/>
              <w:rPr>
                <w:b/>
                <w:szCs w:val="22"/>
              </w:rPr>
            </w:pPr>
            <w:r w:rsidRPr="005F7DCE">
              <w:rPr>
                <w:szCs w:val="22"/>
              </w:rPr>
              <w:t>Refunds</w:t>
            </w:r>
          </w:p>
        </w:tc>
        <w:tc>
          <w:tcPr>
            <w:tcW w:w="4860" w:type="dxa"/>
          </w:tcPr>
          <w:p w:rsidR="008B56A1" w:rsidRPr="005F7DCE" w:rsidRDefault="008B56A1" w:rsidP="008B3255">
            <w:pPr>
              <w:widowControl/>
              <w:rPr>
                <w:b/>
                <w:szCs w:val="22"/>
              </w:rPr>
            </w:pPr>
            <w:r w:rsidRPr="005F7DCE">
              <w:rPr>
                <w:b/>
                <w:szCs w:val="22"/>
              </w:rPr>
              <w:t>FCC Auctions Accounting Branch</w:t>
            </w:r>
          </w:p>
          <w:p w:rsidR="008B56A1" w:rsidRPr="005F7DCE" w:rsidRDefault="008B56A1" w:rsidP="008B3255">
            <w:pPr>
              <w:widowControl/>
              <w:rPr>
                <w:szCs w:val="22"/>
              </w:rPr>
            </w:pPr>
            <w:r w:rsidRPr="005F7DCE">
              <w:rPr>
                <w:szCs w:val="22"/>
              </w:rPr>
              <w:t>Gail Glasser</w:t>
            </w:r>
            <w:r>
              <w:rPr>
                <w:szCs w:val="22"/>
              </w:rPr>
              <w:t xml:space="preserve"> at </w:t>
            </w:r>
            <w:r w:rsidRPr="005F7DCE">
              <w:rPr>
                <w:szCs w:val="22"/>
              </w:rPr>
              <w:t>(202) 418-0578</w:t>
            </w:r>
            <w:r>
              <w:rPr>
                <w:szCs w:val="22"/>
              </w:rPr>
              <w:t xml:space="preserve">, or </w:t>
            </w:r>
          </w:p>
          <w:p w:rsidR="008B56A1" w:rsidRDefault="008B56A1" w:rsidP="008B3255">
            <w:pPr>
              <w:widowControl/>
              <w:rPr>
                <w:szCs w:val="22"/>
              </w:rPr>
            </w:pPr>
            <w:r>
              <w:t>Theresa Meeks at (202) 418-2945,</w:t>
            </w:r>
            <w:r w:rsidRPr="005F7DCE">
              <w:rPr>
                <w:szCs w:val="22"/>
              </w:rPr>
              <w:t xml:space="preserve"> </w:t>
            </w:r>
            <w:r>
              <w:rPr>
                <w:szCs w:val="22"/>
              </w:rPr>
              <w:t xml:space="preserve">or </w:t>
            </w:r>
            <w:r w:rsidRPr="005F7DCE">
              <w:rPr>
                <w:szCs w:val="22"/>
              </w:rPr>
              <w:t>(202)</w:t>
            </w:r>
            <w:r>
              <w:rPr>
                <w:szCs w:val="22"/>
              </w:rPr>
              <w:t> </w:t>
            </w:r>
            <w:r w:rsidRPr="005F7DCE">
              <w:rPr>
                <w:szCs w:val="22"/>
              </w:rPr>
              <w:t>418</w:t>
            </w:r>
            <w:r>
              <w:rPr>
                <w:szCs w:val="22"/>
              </w:rPr>
              <w:noBreakHyphen/>
            </w:r>
            <w:r w:rsidRPr="005F7DCE">
              <w:rPr>
                <w:szCs w:val="22"/>
              </w:rPr>
              <w:t>2843 (fax)</w:t>
            </w:r>
            <w:r>
              <w:rPr>
                <w:szCs w:val="22"/>
              </w:rPr>
              <w:t xml:space="preserve"> </w:t>
            </w:r>
          </w:p>
          <w:p w:rsidR="008B56A1" w:rsidRPr="005F7DCE" w:rsidRDefault="008B56A1" w:rsidP="008B3255">
            <w:pPr>
              <w:widowControl/>
              <w:rPr>
                <w:b/>
                <w:szCs w:val="22"/>
              </w:rPr>
            </w:pPr>
          </w:p>
        </w:tc>
      </w:tr>
      <w:tr w:rsidR="008B56A1" w:rsidRPr="00545F16" w:rsidTr="008B3255">
        <w:trPr>
          <w:cantSplit/>
        </w:trPr>
        <w:tc>
          <w:tcPr>
            <w:tcW w:w="4968" w:type="dxa"/>
          </w:tcPr>
          <w:p w:rsidR="008B56A1" w:rsidRPr="005F7DCE" w:rsidRDefault="008B56A1" w:rsidP="008B3255">
            <w:pPr>
              <w:widowControl/>
              <w:rPr>
                <w:szCs w:val="22"/>
              </w:rPr>
            </w:pPr>
            <w:r w:rsidRPr="005F7DCE">
              <w:rPr>
                <w:b/>
                <w:szCs w:val="22"/>
              </w:rPr>
              <w:t xml:space="preserve">Auction </w:t>
            </w:r>
            <w:r w:rsidR="00603D84">
              <w:rPr>
                <w:b/>
                <w:szCs w:val="22"/>
              </w:rPr>
              <w:t>97</w:t>
            </w:r>
            <w:r w:rsidRPr="005F7DCE">
              <w:rPr>
                <w:b/>
                <w:szCs w:val="22"/>
              </w:rPr>
              <w:t xml:space="preserve"> Information</w:t>
            </w:r>
          </w:p>
          <w:p w:rsidR="008B56A1" w:rsidRPr="005F7DCE" w:rsidRDefault="008B56A1" w:rsidP="008B3255">
            <w:pPr>
              <w:widowControl/>
              <w:ind w:left="360"/>
              <w:rPr>
                <w:szCs w:val="22"/>
              </w:rPr>
            </w:pPr>
            <w:r w:rsidRPr="005F7DCE">
              <w:rPr>
                <w:szCs w:val="22"/>
              </w:rPr>
              <w:t>General Auction Information, Process, and Procedures</w:t>
            </w:r>
          </w:p>
          <w:p w:rsidR="008B56A1" w:rsidRPr="005F7DCE" w:rsidRDefault="008B56A1" w:rsidP="008B3255">
            <w:pPr>
              <w:widowControl/>
              <w:rPr>
                <w:szCs w:val="22"/>
              </w:rPr>
            </w:pPr>
          </w:p>
          <w:p w:rsidR="008B56A1" w:rsidRDefault="008B56A1" w:rsidP="008B3255">
            <w:pPr>
              <w:widowControl/>
              <w:ind w:left="360"/>
              <w:rPr>
                <w:szCs w:val="22"/>
              </w:rPr>
            </w:pPr>
          </w:p>
          <w:p w:rsidR="008B56A1" w:rsidRPr="005F7DCE" w:rsidRDefault="008B56A1" w:rsidP="008B3255">
            <w:pPr>
              <w:widowControl/>
              <w:ind w:left="360"/>
              <w:rPr>
                <w:szCs w:val="22"/>
              </w:rPr>
            </w:pPr>
            <w:r w:rsidRPr="005F7DCE">
              <w:rPr>
                <w:szCs w:val="22"/>
              </w:rPr>
              <w:t>Auction Rules, Policies, and Regulations</w:t>
            </w:r>
          </w:p>
          <w:p w:rsidR="008B56A1" w:rsidRPr="005F7DCE" w:rsidRDefault="008B56A1" w:rsidP="008B3255">
            <w:pPr>
              <w:widowControl/>
              <w:rPr>
                <w:b/>
                <w:szCs w:val="22"/>
              </w:rPr>
            </w:pPr>
          </w:p>
        </w:tc>
        <w:tc>
          <w:tcPr>
            <w:tcW w:w="4860" w:type="dxa"/>
          </w:tcPr>
          <w:p w:rsidR="008B56A1" w:rsidRPr="005F7DCE" w:rsidRDefault="008B56A1" w:rsidP="008B3255">
            <w:pPr>
              <w:widowControl/>
              <w:rPr>
                <w:b/>
                <w:szCs w:val="22"/>
              </w:rPr>
            </w:pPr>
            <w:r w:rsidRPr="005F7DCE">
              <w:rPr>
                <w:b/>
                <w:szCs w:val="22"/>
              </w:rPr>
              <w:t xml:space="preserve">Auctions and Spectrum Access Division </w:t>
            </w:r>
          </w:p>
          <w:p w:rsidR="008B56A1" w:rsidRDefault="008B56A1" w:rsidP="008B3255">
            <w:pPr>
              <w:widowControl/>
              <w:rPr>
                <w:szCs w:val="22"/>
              </w:rPr>
            </w:pPr>
            <w:r>
              <w:rPr>
                <w:szCs w:val="22"/>
              </w:rPr>
              <w:t>Linda Sanderson</w:t>
            </w:r>
            <w:r w:rsidRPr="005F7DCE">
              <w:rPr>
                <w:szCs w:val="22"/>
              </w:rPr>
              <w:t xml:space="preserve"> </w:t>
            </w:r>
            <w:r>
              <w:rPr>
                <w:szCs w:val="22"/>
              </w:rPr>
              <w:t>(</w:t>
            </w:r>
            <w:r w:rsidRPr="005F7DCE">
              <w:rPr>
                <w:szCs w:val="22"/>
              </w:rPr>
              <w:t>Project Manager</w:t>
            </w:r>
            <w:r>
              <w:rPr>
                <w:szCs w:val="22"/>
              </w:rPr>
              <w:t xml:space="preserve">) or </w:t>
            </w:r>
          </w:p>
          <w:p w:rsidR="008B56A1" w:rsidRDefault="008B56A1" w:rsidP="008B3255">
            <w:pPr>
              <w:widowControl/>
              <w:rPr>
                <w:szCs w:val="22"/>
              </w:rPr>
            </w:pPr>
            <w:r>
              <w:rPr>
                <w:szCs w:val="22"/>
              </w:rPr>
              <w:t>Jeff Crooks (</w:t>
            </w:r>
            <w:r w:rsidRPr="005F7DCE">
              <w:rPr>
                <w:szCs w:val="22"/>
              </w:rPr>
              <w:t>Auction Analyst</w:t>
            </w:r>
            <w:r>
              <w:rPr>
                <w:szCs w:val="22"/>
              </w:rPr>
              <w:t>)</w:t>
            </w:r>
            <w:r w:rsidRPr="005F7DCE">
              <w:rPr>
                <w:szCs w:val="22"/>
              </w:rPr>
              <w:t xml:space="preserve"> at </w:t>
            </w:r>
          </w:p>
          <w:p w:rsidR="008B56A1" w:rsidRPr="005F7DCE" w:rsidRDefault="008B56A1" w:rsidP="008B3255">
            <w:pPr>
              <w:widowControl/>
              <w:rPr>
                <w:szCs w:val="22"/>
              </w:rPr>
            </w:pPr>
            <w:r w:rsidRPr="005F7DCE">
              <w:rPr>
                <w:szCs w:val="22"/>
              </w:rPr>
              <w:t>(</w:t>
            </w:r>
            <w:r>
              <w:rPr>
                <w:szCs w:val="22"/>
              </w:rPr>
              <w:t>202</w:t>
            </w:r>
            <w:r w:rsidRPr="005F7DCE">
              <w:rPr>
                <w:szCs w:val="22"/>
              </w:rPr>
              <w:t xml:space="preserve">) </w:t>
            </w:r>
            <w:r>
              <w:rPr>
                <w:szCs w:val="22"/>
              </w:rPr>
              <w:t>418</w:t>
            </w:r>
            <w:r w:rsidRPr="005F7DCE">
              <w:rPr>
                <w:szCs w:val="22"/>
              </w:rPr>
              <w:t>-</w:t>
            </w:r>
            <w:r>
              <w:rPr>
                <w:szCs w:val="22"/>
              </w:rPr>
              <w:t>0660</w:t>
            </w:r>
          </w:p>
          <w:p w:rsidR="008B56A1" w:rsidRPr="005F7DCE" w:rsidRDefault="008B56A1" w:rsidP="008B3255">
            <w:pPr>
              <w:widowControl/>
              <w:rPr>
                <w:szCs w:val="22"/>
              </w:rPr>
            </w:pPr>
          </w:p>
          <w:p w:rsidR="008B56A1" w:rsidRPr="005F7DCE" w:rsidRDefault="008B56A1" w:rsidP="008B3255">
            <w:pPr>
              <w:widowControl/>
              <w:rPr>
                <w:szCs w:val="22"/>
              </w:rPr>
            </w:pPr>
            <w:r>
              <w:rPr>
                <w:szCs w:val="22"/>
              </w:rPr>
              <w:t>Valerie Barrish (Attorney)</w:t>
            </w:r>
            <w:r w:rsidRPr="005F7DCE">
              <w:rPr>
                <w:szCs w:val="22"/>
              </w:rPr>
              <w:t xml:space="preserve"> at (202) 418-0660</w:t>
            </w:r>
          </w:p>
          <w:p w:rsidR="008B56A1" w:rsidRPr="005F7DCE" w:rsidRDefault="008B56A1" w:rsidP="008B3255">
            <w:pPr>
              <w:widowControl/>
              <w:rPr>
                <w:b/>
                <w:szCs w:val="22"/>
              </w:rPr>
            </w:pPr>
          </w:p>
        </w:tc>
      </w:tr>
      <w:tr w:rsidR="008B56A1" w:rsidRPr="005F7DCE" w:rsidTr="008B3255">
        <w:trPr>
          <w:cantSplit/>
          <w:trHeight w:val="1105"/>
        </w:trPr>
        <w:tc>
          <w:tcPr>
            <w:tcW w:w="4968" w:type="dxa"/>
          </w:tcPr>
          <w:p w:rsidR="008B56A1" w:rsidRPr="005F7DCE" w:rsidRDefault="008B56A1" w:rsidP="008B3255">
            <w:pPr>
              <w:widowControl/>
              <w:rPr>
                <w:b/>
                <w:szCs w:val="22"/>
              </w:rPr>
            </w:pPr>
            <w:r w:rsidRPr="005F7DCE">
              <w:rPr>
                <w:b/>
                <w:szCs w:val="22"/>
              </w:rPr>
              <w:t>Accessible Formats</w:t>
            </w:r>
          </w:p>
          <w:p w:rsidR="008B56A1" w:rsidRPr="005F7DCE" w:rsidRDefault="008B56A1" w:rsidP="008B3255">
            <w:pPr>
              <w:widowControl/>
              <w:ind w:left="360"/>
              <w:rPr>
                <w:szCs w:val="22"/>
              </w:rPr>
            </w:pPr>
            <w:r w:rsidRPr="005F7DCE">
              <w:rPr>
                <w:szCs w:val="22"/>
              </w:rPr>
              <w:t xml:space="preserve">Braille, large print, electronic files, or </w:t>
            </w:r>
          </w:p>
          <w:p w:rsidR="008B56A1" w:rsidRPr="005F7DCE" w:rsidRDefault="008B56A1" w:rsidP="008B3255">
            <w:pPr>
              <w:widowControl/>
              <w:ind w:left="360"/>
              <w:rPr>
                <w:b/>
                <w:szCs w:val="22"/>
              </w:rPr>
            </w:pPr>
            <w:r w:rsidRPr="005F7DCE">
              <w:rPr>
                <w:szCs w:val="22"/>
              </w:rPr>
              <w:t>audio</w:t>
            </w:r>
            <w:r w:rsidRPr="005F7DCE" w:rsidDel="00E50789">
              <w:rPr>
                <w:szCs w:val="22"/>
              </w:rPr>
              <w:t xml:space="preserve"> </w:t>
            </w:r>
            <w:r w:rsidRPr="005F7DCE">
              <w:rPr>
                <w:szCs w:val="22"/>
              </w:rPr>
              <w:t>format for people with disabilities</w:t>
            </w:r>
          </w:p>
        </w:tc>
        <w:tc>
          <w:tcPr>
            <w:tcW w:w="4860" w:type="dxa"/>
          </w:tcPr>
          <w:p w:rsidR="008B56A1" w:rsidRPr="005F7DCE" w:rsidRDefault="008B56A1" w:rsidP="008B3255">
            <w:pPr>
              <w:widowControl/>
              <w:rPr>
                <w:b/>
                <w:szCs w:val="22"/>
              </w:rPr>
            </w:pPr>
            <w:r w:rsidRPr="005F7DCE">
              <w:rPr>
                <w:b/>
                <w:szCs w:val="22"/>
              </w:rPr>
              <w:t>Consumer and Governmental Affairs Bureau</w:t>
            </w:r>
          </w:p>
          <w:p w:rsidR="008B56A1" w:rsidRPr="005F7DCE" w:rsidRDefault="008B56A1" w:rsidP="008B3255">
            <w:pPr>
              <w:widowControl/>
              <w:rPr>
                <w:szCs w:val="22"/>
              </w:rPr>
            </w:pPr>
            <w:r w:rsidRPr="005F7DCE">
              <w:rPr>
                <w:szCs w:val="22"/>
              </w:rPr>
              <w:t>(202) 418-0530 or (202) 418-0432 (TTY)</w:t>
            </w:r>
          </w:p>
          <w:p w:rsidR="008B56A1" w:rsidRPr="005F7DCE" w:rsidRDefault="00AD1E22" w:rsidP="008B3255">
            <w:pPr>
              <w:widowControl/>
              <w:rPr>
                <w:szCs w:val="22"/>
              </w:rPr>
            </w:pPr>
            <w:hyperlink r:id="rId12" w:history="1">
              <w:r w:rsidR="008B56A1" w:rsidRPr="005F7DCE">
                <w:rPr>
                  <w:rStyle w:val="Hyperlink"/>
                  <w:szCs w:val="22"/>
                </w:rPr>
                <w:t>fcc504@fcc.gov</w:t>
              </w:r>
            </w:hyperlink>
          </w:p>
          <w:p w:rsidR="008B56A1" w:rsidRPr="005F7DCE" w:rsidRDefault="008B56A1" w:rsidP="008B3255">
            <w:pPr>
              <w:widowControl/>
              <w:rPr>
                <w:b/>
                <w:szCs w:val="22"/>
              </w:rPr>
            </w:pPr>
          </w:p>
        </w:tc>
      </w:tr>
      <w:tr w:rsidR="008B56A1" w:rsidRPr="005F7DCE" w:rsidTr="008B3255">
        <w:trPr>
          <w:cantSplit/>
        </w:trPr>
        <w:tc>
          <w:tcPr>
            <w:tcW w:w="4968" w:type="dxa"/>
          </w:tcPr>
          <w:p w:rsidR="008B56A1" w:rsidRPr="005F7DCE" w:rsidRDefault="008B56A1" w:rsidP="008B3255">
            <w:pPr>
              <w:widowControl/>
              <w:rPr>
                <w:b/>
                <w:szCs w:val="22"/>
              </w:rPr>
            </w:pPr>
            <w:r w:rsidRPr="005F7DCE">
              <w:rPr>
                <w:b/>
                <w:szCs w:val="22"/>
              </w:rPr>
              <w:t>FCC Internet Sites</w:t>
            </w:r>
          </w:p>
          <w:p w:rsidR="008B56A1" w:rsidRPr="005F7DCE" w:rsidRDefault="008B56A1" w:rsidP="008B3255">
            <w:pPr>
              <w:widowControl/>
              <w:rPr>
                <w:szCs w:val="22"/>
              </w:rPr>
            </w:pPr>
          </w:p>
        </w:tc>
        <w:tc>
          <w:tcPr>
            <w:tcW w:w="4860" w:type="dxa"/>
          </w:tcPr>
          <w:p w:rsidR="008B56A1" w:rsidRPr="005F7DCE" w:rsidRDefault="00AD1E22" w:rsidP="008B3255">
            <w:pPr>
              <w:widowControl/>
              <w:rPr>
                <w:szCs w:val="22"/>
              </w:rPr>
            </w:pPr>
            <w:hyperlink r:id="rId13" w:history="1">
              <w:r w:rsidR="008B56A1" w:rsidRPr="005F7DCE">
                <w:rPr>
                  <w:rStyle w:val="Hyperlink"/>
                  <w:szCs w:val="22"/>
                </w:rPr>
                <w:t>http://www.fcc.gov</w:t>
              </w:r>
            </w:hyperlink>
          </w:p>
          <w:p w:rsidR="008B56A1" w:rsidRPr="005F7DCE" w:rsidRDefault="00AD1E22" w:rsidP="008B3255">
            <w:pPr>
              <w:widowControl/>
              <w:rPr>
                <w:szCs w:val="22"/>
              </w:rPr>
            </w:pPr>
            <w:hyperlink r:id="rId14" w:history="1">
              <w:r w:rsidR="008B56A1" w:rsidRPr="005F7DCE">
                <w:rPr>
                  <w:rStyle w:val="Hyperlink"/>
                  <w:szCs w:val="22"/>
                </w:rPr>
                <w:t>http://wireless.fcc.gov/auctions</w:t>
              </w:r>
            </w:hyperlink>
          </w:p>
          <w:p w:rsidR="008B56A1" w:rsidRPr="005F7DCE" w:rsidRDefault="00AD1E22" w:rsidP="008B3255">
            <w:pPr>
              <w:widowControl/>
              <w:rPr>
                <w:szCs w:val="22"/>
              </w:rPr>
            </w:pPr>
            <w:hyperlink r:id="rId15" w:history="1">
              <w:r w:rsidR="008B56A1" w:rsidRPr="005F7DCE">
                <w:rPr>
                  <w:rStyle w:val="Hyperlink"/>
                  <w:szCs w:val="22"/>
                </w:rPr>
                <w:t>http://wireless.fcc.gov/uls</w:t>
              </w:r>
            </w:hyperlink>
          </w:p>
          <w:p w:rsidR="008B56A1" w:rsidRPr="005F7DCE" w:rsidRDefault="008B56A1" w:rsidP="008B3255">
            <w:pPr>
              <w:widowControl/>
              <w:rPr>
                <w:szCs w:val="22"/>
              </w:rPr>
            </w:pPr>
          </w:p>
        </w:tc>
      </w:tr>
    </w:tbl>
    <w:p w:rsidR="008B56A1" w:rsidRPr="00306DFC" w:rsidRDefault="008B56A1" w:rsidP="008B56A1">
      <w:pPr>
        <w:keepNext/>
        <w:widowControl/>
        <w:jc w:val="center"/>
        <w:rPr>
          <w:b/>
        </w:rPr>
      </w:pPr>
      <w:r w:rsidRPr="00306DFC">
        <w:rPr>
          <w:b/>
        </w:rPr>
        <w:t>- FCC -</w:t>
      </w:r>
    </w:p>
    <w:p w:rsidR="008B56A1" w:rsidRDefault="008B56A1" w:rsidP="00C82B6B">
      <w:pPr>
        <w:spacing w:before="120" w:after="240"/>
        <w:rPr>
          <w:sz w:val="24"/>
        </w:rPr>
      </w:pPr>
    </w:p>
    <w:sectPr w:rsidR="008B56A1" w:rsidSect="000E588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34" w:rsidRDefault="00C36A34">
      <w:pPr>
        <w:spacing w:line="20" w:lineRule="exact"/>
      </w:pPr>
    </w:p>
  </w:endnote>
  <w:endnote w:type="continuationSeparator" w:id="0">
    <w:p w:rsidR="00C36A34" w:rsidRDefault="00C36A34">
      <w:r>
        <w:t xml:space="preserve"> </w:t>
      </w:r>
    </w:p>
  </w:endnote>
  <w:endnote w:type="continuationNotice" w:id="1">
    <w:p w:rsidR="00C36A34" w:rsidRDefault="00C36A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07641C">
      <w:rPr>
        <w:noProof/>
      </w:rPr>
      <w:t>10</w:t>
    </w:r>
    <w:r>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9" w:rsidRDefault="005A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34" w:rsidRDefault="00C36A34">
      <w:r>
        <w:separator/>
      </w:r>
    </w:p>
  </w:footnote>
  <w:footnote w:type="continuationSeparator" w:id="0">
    <w:p w:rsidR="00C36A34" w:rsidRDefault="00C36A34">
      <w:pPr>
        <w:rPr>
          <w:sz w:val="20"/>
        </w:rPr>
      </w:pPr>
      <w:r>
        <w:rPr>
          <w:sz w:val="20"/>
        </w:rPr>
        <w:t xml:space="preserve">(Continued from previous page)  </w:t>
      </w:r>
      <w:r>
        <w:rPr>
          <w:sz w:val="20"/>
        </w:rPr>
        <w:separator/>
      </w:r>
    </w:p>
  </w:footnote>
  <w:footnote w:type="continuationNotice" w:id="1">
    <w:p w:rsidR="00C36A34" w:rsidRDefault="00C36A34">
      <w:pPr>
        <w:rPr>
          <w:sz w:val="20"/>
        </w:rPr>
      </w:pPr>
      <w:r>
        <w:rPr>
          <w:sz w:val="20"/>
        </w:rPr>
        <w:t>(continued….)</w:t>
      </w:r>
    </w:p>
  </w:footnote>
  <w:footnote w:id="2">
    <w:p w:rsidR="0016586A" w:rsidRDefault="0016586A">
      <w:pPr>
        <w:pStyle w:val="FootnoteText"/>
      </w:pPr>
      <w:r>
        <w:rPr>
          <w:rStyle w:val="FootnoteReference"/>
        </w:rPr>
        <w:footnoteRef/>
      </w:r>
      <w:r>
        <w:t xml:space="preserve"> </w:t>
      </w:r>
      <w:r>
        <w:rPr>
          <w:i/>
        </w:rPr>
        <w:t xml:space="preserve">See </w:t>
      </w:r>
      <w:r>
        <w:t>“Auction</w:t>
      </w:r>
      <w:r w:rsidRPr="00223312">
        <w:t xml:space="preserve"> </w:t>
      </w:r>
      <w:r>
        <w:t xml:space="preserve">of Advanced Wireless Services (AWS-3) Licenses </w:t>
      </w:r>
      <w:r w:rsidRPr="00223312">
        <w:t xml:space="preserve">Scheduled for </w:t>
      </w:r>
      <w:r>
        <w:t>November 13, 2014;</w:t>
      </w:r>
      <w:r w:rsidRPr="00223312">
        <w:t xml:space="preserve"> Notice and Filing Requirements, </w:t>
      </w:r>
      <w:r>
        <w:t xml:space="preserve">Reserve Prices, </w:t>
      </w:r>
      <w:r w:rsidRPr="00223312">
        <w:t>Minimum Opening Bids, Upfront Payments</w:t>
      </w:r>
      <w:r>
        <w:t>,</w:t>
      </w:r>
      <w:r w:rsidRPr="00223312">
        <w:t xml:space="preserve"> and Other Procedures</w:t>
      </w:r>
      <w:r>
        <w:t xml:space="preserve"> for Auction 97, AU Docket No. 14-78, </w:t>
      </w:r>
      <w:r w:rsidRPr="002242ED">
        <w:rPr>
          <w:i/>
        </w:rPr>
        <w:t>Public Notice</w:t>
      </w:r>
      <w:r w:rsidRPr="002242ED">
        <w:t>, DA</w:t>
      </w:r>
      <w:r>
        <w:t xml:space="preserve"> 14-10185,</w:t>
      </w:r>
      <w:r w:rsidRPr="002242ED">
        <w:t xml:space="preserve"> </w:t>
      </w:r>
      <w:r>
        <w:t xml:space="preserve">29 FCC Rcd 8386, </w:t>
      </w:r>
      <w:r w:rsidR="004A3D9B">
        <w:t xml:space="preserve">8437-40 </w:t>
      </w:r>
      <w:r w:rsidRPr="00FC143B">
        <w:t xml:space="preserve"> ¶</w:t>
      </w:r>
      <w:r w:rsidR="001279ED" w:rsidRPr="00FC143B">
        <w:t>¶</w:t>
      </w:r>
      <w:r>
        <w:t xml:space="preserve"> </w:t>
      </w:r>
      <w:r w:rsidR="004A3D9B">
        <w:t>184-</w:t>
      </w:r>
      <w:r w:rsidR="001279ED">
        <w:t>1</w:t>
      </w:r>
      <w:r w:rsidR="004A3D9B">
        <w:t>92</w:t>
      </w:r>
      <w:r w:rsidRPr="002242ED">
        <w:t xml:space="preserve"> (201</w:t>
      </w:r>
      <w:r>
        <w:t>4</w:t>
      </w:r>
      <w:r w:rsidRPr="002242ED">
        <w:t>) (</w:t>
      </w:r>
      <w:r w:rsidRPr="002242ED">
        <w:rPr>
          <w:i/>
        </w:rPr>
        <w:t xml:space="preserve">Auction </w:t>
      </w:r>
      <w:r>
        <w:rPr>
          <w:i/>
        </w:rPr>
        <w:t>97</w:t>
      </w:r>
      <w:r w:rsidRPr="002242ED">
        <w:rPr>
          <w:i/>
        </w:rPr>
        <w:t xml:space="preserve"> Procedures Public Notice</w:t>
      </w:r>
      <w:r w:rsidRPr="002242ED">
        <w:t>).</w:t>
      </w:r>
    </w:p>
  </w:footnote>
  <w:footnote w:id="3">
    <w:p w:rsidR="008B56A1" w:rsidRDefault="008B56A1" w:rsidP="008B56A1">
      <w:pPr>
        <w:pStyle w:val="FootnoteText"/>
      </w:pPr>
      <w:r>
        <w:rPr>
          <w:rStyle w:val="FootnoteReference"/>
        </w:rPr>
        <w:footnoteRef/>
      </w:r>
      <w:r>
        <w:t xml:space="preserve"> </w:t>
      </w:r>
      <w:r w:rsidR="001279ED">
        <w:rPr>
          <w:i/>
        </w:rPr>
        <w:t>Id</w:t>
      </w:r>
      <w:r w:rsidR="001279ED">
        <w:t>. at 8438-39</w:t>
      </w:r>
      <w:r w:rsidRPr="00FC143B">
        <w:t xml:space="preserve"> ¶</w:t>
      </w:r>
      <w:r w:rsidR="001279ED" w:rsidRPr="00FC143B">
        <w:t>¶</w:t>
      </w:r>
      <w:r>
        <w:t xml:space="preserve"> </w:t>
      </w:r>
      <w:r w:rsidR="001279ED">
        <w:t>187-188</w:t>
      </w:r>
      <w:r w:rsidRPr="002242ED">
        <w:t>.</w:t>
      </w:r>
      <w:r w:rsidR="003C7C23">
        <w:t xml:space="preserve"> </w:t>
      </w:r>
    </w:p>
  </w:footnote>
  <w:footnote w:id="4">
    <w:p w:rsidR="008B56A1" w:rsidRPr="002242ED" w:rsidRDefault="008B56A1" w:rsidP="008B56A1">
      <w:pPr>
        <w:pStyle w:val="FootnoteText"/>
      </w:pPr>
      <w:r w:rsidRPr="002242ED">
        <w:rPr>
          <w:rStyle w:val="FootnoteReference"/>
        </w:rPr>
        <w:footnoteRef/>
      </w:r>
      <w:r w:rsidRPr="002242ED">
        <w:t xml:space="preserve"> The amounts listed in Attachment B are based on upfront payments and net winning bids. </w:t>
      </w:r>
    </w:p>
  </w:footnote>
  <w:footnote w:id="5">
    <w:p w:rsidR="00F01448" w:rsidRPr="00F731D6" w:rsidRDefault="00F01448" w:rsidP="00F01448">
      <w:pPr>
        <w:pStyle w:val="FootnoteText"/>
      </w:pPr>
      <w:r>
        <w:rPr>
          <w:rStyle w:val="FootnoteReference"/>
        </w:rPr>
        <w:footnoteRef/>
      </w:r>
      <w:r>
        <w:t xml:space="preserve"> </w:t>
      </w:r>
      <w:r w:rsidR="00E06674">
        <w:rPr>
          <w:i/>
        </w:rPr>
        <w:t xml:space="preserve">Auction Procedures Public </w:t>
      </w:r>
      <w:r w:rsidR="00E06674" w:rsidRPr="00E06674">
        <w:rPr>
          <w:i/>
        </w:rPr>
        <w:t>Notice</w:t>
      </w:r>
      <w:r w:rsidR="00E06674">
        <w:t xml:space="preserve">, 29 FCC Rcd at </w:t>
      </w:r>
      <w:r>
        <w:t xml:space="preserve">8448 </w:t>
      </w:r>
      <w:r w:rsidRPr="00B132DC">
        <w:t>¶</w:t>
      </w:r>
      <w:r>
        <w:t xml:space="preserve"> 228.</w:t>
      </w:r>
    </w:p>
  </w:footnote>
  <w:footnote w:id="6">
    <w:p w:rsidR="008B56A1" w:rsidRPr="002242ED" w:rsidRDefault="008B56A1" w:rsidP="008B56A1">
      <w:pPr>
        <w:pStyle w:val="FootnoteText"/>
      </w:pPr>
      <w:r w:rsidRPr="002242ED">
        <w:rPr>
          <w:rStyle w:val="FootnoteReference"/>
        </w:rPr>
        <w:footnoteRef/>
      </w:r>
      <w:r w:rsidRPr="002242ED">
        <w:rPr>
          <w:i/>
          <w:lang w:val="de-DE"/>
        </w:rPr>
        <w:t xml:space="preserve"> </w:t>
      </w:r>
      <w:r w:rsidRPr="002242ED">
        <w:rPr>
          <w:lang w:val="de-DE"/>
        </w:rPr>
        <w:t xml:space="preserve">47 C.F.R. § 1.2107(b).  </w:t>
      </w:r>
    </w:p>
  </w:footnote>
  <w:footnote w:id="7">
    <w:p w:rsidR="008B56A1" w:rsidRPr="007F057F" w:rsidRDefault="008B56A1" w:rsidP="008B56A1">
      <w:pPr>
        <w:pStyle w:val="FootnoteText"/>
      </w:pPr>
      <w:r>
        <w:rPr>
          <w:rStyle w:val="FootnoteReference"/>
        </w:rPr>
        <w:footnoteRef/>
      </w:r>
      <w:r>
        <w:t xml:space="preserve"> </w:t>
      </w:r>
      <w:r w:rsidRPr="002242ED">
        <w:rPr>
          <w:i/>
        </w:rPr>
        <w:t>Id</w:t>
      </w:r>
      <w:r>
        <w:rPr>
          <w:i/>
        </w:rPr>
        <w:t>.</w:t>
      </w:r>
      <w:r w:rsidR="007F057F">
        <w:t xml:space="preserve"> In the event a bidder has withdrawn a bid and is subject to a bid withdrawal payment, the bidder’s upfront payment will be first applied to satisfy the withdrawal payment before being applied toward its down payment.  </w:t>
      </w:r>
      <w:r w:rsidR="007F057F">
        <w:rPr>
          <w:i/>
        </w:rPr>
        <w:t xml:space="preserve">See </w:t>
      </w:r>
      <w:r w:rsidR="007F057F">
        <w:t xml:space="preserve">47 C.F.R. </w:t>
      </w:r>
      <w:r w:rsidR="007F057F" w:rsidRPr="002242ED">
        <w:t>§ 1.210</w:t>
      </w:r>
      <w:r w:rsidR="007F057F">
        <w:t xml:space="preserve">4(g)(1).  </w:t>
      </w:r>
    </w:p>
  </w:footnote>
  <w:footnote w:id="8">
    <w:p w:rsidR="00AB528A" w:rsidRPr="00AB528A" w:rsidRDefault="00AB528A">
      <w:pPr>
        <w:pStyle w:val="FootnoteText"/>
      </w:pPr>
      <w:r>
        <w:rPr>
          <w:rStyle w:val="FootnoteReference"/>
        </w:rPr>
        <w:footnoteRef/>
      </w:r>
      <w:r>
        <w:t xml:space="preserve"> </w:t>
      </w:r>
      <w:r>
        <w:rPr>
          <w:i/>
        </w:rPr>
        <w:t xml:space="preserve">See </w:t>
      </w:r>
      <w:r>
        <w:t>Section III.D., “Withdrawal, Default and Disqualification Payments,” below.</w:t>
      </w:r>
    </w:p>
  </w:footnote>
  <w:footnote w:id="9">
    <w:p w:rsidR="004943C0" w:rsidRPr="00F731D6" w:rsidRDefault="004943C0" w:rsidP="004943C0">
      <w:pPr>
        <w:pStyle w:val="FootnoteText"/>
      </w:pPr>
      <w:r>
        <w:rPr>
          <w:rStyle w:val="FootnoteReference"/>
        </w:rPr>
        <w:footnoteRef/>
      </w:r>
      <w:r>
        <w:t xml:space="preserve"> </w:t>
      </w:r>
      <w:r>
        <w:rPr>
          <w:i/>
        </w:rPr>
        <w:t xml:space="preserve">Auction Procedures Public </w:t>
      </w:r>
      <w:r w:rsidRPr="00E06674">
        <w:rPr>
          <w:i/>
        </w:rPr>
        <w:t>Notice</w:t>
      </w:r>
      <w:r>
        <w:t xml:space="preserve">, 29 FCC Rcd at 8448-49 </w:t>
      </w:r>
      <w:r w:rsidRPr="00B132DC">
        <w:t>¶</w:t>
      </w:r>
      <w:r>
        <w:t xml:space="preserve"> 229.</w:t>
      </w:r>
    </w:p>
  </w:footnote>
  <w:footnote w:id="10">
    <w:p w:rsidR="008B56A1" w:rsidRPr="002242ED" w:rsidRDefault="008B56A1" w:rsidP="008B56A1">
      <w:pPr>
        <w:pStyle w:val="FootnoteText"/>
      </w:pPr>
      <w:r w:rsidRPr="002242ED">
        <w:rPr>
          <w:rStyle w:val="FootnoteReference"/>
        </w:rPr>
        <w:footnoteRef/>
      </w:r>
      <w:r w:rsidRPr="002242ED">
        <w:t xml:space="preserve"> 47 C.F.R. § 1.2109(a).</w:t>
      </w:r>
    </w:p>
  </w:footnote>
  <w:footnote w:id="11">
    <w:p w:rsidR="008B56A1" w:rsidRPr="002242ED" w:rsidRDefault="008B56A1" w:rsidP="008B56A1">
      <w:pPr>
        <w:pStyle w:val="FootnoteText"/>
      </w:pPr>
      <w:r w:rsidRPr="002242ED">
        <w:rPr>
          <w:rStyle w:val="FootnoteReference"/>
        </w:rPr>
        <w:footnoteRef/>
      </w:r>
      <w:r w:rsidRPr="002242ED">
        <w:t xml:space="preserve"> </w:t>
      </w:r>
      <w:r w:rsidRPr="002242ED">
        <w:rPr>
          <w:i/>
        </w:rPr>
        <w:t>Id</w:t>
      </w:r>
      <w:r w:rsidRPr="002242ED">
        <w:t xml:space="preserve">.  A winning bidder that is found unqualified to be a Commission licensee will be deemed to have defaulted, its application will be dismissed, and it will be liable for the payment set forth in section 1.2104(g)(2) of the Commission’s rules.  </w:t>
      </w:r>
      <w:r w:rsidRPr="002242ED">
        <w:rPr>
          <w:i/>
          <w:iCs/>
        </w:rPr>
        <w:t>See</w:t>
      </w:r>
      <w:r w:rsidRPr="002242ED">
        <w:t xml:space="preserve"> 47 C.F.R. §§ 1.2104(g), 1.2109(c). </w:t>
      </w:r>
    </w:p>
  </w:footnote>
  <w:footnote w:id="12">
    <w:p w:rsidR="008B56A1" w:rsidRPr="002242ED" w:rsidRDefault="008B56A1" w:rsidP="008B56A1">
      <w:pPr>
        <w:pStyle w:val="FootnoteText"/>
      </w:pPr>
      <w:r w:rsidRPr="002242ED">
        <w:rPr>
          <w:rStyle w:val="FootnoteReference"/>
        </w:rPr>
        <w:footnoteRef/>
      </w:r>
      <w:r w:rsidRPr="002242ED">
        <w:t xml:space="preserve"> 47 C.F.R. § 1.2109(a).</w:t>
      </w:r>
    </w:p>
  </w:footnote>
  <w:footnote w:id="13">
    <w:p w:rsidR="008B56A1" w:rsidRDefault="008B56A1" w:rsidP="008B56A1">
      <w:pPr>
        <w:pStyle w:val="FootnoteText"/>
      </w:pPr>
      <w:r>
        <w:rPr>
          <w:rStyle w:val="FootnoteReference"/>
        </w:rPr>
        <w:footnoteRef/>
      </w:r>
      <w:r>
        <w:rPr>
          <w:i/>
        </w:rPr>
        <w:t xml:space="preserve"> Id</w:t>
      </w:r>
      <w:r>
        <w:t xml:space="preserve">.  </w:t>
      </w:r>
    </w:p>
  </w:footnote>
  <w:footnote w:id="14">
    <w:p w:rsidR="008B56A1" w:rsidRDefault="008B56A1" w:rsidP="008B56A1">
      <w:pPr>
        <w:pStyle w:val="FootnoteText"/>
      </w:pPr>
      <w:r w:rsidRPr="00DA06C1">
        <w:rPr>
          <w:rStyle w:val="FootnoteReference"/>
        </w:rPr>
        <w:footnoteRef/>
      </w:r>
      <w:r w:rsidRPr="00DA06C1">
        <w:t xml:space="preserve"> </w:t>
      </w:r>
      <w:r w:rsidRPr="00223359">
        <w:rPr>
          <w:i/>
        </w:rPr>
        <w:t>See</w:t>
      </w:r>
      <w:r>
        <w:t xml:space="preserve"> s</w:t>
      </w:r>
      <w:r w:rsidRPr="00C931EC">
        <w:t>ection III.D.,</w:t>
      </w:r>
      <w:r w:rsidRPr="00550236">
        <w:t xml:space="preserve"> “</w:t>
      </w:r>
      <w:r>
        <w:t xml:space="preserve">Withdrawal, </w:t>
      </w:r>
      <w:r w:rsidRPr="00550236">
        <w:t>Default</w:t>
      </w:r>
      <w:r>
        <w:t xml:space="preserve"> and Disqualification Payments,”</w:t>
      </w:r>
      <w:r w:rsidRPr="00137E1F">
        <w:t xml:space="preserve"> below.</w:t>
      </w:r>
    </w:p>
  </w:footnote>
  <w:footnote w:id="15">
    <w:p w:rsidR="008B56A1" w:rsidRPr="002242ED" w:rsidRDefault="008B56A1" w:rsidP="008B56A1">
      <w:pPr>
        <w:pStyle w:val="FootnoteText"/>
      </w:pPr>
      <w:r w:rsidRPr="002242ED">
        <w:rPr>
          <w:rStyle w:val="FootnoteReference"/>
        </w:rPr>
        <w:footnoteRef/>
      </w:r>
      <w:r w:rsidRPr="002242ED">
        <w:t xml:space="preserve"> 47 C.F.R. § 1.2110(f)(3)(vi).</w:t>
      </w:r>
    </w:p>
  </w:footnote>
  <w:footnote w:id="16">
    <w:p w:rsidR="00E1550F" w:rsidRDefault="00E1550F">
      <w:pPr>
        <w:pStyle w:val="FootnoteText"/>
      </w:pPr>
      <w:r>
        <w:rPr>
          <w:rStyle w:val="FootnoteReference"/>
        </w:rPr>
        <w:footnoteRef/>
      </w:r>
      <w:r>
        <w:t xml:space="preserve"> </w:t>
      </w:r>
      <w:r w:rsidRPr="002242ED">
        <w:t>47 C.F.R. § 1.2109(a).</w:t>
      </w:r>
    </w:p>
  </w:footnote>
  <w:footnote w:id="17">
    <w:p w:rsidR="008B56A1" w:rsidRPr="002242ED" w:rsidRDefault="008B56A1" w:rsidP="008B56A1">
      <w:pPr>
        <w:pStyle w:val="FootnoteText"/>
      </w:pPr>
      <w:r w:rsidRPr="002242ED">
        <w:rPr>
          <w:rStyle w:val="FootnoteReference"/>
        </w:rPr>
        <w:footnoteRef/>
      </w:r>
      <w:r>
        <w:rPr>
          <w:i/>
        </w:rPr>
        <w:t xml:space="preserve"> </w:t>
      </w:r>
      <w:r w:rsidR="00906B0D" w:rsidRPr="002242ED">
        <w:t>47 C.F.R. § 1.2110(f)(3)(vi)</w:t>
      </w:r>
      <w:r w:rsidRPr="002242ED">
        <w:t>.</w:t>
      </w:r>
    </w:p>
  </w:footnote>
  <w:footnote w:id="18">
    <w:p w:rsidR="008B56A1" w:rsidRPr="002242ED" w:rsidRDefault="008B56A1" w:rsidP="008B56A1">
      <w:pPr>
        <w:pStyle w:val="FootnoteText"/>
      </w:pPr>
      <w:r w:rsidRPr="002242ED">
        <w:rPr>
          <w:rStyle w:val="FootnoteReference"/>
        </w:rPr>
        <w:footnoteRef/>
      </w:r>
      <w:r w:rsidRPr="002242ED">
        <w:t xml:space="preserve"> The wire transfer must be initiated by the </w:t>
      </w:r>
      <w:r>
        <w:t>winning bidder through its bank</w:t>
      </w:r>
      <w:r w:rsidRPr="002242ED">
        <w:t xml:space="preserve"> authorizing the bank to wire funds from the bidder’s account to the Commission’s account</w:t>
      </w:r>
      <w:r>
        <w:t xml:space="preserve"> designated to</w:t>
      </w:r>
      <w:r w:rsidRPr="002242ED">
        <w:t xml:space="preserve"> receive payments for financial obligations resulting from Auction </w:t>
      </w:r>
      <w:r>
        <w:t>9</w:t>
      </w:r>
      <w:r w:rsidR="008A2D12">
        <w:t>7</w:t>
      </w:r>
      <w:r w:rsidRPr="002242ED">
        <w:t xml:space="preserve">.  </w:t>
      </w:r>
    </w:p>
  </w:footnote>
  <w:footnote w:id="19">
    <w:p w:rsidR="008B56A1" w:rsidRPr="002242ED" w:rsidRDefault="008B56A1" w:rsidP="008B56A1">
      <w:pPr>
        <w:pStyle w:val="FootnoteText"/>
      </w:pPr>
      <w:r w:rsidRPr="002242ED">
        <w:rPr>
          <w:rStyle w:val="FootnoteReference"/>
        </w:rPr>
        <w:footnoteRef/>
      </w:r>
      <w:r w:rsidRPr="002242ED">
        <w:t xml:space="preserve"> </w:t>
      </w:r>
      <w:r w:rsidRPr="002242ED">
        <w:rPr>
          <w:color w:val="000000"/>
        </w:rPr>
        <w:t xml:space="preserve">Copies of the FCC Form 159 may be obtained by calling the Commission’s Forms Distribution Center at (800) 418-3676 (outside Washington, DC) or (202) 418-3676.  Copies of the FCC Form 159 can also be obtained via the Internet </w:t>
      </w:r>
      <w:r w:rsidRPr="002242ED">
        <w:t>(</w:t>
      </w:r>
      <w:hyperlink r:id="rId1" w:history="1">
        <w:r w:rsidRPr="00EC7A3E">
          <w:rPr>
            <w:rStyle w:val="Hyperlink"/>
          </w:rPr>
          <w:t>http://www.fcc.gov/formpage.html</w:t>
        </w:r>
      </w:hyperlink>
      <w:r w:rsidRPr="002242ED">
        <w:rPr>
          <w:color w:val="000000"/>
        </w:rPr>
        <w:t>) or by calling from the handset of a fax machine the Commission’s Fax Information System at (202) 418-</w:t>
      </w:r>
      <w:r>
        <w:rPr>
          <w:color w:val="000000"/>
        </w:rPr>
        <w:t>0177</w:t>
      </w:r>
      <w:r w:rsidRPr="002242ED">
        <w:rPr>
          <w:color w:val="000000"/>
        </w:rPr>
        <w:t>.</w:t>
      </w:r>
    </w:p>
  </w:footnote>
  <w:footnote w:id="20">
    <w:p w:rsidR="008B56A1" w:rsidRDefault="008B56A1" w:rsidP="008B56A1">
      <w:pPr>
        <w:pStyle w:val="FootnoteText"/>
      </w:pPr>
      <w:r>
        <w:rPr>
          <w:rStyle w:val="FootnoteReference"/>
        </w:rPr>
        <w:footnoteRef/>
      </w:r>
      <w:r>
        <w:t xml:space="preserve"> </w:t>
      </w:r>
      <w:r>
        <w:rPr>
          <w:i/>
        </w:rPr>
        <w:t xml:space="preserve">See, e.g, </w:t>
      </w:r>
      <w:r>
        <w:t xml:space="preserve">Letter to Lee G. Petro from Margaret W. Wiener, Chief, Auctions and Spectrum Access Division, Wireless Telecommunications Bureau, DA 10-1270, 25 FCC Rcd 9046 (2010); Letter to David G. O’Neil from Margaret W. Wiener, Chief, Auctions and Spectrum Access Division, Wireless Telecommunications Bureau, DA 08-622, 23 FCC Rcd 4765 (2008). </w:t>
      </w:r>
    </w:p>
  </w:footnote>
  <w:footnote w:id="21">
    <w:p w:rsidR="008B56A1" w:rsidRPr="002242ED" w:rsidRDefault="008B56A1" w:rsidP="008B56A1">
      <w:pPr>
        <w:pStyle w:val="FootnoteText"/>
      </w:pPr>
      <w:r w:rsidRPr="002242ED">
        <w:rPr>
          <w:rStyle w:val="FootnoteReference"/>
        </w:rPr>
        <w:footnoteRef/>
      </w:r>
      <w:r w:rsidRPr="002242ED">
        <w:t xml:space="preserve"> </w:t>
      </w:r>
      <w:r w:rsidRPr="002242ED">
        <w:rPr>
          <w:i/>
        </w:rPr>
        <w:t xml:space="preserve">See </w:t>
      </w:r>
      <w:r w:rsidRPr="002242ED">
        <w:t>47 C.F.R. §§ 1.2104(g), 1.2109.</w:t>
      </w:r>
    </w:p>
  </w:footnote>
  <w:footnote w:id="22">
    <w:p w:rsidR="008B56A1" w:rsidRPr="00A217CB" w:rsidRDefault="008B56A1" w:rsidP="008B56A1">
      <w:pPr>
        <w:pStyle w:val="FootnoteText"/>
      </w:pPr>
      <w:r>
        <w:rPr>
          <w:rStyle w:val="FootnoteReference"/>
        </w:rPr>
        <w:footnoteRef/>
      </w:r>
      <w:r>
        <w:t xml:space="preserve"> </w:t>
      </w:r>
      <w:r>
        <w:rPr>
          <w:i/>
        </w:rPr>
        <w:t>See</w:t>
      </w:r>
      <w:r>
        <w:t xml:space="preserve"> 47 C.F.R. </w:t>
      </w:r>
      <w:r w:rsidRPr="002242ED">
        <w:t>§ 1.2104(g)</w:t>
      </w:r>
      <w:r>
        <w:t>(1).</w:t>
      </w:r>
    </w:p>
  </w:footnote>
  <w:footnote w:id="23">
    <w:p w:rsidR="008B56A1" w:rsidRPr="00A217CB" w:rsidRDefault="008B56A1" w:rsidP="008B56A1">
      <w:pPr>
        <w:pStyle w:val="FootnoteText"/>
      </w:pPr>
      <w:r>
        <w:rPr>
          <w:rStyle w:val="FootnoteReference"/>
        </w:rPr>
        <w:footnoteRef/>
      </w:r>
      <w:r>
        <w:t xml:space="preserve"> </w:t>
      </w:r>
      <w:r>
        <w:rPr>
          <w:i/>
        </w:rPr>
        <w:t>Id</w:t>
      </w:r>
      <w:r>
        <w:t>.</w:t>
      </w:r>
    </w:p>
  </w:footnote>
  <w:footnote w:id="24">
    <w:p w:rsidR="00687E79" w:rsidRPr="002242ED" w:rsidRDefault="00687E79" w:rsidP="00687E79">
      <w:pPr>
        <w:pStyle w:val="FootnoteText"/>
      </w:pPr>
      <w:r w:rsidRPr="002242ED">
        <w:rPr>
          <w:rStyle w:val="FootnoteReference"/>
        </w:rPr>
        <w:footnoteRef/>
      </w:r>
      <w:r w:rsidRPr="002242ED">
        <w:t xml:space="preserve"> </w:t>
      </w:r>
      <w:r w:rsidRPr="002242ED">
        <w:rPr>
          <w:i/>
        </w:rPr>
        <w:t>See</w:t>
      </w:r>
      <w:r w:rsidRPr="002242ED">
        <w:t xml:space="preserve"> </w:t>
      </w:r>
      <w:r>
        <w:rPr>
          <w:i/>
        </w:rPr>
        <w:t>id</w:t>
      </w:r>
      <w:r w:rsidRPr="002242ED">
        <w:t xml:space="preserve">.  </w:t>
      </w:r>
      <w:r w:rsidRPr="002242ED">
        <w:rPr>
          <w:i/>
        </w:rPr>
        <w:t>See also</w:t>
      </w:r>
      <w:r w:rsidRPr="002242ED">
        <w:t xml:space="preserve"> </w:t>
      </w:r>
      <w:r w:rsidRPr="002242ED">
        <w:rPr>
          <w:i/>
        </w:rPr>
        <w:t xml:space="preserve">Auction </w:t>
      </w:r>
      <w:r>
        <w:rPr>
          <w:i/>
        </w:rPr>
        <w:t>97</w:t>
      </w:r>
      <w:r w:rsidRPr="002242ED">
        <w:rPr>
          <w:i/>
        </w:rPr>
        <w:t xml:space="preserve"> Procedures Public Notice</w:t>
      </w:r>
      <w:r>
        <w:t>,</w:t>
      </w:r>
      <w:r w:rsidRPr="002242ED">
        <w:t xml:space="preserve"> </w:t>
      </w:r>
      <w:r w:rsidRPr="0071085D">
        <w:t>29 FCC Rcd at 844</w:t>
      </w:r>
      <w:r w:rsidR="0071085D">
        <w:t>6-4</w:t>
      </w:r>
      <w:r w:rsidRPr="0071085D">
        <w:t>7 ¶¶ 2</w:t>
      </w:r>
      <w:r w:rsidR="0071085D">
        <w:t>20-2</w:t>
      </w:r>
      <w:r>
        <w:t>22</w:t>
      </w:r>
      <w:r w:rsidRPr="002242ED">
        <w:t>.</w:t>
      </w:r>
    </w:p>
  </w:footnote>
  <w:footnote w:id="25">
    <w:p w:rsidR="00687E79" w:rsidRDefault="00687E79" w:rsidP="00687E79">
      <w:pPr>
        <w:pStyle w:val="FootnoteText"/>
      </w:pPr>
      <w:r>
        <w:rPr>
          <w:rStyle w:val="FootnoteReference"/>
        </w:rPr>
        <w:footnoteRef/>
      </w:r>
      <w:r w:rsidR="001B6946">
        <w:rPr>
          <w:i/>
        </w:rPr>
        <w:t xml:space="preserve"> </w:t>
      </w:r>
      <w:r w:rsidR="006E4230">
        <w:rPr>
          <w:i/>
        </w:rPr>
        <w:t>See</w:t>
      </w:r>
      <w:r w:rsidR="006E4230">
        <w:t xml:space="preserve"> 47 C.F.R. </w:t>
      </w:r>
      <w:r w:rsidR="006E4230" w:rsidRPr="002242ED">
        <w:t>§§ 1.2104(g)</w:t>
      </w:r>
      <w:r w:rsidR="006E4230">
        <w:t xml:space="preserve">(1), 1.2106(d).  </w:t>
      </w:r>
      <w:r w:rsidR="006E4230" w:rsidRPr="001B2E55">
        <w:t xml:space="preserve">If the withdrawing bidder is a winning bidder, </w:t>
      </w:r>
      <w:r w:rsidR="006E4230">
        <w:t xml:space="preserve">the total amount it will be required to have on deposit by the down payment deadline will be </w:t>
      </w:r>
      <w:r w:rsidR="006E4230" w:rsidRPr="001B2E55">
        <w:t xml:space="preserve">any amount owed for its bid withdrawal(s) </w:t>
      </w:r>
      <w:r w:rsidR="006E4230">
        <w:t xml:space="preserve">plus </w:t>
      </w:r>
      <w:r w:rsidR="006E4230" w:rsidRPr="00481F8C">
        <w:t>twenty percent of the net</w:t>
      </w:r>
      <w:r w:rsidR="006E4230" w:rsidRPr="00253951">
        <w:t xml:space="preserve"> amount of its winning bid</w:t>
      </w:r>
      <w:r w:rsidR="006E4230">
        <w:t xml:space="preserve">s.  If the bidder fails to pay both the withdrawal payments and down payments owed by that deadline, it will be in default.  In the event that a withdrawing bidder is not a winning bidder and its deposits with the Commission do not fully cover the amount of any withdrawal payment, the Bureau will separately assess, and the withdrawing </w:t>
      </w:r>
      <w:r w:rsidR="006E4230" w:rsidRPr="005E1D3C">
        <w:t>bidder will be required to pay</w:t>
      </w:r>
      <w:r w:rsidR="006E4230">
        <w:t>, such difference.</w:t>
      </w:r>
      <w:r w:rsidR="005961F4">
        <w:t xml:space="preserve"> </w:t>
      </w:r>
      <w:r w:rsidR="001B2E55">
        <w:t xml:space="preserve">  </w:t>
      </w:r>
    </w:p>
  </w:footnote>
  <w:footnote w:id="26">
    <w:p w:rsidR="008B56A1" w:rsidRPr="002242ED" w:rsidRDefault="008B56A1" w:rsidP="008B56A1">
      <w:pPr>
        <w:pStyle w:val="FootnoteText"/>
      </w:pPr>
      <w:r w:rsidRPr="002242ED">
        <w:rPr>
          <w:rStyle w:val="FootnoteReference"/>
        </w:rPr>
        <w:footnoteRef/>
      </w:r>
      <w:r w:rsidRPr="002242ED">
        <w:t xml:space="preserve"> 47 C.F.R. § 1.2104(g)(2).</w:t>
      </w:r>
      <w:r>
        <w:t xml:space="preserve">  </w:t>
      </w:r>
      <w:r w:rsidRPr="00822FBC">
        <w:rPr>
          <w:i/>
        </w:rPr>
        <w:t>See also</w:t>
      </w:r>
      <w:r>
        <w:t xml:space="preserve"> </w:t>
      </w:r>
      <w:r w:rsidRPr="002242ED">
        <w:t xml:space="preserve">47 </w:t>
      </w:r>
      <w:r w:rsidRPr="006D1974">
        <w:t>C.F.R.</w:t>
      </w:r>
      <w:r w:rsidRPr="002242ED">
        <w:t xml:space="preserve"> </w:t>
      </w:r>
      <w:r w:rsidRPr="002242ED">
        <w:rPr>
          <w:color w:val="000000"/>
        </w:rPr>
        <w:t>§ 1.210</w:t>
      </w:r>
      <w:r>
        <w:rPr>
          <w:color w:val="000000"/>
        </w:rPr>
        <w:t xml:space="preserve">9; </w:t>
      </w:r>
      <w:r w:rsidRPr="002242ED">
        <w:rPr>
          <w:i/>
        </w:rPr>
        <w:t xml:space="preserve">Auction </w:t>
      </w:r>
      <w:r>
        <w:rPr>
          <w:i/>
        </w:rPr>
        <w:t>9</w:t>
      </w:r>
      <w:r w:rsidR="008A2D12">
        <w:rPr>
          <w:i/>
        </w:rPr>
        <w:t>7</w:t>
      </w:r>
      <w:r w:rsidRPr="002242ED">
        <w:rPr>
          <w:i/>
        </w:rPr>
        <w:t xml:space="preserve"> Procedures</w:t>
      </w:r>
      <w:r w:rsidRPr="002242ED">
        <w:t xml:space="preserve"> </w:t>
      </w:r>
      <w:r w:rsidRPr="002242ED">
        <w:rPr>
          <w:i/>
          <w:iCs/>
        </w:rPr>
        <w:t>Public Notice</w:t>
      </w:r>
      <w:r>
        <w:rPr>
          <w:iCs/>
        </w:rPr>
        <w:t>, 2</w:t>
      </w:r>
      <w:r w:rsidR="008A2D12">
        <w:rPr>
          <w:iCs/>
        </w:rPr>
        <w:t>9</w:t>
      </w:r>
      <w:r>
        <w:rPr>
          <w:iCs/>
        </w:rPr>
        <w:t xml:space="preserve"> FCC Rcd</w:t>
      </w:r>
      <w:r w:rsidRPr="002242ED">
        <w:t xml:space="preserve"> at</w:t>
      </w:r>
      <w:r>
        <w:t xml:space="preserve"> </w:t>
      </w:r>
      <w:r w:rsidR="005733F3">
        <w:t>8450</w:t>
      </w:r>
      <w:r>
        <w:t xml:space="preserve"> </w:t>
      </w:r>
      <w:r w:rsidRPr="00FC143B">
        <w:t>¶</w:t>
      </w:r>
      <w:r>
        <w:t xml:space="preserve"> </w:t>
      </w:r>
      <w:r w:rsidR="00A307F5">
        <w:t xml:space="preserve"> </w:t>
      </w:r>
      <w:r w:rsidR="005733F3">
        <w:t>239</w:t>
      </w:r>
      <w:r>
        <w:rPr>
          <w:color w:val="000000"/>
        </w:rPr>
        <w:t>.</w:t>
      </w:r>
      <w:r>
        <w:t xml:space="preserve">  </w:t>
      </w:r>
    </w:p>
  </w:footnote>
  <w:footnote w:id="27">
    <w:p w:rsidR="008B56A1" w:rsidRPr="002242ED" w:rsidRDefault="008B56A1" w:rsidP="008B56A1">
      <w:pPr>
        <w:pStyle w:val="FootnoteText"/>
      </w:pPr>
      <w:r w:rsidRPr="002242ED">
        <w:rPr>
          <w:rStyle w:val="FootnoteReference"/>
        </w:rPr>
        <w:footnoteRef/>
      </w:r>
      <w:r w:rsidRPr="002242ED">
        <w:t xml:space="preserve"> </w:t>
      </w:r>
      <w:r w:rsidRPr="002242ED">
        <w:rPr>
          <w:i/>
        </w:rPr>
        <w:t>Id</w:t>
      </w:r>
      <w:r w:rsidRPr="002242ED">
        <w:t xml:space="preserve">.   </w:t>
      </w:r>
    </w:p>
  </w:footnote>
  <w:footnote w:id="28">
    <w:p w:rsidR="008B56A1" w:rsidRPr="002242ED" w:rsidRDefault="008B56A1" w:rsidP="008B56A1">
      <w:pPr>
        <w:pStyle w:val="FootnoteText"/>
      </w:pPr>
      <w:r w:rsidRPr="002242ED">
        <w:rPr>
          <w:rStyle w:val="FootnoteReference"/>
        </w:rPr>
        <w:footnoteRef/>
      </w:r>
      <w:r w:rsidRPr="00D46B5E">
        <w:t xml:space="preserve"> </w:t>
      </w:r>
      <w:r w:rsidRPr="002242ED">
        <w:rPr>
          <w:i/>
        </w:rPr>
        <w:t xml:space="preserve">Auction </w:t>
      </w:r>
      <w:r>
        <w:rPr>
          <w:i/>
        </w:rPr>
        <w:t>9</w:t>
      </w:r>
      <w:r w:rsidR="008A2D12">
        <w:rPr>
          <w:i/>
        </w:rPr>
        <w:t>7</w:t>
      </w:r>
      <w:r w:rsidRPr="002242ED">
        <w:rPr>
          <w:i/>
        </w:rPr>
        <w:t xml:space="preserve"> Procedures Public Notice</w:t>
      </w:r>
      <w:r>
        <w:rPr>
          <w:iCs/>
        </w:rPr>
        <w:t>, 2</w:t>
      </w:r>
      <w:r w:rsidR="008A2D12">
        <w:rPr>
          <w:iCs/>
        </w:rPr>
        <w:t>9</w:t>
      </w:r>
      <w:r>
        <w:rPr>
          <w:iCs/>
        </w:rPr>
        <w:t xml:space="preserve"> FCC Rcd</w:t>
      </w:r>
      <w:r w:rsidRPr="002242ED">
        <w:t xml:space="preserve"> at</w:t>
      </w:r>
      <w:r>
        <w:t xml:space="preserve"> </w:t>
      </w:r>
      <w:r w:rsidR="00A307F5">
        <w:t>8451</w:t>
      </w:r>
      <w:r>
        <w:t xml:space="preserve"> </w:t>
      </w:r>
      <w:r w:rsidRPr="00FC143B">
        <w:t>¶</w:t>
      </w:r>
      <w:r w:rsidR="00A307F5">
        <w:t xml:space="preserve"> 240</w:t>
      </w:r>
      <w:r>
        <w:t>.</w:t>
      </w:r>
      <w:r w:rsidRPr="002242ED">
        <w:t xml:space="preserve"> </w:t>
      </w:r>
    </w:p>
  </w:footnote>
  <w:footnote w:id="29">
    <w:p w:rsidR="00C16BB3" w:rsidRPr="002242ED" w:rsidRDefault="00C16BB3" w:rsidP="00C16BB3">
      <w:pPr>
        <w:pStyle w:val="FootnoteText"/>
      </w:pPr>
      <w:r w:rsidRPr="002242ED">
        <w:rPr>
          <w:rStyle w:val="FootnoteReference"/>
        </w:rPr>
        <w:footnoteRef/>
      </w:r>
      <w:r w:rsidRPr="002242ED">
        <w:t xml:space="preserve"> 47 C.F.R. §§ 1.2104(g)(2), 1.2109(b).</w:t>
      </w:r>
    </w:p>
  </w:footnote>
  <w:footnote w:id="30">
    <w:p w:rsidR="008B56A1" w:rsidRPr="002242ED" w:rsidRDefault="008B56A1" w:rsidP="008B56A1">
      <w:pPr>
        <w:pStyle w:val="FootnoteText"/>
      </w:pPr>
      <w:r w:rsidRPr="002242ED">
        <w:rPr>
          <w:rStyle w:val="FootnoteReference"/>
        </w:rPr>
        <w:footnoteRef/>
      </w:r>
      <w:r w:rsidRPr="002242ED">
        <w:rPr>
          <w:i/>
        </w:rPr>
        <w:t xml:space="preserve"> </w:t>
      </w:r>
      <w:r w:rsidRPr="002242ED">
        <w:t>47 C.F.R. § 1.2109(a).</w:t>
      </w:r>
    </w:p>
  </w:footnote>
  <w:footnote w:id="31">
    <w:p w:rsidR="008B56A1" w:rsidRPr="002242ED" w:rsidRDefault="008B56A1" w:rsidP="008B56A1">
      <w:pPr>
        <w:pStyle w:val="FootnoteText"/>
      </w:pPr>
      <w:r w:rsidRPr="002242ED">
        <w:rPr>
          <w:rStyle w:val="FootnoteReference"/>
        </w:rPr>
        <w:footnoteRef/>
      </w:r>
      <w:r w:rsidRPr="002242ED">
        <w:t xml:space="preserve"> 47 C.F.R. §§ 1.2104(g)(2), 1.2109(a), 1.2109(c).</w:t>
      </w:r>
    </w:p>
  </w:footnote>
  <w:footnote w:id="32">
    <w:p w:rsidR="008B56A1" w:rsidRPr="002242ED" w:rsidRDefault="008B56A1" w:rsidP="008B56A1">
      <w:pPr>
        <w:pStyle w:val="FootnoteText"/>
      </w:pPr>
      <w:r w:rsidRPr="002242ED">
        <w:rPr>
          <w:rStyle w:val="FootnoteReference"/>
        </w:rPr>
        <w:footnoteRef/>
      </w:r>
      <w:r w:rsidRPr="002242ED">
        <w:t xml:space="preserve"> </w:t>
      </w:r>
      <w:r>
        <w:rPr>
          <w:i/>
        </w:rPr>
        <w:t xml:space="preserve">See </w:t>
      </w:r>
      <w:r w:rsidRPr="002242ED">
        <w:t>47 C.F.R. § 1.2109(a).</w:t>
      </w:r>
    </w:p>
  </w:footnote>
  <w:footnote w:id="33">
    <w:p w:rsidR="008B56A1" w:rsidRPr="002242ED" w:rsidRDefault="008B56A1" w:rsidP="008B56A1">
      <w:pPr>
        <w:pStyle w:val="FootnoteText"/>
      </w:pPr>
      <w:r w:rsidRPr="002242ED">
        <w:rPr>
          <w:rStyle w:val="FootnoteReference"/>
        </w:rPr>
        <w:footnoteRef/>
      </w:r>
      <w:r w:rsidRPr="002242ED">
        <w:t xml:space="preserve"> 47 C.F.R. § 1.2109(d).</w:t>
      </w:r>
    </w:p>
  </w:footnote>
  <w:footnote w:id="34">
    <w:p w:rsidR="008B56A1" w:rsidRPr="002242ED" w:rsidRDefault="008B56A1" w:rsidP="008B56A1">
      <w:pPr>
        <w:pStyle w:val="FootnoteText"/>
        <w:rPr>
          <w:color w:val="000000"/>
        </w:rPr>
      </w:pPr>
      <w:r w:rsidRPr="002242ED">
        <w:rPr>
          <w:rStyle w:val="FootnoteReference"/>
        </w:rPr>
        <w:footnoteRef/>
      </w:r>
      <w:r w:rsidRPr="002242ED">
        <w:t xml:space="preserve"> </w:t>
      </w:r>
      <w:r w:rsidRPr="002242ED">
        <w:rPr>
          <w:color w:val="000000"/>
        </w:rPr>
        <w:t xml:space="preserve">47 C.F.R. §§ 1.2104(g), 1.2107(c). </w:t>
      </w:r>
    </w:p>
  </w:footnote>
  <w:footnote w:id="35">
    <w:p w:rsidR="007A2F41" w:rsidRDefault="007A2F41">
      <w:pPr>
        <w:pStyle w:val="FootnoteText"/>
      </w:pPr>
      <w:r>
        <w:rPr>
          <w:rStyle w:val="FootnoteReference"/>
        </w:rPr>
        <w:footnoteRef/>
      </w:r>
      <w:r>
        <w:t xml:space="preserve"> </w:t>
      </w:r>
      <w:r w:rsidR="0073196E" w:rsidRPr="00E8568C">
        <w:rPr>
          <w:szCs w:val="22"/>
        </w:rPr>
        <w:t>On November 12, 2014, the Wireless Telecommunications Bureau granted a request for waiver of section 1.2110(f)(3)(i) of the Commission</w:t>
      </w:r>
      <w:r w:rsidR="0073196E">
        <w:rPr>
          <w:szCs w:val="22"/>
        </w:rPr>
        <w:t>’</w:t>
      </w:r>
      <w:r w:rsidR="0073196E" w:rsidRPr="00E8568C">
        <w:rPr>
          <w:szCs w:val="22"/>
        </w:rPr>
        <w:t xml:space="preserve">s rules to treat all of the </w:t>
      </w:r>
      <w:r w:rsidR="0073196E">
        <w:rPr>
          <w:szCs w:val="22"/>
        </w:rPr>
        <w:t>E</w:t>
      </w:r>
      <w:r w:rsidR="00080DD6">
        <w:rPr>
          <w:szCs w:val="22"/>
        </w:rPr>
        <w:t xml:space="preserve">astern </w:t>
      </w:r>
      <w:r w:rsidR="0073196E">
        <w:rPr>
          <w:szCs w:val="22"/>
        </w:rPr>
        <w:t>N</w:t>
      </w:r>
      <w:r w:rsidR="00080DD6">
        <w:rPr>
          <w:szCs w:val="22"/>
        </w:rPr>
        <w:t xml:space="preserve">avajo </w:t>
      </w:r>
      <w:r w:rsidR="0073196E">
        <w:rPr>
          <w:szCs w:val="22"/>
        </w:rPr>
        <w:t>A</w:t>
      </w:r>
      <w:r w:rsidR="00080DD6">
        <w:rPr>
          <w:szCs w:val="22"/>
        </w:rPr>
        <w:t>gency</w:t>
      </w:r>
      <w:r w:rsidR="0073196E">
        <w:rPr>
          <w:szCs w:val="22"/>
        </w:rPr>
        <w:t xml:space="preserve"> </w:t>
      </w:r>
      <w:r w:rsidR="0073196E" w:rsidRPr="00E8568C">
        <w:rPr>
          <w:szCs w:val="22"/>
        </w:rPr>
        <w:t xml:space="preserve">in New Mexico as a federally recognized tribal land for purposes of the tribal lands bidding credits that </w:t>
      </w:r>
      <w:r w:rsidR="0073196E">
        <w:rPr>
          <w:szCs w:val="22"/>
        </w:rPr>
        <w:t>are</w:t>
      </w:r>
      <w:r w:rsidR="0073196E" w:rsidRPr="00E8568C">
        <w:rPr>
          <w:szCs w:val="22"/>
        </w:rPr>
        <w:t xml:space="preserve"> available to winning bidders in Auction</w:t>
      </w:r>
      <w:r w:rsidR="0073196E">
        <w:rPr>
          <w:szCs w:val="22"/>
        </w:rPr>
        <w:t> </w:t>
      </w:r>
      <w:r w:rsidR="0073196E" w:rsidRPr="00E8568C">
        <w:rPr>
          <w:szCs w:val="22"/>
        </w:rPr>
        <w:t>97.</w:t>
      </w:r>
      <w:r w:rsidR="0073196E">
        <w:rPr>
          <w:szCs w:val="22"/>
        </w:rPr>
        <w:t xml:space="preserve">  </w:t>
      </w:r>
      <w:r w:rsidR="0073196E" w:rsidRPr="00774DEA">
        <w:rPr>
          <w:i/>
        </w:rPr>
        <w:t>See</w:t>
      </w:r>
      <w:r w:rsidR="0073196E" w:rsidRPr="00774DEA">
        <w:t xml:space="preserve"> Request for Waiver of the Definition of ‘Federally Recognized </w:t>
      </w:r>
      <w:r w:rsidR="00664F01">
        <w:t>T</w:t>
      </w:r>
      <w:r w:rsidR="0073196E" w:rsidRPr="00774DEA">
        <w:t>ribal Land’ Under Section 1.2110(f)(3)(i) of the Commission’s Rules to Include Additional Areas within the Eastern Navajo Agency of the Navajo Nation, DA 14-1638 (</w:t>
      </w:r>
      <w:r w:rsidR="0073196E">
        <w:t xml:space="preserve">WTB, </w:t>
      </w:r>
      <w:r w:rsidR="0073196E" w:rsidRPr="00774DEA">
        <w:t>rel. Nov. 12, 2014)</w:t>
      </w:r>
      <w:r w:rsidR="0073196E">
        <w:t>.</w:t>
      </w:r>
      <w:r w:rsidR="0073196E" w:rsidRPr="00774DEA">
        <w:t xml:space="preserve">  </w:t>
      </w:r>
      <w:r w:rsidR="0073196E" w:rsidRPr="00CF577F">
        <w:rPr>
          <w:i/>
        </w:rPr>
        <w:t>See</w:t>
      </w:r>
      <w:r w:rsidR="0073196E">
        <w:t xml:space="preserve"> Attachment D</w:t>
      </w:r>
      <w:r w:rsidR="00664F01">
        <w:t xml:space="preserve">, </w:t>
      </w:r>
      <w:r w:rsidR="00664F01" w:rsidRPr="00545F16">
        <w:t xml:space="preserve">“Instructions for Completing FCC Form 601 </w:t>
      </w:r>
      <w:r w:rsidR="00664F01">
        <w:t>and</w:t>
      </w:r>
      <w:r w:rsidR="00664F01" w:rsidRPr="00545F16">
        <w:t xml:space="preserve"> </w:t>
      </w:r>
      <w:r w:rsidR="00664F01">
        <w:t xml:space="preserve">FCC </w:t>
      </w:r>
      <w:r w:rsidR="00664F01" w:rsidRPr="00545F16">
        <w:t>Form 602</w:t>
      </w:r>
      <w:r w:rsidR="00664F01">
        <w:t>,</w:t>
      </w:r>
      <w:r w:rsidR="00664F01" w:rsidRPr="00545F16">
        <w:t>”</w:t>
      </w:r>
      <w:r w:rsidR="00100E00">
        <w:t xml:space="preserve"> for specific </w:t>
      </w:r>
      <w:r w:rsidR="00F402A9">
        <w:t>Universal Licensing System (</w:t>
      </w:r>
      <w:r w:rsidR="00100E00">
        <w:t>ULS</w:t>
      </w:r>
      <w:r w:rsidR="00F402A9">
        <w:t>)</w:t>
      </w:r>
      <w:r w:rsidR="00100E00">
        <w:t xml:space="preserve"> filing instructions.</w:t>
      </w:r>
      <w:r w:rsidR="0073196E">
        <w:t xml:space="preserve">  </w:t>
      </w:r>
    </w:p>
  </w:footnote>
  <w:footnote w:id="36">
    <w:p w:rsidR="008B56A1" w:rsidRPr="002242ED" w:rsidRDefault="008B56A1" w:rsidP="008B56A1">
      <w:pPr>
        <w:pStyle w:val="FootnoteText"/>
      </w:pPr>
      <w:r w:rsidRPr="002242ED">
        <w:rPr>
          <w:rStyle w:val="FootnoteReference"/>
        </w:rPr>
        <w:footnoteRef/>
      </w:r>
      <w:r w:rsidRPr="002242ED">
        <w:t xml:space="preserve"> 47 C.F.R. </w:t>
      </w:r>
      <w:r w:rsidRPr="002242ED">
        <w:rPr>
          <w:color w:val="000000"/>
        </w:rPr>
        <w:t xml:space="preserve">§§ 1.919, 1.2107(f). </w:t>
      </w:r>
    </w:p>
  </w:footnote>
  <w:footnote w:id="37">
    <w:p w:rsidR="008B56A1" w:rsidRPr="002242ED" w:rsidRDefault="008B56A1" w:rsidP="008B56A1">
      <w:pPr>
        <w:pStyle w:val="FootnoteText"/>
      </w:pPr>
      <w:r w:rsidRPr="002242ED">
        <w:rPr>
          <w:rStyle w:val="FootnoteReference"/>
        </w:rPr>
        <w:footnoteRef/>
      </w:r>
      <w:r w:rsidRPr="002242ED">
        <w:rPr>
          <w:rStyle w:val="FootnoteReference"/>
        </w:rPr>
        <w:t xml:space="preserve"> </w:t>
      </w:r>
      <w:r w:rsidRPr="002242ED">
        <w:rPr>
          <w:color w:val="000000"/>
        </w:rPr>
        <w:t xml:space="preserve">The FCC Form 601 ownership reporting requirement can be fulfilled by referencing the file number, date, and name of filer of the appropriate FCC Form 602.  See discussion in </w:t>
      </w:r>
      <w:r w:rsidRPr="00AC1202">
        <w:rPr>
          <w:color w:val="000000"/>
        </w:rPr>
        <w:t>Attachment D</w:t>
      </w:r>
      <w:r w:rsidR="0063702D">
        <w:rPr>
          <w:color w:val="000000"/>
        </w:rPr>
        <w:t xml:space="preserve">, </w:t>
      </w:r>
      <w:r w:rsidR="0063702D" w:rsidRPr="00545F16">
        <w:t xml:space="preserve">“Instructions for Completing FCC Form 601 </w:t>
      </w:r>
      <w:r w:rsidR="0063702D">
        <w:t>and</w:t>
      </w:r>
      <w:r w:rsidR="0063702D" w:rsidRPr="00545F16">
        <w:t xml:space="preserve"> </w:t>
      </w:r>
      <w:r w:rsidR="0063702D">
        <w:t xml:space="preserve">FCC </w:t>
      </w:r>
      <w:r w:rsidR="0063702D" w:rsidRPr="00545F16">
        <w:t>Form 602</w:t>
      </w:r>
      <w:r w:rsidRPr="005869DD">
        <w:rPr>
          <w:color w:val="000000"/>
        </w:rPr>
        <w:t>.</w:t>
      </w:r>
      <w:r w:rsidR="0063702D">
        <w:rPr>
          <w:color w:val="000000"/>
        </w:rPr>
        <w:t>”</w:t>
      </w:r>
    </w:p>
  </w:footnote>
  <w:footnote w:id="38">
    <w:p w:rsidR="008B56A1" w:rsidRPr="002242ED" w:rsidRDefault="008B56A1" w:rsidP="008B56A1">
      <w:pPr>
        <w:pStyle w:val="FootnoteText"/>
      </w:pPr>
      <w:r w:rsidRPr="002242ED">
        <w:rPr>
          <w:rStyle w:val="FootnoteReference"/>
        </w:rPr>
        <w:footnoteRef/>
      </w:r>
      <w:r w:rsidRPr="002242ED">
        <w:t xml:space="preserve"> 47 C.F.R. § 1.65.</w:t>
      </w:r>
    </w:p>
  </w:footnote>
  <w:footnote w:id="39">
    <w:p w:rsidR="008B56A1" w:rsidRPr="002242ED" w:rsidRDefault="008B56A1" w:rsidP="008B56A1">
      <w:pPr>
        <w:pStyle w:val="FootnoteText"/>
      </w:pPr>
      <w:r w:rsidRPr="002242ED">
        <w:rPr>
          <w:rStyle w:val="FootnoteReference"/>
        </w:rPr>
        <w:footnoteRef/>
      </w:r>
      <w:r w:rsidRPr="002242ED">
        <w:t xml:space="preserve"> 47 C.F.R. § 1.2108(b).</w:t>
      </w:r>
    </w:p>
  </w:footnote>
  <w:footnote w:id="40">
    <w:p w:rsidR="008B56A1" w:rsidRPr="002242ED" w:rsidRDefault="008B56A1" w:rsidP="008B56A1">
      <w:pPr>
        <w:pStyle w:val="FootnoteText"/>
      </w:pPr>
      <w:r w:rsidRPr="002242ED">
        <w:rPr>
          <w:rStyle w:val="FootnoteReference"/>
        </w:rPr>
        <w:footnoteRef/>
      </w:r>
      <w:r w:rsidRPr="002242ED">
        <w:t xml:space="preserve"> 47 C.F.R. § 1.2108(c).</w:t>
      </w:r>
    </w:p>
  </w:footnote>
  <w:footnote w:id="41">
    <w:p w:rsidR="008B56A1" w:rsidRPr="002242ED" w:rsidRDefault="008B56A1" w:rsidP="008B56A1">
      <w:pPr>
        <w:pStyle w:val="FootnoteText"/>
      </w:pPr>
      <w:r w:rsidRPr="002242ED">
        <w:rPr>
          <w:rStyle w:val="FootnoteReference"/>
        </w:rPr>
        <w:footnoteRef/>
      </w:r>
      <w:r w:rsidRPr="002242ED">
        <w:t xml:space="preserve"> </w:t>
      </w:r>
      <w:r w:rsidRPr="002242ED">
        <w:rPr>
          <w:i/>
        </w:rPr>
        <w:t>Id</w:t>
      </w:r>
      <w:r w:rsidRPr="002242ED">
        <w:t>.</w:t>
      </w:r>
    </w:p>
  </w:footnote>
  <w:footnote w:id="42">
    <w:p w:rsidR="008B56A1" w:rsidRPr="002242ED" w:rsidRDefault="008B56A1" w:rsidP="008B56A1">
      <w:pPr>
        <w:pStyle w:val="FootnoteText"/>
      </w:pPr>
      <w:r w:rsidRPr="002242ED">
        <w:rPr>
          <w:rStyle w:val="FootnoteReference"/>
        </w:rPr>
        <w:footnoteRef/>
      </w:r>
      <w:r w:rsidRPr="002242ED">
        <w:t xml:space="preserve"> </w:t>
      </w:r>
      <w:r w:rsidRPr="002242ED">
        <w:rPr>
          <w:i/>
        </w:rPr>
        <w:t>See</w:t>
      </w:r>
      <w:r w:rsidRPr="002242ED">
        <w:t xml:space="preserve"> Commission Taking Tough Measures Against Frivolous Pleadings, </w:t>
      </w:r>
      <w:r w:rsidRPr="002242ED">
        <w:rPr>
          <w:i/>
        </w:rPr>
        <w:t>Public Notice</w:t>
      </w:r>
      <w:r w:rsidRPr="002242ED">
        <w:t>, FCC 96-42, 11 FCC Rcd 3030 (1996).</w:t>
      </w:r>
    </w:p>
  </w:footnote>
  <w:footnote w:id="43">
    <w:p w:rsidR="007002EB" w:rsidRDefault="007002EB" w:rsidP="007002EB">
      <w:pPr>
        <w:pStyle w:val="FootnoteText"/>
      </w:pPr>
      <w:r>
        <w:rPr>
          <w:rStyle w:val="FootnoteReference"/>
        </w:rPr>
        <w:footnoteRef/>
      </w:r>
      <w:r>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4">
    <w:p w:rsidR="008B56A1" w:rsidRPr="002242ED" w:rsidRDefault="008B56A1" w:rsidP="008B56A1">
      <w:pPr>
        <w:pStyle w:val="FootnoteText"/>
      </w:pPr>
      <w:r w:rsidRPr="002242ED">
        <w:rPr>
          <w:rStyle w:val="FootnoteReference"/>
        </w:rPr>
        <w:footnoteRef/>
      </w:r>
      <w:r w:rsidRPr="002242ED">
        <w:t xml:space="preserve"> </w:t>
      </w:r>
      <w:r w:rsidRPr="002242ED">
        <w:rPr>
          <w:i/>
        </w:rPr>
        <w:t>See</w:t>
      </w:r>
      <w:r w:rsidRPr="002242ED">
        <w:t xml:space="preserve"> 47 C.F.R. §§ 1.2108(d), 1.2109(a).</w:t>
      </w:r>
    </w:p>
  </w:footnote>
  <w:footnote w:id="45">
    <w:p w:rsidR="008B56A1" w:rsidRPr="002242ED" w:rsidRDefault="008B56A1" w:rsidP="008B56A1">
      <w:pPr>
        <w:pStyle w:val="FootnoteText"/>
      </w:pPr>
      <w:r w:rsidRPr="002242ED">
        <w:rPr>
          <w:rStyle w:val="FootnoteReference"/>
        </w:rPr>
        <w:footnoteRef/>
      </w:r>
      <w:r w:rsidRPr="002242ED">
        <w:t xml:space="preserve"> 47 C.F.R. §§ 1.2105(a)(2)(viii), 1.2105(c).  </w:t>
      </w:r>
      <w:r w:rsidRPr="002242ED">
        <w:rPr>
          <w:i/>
        </w:rPr>
        <w:t xml:space="preserve">See also </w:t>
      </w:r>
      <w:r w:rsidRPr="002242ED">
        <w:t xml:space="preserve">Amendment of Part 1 of the Commission’s Rules – Competitive Bidding Procedures, WT Docket No. 97-82, </w:t>
      </w:r>
      <w:r w:rsidRPr="002242ED">
        <w:rPr>
          <w:i/>
        </w:rPr>
        <w:t>Seventh Report and Order</w:t>
      </w:r>
      <w:r w:rsidRPr="002242ED">
        <w:t xml:space="preserve">, FCC 01-270, 16 FCC Rcd 17546 (2001); </w:t>
      </w:r>
      <w:r w:rsidRPr="002242ED">
        <w:rPr>
          <w:i/>
        </w:rPr>
        <w:t>Order on Reconsideration of the Third Report and Order, Fifth Report and Order, and Fourth Further Notice of Proposed Rule Making</w:t>
      </w:r>
      <w:r w:rsidRPr="002242ED">
        <w:t>,</w:t>
      </w:r>
      <w:r w:rsidRPr="002242ED">
        <w:rPr>
          <w:i/>
        </w:rPr>
        <w:t xml:space="preserve"> </w:t>
      </w:r>
      <w:r w:rsidRPr="002242ED">
        <w:t>FCC 00-274, 15 FCC Rcd 15293, 15297-98 ¶¶ 7-8 (2000).</w:t>
      </w:r>
    </w:p>
  </w:footnote>
  <w:footnote w:id="46">
    <w:p w:rsidR="008B56A1" w:rsidRPr="002242ED" w:rsidRDefault="008B56A1" w:rsidP="008B56A1">
      <w:pPr>
        <w:pStyle w:val="FootnoteText"/>
        <w:tabs>
          <w:tab w:val="left" w:pos="-720"/>
        </w:tabs>
        <w:suppressAutoHyphens/>
        <w:rPr>
          <w:color w:val="000000"/>
        </w:rPr>
      </w:pPr>
      <w:r w:rsidRPr="002242ED">
        <w:rPr>
          <w:rStyle w:val="FootnoteReference"/>
          <w:color w:val="000000"/>
        </w:rPr>
        <w:footnoteRef/>
      </w:r>
      <w:r w:rsidRPr="002242ED">
        <w:rPr>
          <w:color w:val="000000"/>
        </w:rPr>
        <w:t xml:space="preserve"> </w:t>
      </w:r>
      <w:r w:rsidRPr="002242ED">
        <w:rPr>
          <w:i/>
        </w:rPr>
        <w:t xml:space="preserve">See Auction </w:t>
      </w:r>
      <w:r>
        <w:rPr>
          <w:i/>
        </w:rPr>
        <w:t>9</w:t>
      </w:r>
      <w:r w:rsidR="00CF0407">
        <w:rPr>
          <w:i/>
        </w:rPr>
        <w:t>7</w:t>
      </w:r>
      <w:r w:rsidRPr="002242ED">
        <w:rPr>
          <w:i/>
        </w:rPr>
        <w:t xml:space="preserve"> Procedures Public Notice</w:t>
      </w:r>
      <w:bookmarkStart w:id="19" w:name="OLE_LINK6"/>
      <w:bookmarkStart w:id="20" w:name="OLE_LINK7"/>
      <w:r>
        <w:rPr>
          <w:iCs/>
        </w:rPr>
        <w:t>, 2</w:t>
      </w:r>
      <w:r w:rsidR="00CF0407">
        <w:rPr>
          <w:iCs/>
        </w:rPr>
        <w:t>9</w:t>
      </w:r>
      <w:r>
        <w:rPr>
          <w:iCs/>
        </w:rPr>
        <w:t xml:space="preserve"> FCC Rcd</w:t>
      </w:r>
      <w:r w:rsidRPr="002242ED">
        <w:t xml:space="preserve"> at</w:t>
      </w:r>
      <w:r>
        <w:t xml:space="preserve"> </w:t>
      </w:r>
      <w:r w:rsidR="00EA2BDD">
        <w:t>8392-98</w:t>
      </w:r>
      <w:r w:rsidRPr="00A307F5">
        <w:t xml:space="preserve"> ¶¶ </w:t>
      </w:r>
      <w:r w:rsidR="00A307F5">
        <w:t>11</w:t>
      </w:r>
      <w:r w:rsidR="00CF0407" w:rsidRPr="00A307F5">
        <w:t>-</w:t>
      </w:r>
      <w:r w:rsidR="00A307F5">
        <w:t>34</w:t>
      </w:r>
      <w:r>
        <w:t>.</w:t>
      </w:r>
      <w:bookmarkEnd w:id="19"/>
      <w:bookmarkEnd w:id="20"/>
    </w:p>
  </w:footnote>
  <w:footnote w:id="47">
    <w:p w:rsidR="008B56A1" w:rsidRDefault="008B56A1" w:rsidP="008B56A1">
      <w:pPr>
        <w:pStyle w:val="FootnoteText"/>
      </w:pPr>
      <w:r>
        <w:rPr>
          <w:rStyle w:val="FootnoteReference"/>
        </w:rPr>
        <w:footnoteRef/>
      </w:r>
      <w:r>
        <w:t xml:space="preserve"> </w:t>
      </w:r>
      <w:r w:rsidRPr="00226502">
        <w:rPr>
          <w:i/>
          <w:color w:val="000000"/>
        </w:rPr>
        <w:t>Id</w:t>
      </w:r>
      <w:r w:rsidRPr="00226502">
        <w:rPr>
          <w:color w:val="000000"/>
        </w:rPr>
        <w:t xml:space="preserve">. at  </w:t>
      </w:r>
      <w:r w:rsidR="00226502">
        <w:rPr>
          <w:color w:val="000000"/>
        </w:rPr>
        <w:t xml:space="preserve">8393 </w:t>
      </w:r>
      <w:r w:rsidRPr="00226502">
        <w:t xml:space="preserve">¶¶ </w:t>
      </w:r>
      <w:r w:rsidR="00226502">
        <w:t>12-13</w:t>
      </w:r>
      <w:r w:rsidRPr="00226502">
        <w:t>.</w:t>
      </w:r>
    </w:p>
  </w:footnote>
  <w:footnote w:id="48">
    <w:p w:rsidR="008B56A1" w:rsidRPr="002242ED" w:rsidRDefault="008B56A1" w:rsidP="008B56A1">
      <w:pPr>
        <w:pStyle w:val="FootnoteText"/>
      </w:pPr>
      <w:r w:rsidRPr="002242ED">
        <w:rPr>
          <w:rStyle w:val="FootnoteReference"/>
        </w:rPr>
        <w:footnoteRef/>
      </w:r>
      <w:r w:rsidRPr="002242ED">
        <w:t xml:space="preserve"> </w:t>
      </w:r>
      <w:r w:rsidRPr="00226502">
        <w:rPr>
          <w:i/>
          <w:color w:val="000000"/>
        </w:rPr>
        <w:t>Id</w:t>
      </w:r>
      <w:r w:rsidRPr="00226502">
        <w:rPr>
          <w:color w:val="000000"/>
        </w:rPr>
        <w:t xml:space="preserve">. at </w:t>
      </w:r>
      <w:r w:rsidR="00226502">
        <w:rPr>
          <w:color w:val="000000"/>
        </w:rPr>
        <w:t>8394</w:t>
      </w:r>
      <w:r w:rsidRPr="00226502">
        <w:rPr>
          <w:color w:val="000000"/>
        </w:rPr>
        <w:t xml:space="preserve"> </w:t>
      </w:r>
      <w:r w:rsidRPr="00226502">
        <w:t xml:space="preserve">¶ </w:t>
      </w:r>
      <w:r w:rsidR="00226502">
        <w:t>18</w:t>
      </w:r>
      <w:r w:rsidRPr="00226502">
        <w:rPr>
          <w:color w:val="000000"/>
        </w:rPr>
        <w:t>.</w:t>
      </w:r>
    </w:p>
  </w:footnote>
  <w:footnote w:id="49">
    <w:p w:rsidR="008B56A1" w:rsidRPr="002242ED" w:rsidRDefault="008B56A1" w:rsidP="008B56A1">
      <w:pPr>
        <w:pStyle w:val="FootnoteText"/>
      </w:pPr>
      <w:r w:rsidRPr="002242ED">
        <w:rPr>
          <w:rStyle w:val="FootnoteReference"/>
        </w:rPr>
        <w:footnoteRef/>
      </w:r>
      <w:r w:rsidRPr="002242ED">
        <w:t xml:space="preserve"> 47 C.F.R. § 1.2105</w:t>
      </w:r>
      <w:r>
        <w:t>(a)(2)</w:t>
      </w:r>
      <w:r w:rsidRPr="002242ED">
        <w:t>(</w:t>
      </w:r>
      <w:r>
        <w:t>ix</w:t>
      </w:r>
      <w:r w:rsidRPr="002242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9" w:rsidRDefault="005A7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8B56A1" w:rsidRDefault="006F7393" w:rsidP="00837C62">
    <w:pPr>
      <w:pStyle w:val="Header"/>
      <w:rPr>
        <w:sz w:val="24"/>
        <w:szCs w:val="24"/>
      </w:rPr>
    </w:pPr>
    <w:r>
      <w:tab/>
    </w:r>
    <w:r w:rsidRPr="00325AAF">
      <w:rPr>
        <w:rFonts w:ascii="Times New Roman" w:hAnsi="Times New Roman" w:cs="Times New Roman"/>
        <w:sz w:val="24"/>
        <w:szCs w:val="24"/>
      </w:rPr>
      <w:t>Federal Communications Commission</w:t>
    </w:r>
    <w:r w:rsidRPr="008B56A1">
      <w:rPr>
        <w:sz w:val="24"/>
        <w:szCs w:val="24"/>
      </w:rPr>
      <w:tab/>
    </w:r>
    <w:r w:rsidR="0030596E" w:rsidRPr="00325AAF">
      <w:rPr>
        <w:rFonts w:ascii="Times New Roman" w:hAnsi="Times New Roman" w:cs="Times New Roman"/>
        <w:sz w:val="24"/>
        <w:szCs w:val="24"/>
      </w:rPr>
      <w:t xml:space="preserve">DA </w:t>
    </w:r>
    <w:r w:rsidR="00A37C13">
      <w:rPr>
        <w:rFonts w:ascii="Times New Roman" w:hAnsi="Times New Roman" w:cs="Times New Roman"/>
        <w:sz w:val="24"/>
        <w:szCs w:val="24"/>
      </w:rPr>
      <w:t>15-131</w:t>
    </w:r>
  </w:p>
  <w:p w:rsidR="006F7393" w:rsidRDefault="00D0193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07CB0F41" wp14:editId="1414DB2D">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837C62" w:rsidRDefault="00D0193E" w:rsidP="00837C62">
    <w:pPr>
      <w:pStyle w:val="Header"/>
    </w:pPr>
    <w:r>
      <w:rPr>
        <w:noProof/>
        <w:snapToGrid/>
      </w:rPr>
      <w:drawing>
        <wp:anchor distT="0" distB="0" distL="114300" distR="114300" simplePos="0" relativeHeight="251659776" behindDoc="0" locked="0" layoutInCell="0" allowOverlap="1" wp14:anchorId="2F9A2646" wp14:editId="47BB1310">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6B" w:rsidRPr="00837C62">
      <w:t>PUBLIC NOTICE</w:t>
    </w:r>
  </w:p>
  <w:p w:rsidR="00C82B6B" w:rsidRDefault="00D0193E"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6ED71929" wp14:editId="4CED3D9E">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4461BCAD" wp14:editId="7490105C">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21" w:name="_Hlt233824"/>
                          <w:r>
                            <w:rPr>
                              <w:rFonts w:ascii="Arial" w:hAnsi="Arial"/>
                              <w:b/>
                              <w:sz w:val="16"/>
                            </w:rPr>
                            <w:t>h</w:t>
                          </w:r>
                          <w:bookmarkEnd w:id="21"/>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v:textbox>
            </v:shape>
          </w:pict>
        </mc:Fallback>
      </mc:AlternateContent>
    </w:r>
  </w:p>
  <w:p w:rsidR="006F7393" w:rsidRPr="00C82B6B" w:rsidRDefault="00D0193E" w:rsidP="00837C62">
    <w:pPr>
      <w:pStyle w:val="Header"/>
    </w:pPr>
    <w:r>
      <w:rPr>
        <w:noProof/>
        <w:snapToGrid/>
      </w:rPr>
      <mc:AlternateContent>
        <mc:Choice Requires="wps">
          <w:drawing>
            <wp:anchor distT="0" distB="0" distL="114300" distR="114300" simplePos="0" relativeHeight="251657728" behindDoc="0" locked="0" layoutInCell="0" allowOverlap="1" wp14:anchorId="55D09F9E" wp14:editId="3F885687">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3E"/>
    <w:rsid w:val="00022EFC"/>
    <w:rsid w:val="00023D2C"/>
    <w:rsid w:val="000310BD"/>
    <w:rsid w:val="00031D5F"/>
    <w:rsid w:val="00036039"/>
    <w:rsid w:val="00037F90"/>
    <w:rsid w:val="000476DA"/>
    <w:rsid w:val="000715A3"/>
    <w:rsid w:val="0007641C"/>
    <w:rsid w:val="00077C32"/>
    <w:rsid w:val="00080DD6"/>
    <w:rsid w:val="000875BF"/>
    <w:rsid w:val="000914F7"/>
    <w:rsid w:val="00096D8C"/>
    <w:rsid w:val="000A5FA9"/>
    <w:rsid w:val="000C0B65"/>
    <w:rsid w:val="000D19C2"/>
    <w:rsid w:val="000E1508"/>
    <w:rsid w:val="000E3D42"/>
    <w:rsid w:val="000E5884"/>
    <w:rsid w:val="000F4515"/>
    <w:rsid w:val="00100E00"/>
    <w:rsid w:val="00122BD5"/>
    <w:rsid w:val="001279ED"/>
    <w:rsid w:val="001645C9"/>
    <w:rsid w:val="0016586A"/>
    <w:rsid w:val="001A4F4D"/>
    <w:rsid w:val="001B26D6"/>
    <w:rsid w:val="001B2E55"/>
    <w:rsid w:val="001B39AB"/>
    <w:rsid w:val="001B6946"/>
    <w:rsid w:val="001D227A"/>
    <w:rsid w:val="001D6BCF"/>
    <w:rsid w:val="001E01CA"/>
    <w:rsid w:val="00226502"/>
    <w:rsid w:val="00226822"/>
    <w:rsid w:val="00250318"/>
    <w:rsid w:val="002848C6"/>
    <w:rsid w:val="00285017"/>
    <w:rsid w:val="00285DC1"/>
    <w:rsid w:val="00297616"/>
    <w:rsid w:val="002A2D2E"/>
    <w:rsid w:val="002C5D91"/>
    <w:rsid w:val="002E5FAE"/>
    <w:rsid w:val="00304EE7"/>
    <w:rsid w:val="0030596E"/>
    <w:rsid w:val="00323930"/>
    <w:rsid w:val="00325AAF"/>
    <w:rsid w:val="0033451B"/>
    <w:rsid w:val="003378DD"/>
    <w:rsid w:val="00343749"/>
    <w:rsid w:val="00343F60"/>
    <w:rsid w:val="0037178E"/>
    <w:rsid w:val="00383864"/>
    <w:rsid w:val="003A20C7"/>
    <w:rsid w:val="003B0550"/>
    <w:rsid w:val="003B694F"/>
    <w:rsid w:val="003C7C23"/>
    <w:rsid w:val="003E428A"/>
    <w:rsid w:val="003F171C"/>
    <w:rsid w:val="00401E8B"/>
    <w:rsid w:val="0041223B"/>
    <w:rsid w:val="00412D5F"/>
    <w:rsid w:val="00412FC5"/>
    <w:rsid w:val="00413865"/>
    <w:rsid w:val="00422276"/>
    <w:rsid w:val="00423754"/>
    <w:rsid w:val="004242F1"/>
    <w:rsid w:val="0042445F"/>
    <w:rsid w:val="004251F0"/>
    <w:rsid w:val="00426194"/>
    <w:rsid w:val="00445A00"/>
    <w:rsid w:val="00451B0F"/>
    <w:rsid w:val="00457ED6"/>
    <w:rsid w:val="004943C0"/>
    <w:rsid w:val="00496106"/>
    <w:rsid w:val="004A3D9B"/>
    <w:rsid w:val="004A6F7D"/>
    <w:rsid w:val="004C12D0"/>
    <w:rsid w:val="004C2EE3"/>
    <w:rsid w:val="004E4A22"/>
    <w:rsid w:val="00511968"/>
    <w:rsid w:val="00517480"/>
    <w:rsid w:val="00543421"/>
    <w:rsid w:val="005469DA"/>
    <w:rsid w:val="0055614C"/>
    <w:rsid w:val="00557F67"/>
    <w:rsid w:val="0056249D"/>
    <w:rsid w:val="005733F3"/>
    <w:rsid w:val="005961F4"/>
    <w:rsid w:val="005A70B9"/>
    <w:rsid w:val="005B15D9"/>
    <w:rsid w:val="00603D84"/>
    <w:rsid w:val="00607BA5"/>
    <w:rsid w:val="00626EB6"/>
    <w:rsid w:val="00635B17"/>
    <w:rsid w:val="0063702D"/>
    <w:rsid w:val="00655D03"/>
    <w:rsid w:val="00664F01"/>
    <w:rsid w:val="00683F84"/>
    <w:rsid w:val="00687E79"/>
    <w:rsid w:val="00690BB7"/>
    <w:rsid w:val="006A6A81"/>
    <w:rsid w:val="006B58B5"/>
    <w:rsid w:val="006C22ED"/>
    <w:rsid w:val="006E26AF"/>
    <w:rsid w:val="006E4230"/>
    <w:rsid w:val="006F7393"/>
    <w:rsid w:val="007002EB"/>
    <w:rsid w:val="0070224F"/>
    <w:rsid w:val="0071085D"/>
    <w:rsid w:val="007115F7"/>
    <w:rsid w:val="00713050"/>
    <w:rsid w:val="0073196E"/>
    <w:rsid w:val="007339F3"/>
    <w:rsid w:val="0073607F"/>
    <w:rsid w:val="00741FBD"/>
    <w:rsid w:val="007642D6"/>
    <w:rsid w:val="00764ED4"/>
    <w:rsid w:val="00785689"/>
    <w:rsid w:val="0079754B"/>
    <w:rsid w:val="007A18A2"/>
    <w:rsid w:val="007A1E6D"/>
    <w:rsid w:val="007A2F41"/>
    <w:rsid w:val="007B547B"/>
    <w:rsid w:val="007C6F68"/>
    <w:rsid w:val="007E7834"/>
    <w:rsid w:val="007F057F"/>
    <w:rsid w:val="007F6428"/>
    <w:rsid w:val="00822CE0"/>
    <w:rsid w:val="0083667E"/>
    <w:rsid w:val="00837C62"/>
    <w:rsid w:val="00841AB1"/>
    <w:rsid w:val="00852C77"/>
    <w:rsid w:val="00854B58"/>
    <w:rsid w:val="008613ED"/>
    <w:rsid w:val="00862E00"/>
    <w:rsid w:val="00864D00"/>
    <w:rsid w:val="00873C6F"/>
    <w:rsid w:val="008A2D12"/>
    <w:rsid w:val="008B14E1"/>
    <w:rsid w:val="008B240C"/>
    <w:rsid w:val="008B56A1"/>
    <w:rsid w:val="008D5CB8"/>
    <w:rsid w:val="009003ED"/>
    <w:rsid w:val="00906B0D"/>
    <w:rsid w:val="00911744"/>
    <w:rsid w:val="00915C95"/>
    <w:rsid w:val="00915F75"/>
    <w:rsid w:val="009257DB"/>
    <w:rsid w:val="00926503"/>
    <w:rsid w:val="00941C96"/>
    <w:rsid w:val="00963B99"/>
    <w:rsid w:val="00990007"/>
    <w:rsid w:val="009927C9"/>
    <w:rsid w:val="009A327C"/>
    <w:rsid w:val="009B4965"/>
    <w:rsid w:val="009C4C65"/>
    <w:rsid w:val="009E008C"/>
    <w:rsid w:val="00A307F5"/>
    <w:rsid w:val="00A37C13"/>
    <w:rsid w:val="00A40A01"/>
    <w:rsid w:val="00A45F4F"/>
    <w:rsid w:val="00A47A2B"/>
    <w:rsid w:val="00A53F44"/>
    <w:rsid w:val="00A600A9"/>
    <w:rsid w:val="00A732F8"/>
    <w:rsid w:val="00A87875"/>
    <w:rsid w:val="00AA45B8"/>
    <w:rsid w:val="00AA55B7"/>
    <w:rsid w:val="00AA5B9E"/>
    <w:rsid w:val="00AB2407"/>
    <w:rsid w:val="00AB3713"/>
    <w:rsid w:val="00AB5230"/>
    <w:rsid w:val="00AB528A"/>
    <w:rsid w:val="00AB53DF"/>
    <w:rsid w:val="00AD1E22"/>
    <w:rsid w:val="00AD6713"/>
    <w:rsid w:val="00AE78F1"/>
    <w:rsid w:val="00B07E5C"/>
    <w:rsid w:val="00B12610"/>
    <w:rsid w:val="00B27918"/>
    <w:rsid w:val="00B37A34"/>
    <w:rsid w:val="00B40C39"/>
    <w:rsid w:val="00B45C67"/>
    <w:rsid w:val="00B529C4"/>
    <w:rsid w:val="00B65639"/>
    <w:rsid w:val="00B6579A"/>
    <w:rsid w:val="00B750E1"/>
    <w:rsid w:val="00B811F7"/>
    <w:rsid w:val="00B96E30"/>
    <w:rsid w:val="00BA55DD"/>
    <w:rsid w:val="00BA5DC6"/>
    <w:rsid w:val="00BA6196"/>
    <w:rsid w:val="00BB560F"/>
    <w:rsid w:val="00BC6D8C"/>
    <w:rsid w:val="00BF1A48"/>
    <w:rsid w:val="00BF2426"/>
    <w:rsid w:val="00BF47B7"/>
    <w:rsid w:val="00C0142C"/>
    <w:rsid w:val="00C07649"/>
    <w:rsid w:val="00C16BB3"/>
    <w:rsid w:val="00C223FD"/>
    <w:rsid w:val="00C2576D"/>
    <w:rsid w:val="00C34006"/>
    <w:rsid w:val="00C36A34"/>
    <w:rsid w:val="00C36E1B"/>
    <w:rsid w:val="00C426B1"/>
    <w:rsid w:val="00C5257A"/>
    <w:rsid w:val="00C622C4"/>
    <w:rsid w:val="00C65B22"/>
    <w:rsid w:val="00C82B6B"/>
    <w:rsid w:val="00C8409A"/>
    <w:rsid w:val="00C90D6A"/>
    <w:rsid w:val="00CA14B1"/>
    <w:rsid w:val="00CB7FEA"/>
    <w:rsid w:val="00CC12B9"/>
    <w:rsid w:val="00CC72B6"/>
    <w:rsid w:val="00CD536C"/>
    <w:rsid w:val="00CF01D6"/>
    <w:rsid w:val="00CF0407"/>
    <w:rsid w:val="00CF577F"/>
    <w:rsid w:val="00D0193E"/>
    <w:rsid w:val="00D0218D"/>
    <w:rsid w:val="00D3136A"/>
    <w:rsid w:val="00D415F5"/>
    <w:rsid w:val="00D67286"/>
    <w:rsid w:val="00D705B7"/>
    <w:rsid w:val="00D87DF0"/>
    <w:rsid w:val="00DA2529"/>
    <w:rsid w:val="00DB130A"/>
    <w:rsid w:val="00DB58E9"/>
    <w:rsid w:val="00DB6750"/>
    <w:rsid w:val="00DC10A1"/>
    <w:rsid w:val="00DC655F"/>
    <w:rsid w:val="00DC7340"/>
    <w:rsid w:val="00DC7598"/>
    <w:rsid w:val="00DD7EBD"/>
    <w:rsid w:val="00DE6860"/>
    <w:rsid w:val="00DF62B6"/>
    <w:rsid w:val="00E06674"/>
    <w:rsid w:val="00E07225"/>
    <w:rsid w:val="00E1550F"/>
    <w:rsid w:val="00E20F16"/>
    <w:rsid w:val="00E364D6"/>
    <w:rsid w:val="00E5409F"/>
    <w:rsid w:val="00E9080B"/>
    <w:rsid w:val="00EA2BDD"/>
    <w:rsid w:val="00F01448"/>
    <w:rsid w:val="00F021FA"/>
    <w:rsid w:val="00F24DED"/>
    <w:rsid w:val="00F402A9"/>
    <w:rsid w:val="00F57ACA"/>
    <w:rsid w:val="00F61F0B"/>
    <w:rsid w:val="00F62E97"/>
    <w:rsid w:val="00F63EEB"/>
    <w:rsid w:val="00F64209"/>
    <w:rsid w:val="00F93BF5"/>
    <w:rsid w:val="00FA3B40"/>
    <w:rsid w:val="00FB5906"/>
    <w:rsid w:val="00FC0549"/>
    <w:rsid w:val="00F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0E3D42"/>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8B56A1"/>
    <w:pPr>
      <w:ind w:left="2880" w:hanging="2160"/>
    </w:pPr>
  </w:style>
  <w:style w:type="character" w:customStyle="1" w:styleId="BodyTextIndentChar">
    <w:name w:val="Body Text Indent Char"/>
    <w:basedOn w:val="DefaultParagraphFont"/>
    <w:link w:val="BodyTextIndent"/>
    <w:rsid w:val="008B56A1"/>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8B56A1"/>
  </w:style>
  <w:style w:type="character" w:styleId="CommentReference">
    <w:name w:val="annotation reference"/>
    <w:basedOn w:val="DefaultParagraphFont"/>
    <w:uiPriority w:val="99"/>
    <w:semiHidden/>
    <w:unhideWhenUsed/>
    <w:rsid w:val="00603D84"/>
    <w:rPr>
      <w:sz w:val="16"/>
      <w:szCs w:val="16"/>
    </w:rPr>
  </w:style>
  <w:style w:type="paragraph" w:styleId="CommentText">
    <w:name w:val="annotation text"/>
    <w:basedOn w:val="Normal"/>
    <w:link w:val="CommentTextChar"/>
    <w:uiPriority w:val="99"/>
    <w:semiHidden/>
    <w:unhideWhenUsed/>
    <w:rsid w:val="00603D84"/>
    <w:rPr>
      <w:sz w:val="20"/>
    </w:rPr>
  </w:style>
  <w:style w:type="character" w:customStyle="1" w:styleId="CommentTextChar">
    <w:name w:val="Comment Text Char"/>
    <w:basedOn w:val="DefaultParagraphFont"/>
    <w:link w:val="CommentText"/>
    <w:uiPriority w:val="99"/>
    <w:semiHidden/>
    <w:rsid w:val="00603D84"/>
    <w:rPr>
      <w:snapToGrid w:val="0"/>
      <w:kern w:val="28"/>
    </w:rPr>
  </w:style>
  <w:style w:type="paragraph" w:styleId="CommentSubject">
    <w:name w:val="annotation subject"/>
    <w:basedOn w:val="CommentText"/>
    <w:next w:val="CommentText"/>
    <w:link w:val="CommentSubjectChar"/>
    <w:uiPriority w:val="99"/>
    <w:semiHidden/>
    <w:unhideWhenUsed/>
    <w:rsid w:val="00603D84"/>
    <w:rPr>
      <w:b/>
      <w:bCs/>
    </w:rPr>
  </w:style>
  <w:style w:type="character" w:customStyle="1" w:styleId="CommentSubjectChar">
    <w:name w:val="Comment Subject Char"/>
    <w:basedOn w:val="CommentTextChar"/>
    <w:link w:val="CommentSubject"/>
    <w:uiPriority w:val="99"/>
    <w:semiHidden/>
    <w:rsid w:val="00603D84"/>
    <w:rPr>
      <w:b/>
      <w:bCs/>
      <w:snapToGrid w:val="0"/>
      <w:kern w:val="28"/>
    </w:rPr>
  </w:style>
  <w:style w:type="paragraph" w:styleId="BalloonText">
    <w:name w:val="Balloon Text"/>
    <w:basedOn w:val="Normal"/>
    <w:link w:val="BalloonTextChar"/>
    <w:uiPriority w:val="99"/>
    <w:semiHidden/>
    <w:unhideWhenUsed/>
    <w:rsid w:val="00603D84"/>
    <w:rPr>
      <w:rFonts w:ascii="Tahoma" w:hAnsi="Tahoma" w:cs="Tahoma"/>
      <w:sz w:val="16"/>
      <w:szCs w:val="16"/>
    </w:rPr>
  </w:style>
  <w:style w:type="character" w:customStyle="1" w:styleId="BalloonTextChar">
    <w:name w:val="Balloon Text Char"/>
    <w:basedOn w:val="DefaultParagraphFont"/>
    <w:link w:val="BalloonText"/>
    <w:uiPriority w:val="99"/>
    <w:semiHidden/>
    <w:rsid w:val="00603D84"/>
    <w:rPr>
      <w:rFonts w:ascii="Tahoma" w:hAnsi="Tahoma" w:cs="Tahoma"/>
      <w:snapToGrid w:val="0"/>
      <w:kern w:val="28"/>
      <w:sz w:val="16"/>
      <w:szCs w:val="16"/>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F01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0E3D42"/>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8B56A1"/>
    <w:pPr>
      <w:ind w:left="2880" w:hanging="2160"/>
    </w:pPr>
  </w:style>
  <w:style w:type="character" w:customStyle="1" w:styleId="BodyTextIndentChar">
    <w:name w:val="Body Text Indent Char"/>
    <w:basedOn w:val="DefaultParagraphFont"/>
    <w:link w:val="BodyTextIndent"/>
    <w:rsid w:val="008B56A1"/>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8B56A1"/>
  </w:style>
  <w:style w:type="character" w:styleId="CommentReference">
    <w:name w:val="annotation reference"/>
    <w:basedOn w:val="DefaultParagraphFont"/>
    <w:uiPriority w:val="99"/>
    <w:semiHidden/>
    <w:unhideWhenUsed/>
    <w:rsid w:val="00603D84"/>
    <w:rPr>
      <w:sz w:val="16"/>
      <w:szCs w:val="16"/>
    </w:rPr>
  </w:style>
  <w:style w:type="paragraph" w:styleId="CommentText">
    <w:name w:val="annotation text"/>
    <w:basedOn w:val="Normal"/>
    <w:link w:val="CommentTextChar"/>
    <w:uiPriority w:val="99"/>
    <w:semiHidden/>
    <w:unhideWhenUsed/>
    <w:rsid w:val="00603D84"/>
    <w:rPr>
      <w:sz w:val="20"/>
    </w:rPr>
  </w:style>
  <w:style w:type="character" w:customStyle="1" w:styleId="CommentTextChar">
    <w:name w:val="Comment Text Char"/>
    <w:basedOn w:val="DefaultParagraphFont"/>
    <w:link w:val="CommentText"/>
    <w:uiPriority w:val="99"/>
    <w:semiHidden/>
    <w:rsid w:val="00603D84"/>
    <w:rPr>
      <w:snapToGrid w:val="0"/>
      <w:kern w:val="28"/>
    </w:rPr>
  </w:style>
  <w:style w:type="paragraph" w:styleId="CommentSubject">
    <w:name w:val="annotation subject"/>
    <w:basedOn w:val="CommentText"/>
    <w:next w:val="CommentText"/>
    <w:link w:val="CommentSubjectChar"/>
    <w:uiPriority w:val="99"/>
    <w:semiHidden/>
    <w:unhideWhenUsed/>
    <w:rsid w:val="00603D84"/>
    <w:rPr>
      <w:b/>
      <w:bCs/>
    </w:rPr>
  </w:style>
  <w:style w:type="character" w:customStyle="1" w:styleId="CommentSubjectChar">
    <w:name w:val="Comment Subject Char"/>
    <w:basedOn w:val="CommentTextChar"/>
    <w:link w:val="CommentSubject"/>
    <w:uiPriority w:val="99"/>
    <w:semiHidden/>
    <w:rsid w:val="00603D84"/>
    <w:rPr>
      <w:b/>
      <w:bCs/>
      <w:snapToGrid w:val="0"/>
      <w:kern w:val="28"/>
    </w:rPr>
  </w:style>
  <w:style w:type="paragraph" w:styleId="BalloonText">
    <w:name w:val="Balloon Text"/>
    <w:basedOn w:val="Normal"/>
    <w:link w:val="BalloonTextChar"/>
    <w:uiPriority w:val="99"/>
    <w:semiHidden/>
    <w:unhideWhenUsed/>
    <w:rsid w:val="00603D84"/>
    <w:rPr>
      <w:rFonts w:ascii="Tahoma" w:hAnsi="Tahoma" w:cs="Tahoma"/>
      <w:sz w:val="16"/>
      <w:szCs w:val="16"/>
    </w:rPr>
  </w:style>
  <w:style w:type="character" w:customStyle="1" w:styleId="BalloonTextChar">
    <w:name w:val="Balloon Text Char"/>
    <w:basedOn w:val="DefaultParagraphFont"/>
    <w:link w:val="BalloonText"/>
    <w:uiPriority w:val="99"/>
    <w:semiHidden/>
    <w:rsid w:val="00603D84"/>
    <w:rPr>
      <w:rFonts w:ascii="Tahoma" w:hAnsi="Tahoma" w:cs="Tahoma"/>
      <w:snapToGrid w:val="0"/>
      <w:kern w:val="28"/>
      <w:sz w:val="16"/>
      <w:szCs w:val="16"/>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F0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9704">
      <w:bodyDiv w:val="1"/>
      <w:marLeft w:val="0"/>
      <w:marRight w:val="0"/>
      <w:marTop w:val="0"/>
      <w:marBottom w:val="0"/>
      <w:divBdr>
        <w:top w:val="none" w:sz="0" w:space="0" w:color="auto"/>
        <w:left w:val="none" w:sz="0" w:space="0" w:color="auto"/>
        <w:bottom w:val="none" w:sz="0" w:space="0" w:color="auto"/>
        <w:right w:val="none" w:sz="0" w:space="0" w:color="auto"/>
      </w:divBdr>
    </w:div>
    <w:div w:id="15633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7/" TargetMode="External"/><Relationship Id="rId13" Type="http://schemas.openxmlformats.org/officeDocument/2006/relationships/hyperlink" Target="http://www.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coresWeb/publicHome.do" TargetMode="External"/><Relationship Id="rId5" Type="http://schemas.openxmlformats.org/officeDocument/2006/relationships/webSettings" Target="webSettings.xml"/><Relationship Id="rId15" Type="http://schemas.openxmlformats.org/officeDocument/2006/relationships/hyperlink" Target="http://wireless.fcc.gov/uls/index.htm?job=home" TargetMode="External"/><Relationship Id="rId23" Type="http://schemas.openxmlformats.org/officeDocument/2006/relationships/theme" Target="theme/theme1.xml"/><Relationship Id="rId10" Type="http://schemas.openxmlformats.org/officeDocument/2006/relationships/hyperlink" Target="https://auctionfiling.fcc.gov/form175/search175/index.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uctions.fcc.gov/" TargetMode="External"/><Relationship Id="rId14" Type="http://schemas.openxmlformats.org/officeDocument/2006/relationships/hyperlink" Target="http://wireless.fcc.gov/auc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3678</Words>
  <Characters>19520</Characters>
  <Application>Microsoft Office Word</Application>
  <DocSecurity>0</DocSecurity>
  <Lines>328</Lines>
  <Paragraphs>118</Paragraphs>
  <ScaleCrop>false</ScaleCrop>
  <Manager/>
  <Company/>
  <LinksUpToDate>false</LinksUpToDate>
  <CharactersWithSpaces>23202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2015-01-30T17:18:00Z</dcterms:created>
  <dcterms:modified xsi:type="dcterms:W3CDTF">2015-01-30T17:18:00Z</dcterms:modified>
  <cp:category> </cp:category>
  <cp:contentStatus> </cp:contentStatus>
</cp:coreProperties>
</file>