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29" w:rsidRDefault="00730029">
      <w:pPr>
        <w:pStyle w:val="Title"/>
        <w:rPr>
          <w:szCs w:val="22"/>
        </w:rPr>
      </w:pPr>
      <w:bookmarkStart w:id="0" w:name="_GoBack"/>
      <w:bookmarkEnd w:id="0"/>
      <w:r w:rsidRPr="00287F04">
        <w:rPr>
          <w:szCs w:val="22"/>
        </w:rPr>
        <w:t xml:space="preserve">ATTACHMENT </w:t>
      </w:r>
      <w:r w:rsidR="007241DD">
        <w:rPr>
          <w:szCs w:val="22"/>
        </w:rPr>
        <w:t>D</w:t>
      </w:r>
    </w:p>
    <w:p w:rsidR="00730029" w:rsidRDefault="00730029">
      <w:pPr>
        <w:pStyle w:val="Title"/>
        <w:rPr>
          <w:rFonts w:ascii="Times New Roman Bold" w:hAnsi="Times New Roman Bold"/>
          <w:b w:val="0"/>
          <w:smallCaps w:val="0"/>
          <w:szCs w:val="22"/>
        </w:rPr>
      </w:pPr>
      <w:r>
        <w:rPr>
          <w:rFonts w:ascii="Times New Roman Bold" w:hAnsi="Times New Roman Bold"/>
          <w:smallCaps w:val="0"/>
          <w:szCs w:val="22"/>
        </w:rPr>
        <w:t>INSTRUCTIONS FOR COMPLETING FCC FORM 601 AND FCC FORM 602</w:t>
      </w:r>
    </w:p>
    <w:p w:rsidR="00730029" w:rsidRDefault="00730029">
      <w:pPr>
        <w:tabs>
          <w:tab w:val="left" w:pos="-720"/>
        </w:tabs>
        <w:suppressAutoHyphens/>
        <w:rPr>
          <w:szCs w:val="22"/>
        </w:rPr>
      </w:pPr>
    </w:p>
    <w:p w:rsidR="005A3466" w:rsidRDefault="00730029">
      <w:r>
        <w:t xml:space="preserve">This attachment contains instructions </w:t>
      </w:r>
      <w:r w:rsidRPr="004A521C">
        <w:t>for filing FCC</w:t>
      </w:r>
      <w:r>
        <w:t xml:space="preserve"> Form 601, Application for Wireless Telecommunications Bureau Radio Service Authorization, including Schedule B for Geographically Licensed Services (FCC Form 601), and the FCC Form 602, FCC Ownership Disclosure Information for the Wireless Telecommunications Services (FCC Form 602).</w:t>
      </w:r>
    </w:p>
    <w:p w:rsidR="005A3466" w:rsidRDefault="005A3466"/>
    <w:p w:rsidR="00730029" w:rsidRPr="00E30503" w:rsidRDefault="005A3466">
      <w:r>
        <w:t xml:space="preserve">The Commission’s rules require that within ten </w:t>
      </w:r>
      <w:r w:rsidR="004C15A9">
        <w:t xml:space="preserve">(10) </w:t>
      </w:r>
      <w:r>
        <w:t xml:space="preserve">business days after the release of this Public Notice, in this case by </w:t>
      </w:r>
      <w:r w:rsidR="002D54B2">
        <w:rPr>
          <w:b/>
        </w:rPr>
        <w:t>6:00 p.m. Eastern Time (ET) on</w:t>
      </w:r>
      <w:r w:rsidR="002A08D0">
        <w:rPr>
          <w:b/>
        </w:rPr>
        <w:t xml:space="preserve"> </w:t>
      </w:r>
      <w:r w:rsidR="006F64AF">
        <w:rPr>
          <w:b/>
        </w:rPr>
        <w:t>February 13, 2015</w:t>
      </w:r>
      <w:r w:rsidR="007D1B55" w:rsidRPr="002525A5">
        <w:rPr>
          <w:b/>
        </w:rPr>
        <w:t>,</w:t>
      </w:r>
      <w:r w:rsidR="002D54B2" w:rsidRPr="002525A5">
        <w:t xml:space="preserve"> each</w:t>
      </w:r>
      <w:r w:rsidR="002D54B2" w:rsidRPr="000C0265">
        <w:t xml:space="preserve"> winning bidder must electronically file its FCC Forms 601 and 602.</w:t>
      </w:r>
      <w:r w:rsidR="008D5FB8">
        <w:rPr>
          <w:rStyle w:val="FootnoteReference"/>
        </w:rPr>
        <w:footnoteReference w:id="1"/>
      </w:r>
    </w:p>
    <w:p w:rsidR="002D54B2" w:rsidRPr="002D54B2" w:rsidRDefault="002D54B2"/>
    <w:p w:rsidR="00730029" w:rsidRPr="00291E21" w:rsidRDefault="00730029">
      <w:pPr>
        <w:spacing w:after="120"/>
      </w:pPr>
      <w:r w:rsidRPr="00291E21">
        <w:t xml:space="preserve">Most of the information provided on </w:t>
      </w:r>
      <w:r w:rsidR="00542481" w:rsidRPr="00291E21">
        <w:t>a winning bidder’s</w:t>
      </w:r>
      <w:r w:rsidRPr="00291E21">
        <w:t xml:space="preserve"> short-form application (FCC Form 175) will be pre-filled</w:t>
      </w:r>
      <w:r w:rsidR="008C7B69" w:rsidRPr="00291E21">
        <w:t xml:space="preserve"> </w:t>
      </w:r>
      <w:r w:rsidRPr="00291E21">
        <w:t xml:space="preserve">to </w:t>
      </w:r>
      <w:r w:rsidR="00542481" w:rsidRPr="00291E21">
        <w:t>its long-form application</w:t>
      </w:r>
      <w:r w:rsidRPr="00291E21">
        <w:t xml:space="preserve"> </w:t>
      </w:r>
      <w:r w:rsidR="00542481" w:rsidRPr="00291E21">
        <w:t>(</w:t>
      </w:r>
      <w:r w:rsidRPr="00291E21">
        <w:t>FCC Form 601</w:t>
      </w:r>
      <w:r w:rsidR="00542481" w:rsidRPr="00291E21">
        <w:t>)</w:t>
      </w:r>
      <w:r w:rsidRPr="00291E21">
        <w:t xml:space="preserve"> in the on-line filing process, such as:  </w:t>
      </w:r>
    </w:p>
    <w:p w:rsidR="00730029" w:rsidRPr="00291E21" w:rsidRDefault="00730029">
      <w:pPr>
        <w:numPr>
          <w:ilvl w:val="0"/>
          <w:numId w:val="11"/>
        </w:numPr>
        <w:spacing w:after="120"/>
        <w:ind w:left="835"/>
      </w:pPr>
      <w:r w:rsidRPr="00291E21">
        <w:t>designated entity information, including revenue and/or bidding credit percentage information; and</w:t>
      </w:r>
      <w:r w:rsidRPr="00291E21">
        <w:rPr>
          <w:color w:val="FF6600"/>
        </w:rPr>
        <w:t xml:space="preserve"> </w:t>
      </w:r>
    </w:p>
    <w:p w:rsidR="00730029" w:rsidRPr="00291E21" w:rsidRDefault="00730029">
      <w:pPr>
        <w:numPr>
          <w:ilvl w:val="0"/>
          <w:numId w:val="11"/>
        </w:numPr>
        <w:spacing w:after="120"/>
        <w:ind w:left="835"/>
      </w:pPr>
      <w:r w:rsidRPr="00291E21">
        <w:t xml:space="preserve">agreement information submitted in the FCC Form 175, including the name of </w:t>
      </w:r>
      <w:r w:rsidR="00542481" w:rsidRPr="00291E21">
        <w:t>the</w:t>
      </w:r>
      <w:r w:rsidRPr="00291E21">
        <w:t xml:space="preserve"> parties to the agreement</w:t>
      </w:r>
      <w:r w:rsidR="00542481" w:rsidRPr="00291E21">
        <w:t>(</w:t>
      </w:r>
      <w:r w:rsidRPr="00291E21">
        <w:t>s</w:t>
      </w:r>
      <w:r w:rsidR="00542481" w:rsidRPr="00291E21">
        <w:t>)</w:t>
      </w:r>
      <w:r w:rsidRPr="00291E21">
        <w:t>.</w:t>
      </w:r>
    </w:p>
    <w:p w:rsidR="00730029" w:rsidRDefault="00730029">
      <w:r>
        <w:t>If an applicant has a</w:t>
      </w:r>
      <w:r w:rsidR="00606AD4">
        <w:t>n</w:t>
      </w:r>
      <w:r>
        <w:t xml:space="preserve"> FCC Form 602 in the Commission’s Universal Licensing System (ULS) </w:t>
      </w:r>
      <w:r w:rsidR="008D5FB8">
        <w:t>by</w:t>
      </w:r>
      <w:r>
        <w:t xml:space="preserve"> the FCC Form 601 filing deadline, </w:t>
      </w:r>
      <w:r w:rsidR="008A31C6">
        <w:t xml:space="preserve">the </w:t>
      </w:r>
      <w:r>
        <w:t>applicant</w:t>
      </w:r>
      <w:r w:rsidR="008A31C6">
        <w:t xml:space="preserve"> is</w:t>
      </w:r>
      <w:r>
        <w:t xml:space="preserve"> responsible for ensur</w:t>
      </w:r>
      <w:r w:rsidR="00C4723B">
        <w:t>ing</w:t>
      </w:r>
      <w:r>
        <w:t xml:space="preserve"> that the information on the FCC Form 602 on file with the Commission is complete and accurate.  If an applicant needs to file a new or updated FCC Form 602 to reflect </w:t>
      </w:r>
      <w:r w:rsidR="00C4723B">
        <w:t xml:space="preserve">changes to </w:t>
      </w:r>
      <w:r>
        <w:t xml:space="preserve">ownership </w:t>
      </w:r>
      <w:r w:rsidR="00C4723B">
        <w:t>information</w:t>
      </w:r>
      <w:r>
        <w:t xml:space="preserve"> submitted in the bidder’s FCC Form </w:t>
      </w:r>
      <w:r w:rsidRPr="00C10CA0">
        <w:t>175 or to make additional updates, U</w:t>
      </w:r>
      <w:r>
        <w:t>LS can pre-fill the applicable ownership information from the FCC Form 175</w:t>
      </w:r>
      <w:r w:rsidR="004A521C">
        <w:t xml:space="preserve"> into the FCC Form 602</w:t>
      </w:r>
      <w:r>
        <w:t xml:space="preserve">.  </w:t>
      </w:r>
      <w:r w:rsidRPr="002B0640">
        <w:t xml:space="preserve">Instructions for filing the FCC Form 602 are provided </w:t>
      </w:r>
      <w:r w:rsidRPr="002525A5">
        <w:t xml:space="preserve">in </w:t>
      </w:r>
      <w:r w:rsidRPr="00CC785D">
        <w:t>Section V</w:t>
      </w:r>
      <w:r w:rsidRPr="002525A5">
        <w:t xml:space="preserve"> of this</w:t>
      </w:r>
      <w:r>
        <w:t xml:space="preserve"> attachment.</w:t>
      </w:r>
    </w:p>
    <w:p w:rsidR="00726AC5" w:rsidRDefault="00726AC5"/>
    <w:p w:rsidR="00726AC5" w:rsidRDefault="00726AC5">
      <w:r w:rsidRPr="00726AC5">
        <w:t xml:space="preserve">An applicant will be able to update any information </w:t>
      </w:r>
      <w:r w:rsidR="0099788E">
        <w:t xml:space="preserve">that pre-fills </w:t>
      </w:r>
      <w:r w:rsidR="006D7ADA">
        <w:t>to</w:t>
      </w:r>
      <w:r w:rsidRPr="00726AC5">
        <w:t xml:space="preserve"> </w:t>
      </w:r>
      <w:r w:rsidR="006D7ADA">
        <w:t>its</w:t>
      </w:r>
      <w:r w:rsidRPr="00726AC5">
        <w:t xml:space="preserve"> FCC Form 601</w:t>
      </w:r>
      <w:r>
        <w:t xml:space="preserve"> and FCC Form 602</w:t>
      </w:r>
      <w:r w:rsidR="006D7ADA">
        <w:t xml:space="preserve"> and is </w:t>
      </w:r>
      <w:r w:rsidR="006D7ADA" w:rsidRPr="00726AC5">
        <w:t>responsible for ensur</w:t>
      </w:r>
      <w:r w:rsidR="00C4723B">
        <w:t>ing</w:t>
      </w:r>
      <w:r w:rsidR="006D7ADA" w:rsidRPr="00726AC5">
        <w:t xml:space="preserve"> that all information</w:t>
      </w:r>
      <w:r w:rsidR="006D7ADA">
        <w:t xml:space="preserve"> in its FCC Form 601 and FCC Form 602</w:t>
      </w:r>
      <w:r w:rsidR="006D7ADA" w:rsidRPr="00726AC5">
        <w:t xml:space="preserve">, including information </w:t>
      </w:r>
      <w:r w:rsidR="0099788E">
        <w:t>pre-filled</w:t>
      </w:r>
      <w:r w:rsidR="006D7ADA" w:rsidRPr="00726AC5">
        <w:t xml:space="preserve"> from </w:t>
      </w:r>
      <w:r w:rsidR="006D7ADA">
        <w:t>its</w:t>
      </w:r>
      <w:r w:rsidR="006D7ADA" w:rsidRPr="00726AC5">
        <w:t xml:space="preserve"> FCC Form 175 submission, is complete and accurate prior to submission.</w:t>
      </w:r>
    </w:p>
    <w:p w:rsidR="00730029" w:rsidRDefault="00730029">
      <w:pPr>
        <w:rPr>
          <w:b/>
          <w:i/>
        </w:rPr>
      </w:pPr>
    </w:p>
    <w:p w:rsidR="00730029" w:rsidRDefault="00730029">
      <w:pPr>
        <w:pStyle w:val="Heading1"/>
        <w:numPr>
          <w:ilvl w:val="0"/>
          <w:numId w:val="0"/>
        </w:numPr>
        <w:jc w:val="left"/>
        <w:rPr>
          <w:szCs w:val="22"/>
        </w:rPr>
      </w:pPr>
      <w:r>
        <w:rPr>
          <w:szCs w:val="22"/>
        </w:rPr>
        <w:t xml:space="preserve">I.  </w:t>
      </w:r>
      <w:r w:rsidR="004C3ABF">
        <w:rPr>
          <w:szCs w:val="22"/>
        </w:rPr>
        <w:tab/>
      </w:r>
      <w:r>
        <w:rPr>
          <w:szCs w:val="22"/>
        </w:rPr>
        <w:t>FCC FORM 601 GENERAL REQUIREMENTS</w:t>
      </w:r>
    </w:p>
    <w:p w:rsidR="00730029" w:rsidRDefault="008A31C6">
      <w:pPr>
        <w:rPr>
          <w:i/>
        </w:rPr>
      </w:pPr>
      <w:r>
        <w:rPr>
          <w:i/>
        </w:rPr>
        <w:t>Each a</w:t>
      </w:r>
      <w:r w:rsidR="00730029">
        <w:rPr>
          <w:i/>
        </w:rPr>
        <w:t>pplicant</w:t>
      </w:r>
      <w:r>
        <w:rPr>
          <w:i/>
        </w:rPr>
        <w:t xml:space="preserve"> is</w:t>
      </w:r>
      <w:r w:rsidR="00730029">
        <w:rPr>
          <w:i/>
        </w:rPr>
        <w:t xml:space="preserve"> strongly encouraged to use the format below to submit FCC Form 601 and exhibits to FCC Form 601 as required by the Commission’s rules.  Following this format will help expedite processing of FCC Form 601 and minimize follow-up requests for missing or clarifying information.</w:t>
      </w:r>
    </w:p>
    <w:p w:rsidR="00730029" w:rsidRDefault="00730029">
      <w:pPr>
        <w:rPr>
          <w:i/>
        </w:rPr>
      </w:pPr>
    </w:p>
    <w:p w:rsidR="00730029" w:rsidRDefault="008A31C6">
      <w:pPr>
        <w:tabs>
          <w:tab w:val="left" w:pos="-720"/>
        </w:tabs>
        <w:suppressAutoHyphens/>
        <w:rPr>
          <w:szCs w:val="22"/>
        </w:rPr>
      </w:pPr>
      <w:r>
        <w:rPr>
          <w:szCs w:val="22"/>
        </w:rPr>
        <w:t>Each a</w:t>
      </w:r>
      <w:r w:rsidR="00730029">
        <w:rPr>
          <w:szCs w:val="22"/>
        </w:rPr>
        <w:t>pplicant bear</w:t>
      </w:r>
      <w:r>
        <w:rPr>
          <w:szCs w:val="22"/>
        </w:rPr>
        <w:t>s</w:t>
      </w:r>
      <w:r w:rsidR="00730029">
        <w:rPr>
          <w:szCs w:val="22"/>
        </w:rPr>
        <w:t xml:space="preserve"> full responsibility for</w:t>
      </w:r>
      <w:r>
        <w:rPr>
          <w:szCs w:val="22"/>
        </w:rPr>
        <w:t xml:space="preserve"> the</w:t>
      </w:r>
      <w:r w:rsidR="00730029">
        <w:rPr>
          <w:szCs w:val="22"/>
        </w:rPr>
        <w:t xml:space="preserve"> </w:t>
      </w:r>
      <w:r>
        <w:rPr>
          <w:szCs w:val="22"/>
        </w:rPr>
        <w:t xml:space="preserve">timely and complete </w:t>
      </w:r>
      <w:r w:rsidR="00730029">
        <w:rPr>
          <w:szCs w:val="22"/>
        </w:rPr>
        <w:t>submission of</w:t>
      </w:r>
      <w:r>
        <w:rPr>
          <w:szCs w:val="22"/>
        </w:rPr>
        <w:t xml:space="preserve"> its</w:t>
      </w:r>
      <w:r w:rsidR="00730029">
        <w:rPr>
          <w:szCs w:val="22"/>
        </w:rPr>
        <w:t xml:space="preserve"> </w:t>
      </w:r>
      <w:r>
        <w:rPr>
          <w:szCs w:val="22"/>
        </w:rPr>
        <w:t xml:space="preserve">long-form </w:t>
      </w:r>
      <w:r w:rsidR="00730029">
        <w:rPr>
          <w:szCs w:val="22"/>
        </w:rPr>
        <w:t>application</w:t>
      </w:r>
      <w:r>
        <w:rPr>
          <w:szCs w:val="22"/>
        </w:rPr>
        <w:t xml:space="preserve"> (FCC Form 601)</w:t>
      </w:r>
      <w:r w:rsidR="00730029">
        <w:rPr>
          <w:szCs w:val="22"/>
        </w:rPr>
        <w:t xml:space="preserve">.  </w:t>
      </w:r>
      <w:r>
        <w:rPr>
          <w:szCs w:val="22"/>
        </w:rPr>
        <w:t>Each a</w:t>
      </w:r>
      <w:r w:rsidR="00730029">
        <w:rPr>
          <w:szCs w:val="22"/>
        </w:rPr>
        <w:t xml:space="preserve">pplicant should read the instructions on the FCC Form 601 carefully and should consult the Commission’s rules to ensure that, in addition to the materials described below, all </w:t>
      </w:r>
      <w:r w:rsidR="00606AD4">
        <w:rPr>
          <w:szCs w:val="22"/>
        </w:rPr>
        <w:t xml:space="preserve">of </w:t>
      </w:r>
      <w:r w:rsidR="00730029">
        <w:rPr>
          <w:szCs w:val="22"/>
        </w:rPr>
        <w:t xml:space="preserve">the information that is required under the rules is included with </w:t>
      </w:r>
      <w:r>
        <w:rPr>
          <w:szCs w:val="22"/>
        </w:rPr>
        <w:t>its</w:t>
      </w:r>
      <w:r w:rsidR="00730029">
        <w:rPr>
          <w:szCs w:val="22"/>
        </w:rPr>
        <w:t xml:space="preserve"> </w:t>
      </w:r>
      <w:r>
        <w:rPr>
          <w:szCs w:val="22"/>
        </w:rPr>
        <w:t xml:space="preserve">long-form </w:t>
      </w:r>
      <w:r w:rsidR="00730029">
        <w:rPr>
          <w:szCs w:val="22"/>
        </w:rPr>
        <w:t xml:space="preserve">application.  Each applicant is </w:t>
      </w:r>
      <w:r>
        <w:rPr>
          <w:szCs w:val="22"/>
        </w:rPr>
        <w:t xml:space="preserve">also </w:t>
      </w:r>
      <w:r w:rsidR="00730029">
        <w:rPr>
          <w:szCs w:val="22"/>
        </w:rPr>
        <w:t xml:space="preserve">responsible for the continuing accuracy and completeness of information furnished in </w:t>
      </w:r>
      <w:r>
        <w:rPr>
          <w:szCs w:val="22"/>
        </w:rPr>
        <w:t>its</w:t>
      </w:r>
      <w:r w:rsidR="00730029">
        <w:rPr>
          <w:szCs w:val="22"/>
        </w:rPr>
        <w:t xml:space="preserve"> pending application.</w:t>
      </w:r>
      <w:r w:rsidR="00AB2107">
        <w:rPr>
          <w:rStyle w:val="FootnoteReference"/>
          <w:szCs w:val="22"/>
        </w:rPr>
        <w:footnoteReference w:id="2"/>
      </w:r>
      <w:r w:rsidR="00730029">
        <w:rPr>
          <w:szCs w:val="22"/>
        </w:rPr>
        <w:t xml:space="preserve">  </w:t>
      </w:r>
      <w:r w:rsidR="00730029" w:rsidRPr="008A31C6">
        <w:rPr>
          <w:szCs w:val="22"/>
        </w:rPr>
        <w:t>Incomplete or defective applications may be returned to the applicant.</w:t>
      </w:r>
      <w:r w:rsidR="00AB2107">
        <w:rPr>
          <w:rStyle w:val="FootnoteReference"/>
          <w:szCs w:val="22"/>
        </w:rPr>
        <w:footnoteReference w:id="3"/>
      </w:r>
      <w:r w:rsidR="00730029" w:rsidRPr="008A31C6">
        <w:rPr>
          <w:szCs w:val="22"/>
        </w:rPr>
        <w:t xml:space="preserve">  </w:t>
      </w:r>
    </w:p>
    <w:p w:rsidR="00730029" w:rsidRDefault="00730029">
      <w:pPr>
        <w:tabs>
          <w:tab w:val="left" w:pos="-720"/>
        </w:tabs>
        <w:suppressAutoHyphens/>
        <w:rPr>
          <w:szCs w:val="22"/>
        </w:rPr>
      </w:pPr>
    </w:p>
    <w:p w:rsidR="00730029" w:rsidRDefault="00730029">
      <w:pPr>
        <w:rPr>
          <w:szCs w:val="22"/>
        </w:rPr>
      </w:pPr>
      <w:r>
        <w:rPr>
          <w:szCs w:val="22"/>
        </w:rPr>
        <w:t>A</w:t>
      </w:r>
      <w:r w:rsidR="008A31C6">
        <w:rPr>
          <w:szCs w:val="22"/>
        </w:rPr>
        <w:t xml:space="preserve"> winning bidder</w:t>
      </w:r>
      <w:r>
        <w:rPr>
          <w:szCs w:val="22"/>
        </w:rPr>
        <w:t xml:space="preserve"> must file </w:t>
      </w:r>
      <w:r w:rsidR="008A31C6">
        <w:rPr>
          <w:szCs w:val="22"/>
        </w:rPr>
        <w:t xml:space="preserve">its </w:t>
      </w:r>
      <w:r>
        <w:rPr>
          <w:szCs w:val="22"/>
        </w:rPr>
        <w:t>FCC Form 601 electronically</w:t>
      </w:r>
      <w:r w:rsidR="008A31C6">
        <w:rPr>
          <w:szCs w:val="22"/>
        </w:rPr>
        <w:t xml:space="preserve"> </w:t>
      </w:r>
      <w:r w:rsidR="008D5FB8">
        <w:rPr>
          <w:szCs w:val="22"/>
        </w:rPr>
        <w:t>by</w:t>
      </w:r>
      <w:r>
        <w:rPr>
          <w:szCs w:val="22"/>
        </w:rPr>
        <w:t xml:space="preserve"> </w:t>
      </w:r>
      <w:r>
        <w:rPr>
          <w:b/>
          <w:szCs w:val="22"/>
        </w:rPr>
        <w:t>6:00 p.m. Eastern Time (ET) on</w:t>
      </w:r>
      <w:r w:rsidR="006F64AF">
        <w:rPr>
          <w:b/>
          <w:szCs w:val="22"/>
        </w:rPr>
        <w:t xml:space="preserve"> February 13, 2015</w:t>
      </w:r>
      <w:r w:rsidR="008A31C6" w:rsidRPr="002525A5">
        <w:rPr>
          <w:szCs w:val="22"/>
        </w:rPr>
        <w:t xml:space="preserve">. </w:t>
      </w:r>
      <w:r w:rsidRPr="002525A5">
        <w:rPr>
          <w:szCs w:val="22"/>
        </w:rPr>
        <w:t xml:space="preserve"> </w:t>
      </w:r>
      <w:r w:rsidR="008A31C6" w:rsidRPr="002525A5">
        <w:rPr>
          <w:szCs w:val="22"/>
        </w:rPr>
        <w:t>An</w:t>
      </w:r>
      <w:r w:rsidR="008A31C6">
        <w:rPr>
          <w:szCs w:val="22"/>
        </w:rPr>
        <w:t xml:space="preserve"> applicant that fails to submit a long-form application by this deadline </w:t>
      </w:r>
      <w:r>
        <w:rPr>
          <w:szCs w:val="22"/>
        </w:rPr>
        <w:t xml:space="preserve">and fails to establish good cause for any late-filed submissions shall be deemed to have defaulted and will be subject to the default payments set forth in </w:t>
      </w:r>
      <w:r w:rsidR="008A31C6">
        <w:rPr>
          <w:szCs w:val="22"/>
        </w:rPr>
        <w:t>s</w:t>
      </w:r>
      <w:r>
        <w:rPr>
          <w:szCs w:val="22"/>
        </w:rPr>
        <w:t>ection 1.2104(g) of the Commission’s rules.</w:t>
      </w:r>
      <w:r w:rsidR="00AB2107">
        <w:rPr>
          <w:rStyle w:val="FootnoteReference"/>
          <w:szCs w:val="22"/>
        </w:rPr>
        <w:footnoteReference w:id="4"/>
      </w:r>
    </w:p>
    <w:p w:rsidR="00730029" w:rsidRDefault="00730029">
      <w:pPr>
        <w:rPr>
          <w:szCs w:val="22"/>
        </w:rPr>
      </w:pPr>
    </w:p>
    <w:p w:rsidR="00730029" w:rsidRDefault="00730029">
      <w:pPr>
        <w:rPr>
          <w:szCs w:val="22"/>
        </w:rPr>
      </w:pPr>
      <w:r>
        <w:rPr>
          <w:b/>
          <w:szCs w:val="22"/>
        </w:rPr>
        <w:t>Number of Forms To Be Filed.</w:t>
      </w:r>
      <w:r>
        <w:rPr>
          <w:szCs w:val="22"/>
        </w:rPr>
        <w:t xml:space="preserve">  A</w:t>
      </w:r>
      <w:r w:rsidR="008A31C6">
        <w:rPr>
          <w:szCs w:val="22"/>
        </w:rPr>
        <w:t>n a</w:t>
      </w:r>
      <w:r>
        <w:rPr>
          <w:szCs w:val="22"/>
        </w:rPr>
        <w:t xml:space="preserve">pplicant applying for multiple licenses may submit </w:t>
      </w:r>
      <w:r w:rsidR="006115CB">
        <w:rPr>
          <w:szCs w:val="22"/>
        </w:rPr>
        <w:t xml:space="preserve">a single </w:t>
      </w:r>
      <w:r>
        <w:rPr>
          <w:szCs w:val="22"/>
        </w:rPr>
        <w:t xml:space="preserve">FCC Form 601 (including all required schedules, attachments, and exhibits) if </w:t>
      </w:r>
      <w:r>
        <w:rPr>
          <w:i/>
          <w:szCs w:val="22"/>
        </w:rPr>
        <w:t>all</w:t>
      </w:r>
      <w:r>
        <w:rPr>
          <w:szCs w:val="22"/>
        </w:rPr>
        <w:t xml:space="preserve"> filing requirements associated with the application are identical </w:t>
      </w:r>
      <w:r>
        <w:rPr>
          <w:i/>
          <w:szCs w:val="22"/>
        </w:rPr>
        <w:t xml:space="preserve">except </w:t>
      </w:r>
      <w:r>
        <w:rPr>
          <w:szCs w:val="22"/>
        </w:rPr>
        <w:t xml:space="preserve">for the market designator(s) and market names(s).  </w:t>
      </w:r>
      <w:r w:rsidR="00D03157">
        <w:rPr>
          <w:szCs w:val="22"/>
        </w:rPr>
        <w:t>Ordinarily, a</w:t>
      </w:r>
      <w:r w:rsidR="009D299A" w:rsidRPr="00C514BA">
        <w:rPr>
          <w:szCs w:val="22"/>
        </w:rPr>
        <w:t>n applicant must</w:t>
      </w:r>
      <w:r w:rsidR="009D299A">
        <w:rPr>
          <w:szCs w:val="22"/>
        </w:rPr>
        <w:t xml:space="preserve"> </w:t>
      </w:r>
      <w:r w:rsidR="009D299A" w:rsidRPr="00C514BA">
        <w:rPr>
          <w:szCs w:val="22"/>
        </w:rPr>
        <w:t xml:space="preserve">file a separate FCC Form 601 for licenses in each radio service code. </w:t>
      </w:r>
      <w:r w:rsidR="009D299A">
        <w:rPr>
          <w:szCs w:val="22"/>
        </w:rPr>
        <w:t xml:space="preserve"> </w:t>
      </w:r>
      <w:r w:rsidR="00355793">
        <w:rPr>
          <w:szCs w:val="22"/>
        </w:rPr>
        <w:t>H</w:t>
      </w:r>
      <w:r w:rsidR="00115E31">
        <w:rPr>
          <w:szCs w:val="22"/>
        </w:rPr>
        <w:t xml:space="preserve">owever, </w:t>
      </w:r>
      <w:r w:rsidR="00355793">
        <w:rPr>
          <w:szCs w:val="22"/>
        </w:rPr>
        <w:t xml:space="preserve">because all of </w:t>
      </w:r>
      <w:r w:rsidR="009D299A" w:rsidRPr="00C514BA">
        <w:rPr>
          <w:szCs w:val="22"/>
        </w:rPr>
        <w:t>licenses</w:t>
      </w:r>
      <w:r w:rsidR="009D299A">
        <w:rPr>
          <w:szCs w:val="22"/>
        </w:rPr>
        <w:t xml:space="preserve"> </w:t>
      </w:r>
      <w:r w:rsidR="009D299A" w:rsidRPr="00C514BA">
        <w:rPr>
          <w:szCs w:val="22"/>
        </w:rPr>
        <w:t xml:space="preserve">available in </w:t>
      </w:r>
      <w:r w:rsidR="00355793">
        <w:rPr>
          <w:szCs w:val="22"/>
        </w:rPr>
        <w:t>Auction 9</w:t>
      </w:r>
      <w:r w:rsidR="002A08D0">
        <w:rPr>
          <w:szCs w:val="22"/>
        </w:rPr>
        <w:t>7</w:t>
      </w:r>
      <w:r w:rsidR="00355793">
        <w:rPr>
          <w:szCs w:val="22"/>
        </w:rPr>
        <w:t xml:space="preserve"> are in one</w:t>
      </w:r>
      <w:r w:rsidR="009D299A" w:rsidRPr="00C514BA">
        <w:rPr>
          <w:szCs w:val="22"/>
        </w:rPr>
        <w:t xml:space="preserve"> radio </w:t>
      </w:r>
      <w:r w:rsidR="009D299A">
        <w:rPr>
          <w:szCs w:val="22"/>
        </w:rPr>
        <w:t>service</w:t>
      </w:r>
      <w:r w:rsidR="00355793">
        <w:rPr>
          <w:szCs w:val="22"/>
        </w:rPr>
        <w:t xml:space="preserve"> – </w:t>
      </w:r>
      <w:r w:rsidR="00085C57">
        <w:rPr>
          <w:szCs w:val="22"/>
        </w:rPr>
        <w:t>AT</w:t>
      </w:r>
      <w:r w:rsidR="00355793">
        <w:rPr>
          <w:szCs w:val="22"/>
        </w:rPr>
        <w:t xml:space="preserve"> – an applicant can file a single FCC Form 601 for all licenses for which it is the winning bidder in Auction 9</w:t>
      </w:r>
      <w:r w:rsidR="002A08D0">
        <w:rPr>
          <w:szCs w:val="22"/>
        </w:rPr>
        <w:t>7</w:t>
      </w:r>
      <w:r w:rsidR="009D299A">
        <w:rPr>
          <w:szCs w:val="22"/>
        </w:rPr>
        <w:t>.</w:t>
      </w:r>
      <w:r w:rsidR="009D299A" w:rsidRPr="00C514BA">
        <w:rPr>
          <w:szCs w:val="22"/>
        </w:rPr>
        <w:t xml:space="preserve"> </w:t>
      </w:r>
      <w:r w:rsidR="009D299A">
        <w:rPr>
          <w:szCs w:val="22"/>
        </w:rPr>
        <w:t xml:space="preserve"> </w:t>
      </w:r>
      <w:r w:rsidR="00D03157">
        <w:rPr>
          <w:szCs w:val="22"/>
        </w:rPr>
        <w:t>A</w:t>
      </w:r>
      <w:r>
        <w:rPr>
          <w:szCs w:val="22"/>
        </w:rPr>
        <w:t xml:space="preserve">n applicant seeking </w:t>
      </w:r>
      <w:r w:rsidR="00355793">
        <w:rPr>
          <w:szCs w:val="22"/>
        </w:rPr>
        <w:t xml:space="preserve">a </w:t>
      </w:r>
      <w:r>
        <w:rPr>
          <w:szCs w:val="22"/>
        </w:rPr>
        <w:t xml:space="preserve">tribal lands bidding credit in one or more markets, but not all markets, </w:t>
      </w:r>
      <w:r w:rsidR="00355793">
        <w:rPr>
          <w:szCs w:val="22"/>
        </w:rPr>
        <w:t>should</w:t>
      </w:r>
      <w:r>
        <w:rPr>
          <w:szCs w:val="22"/>
        </w:rPr>
        <w:t xml:space="preserve"> submit two </w:t>
      </w:r>
      <w:r w:rsidR="00355793">
        <w:rPr>
          <w:szCs w:val="22"/>
        </w:rPr>
        <w:t xml:space="preserve">separate </w:t>
      </w:r>
      <w:r>
        <w:rPr>
          <w:szCs w:val="22"/>
        </w:rPr>
        <w:t xml:space="preserve">applications in order to </w:t>
      </w:r>
      <w:r w:rsidR="00355793">
        <w:rPr>
          <w:szCs w:val="22"/>
        </w:rPr>
        <w:t>distinguish</w:t>
      </w:r>
      <w:r>
        <w:rPr>
          <w:szCs w:val="22"/>
        </w:rPr>
        <w:t xml:space="preserve"> those markets in which the applicant intends to apply for a tribal lands bidding credit from those markets in which the applicant is not seeking tribal lands bidding credit</w:t>
      </w:r>
      <w:r w:rsidR="00D03157">
        <w:rPr>
          <w:szCs w:val="22"/>
        </w:rPr>
        <w:t xml:space="preserve"> (see Section IV., “Instructions for Applicants Seeking Tribal Lands Bidding Credits,” below)</w:t>
      </w:r>
      <w:r>
        <w:rPr>
          <w:szCs w:val="22"/>
        </w:rPr>
        <w:t>.</w:t>
      </w:r>
    </w:p>
    <w:p w:rsidR="00EA48A5" w:rsidRDefault="00EA48A5">
      <w:pPr>
        <w:rPr>
          <w:szCs w:val="22"/>
        </w:rPr>
      </w:pPr>
    </w:p>
    <w:p w:rsidR="00730029" w:rsidRDefault="00730029">
      <w:pPr>
        <w:rPr>
          <w:i/>
          <w:szCs w:val="22"/>
        </w:rPr>
      </w:pPr>
      <w:r>
        <w:rPr>
          <w:szCs w:val="22"/>
        </w:rPr>
        <w:t xml:space="preserve">The </w:t>
      </w:r>
      <w:r>
        <w:rPr>
          <w:i/>
          <w:szCs w:val="22"/>
        </w:rPr>
        <w:t xml:space="preserve">CSEA/Part 1 Report and Order </w:t>
      </w:r>
      <w:r>
        <w:rPr>
          <w:szCs w:val="22"/>
        </w:rPr>
        <w:t xml:space="preserve">modified the procedures by which a </w:t>
      </w:r>
      <w:r w:rsidR="004A3067">
        <w:rPr>
          <w:szCs w:val="22"/>
        </w:rPr>
        <w:t xml:space="preserve">winning bidder </w:t>
      </w:r>
      <w:r>
        <w:rPr>
          <w:szCs w:val="22"/>
        </w:rPr>
        <w:t xml:space="preserve">that is a </w:t>
      </w:r>
      <w:r w:rsidR="004A3067">
        <w:rPr>
          <w:szCs w:val="22"/>
        </w:rPr>
        <w:t xml:space="preserve">consortium </w:t>
      </w:r>
      <w:r>
        <w:rPr>
          <w:szCs w:val="22"/>
        </w:rPr>
        <w:t>applies for a license.</w:t>
      </w:r>
      <w:r>
        <w:rPr>
          <w:rStyle w:val="FootnoteReference"/>
          <w:szCs w:val="22"/>
        </w:rPr>
        <w:footnoteReference w:id="5"/>
      </w:r>
      <w:r>
        <w:rPr>
          <w:szCs w:val="22"/>
        </w:rPr>
        <w:t xml:space="preserve">  In particular, (a) each member or group of members of a winning consortium seeking separate licenses will be required to file a separate FCC Form 601 for its/their respective license(s) and, in the case of a license to be partitioned or disaggregated, the member or group filing the applicable FCC Form 601 shall provide the parties’ partitioning or disaggregation agreement </w:t>
      </w:r>
      <w:r w:rsidR="008A31C6">
        <w:rPr>
          <w:szCs w:val="22"/>
        </w:rPr>
        <w:t xml:space="preserve">with </w:t>
      </w:r>
      <w:r>
        <w:rPr>
          <w:szCs w:val="22"/>
        </w:rPr>
        <w:t xml:space="preserve">the FCC Form 601; (b) two or more consortium members seeking to be licensed together shall first form a legal business entity; and (c) any such entity must meet the applicable eligibility requirements in </w:t>
      </w:r>
      <w:r w:rsidR="008A31C6">
        <w:rPr>
          <w:szCs w:val="22"/>
        </w:rPr>
        <w:t xml:space="preserve">the Commission’s </w:t>
      </w:r>
      <w:r>
        <w:rPr>
          <w:szCs w:val="22"/>
        </w:rPr>
        <w:t>rules for small business status.</w:t>
      </w:r>
      <w:r>
        <w:rPr>
          <w:rStyle w:val="FootnoteReference"/>
          <w:szCs w:val="22"/>
        </w:rPr>
        <w:footnoteReference w:id="6"/>
      </w:r>
      <w:r>
        <w:rPr>
          <w:szCs w:val="22"/>
        </w:rPr>
        <w:t xml:space="preserve">  </w:t>
      </w:r>
      <w:r w:rsidR="008A31C6">
        <w:rPr>
          <w:szCs w:val="22"/>
        </w:rPr>
        <w:t xml:space="preserve">Each </w:t>
      </w:r>
      <w:r>
        <w:rPr>
          <w:szCs w:val="22"/>
        </w:rPr>
        <w:t>consortium member</w:t>
      </w:r>
      <w:r w:rsidR="00F80A8F">
        <w:rPr>
          <w:szCs w:val="22"/>
        </w:rPr>
        <w:t>, whether filing individually or as a member of a new entity made up of two or more members of the consortium,</w:t>
      </w:r>
      <w:r>
        <w:rPr>
          <w:szCs w:val="22"/>
        </w:rPr>
        <w:t xml:space="preserve"> must use the consortium’s FCC Registration Number (FRN) when filing </w:t>
      </w:r>
      <w:r w:rsidR="008A31C6">
        <w:rPr>
          <w:szCs w:val="22"/>
        </w:rPr>
        <w:t>its</w:t>
      </w:r>
      <w:r>
        <w:rPr>
          <w:szCs w:val="22"/>
        </w:rPr>
        <w:t xml:space="preserve"> separate FCC Form 601.</w:t>
      </w:r>
      <w:r>
        <w:rPr>
          <w:rStyle w:val="FootnoteReference"/>
          <w:szCs w:val="22"/>
        </w:rPr>
        <w:footnoteReference w:id="7"/>
      </w:r>
      <w:r>
        <w:rPr>
          <w:szCs w:val="22"/>
        </w:rPr>
        <w:t xml:space="preserve">  Within </w:t>
      </w:r>
      <w:r w:rsidR="00FD4AC0">
        <w:rPr>
          <w:szCs w:val="22"/>
        </w:rPr>
        <w:t>ten (</w:t>
      </w:r>
      <w:r>
        <w:rPr>
          <w:szCs w:val="22"/>
        </w:rPr>
        <w:t>10</w:t>
      </w:r>
      <w:r w:rsidR="00FD4AC0">
        <w:rPr>
          <w:szCs w:val="22"/>
        </w:rPr>
        <w:t>)</w:t>
      </w:r>
      <w:r>
        <w:rPr>
          <w:szCs w:val="22"/>
        </w:rPr>
        <w:t xml:space="preserve"> business days after the grant of an FCC Form 601, each licensee</w:t>
      </w:r>
      <w:r w:rsidR="00F80A8F">
        <w:rPr>
          <w:szCs w:val="22"/>
        </w:rPr>
        <w:t>, whether filing individually or as a member of a new entity made up of two or more members of the consortium,</w:t>
      </w:r>
      <w:r>
        <w:rPr>
          <w:szCs w:val="22"/>
        </w:rPr>
        <w:t xml:space="preserve"> must substitute its individual FRN for that of the consortium.</w:t>
      </w:r>
      <w:r>
        <w:rPr>
          <w:rStyle w:val="FootnoteReference"/>
          <w:szCs w:val="22"/>
        </w:rPr>
        <w:footnoteReference w:id="8"/>
      </w:r>
      <w:r>
        <w:rPr>
          <w:szCs w:val="22"/>
        </w:rPr>
        <w:t xml:space="preserve"> </w:t>
      </w:r>
    </w:p>
    <w:p w:rsidR="00730029" w:rsidRDefault="00730029">
      <w:pPr>
        <w:tabs>
          <w:tab w:val="left" w:pos="-720"/>
        </w:tabs>
        <w:suppressAutoHyphens/>
        <w:rPr>
          <w:szCs w:val="22"/>
        </w:rPr>
      </w:pPr>
    </w:p>
    <w:p w:rsidR="00730029" w:rsidRDefault="00730029">
      <w:pPr>
        <w:pStyle w:val="Heading1"/>
        <w:numPr>
          <w:ilvl w:val="0"/>
          <w:numId w:val="0"/>
        </w:numPr>
        <w:jc w:val="left"/>
        <w:rPr>
          <w:szCs w:val="22"/>
        </w:rPr>
      </w:pPr>
      <w:r>
        <w:rPr>
          <w:szCs w:val="22"/>
        </w:rPr>
        <w:t xml:space="preserve">II. </w:t>
      </w:r>
      <w:r w:rsidR="004C3ABF">
        <w:rPr>
          <w:szCs w:val="22"/>
        </w:rPr>
        <w:tab/>
      </w:r>
      <w:r>
        <w:rPr>
          <w:szCs w:val="22"/>
        </w:rPr>
        <w:t>FILING FCC FORM 601</w:t>
      </w:r>
    </w:p>
    <w:p w:rsidR="00730029" w:rsidRPr="004C3ABF" w:rsidRDefault="00730029">
      <w:pPr>
        <w:keepNext/>
        <w:keepLines/>
        <w:rPr>
          <w:b/>
          <w:szCs w:val="22"/>
          <w:u w:val="single"/>
        </w:rPr>
      </w:pPr>
      <w:r w:rsidRPr="004C3ABF">
        <w:rPr>
          <w:b/>
          <w:szCs w:val="22"/>
          <w:u w:val="single"/>
        </w:rPr>
        <w:t>Basic Guidelines for Filing FCC Form 601</w:t>
      </w:r>
    </w:p>
    <w:p w:rsidR="00730029" w:rsidRDefault="00730029">
      <w:pPr>
        <w:keepNext/>
        <w:keepLines/>
        <w:rPr>
          <w:szCs w:val="22"/>
        </w:rPr>
      </w:pPr>
    </w:p>
    <w:p w:rsidR="00730029" w:rsidRDefault="00730029">
      <w:pPr>
        <w:numPr>
          <w:ilvl w:val="0"/>
          <w:numId w:val="9"/>
        </w:numPr>
        <w:tabs>
          <w:tab w:val="clear" w:pos="360"/>
          <w:tab w:val="num" w:pos="720"/>
        </w:tabs>
        <w:ind w:left="720"/>
        <w:rPr>
          <w:szCs w:val="22"/>
        </w:rPr>
      </w:pPr>
      <w:r>
        <w:rPr>
          <w:szCs w:val="22"/>
        </w:rPr>
        <w:t xml:space="preserve">Some of the data entry fields on the </w:t>
      </w:r>
      <w:r w:rsidR="004C3ABF">
        <w:rPr>
          <w:szCs w:val="22"/>
        </w:rPr>
        <w:t>FCC Form 601</w:t>
      </w:r>
      <w:r>
        <w:rPr>
          <w:szCs w:val="22"/>
        </w:rPr>
        <w:t xml:space="preserve"> </w:t>
      </w:r>
      <w:r w:rsidR="0099788E">
        <w:rPr>
          <w:szCs w:val="22"/>
        </w:rPr>
        <w:t>will</w:t>
      </w:r>
      <w:r w:rsidR="00E069ED">
        <w:rPr>
          <w:szCs w:val="22"/>
        </w:rPr>
        <w:t xml:space="preserve"> </w:t>
      </w:r>
      <w:r>
        <w:rPr>
          <w:szCs w:val="22"/>
        </w:rPr>
        <w:t>be pre-filled</w:t>
      </w:r>
      <w:r w:rsidR="0099788E">
        <w:rPr>
          <w:szCs w:val="22"/>
        </w:rPr>
        <w:t xml:space="preserve"> </w:t>
      </w:r>
      <w:r>
        <w:rPr>
          <w:szCs w:val="22"/>
        </w:rPr>
        <w:t>with information from the FCC Form 175.</w:t>
      </w:r>
    </w:p>
    <w:p w:rsidR="00730029" w:rsidRDefault="00730029">
      <w:pPr>
        <w:keepNext/>
        <w:keepLines/>
        <w:ind w:left="2220"/>
        <w:rPr>
          <w:szCs w:val="22"/>
        </w:rPr>
      </w:pPr>
    </w:p>
    <w:p w:rsidR="00730029" w:rsidRDefault="00730029">
      <w:pPr>
        <w:numPr>
          <w:ilvl w:val="0"/>
          <w:numId w:val="9"/>
        </w:numPr>
        <w:tabs>
          <w:tab w:val="clear" w:pos="360"/>
          <w:tab w:val="num" w:pos="720"/>
        </w:tabs>
        <w:ind w:left="720"/>
        <w:rPr>
          <w:szCs w:val="22"/>
        </w:rPr>
      </w:pPr>
      <w:r>
        <w:rPr>
          <w:szCs w:val="22"/>
        </w:rPr>
        <w:t xml:space="preserve">The application consists of data entry fields as well as “yes or no” questions. You must respond to all of the questions on the application.  If you respond “Yes” to a question, you may be required to file an attachment explaining the specific circumstances (see form for specific instructions). </w:t>
      </w:r>
    </w:p>
    <w:p w:rsidR="00730029" w:rsidRDefault="00730029">
      <w:pPr>
        <w:ind w:left="720"/>
        <w:rPr>
          <w:szCs w:val="22"/>
        </w:rPr>
      </w:pPr>
    </w:p>
    <w:p w:rsidR="00730029" w:rsidRDefault="00730029">
      <w:pPr>
        <w:numPr>
          <w:ilvl w:val="0"/>
          <w:numId w:val="9"/>
        </w:numPr>
        <w:tabs>
          <w:tab w:val="clear" w:pos="360"/>
          <w:tab w:val="num" w:pos="720"/>
        </w:tabs>
        <w:ind w:left="720"/>
        <w:rPr>
          <w:szCs w:val="22"/>
        </w:rPr>
      </w:pPr>
      <w:r>
        <w:rPr>
          <w:szCs w:val="22"/>
        </w:rPr>
        <w:t xml:space="preserve">An </w:t>
      </w:r>
      <w:r w:rsidR="00AB2107">
        <w:rPr>
          <w:szCs w:val="22"/>
        </w:rPr>
        <w:t>“</w:t>
      </w:r>
      <w:r>
        <w:rPr>
          <w:szCs w:val="22"/>
        </w:rPr>
        <w:t>Attachments</w:t>
      </w:r>
      <w:r w:rsidR="00AB2107">
        <w:rPr>
          <w:szCs w:val="22"/>
        </w:rPr>
        <w:t>”</w:t>
      </w:r>
      <w:r>
        <w:rPr>
          <w:szCs w:val="22"/>
        </w:rPr>
        <w:t xml:space="preserve"> link is provided for uploading attachment files.  You are responsible for filing all required attachments. </w:t>
      </w:r>
    </w:p>
    <w:p w:rsidR="00730029" w:rsidRDefault="00730029">
      <w:pPr>
        <w:ind w:left="720"/>
        <w:rPr>
          <w:szCs w:val="22"/>
        </w:rPr>
      </w:pPr>
    </w:p>
    <w:p w:rsidR="00730029" w:rsidRPr="002525A5" w:rsidRDefault="00730029">
      <w:pPr>
        <w:numPr>
          <w:ilvl w:val="0"/>
          <w:numId w:val="9"/>
        </w:numPr>
        <w:tabs>
          <w:tab w:val="clear" w:pos="360"/>
          <w:tab w:val="num" w:pos="720"/>
        </w:tabs>
        <w:ind w:left="720"/>
        <w:rPr>
          <w:szCs w:val="22"/>
        </w:rPr>
      </w:pPr>
      <w:r>
        <w:rPr>
          <w:szCs w:val="22"/>
        </w:rPr>
        <w:t xml:space="preserve">Applications </w:t>
      </w:r>
      <w:r>
        <w:rPr>
          <w:szCs w:val="22"/>
          <w:u w:val="single"/>
        </w:rPr>
        <w:t>must</w:t>
      </w:r>
      <w:r>
        <w:rPr>
          <w:szCs w:val="22"/>
        </w:rPr>
        <w:t xml:space="preserve"> be completed </w:t>
      </w:r>
      <w:r w:rsidR="00FD4AC0">
        <w:rPr>
          <w:szCs w:val="22"/>
        </w:rPr>
        <w:t xml:space="preserve">and submitted </w:t>
      </w:r>
      <w:r>
        <w:rPr>
          <w:szCs w:val="22"/>
        </w:rPr>
        <w:t xml:space="preserve">within the specific filing window </w:t>
      </w:r>
      <w:r w:rsidR="00FE0AF4">
        <w:rPr>
          <w:szCs w:val="22"/>
        </w:rPr>
        <w:t>for</w:t>
      </w:r>
      <w:r>
        <w:rPr>
          <w:szCs w:val="22"/>
        </w:rPr>
        <w:t xml:space="preserve"> the auction, in this case </w:t>
      </w:r>
      <w:r w:rsidR="001E560D">
        <w:rPr>
          <w:szCs w:val="22"/>
        </w:rPr>
        <w:t>by</w:t>
      </w:r>
      <w:r w:rsidR="002A08D0">
        <w:rPr>
          <w:szCs w:val="22"/>
        </w:rPr>
        <w:t xml:space="preserve"> </w:t>
      </w:r>
      <w:r w:rsidRPr="00B16E94">
        <w:rPr>
          <w:b/>
          <w:szCs w:val="22"/>
        </w:rPr>
        <w:t xml:space="preserve">6:00 p.m. Eastern Time (ET) </w:t>
      </w:r>
      <w:r w:rsidRPr="002525A5">
        <w:rPr>
          <w:b/>
          <w:szCs w:val="22"/>
        </w:rPr>
        <w:t>on</w:t>
      </w:r>
      <w:r w:rsidR="006F64AF">
        <w:rPr>
          <w:b/>
          <w:szCs w:val="22"/>
        </w:rPr>
        <w:t xml:space="preserve"> F</w:t>
      </w:r>
      <w:r w:rsidR="00C61A34">
        <w:rPr>
          <w:b/>
          <w:szCs w:val="22"/>
        </w:rPr>
        <w:t>ebruary 13, 2015</w:t>
      </w:r>
      <w:r w:rsidRPr="002525A5">
        <w:rPr>
          <w:szCs w:val="22"/>
        </w:rPr>
        <w:t>.</w:t>
      </w:r>
      <w:r w:rsidRPr="002525A5">
        <w:rPr>
          <w:szCs w:val="22"/>
        </w:rPr>
        <w:tab/>
      </w:r>
    </w:p>
    <w:p w:rsidR="00730029" w:rsidRPr="002525A5" w:rsidRDefault="00730029">
      <w:pPr>
        <w:ind w:left="720"/>
        <w:rPr>
          <w:szCs w:val="22"/>
        </w:rPr>
      </w:pPr>
    </w:p>
    <w:p w:rsidR="00ED371D" w:rsidRDefault="00730029">
      <w:pPr>
        <w:numPr>
          <w:ilvl w:val="0"/>
          <w:numId w:val="9"/>
        </w:numPr>
        <w:tabs>
          <w:tab w:val="clear" w:pos="360"/>
          <w:tab w:val="num" w:pos="720"/>
        </w:tabs>
        <w:ind w:left="720"/>
        <w:rPr>
          <w:szCs w:val="22"/>
        </w:rPr>
      </w:pPr>
      <w:r>
        <w:rPr>
          <w:szCs w:val="22"/>
        </w:rPr>
        <w:t xml:space="preserve">Prior to submitting an application, you may click the </w:t>
      </w:r>
      <w:r w:rsidR="00AB2107">
        <w:rPr>
          <w:szCs w:val="22"/>
        </w:rPr>
        <w:t>“</w:t>
      </w:r>
      <w:r>
        <w:rPr>
          <w:szCs w:val="22"/>
        </w:rPr>
        <w:t>Reference Copy</w:t>
      </w:r>
      <w:r w:rsidR="00AB2107">
        <w:rPr>
          <w:szCs w:val="22"/>
        </w:rPr>
        <w:t>”</w:t>
      </w:r>
      <w:r>
        <w:rPr>
          <w:szCs w:val="22"/>
        </w:rPr>
        <w:t xml:space="preserve"> link (where available) to create a preview of your completed application.</w:t>
      </w:r>
    </w:p>
    <w:p w:rsidR="00ED371D" w:rsidRDefault="00ED371D" w:rsidP="00ED371D">
      <w:pPr>
        <w:ind w:left="360"/>
        <w:rPr>
          <w:szCs w:val="22"/>
        </w:rPr>
      </w:pPr>
    </w:p>
    <w:p w:rsidR="00ED371D" w:rsidRPr="00012F66" w:rsidRDefault="00ED371D" w:rsidP="00ED371D">
      <w:pPr>
        <w:numPr>
          <w:ilvl w:val="0"/>
          <w:numId w:val="9"/>
        </w:numPr>
        <w:tabs>
          <w:tab w:val="clear" w:pos="360"/>
          <w:tab w:val="num" w:pos="720"/>
        </w:tabs>
        <w:ind w:left="720"/>
        <w:rPr>
          <w:szCs w:val="22"/>
        </w:rPr>
      </w:pPr>
      <w:r>
        <w:rPr>
          <w:szCs w:val="22"/>
        </w:rPr>
        <w:t>Once a</w:t>
      </w:r>
      <w:r w:rsidR="00606AD4">
        <w:rPr>
          <w:szCs w:val="22"/>
        </w:rPr>
        <w:t>n</w:t>
      </w:r>
      <w:r>
        <w:rPr>
          <w:szCs w:val="22"/>
        </w:rPr>
        <w:t xml:space="preserve"> FCC Form 601</w:t>
      </w:r>
      <w:r w:rsidR="00AC3ABA">
        <w:rPr>
          <w:szCs w:val="22"/>
        </w:rPr>
        <w:t xml:space="preserve"> has been submitted</w:t>
      </w:r>
      <w:r w:rsidR="00B16E94">
        <w:rPr>
          <w:szCs w:val="22"/>
        </w:rPr>
        <w:t>, if</w:t>
      </w:r>
      <w:r w:rsidR="00B16E94" w:rsidRPr="00B16E94">
        <w:rPr>
          <w:szCs w:val="22"/>
        </w:rPr>
        <w:t xml:space="preserve"> </w:t>
      </w:r>
      <w:r w:rsidR="00AC3ABA">
        <w:rPr>
          <w:szCs w:val="22"/>
        </w:rPr>
        <w:t xml:space="preserve">you </w:t>
      </w:r>
      <w:r w:rsidR="00B16E94">
        <w:rPr>
          <w:szCs w:val="22"/>
        </w:rPr>
        <w:t>re-open the application</w:t>
      </w:r>
      <w:r>
        <w:rPr>
          <w:szCs w:val="22"/>
        </w:rPr>
        <w:t xml:space="preserve">, </w:t>
      </w:r>
      <w:r w:rsidR="00AC3ABA">
        <w:rPr>
          <w:szCs w:val="22"/>
        </w:rPr>
        <w:t xml:space="preserve">you </w:t>
      </w:r>
      <w:r w:rsidR="00334C63">
        <w:rPr>
          <w:szCs w:val="22"/>
        </w:rPr>
        <w:t xml:space="preserve">must re-submit the application (by </w:t>
      </w:r>
      <w:r w:rsidR="00334C63" w:rsidRPr="00012F66">
        <w:rPr>
          <w:szCs w:val="22"/>
        </w:rPr>
        <w:t>click</w:t>
      </w:r>
      <w:r w:rsidR="003229DD">
        <w:rPr>
          <w:szCs w:val="22"/>
        </w:rPr>
        <w:t>ing</w:t>
      </w:r>
      <w:r w:rsidR="00334C63" w:rsidRPr="00012F66">
        <w:rPr>
          <w:szCs w:val="22"/>
        </w:rPr>
        <w:t xml:space="preserve"> the </w:t>
      </w:r>
      <w:r w:rsidR="00334C63" w:rsidRPr="00012F66">
        <w:rPr>
          <w:b/>
          <w:szCs w:val="22"/>
        </w:rPr>
        <w:t>Submit Application</w:t>
      </w:r>
      <w:r w:rsidR="00334C63" w:rsidRPr="00012F66">
        <w:rPr>
          <w:szCs w:val="22"/>
        </w:rPr>
        <w:t xml:space="preserve"> button again</w:t>
      </w:r>
      <w:r w:rsidR="00334C63">
        <w:rPr>
          <w:szCs w:val="22"/>
        </w:rPr>
        <w:t>)</w:t>
      </w:r>
      <w:r w:rsidRPr="00012F66">
        <w:rPr>
          <w:szCs w:val="22"/>
        </w:rPr>
        <w:t xml:space="preserve">, even if no changes </w:t>
      </w:r>
      <w:r w:rsidR="00AC3ABA">
        <w:rPr>
          <w:szCs w:val="22"/>
        </w:rPr>
        <w:t xml:space="preserve">are made </w:t>
      </w:r>
      <w:r w:rsidRPr="00012F66">
        <w:rPr>
          <w:szCs w:val="22"/>
        </w:rPr>
        <w:t xml:space="preserve">to the application.  If </w:t>
      </w:r>
      <w:r w:rsidR="00AC3ABA">
        <w:rPr>
          <w:szCs w:val="22"/>
        </w:rPr>
        <w:t>you</w:t>
      </w:r>
      <w:r w:rsidR="00334C63">
        <w:rPr>
          <w:szCs w:val="22"/>
        </w:rPr>
        <w:t xml:space="preserve"> do not click on the </w:t>
      </w:r>
      <w:r w:rsidR="00334C63" w:rsidRPr="00012F66">
        <w:rPr>
          <w:b/>
          <w:szCs w:val="22"/>
        </w:rPr>
        <w:t>Submit Application</w:t>
      </w:r>
      <w:r w:rsidR="00334C63" w:rsidRPr="00012F66">
        <w:rPr>
          <w:szCs w:val="22"/>
        </w:rPr>
        <w:t xml:space="preserve"> button </w:t>
      </w:r>
      <w:r w:rsidR="00FE0AF4">
        <w:rPr>
          <w:szCs w:val="22"/>
        </w:rPr>
        <w:t xml:space="preserve">again, </w:t>
      </w:r>
      <w:r w:rsidRPr="00012F66">
        <w:rPr>
          <w:szCs w:val="22"/>
        </w:rPr>
        <w:t xml:space="preserve">ULS will treat the application as not yet submitted.  </w:t>
      </w:r>
    </w:p>
    <w:p w:rsidR="00730029" w:rsidRDefault="00730029"/>
    <w:p w:rsidR="00730029" w:rsidRPr="004C3ABF" w:rsidRDefault="00730029" w:rsidP="00343535">
      <w:pPr>
        <w:keepNext/>
        <w:keepLines/>
        <w:rPr>
          <w:b/>
          <w:u w:val="single"/>
        </w:rPr>
      </w:pPr>
      <w:r w:rsidRPr="004C3ABF">
        <w:rPr>
          <w:b/>
          <w:u w:val="single"/>
        </w:rPr>
        <w:t>Step-by-Step Instructions</w:t>
      </w:r>
      <w:r w:rsidR="004C3ABF" w:rsidRPr="004C3ABF">
        <w:rPr>
          <w:b/>
          <w:szCs w:val="22"/>
          <w:u w:val="single"/>
        </w:rPr>
        <w:t xml:space="preserve"> for Filing FCC Form 601</w:t>
      </w:r>
    </w:p>
    <w:p w:rsidR="00730029" w:rsidRDefault="00730029" w:rsidP="00343535">
      <w:pPr>
        <w:keepNext/>
        <w:keepLines/>
      </w:pPr>
    </w:p>
    <w:p w:rsidR="00730029" w:rsidRDefault="00730029" w:rsidP="00343535">
      <w:pPr>
        <w:keepNext/>
        <w:keepLines/>
        <w:numPr>
          <w:ilvl w:val="0"/>
          <w:numId w:val="6"/>
        </w:numPr>
        <w:tabs>
          <w:tab w:val="left" w:pos="0"/>
          <w:tab w:val="left" w:pos="720"/>
        </w:tabs>
        <w:suppressAutoHyphens/>
        <w:rPr>
          <w:szCs w:val="22"/>
        </w:rPr>
      </w:pPr>
      <w:r>
        <w:rPr>
          <w:szCs w:val="22"/>
        </w:rPr>
        <w:t xml:space="preserve">Access ULS through the Internet at </w:t>
      </w:r>
      <w:hyperlink r:id="rId8" w:history="1">
        <w:r>
          <w:rPr>
            <w:rStyle w:val="Hyperlink"/>
            <w:b/>
            <w:color w:val="auto"/>
            <w:szCs w:val="22"/>
          </w:rPr>
          <w:t>http://wireless.fcc.gov/uls</w:t>
        </w:r>
      </w:hyperlink>
      <w:r>
        <w:rPr>
          <w:szCs w:val="22"/>
        </w:rPr>
        <w:t xml:space="preserve">.  Select the </w:t>
      </w:r>
      <w:r>
        <w:rPr>
          <w:b/>
          <w:szCs w:val="22"/>
        </w:rPr>
        <w:t>Log In</w:t>
      </w:r>
      <w:r>
        <w:rPr>
          <w:szCs w:val="22"/>
        </w:rPr>
        <w:t xml:space="preserve"> button in the</w:t>
      </w:r>
      <w:r w:rsidRPr="00901618">
        <w:rPr>
          <w:szCs w:val="22"/>
        </w:rPr>
        <w:t xml:space="preserve"> </w:t>
      </w:r>
      <w:r>
        <w:rPr>
          <w:szCs w:val="22"/>
        </w:rPr>
        <w:t>Online Filing section from this page.</w:t>
      </w:r>
    </w:p>
    <w:p w:rsidR="00730029" w:rsidRDefault="00730029">
      <w:pPr>
        <w:tabs>
          <w:tab w:val="left" w:pos="0"/>
          <w:tab w:val="left" w:pos="720"/>
        </w:tabs>
        <w:suppressAutoHyphens/>
        <w:rPr>
          <w:szCs w:val="22"/>
        </w:rPr>
      </w:pPr>
    </w:p>
    <w:p w:rsidR="00730029" w:rsidRDefault="00730029" w:rsidP="00901618">
      <w:pPr>
        <w:ind w:left="720"/>
        <w:rPr>
          <w:szCs w:val="22"/>
        </w:rPr>
      </w:pPr>
      <w:r>
        <w:rPr>
          <w:b/>
          <w:szCs w:val="22"/>
        </w:rPr>
        <w:t>Note</w:t>
      </w:r>
      <w:r>
        <w:rPr>
          <w:szCs w:val="22"/>
        </w:rPr>
        <w:t xml:space="preserve">: </w:t>
      </w:r>
      <w:r w:rsidR="005459B9">
        <w:rPr>
          <w:szCs w:val="22"/>
        </w:rPr>
        <w:t xml:space="preserve">Go to </w:t>
      </w:r>
      <w:hyperlink r:id="rId9" w:history="1">
        <w:r w:rsidR="005459B9" w:rsidRPr="00DA0C01">
          <w:rPr>
            <w:rStyle w:val="Hyperlink"/>
            <w:szCs w:val="22"/>
          </w:rPr>
          <w:t>http://esupport.fcc.gov/index.htm?job=getting_connected</w:t>
        </w:r>
      </w:hyperlink>
      <w:r w:rsidR="005459B9">
        <w:rPr>
          <w:szCs w:val="22"/>
        </w:rPr>
        <w:t xml:space="preserve"> for information on compatible operating systems</w:t>
      </w:r>
      <w:r w:rsidR="0084220A">
        <w:rPr>
          <w:szCs w:val="22"/>
        </w:rPr>
        <w:t xml:space="preserve"> and browser software</w:t>
      </w:r>
      <w:r w:rsidR="005459B9">
        <w:rPr>
          <w:szCs w:val="22"/>
        </w:rPr>
        <w:t>.</w:t>
      </w:r>
      <w:r>
        <w:rPr>
          <w:szCs w:val="22"/>
        </w:rPr>
        <w:t xml:space="preserve">  </w:t>
      </w:r>
    </w:p>
    <w:p w:rsidR="00730029" w:rsidRDefault="00730029">
      <w:pPr>
        <w:tabs>
          <w:tab w:val="left" w:pos="0"/>
          <w:tab w:val="left" w:pos="720"/>
        </w:tabs>
        <w:suppressAutoHyphens/>
        <w:ind w:left="360"/>
        <w:rPr>
          <w:szCs w:val="22"/>
        </w:rPr>
      </w:pPr>
    </w:p>
    <w:p w:rsidR="00730029" w:rsidRDefault="00730029">
      <w:pPr>
        <w:numPr>
          <w:ilvl w:val="0"/>
          <w:numId w:val="6"/>
        </w:numPr>
        <w:tabs>
          <w:tab w:val="left" w:pos="0"/>
          <w:tab w:val="left" w:pos="720"/>
        </w:tabs>
        <w:suppressAutoHyphens/>
        <w:rPr>
          <w:szCs w:val="22"/>
        </w:rPr>
      </w:pPr>
      <w:r>
        <w:rPr>
          <w:szCs w:val="22"/>
        </w:rPr>
        <w:t xml:space="preserve">On the ULS License Manager Login page, enter the applicant’s FRN and password.  Click </w:t>
      </w:r>
      <w:r>
        <w:rPr>
          <w:b/>
          <w:szCs w:val="22"/>
        </w:rPr>
        <w:t>Submit</w:t>
      </w:r>
      <w:r>
        <w:rPr>
          <w:szCs w:val="22"/>
        </w:rPr>
        <w:t xml:space="preserve">.  ULS will verify </w:t>
      </w:r>
      <w:r w:rsidR="009158EC">
        <w:rPr>
          <w:szCs w:val="22"/>
        </w:rPr>
        <w:t xml:space="preserve">that </w:t>
      </w:r>
      <w:r>
        <w:rPr>
          <w:szCs w:val="22"/>
        </w:rPr>
        <w:t xml:space="preserve">you have </w:t>
      </w:r>
      <w:r w:rsidR="00265C44">
        <w:rPr>
          <w:szCs w:val="22"/>
        </w:rPr>
        <w:t xml:space="preserve">entered </w:t>
      </w:r>
      <w:r>
        <w:rPr>
          <w:szCs w:val="22"/>
        </w:rPr>
        <w:t xml:space="preserve">a valid FRN or otherwise prompt you to obtain an FRN. </w:t>
      </w:r>
    </w:p>
    <w:p w:rsidR="00730029" w:rsidRDefault="00730029">
      <w:pPr>
        <w:tabs>
          <w:tab w:val="left" w:pos="0"/>
          <w:tab w:val="left" w:pos="720"/>
        </w:tabs>
        <w:suppressAutoHyphens/>
        <w:rPr>
          <w:szCs w:val="22"/>
        </w:rPr>
      </w:pPr>
    </w:p>
    <w:p w:rsidR="00730029" w:rsidRDefault="00730029" w:rsidP="00D06A6C">
      <w:pPr>
        <w:pStyle w:val="BodyTextIndent3"/>
        <w:ind w:left="720"/>
        <w:jc w:val="left"/>
        <w:rPr>
          <w:szCs w:val="22"/>
        </w:rPr>
      </w:pPr>
      <w:r w:rsidRPr="00D06A6C">
        <w:rPr>
          <w:b/>
          <w:szCs w:val="22"/>
        </w:rPr>
        <w:t>Note</w:t>
      </w:r>
      <w:r>
        <w:rPr>
          <w:szCs w:val="22"/>
        </w:rPr>
        <w:t xml:space="preserve">:  You must login to ULS with the </w:t>
      </w:r>
      <w:r w:rsidR="00265C44">
        <w:rPr>
          <w:szCs w:val="22"/>
        </w:rPr>
        <w:t xml:space="preserve">same </w:t>
      </w:r>
      <w:r>
        <w:rPr>
          <w:szCs w:val="22"/>
        </w:rPr>
        <w:t xml:space="preserve">FRN used to </w:t>
      </w:r>
      <w:r w:rsidR="00142EAA">
        <w:rPr>
          <w:szCs w:val="22"/>
        </w:rPr>
        <w:t>file your</w:t>
      </w:r>
      <w:r>
        <w:rPr>
          <w:szCs w:val="22"/>
        </w:rPr>
        <w:t xml:space="preserve"> FCC Form 175. </w:t>
      </w:r>
    </w:p>
    <w:p w:rsidR="00730029" w:rsidRDefault="00730029" w:rsidP="00D06A6C">
      <w:pPr>
        <w:pStyle w:val="BodyTextIndent3"/>
        <w:ind w:left="720"/>
        <w:jc w:val="left"/>
        <w:rPr>
          <w:szCs w:val="22"/>
        </w:rPr>
      </w:pPr>
    </w:p>
    <w:p w:rsidR="00730029" w:rsidRDefault="00730029" w:rsidP="00901618">
      <w:pPr>
        <w:ind w:left="720"/>
        <w:rPr>
          <w:szCs w:val="22"/>
        </w:rPr>
      </w:pPr>
      <w:r>
        <w:rPr>
          <w:szCs w:val="22"/>
        </w:rPr>
        <w:t xml:space="preserve">For additional information on the FRN, </w:t>
      </w:r>
      <w:r w:rsidRPr="00975A82">
        <w:rPr>
          <w:szCs w:val="22"/>
        </w:rPr>
        <w:t>see</w:t>
      </w:r>
      <w:r>
        <w:rPr>
          <w:szCs w:val="22"/>
        </w:rPr>
        <w:t xml:space="preserve"> All Universal Licensing System and Antenna Structure Registration Applicants Must Use Their FCC Registration Number(s), Effective December 3, 2001, </w:t>
      </w:r>
      <w:r>
        <w:rPr>
          <w:i/>
          <w:szCs w:val="22"/>
        </w:rPr>
        <w:t>Public Notice</w:t>
      </w:r>
      <w:r>
        <w:rPr>
          <w:szCs w:val="22"/>
        </w:rPr>
        <w:t>, 16 FCC Rcd 18793 (2001), available at</w:t>
      </w:r>
      <w:r>
        <w:rPr>
          <w:i/>
          <w:szCs w:val="22"/>
        </w:rPr>
        <w:t xml:space="preserve"> </w:t>
      </w:r>
      <w:hyperlink r:id="rId10" w:history="1">
        <w:r>
          <w:rPr>
            <w:rStyle w:val="Hyperlink"/>
            <w:color w:val="auto"/>
            <w:szCs w:val="22"/>
          </w:rPr>
          <w:t>http://wireless.fcc.gov/uls/releases/da012452.txt</w:t>
        </w:r>
      </w:hyperlink>
      <w:r>
        <w:rPr>
          <w:szCs w:val="22"/>
        </w:rPr>
        <w:t>.  For assistance, contact the FCC Support Center at (877) 480-3201, option four; TTY: (202) 414-1255.  To provide quality service and ensure security, all telephone calls are recorded.</w:t>
      </w:r>
    </w:p>
    <w:p w:rsidR="00343535" w:rsidRDefault="00343535">
      <w:pPr>
        <w:ind w:left="360"/>
        <w:rPr>
          <w:szCs w:val="22"/>
        </w:rPr>
      </w:pPr>
    </w:p>
    <w:p w:rsidR="00730029" w:rsidRDefault="00730029">
      <w:pPr>
        <w:keepNext/>
        <w:keepLines/>
        <w:numPr>
          <w:ilvl w:val="0"/>
          <w:numId w:val="6"/>
        </w:numPr>
        <w:rPr>
          <w:szCs w:val="22"/>
        </w:rPr>
      </w:pPr>
      <w:r>
        <w:rPr>
          <w:szCs w:val="22"/>
        </w:rPr>
        <w:t>After enter</w:t>
      </w:r>
      <w:r w:rsidR="009158EC">
        <w:rPr>
          <w:szCs w:val="22"/>
        </w:rPr>
        <w:t>ing</w:t>
      </w:r>
      <w:r>
        <w:rPr>
          <w:szCs w:val="22"/>
        </w:rPr>
        <w:t xml:space="preserve"> the FRN and password correctly, the “My Applications” page or the “My Licenses” page </w:t>
      </w:r>
      <w:r w:rsidR="009158EC">
        <w:rPr>
          <w:szCs w:val="22"/>
        </w:rPr>
        <w:t xml:space="preserve">displays </w:t>
      </w:r>
      <w:r>
        <w:rPr>
          <w:szCs w:val="22"/>
        </w:rPr>
        <w:t xml:space="preserve">the applicant’s existing applications or licenses (if any) and related information.  To apply for a new license, click the </w:t>
      </w:r>
      <w:r w:rsidR="00975A82">
        <w:rPr>
          <w:szCs w:val="22"/>
        </w:rPr>
        <w:t>“</w:t>
      </w:r>
      <w:r>
        <w:rPr>
          <w:szCs w:val="22"/>
        </w:rPr>
        <w:t>Apply for a New License</w:t>
      </w:r>
      <w:r w:rsidR="00975A82">
        <w:rPr>
          <w:szCs w:val="22"/>
        </w:rPr>
        <w:t>”</w:t>
      </w:r>
      <w:r>
        <w:rPr>
          <w:szCs w:val="22"/>
        </w:rPr>
        <w:t xml:space="preserve"> link in the left-hand navigation menu.</w:t>
      </w:r>
    </w:p>
    <w:p w:rsidR="00730029" w:rsidRDefault="00730029">
      <w:pPr>
        <w:tabs>
          <w:tab w:val="left" w:pos="0"/>
        </w:tabs>
        <w:suppressAutoHyphens/>
        <w:rPr>
          <w:szCs w:val="22"/>
        </w:rPr>
      </w:pPr>
    </w:p>
    <w:p w:rsidR="00730029" w:rsidRDefault="00730029" w:rsidP="00821F22">
      <w:pPr>
        <w:tabs>
          <w:tab w:val="left" w:pos="0"/>
          <w:tab w:val="left" w:pos="720"/>
        </w:tabs>
        <w:suppressAutoHyphens/>
        <w:ind w:left="720"/>
        <w:rPr>
          <w:rStyle w:val="h2"/>
          <w:b/>
          <w:szCs w:val="22"/>
        </w:rPr>
      </w:pPr>
      <w:r w:rsidRPr="00821F22">
        <w:rPr>
          <w:szCs w:val="22"/>
        </w:rPr>
        <w:t xml:space="preserve">On the </w:t>
      </w:r>
      <w:r w:rsidR="00FE0AF4" w:rsidRPr="00821F22">
        <w:rPr>
          <w:szCs w:val="22"/>
        </w:rPr>
        <w:t>“</w:t>
      </w:r>
      <w:r w:rsidRPr="00821F22">
        <w:rPr>
          <w:szCs w:val="22"/>
        </w:rPr>
        <w:t>Select Service</w:t>
      </w:r>
      <w:r w:rsidR="00FE0AF4" w:rsidRPr="00821F22">
        <w:rPr>
          <w:szCs w:val="22"/>
        </w:rPr>
        <w:t>”</w:t>
      </w:r>
      <w:r w:rsidRPr="00821F22">
        <w:rPr>
          <w:szCs w:val="22"/>
        </w:rPr>
        <w:t xml:space="preserve"> page, choose the </w:t>
      </w:r>
      <w:r w:rsidR="00FE0AF4" w:rsidRPr="00821F22">
        <w:rPr>
          <w:szCs w:val="22"/>
        </w:rPr>
        <w:t>“</w:t>
      </w:r>
      <w:r w:rsidRPr="00821F22">
        <w:rPr>
          <w:szCs w:val="22"/>
        </w:rPr>
        <w:t>Auction Winner</w:t>
      </w:r>
      <w:r w:rsidR="00FE0AF4" w:rsidRPr="00821F22">
        <w:rPr>
          <w:szCs w:val="22"/>
        </w:rPr>
        <w:t>”</w:t>
      </w:r>
      <w:r w:rsidRPr="00821F22">
        <w:rPr>
          <w:szCs w:val="22"/>
        </w:rPr>
        <w:t xml:space="preserve"> dropdown menu.  Then select the auction ID: </w:t>
      </w:r>
      <w:r w:rsidR="00821F22" w:rsidRPr="00821F22">
        <w:rPr>
          <w:szCs w:val="22"/>
        </w:rPr>
        <w:t>#</w:t>
      </w:r>
      <w:r w:rsidR="002A08D0">
        <w:rPr>
          <w:b/>
          <w:szCs w:val="22"/>
        </w:rPr>
        <w:t>97</w:t>
      </w:r>
      <w:r w:rsidR="00821F22" w:rsidRPr="00821F22">
        <w:rPr>
          <w:b/>
          <w:szCs w:val="22"/>
        </w:rPr>
        <w:t xml:space="preserve"> – </w:t>
      </w:r>
      <w:r w:rsidR="00085C57">
        <w:rPr>
          <w:b/>
          <w:szCs w:val="22"/>
        </w:rPr>
        <w:t>AT</w:t>
      </w:r>
      <w:r w:rsidR="00821F22" w:rsidRPr="00821F22">
        <w:rPr>
          <w:b/>
          <w:szCs w:val="22"/>
        </w:rPr>
        <w:t xml:space="preserve"> – </w:t>
      </w:r>
      <w:r w:rsidR="002A08D0">
        <w:rPr>
          <w:b/>
          <w:szCs w:val="22"/>
        </w:rPr>
        <w:t>Advanced Wireless Services (AWS-3)</w:t>
      </w:r>
      <w:r w:rsidR="00821F22" w:rsidRPr="00821F22">
        <w:rPr>
          <w:b/>
          <w:szCs w:val="22"/>
        </w:rPr>
        <w:t xml:space="preserve">.  </w:t>
      </w:r>
      <w:r>
        <w:rPr>
          <w:rStyle w:val="h2"/>
          <w:szCs w:val="22"/>
        </w:rPr>
        <w:t>Click</w:t>
      </w:r>
      <w:r>
        <w:rPr>
          <w:rStyle w:val="h2"/>
          <w:b/>
          <w:szCs w:val="22"/>
        </w:rPr>
        <w:t xml:space="preserve"> Continue.</w:t>
      </w:r>
    </w:p>
    <w:p w:rsidR="00821F22" w:rsidRDefault="00821F22" w:rsidP="00821F22">
      <w:pPr>
        <w:tabs>
          <w:tab w:val="left" w:pos="0"/>
          <w:tab w:val="left" w:pos="720"/>
        </w:tabs>
        <w:suppressAutoHyphens/>
        <w:ind w:left="720"/>
        <w:rPr>
          <w:rStyle w:val="h2"/>
          <w:b/>
          <w:szCs w:val="22"/>
        </w:rPr>
      </w:pPr>
    </w:p>
    <w:p w:rsidR="00730029" w:rsidRDefault="00730029">
      <w:pPr>
        <w:numPr>
          <w:ilvl w:val="0"/>
          <w:numId w:val="6"/>
        </w:numPr>
        <w:tabs>
          <w:tab w:val="left" w:pos="0"/>
          <w:tab w:val="left" w:pos="720"/>
        </w:tabs>
        <w:suppressAutoHyphens/>
        <w:rPr>
          <w:szCs w:val="22"/>
        </w:rPr>
      </w:pPr>
      <w:r>
        <w:rPr>
          <w:szCs w:val="22"/>
        </w:rPr>
        <w:t xml:space="preserve">Supply the information requested by FCC Form 601 and the Commission’s rules.  Complete the questions on the pages as they appear, following the onscreen prompts and instructions.  Use the buttons at the bottom of each page to continue to the next page or go back to the previous page. Provide attachments as instructed by clicking the </w:t>
      </w:r>
      <w:r w:rsidR="00975A82">
        <w:rPr>
          <w:szCs w:val="22"/>
        </w:rPr>
        <w:t>“</w:t>
      </w:r>
      <w:r>
        <w:rPr>
          <w:szCs w:val="22"/>
        </w:rPr>
        <w:t>Attachments</w:t>
      </w:r>
      <w:r w:rsidR="00975A82">
        <w:rPr>
          <w:szCs w:val="22"/>
        </w:rPr>
        <w:t>”</w:t>
      </w:r>
      <w:r>
        <w:rPr>
          <w:szCs w:val="22"/>
        </w:rPr>
        <w:t xml:space="preserve"> link at the top of the page.  Attachment requirements are described </w:t>
      </w:r>
      <w:r w:rsidRPr="006A2B4C">
        <w:rPr>
          <w:szCs w:val="22"/>
        </w:rPr>
        <w:t>in Section III</w:t>
      </w:r>
      <w:r w:rsidRPr="002525A5">
        <w:rPr>
          <w:szCs w:val="22"/>
        </w:rPr>
        <w:t xml:space="preserve"> of this document.  Be sure to use the standard attachment types and file descriptions set forth herein</w:t>
      </w:r>
      <w:r>
        <w:rPr>
          <w:szCs w:val="22"/>
        </w:rPr>
        <w:t>.</w:t>
      </w:r>
    </w:p>
    <w:p w:rsidR="00730029" w:rsidRDefault="00730029">
      <w:pPr>
        <w:tabs>
          <w:tab w:val="left" w:pos="0"/>
          <w:tab w:val="left" w:pos="720"/>
        </w:tabs>
        <w:suppressAutoHyphens/>
        <w:rPr>
          <w:szCs w:val="22"/>
        </w:rPr>
      </w:pPr>
    </w:p>
    <w:p w:rsidR="00730029" w:rsidRDefault="00730029">
      <w:pPr>
        <w:numPr>
          <w:ilvl w:val="0"/>
          <w:numId w:val="6"/>
        </w:numPr>
        <w:tabs>
          <w:tab w:val="left" w:pos="0"/>
          <w:tab w:val="left" w:pos="720"/>
        </w:tabs>
        <w:suppressAutoHyphens/>
        <w:rPr>
          <w:szCs w:val="22"/>
        </w:rPr>
      </w:pPr>
      <w:r>
        <w:rPr>
          <w:szCs w:val="22"/>
        </w:rPr>
        <w:t xml:space="preserve">If you plan to file a request for a waiver or exception to the Commission’s rules, select “Yes” for the appropriate question on the Application Information page and enter the number of rule waivers being requested.  </w:t>
      </w:r>
      <w:r w:rsidR="009158EC">
        <w:rPr>
          <w:szCs w:val="22"/>
        </w:rPr>
        <w:t>Then</w:t>
      </w:r>
      <w:r>
        <w:rPr>
          <w:szCs w:val="22"/>
        </w:rPr>
        <w:t xml:space="preserve"> upload an exhibit that include</w:t>
      </w:r>
      <w:r w:rsidR="009158EC">
        <w:rPr>
          <w:szCs w:val="22"/>
        </w:rPr>
        <w:t>s</w:t>
      </w:r>
      <w:r>
        <w:rPr>
          <w:szCs w:val="22"/>
        </w:rPr>
        <w:t xml:space="preserve"> citations to the specific</w:t>
      </w:r>
      <w:r>
        <w:t xml:space="preserve"> rule sections and the circumstances for justifying the waiver request(s).  </w:t>
      </w:r>
      <w:r>
        <w:rPr>
          <w:szCs w:val="22"/>
        </w:rPr>
        <w:t>Refer to the guidelines below for Exhibit F: Waiver Requests.</w:t>
      </w:r>
    </w:p>
    <w:p w:rsidR="00730029" w:rsidRDefault="00730029">
      <w:pPr>
        <w:tabs>
          <w:tab w:val="left" w:pos="0"/>
          <w:tab w:val="left" w:pos="720"/>
        </w:tabs>
        <w:suppressAutoHyphens/>
        <w:rPr>
          <w:szCs w:val="22"/>
        </w:rPr>
      </w:pPr>
    </w:p>
    <w:p w:rsidR="00730029" w:rsidRDefault="00730029">
      <w:pPr>
        <w:numPr>
          <w:ilvl w:val="0"/>
          <w:numId w:val="6"/>
        </w:numPr>
        <w:tabs>
          <w:tab w:val="left" w:pos="0"/>
          <w:tab w:val="left" w:pos="720"/>
        </w:tabs>
        <w:suppressAutoHyphens/>
        <w:rPr>
          <w:szCs w:val="22"/>
        </w:rPr>
      </w:pPr>
      <w:r>
        <w:rPr>
          <w:szCs w:val="22"/>
        </w:rPr>
        <w:t xml:space="preserve">On the </w:t>
      </w:r>
      <w:r w:rsidR="00FE0AF4">
        <w:rPr>
          <w:szCs w:val="22"/>
        </w:rPr>
        <w:t>“</w:t>
      </w:r>
      <w:r>
        <w:rPr>
          <w:szCs w:val="22"/>
        </w:rPr>
        <w:t>Markets</w:t>
      </w:r>
      <w:r w:rsidR="00FE0AF4">
        <w:rPr>
          <w:szCs w:val="22"/>
        </w:rPr>
        <w:t>”</w:t>
      </w:r>
      <w:r>
        <w:rPr>
          <w:szCs w:val="22"/>
        </w:rPr>
        <w:t xml:space="preserve"> page, the system pre-fills the Markets Summary table with data for the license(s) th</w:t>
      </w:r>
      <w:r w:rsidR="00975A82">
        <w:rPr>
          <w:szCs w:val="22"/>
        </w:rPr>
        <w:t>e</w:t>
      </w:r>
      <w:r>
        <w:rPr>
          <w:szCs w:val="22"/>
        </w:rPr>
        <w:t xml:space="preserve"> applicant won in </w:t>
      </w:r>
      <w:r w:rsidR="00FE0AF4">
        <w:rPr>
          <w:szCs w:val="22"/>
        </w:rPr>
        <w:t>A</w:t>
      </w:r>
      <w:r>
        <w:rPr>
          <w:szCs w:val="22"/>
        </w:rPr>
        <w:t>uction</w:t>
      </w:r>
      <w:r w:rsidR="00DC2A63">
        <w:rPr>
          <w:szCs w:val="22"/>
        </w:rPr>
        <w:t xml:space="preserve"> </w:t>
      </w:r>
      <w:r w:rsidR="00FE0AF4">
        <w:rPr>
          <w:szCs w:val="22"/>
        </w:rPr>
        <w:t>9</w:t>
      </w:r>
      <w:r w:rsidR="002A08D0">
        <w:rPr>
          <w:szCs w:val="22"/>
        </w:rPr>
        <w:t>7</w:t>
      </w:r>
      <w:r>
        <w:rPr>
          <w:szCs w:val="22"/>
        </w:rPr>
        <w:t xml:space="preserve">. </w:t>
      </w:r>
      <w:r w:rsidR="00E37138">
        <w:rPr>
          <w:szCs w:val="22"/>
        </w:rPr>
        <w:t xml:space="preserve"> </w:t>
      </w:r>
      <w:r>
        <w:rPr>
          <w:szCs w:val="22"/>
        </w:rPr>
        <w:t>The “Include in Application” column contains a checkbox for each license</w:t>
      </w:r>
      <w:r w:rsidR="00413CDB">
        <w:rPr>
          <w:szCs w:val="22"/>
        </w:rPr>
        <w:t xml:space="preserve"> won</w:t>
      </w:r>
      <w:r w:rsidR="00E069ED">
        <w:rPr>
          <w:szCs w:val="22"/>
        </w:rPr>
        <w:t>.</w:t>
      </w:r>
      <w:r>
        <w:rPr>
          <w:szCs w:val="22"/>
        </w:rPr>
        <w:t xml:space="preserve"> </w:t>
      </w:r>
      <w:r w:rsidR="00E069ED">
        <w:rPr>
          <w:szCs w:val="22"/>
        </w:rPr>
        <w:t xml:space="preserve">Initially, all checkboxes are selected </w:t>
      </w:r>
      <w:r>
        <w:rPr>
          <w:szCs w:val="22"/>
        </w:rPr>
        <w:t>indicat</w:t>
      </w:r>
      <w:r w:rsidR="00E069ED">
        <w:rPr>
          <w:szCs w:val="22"/>
        </w:rPr>
        <w:t>ing</w:t>
      </w:r>
      <w:r>
        <w:rPr>
          <w:szCs w:val="22"/>
        </w:rPr>
        <w:t xml:space="preserve"> that you want to include </w:t>
      </w:r>
      <w:r w:rsidR="00E069ED">
        <w:rPr>
          <w:szCs w:val="22"/>
        </w:rPr>
        <w:t xml:space="preserve">all </w:t>
      </w:r>
      <w:r>
        <w:rPr>
          <w:szCs w:val="22"/>
        </w:rPr>
        <w:t>the license</w:t>
      </w:r>
      <w:r w:rsidR="00E069ED">
        <w:rPr>
          <w:szCs w:val="22"/>
        </w:rPr>
        <w:t>s</w:t>
      </w:r>
      <w:r>
        <w:rPr>
          <w:szCs w:val="22"/>
        </w:rPr>
        <w:t xml:space="preserve"> </w:t>
      </w:r>
      <w:r w:rsidR="00E069ED">
        <w:rPr>
          <w:szCs w:val="22"/>
        </w:rPr>
        <w:t xml:space="preserve">won </w:t>
      </w:r>
      <w:r>
        <w:rPr>
          <w:szCs w:val="22"/>
        </w:rPr>
        <w:t xml:space="preserve">in this application.  To unselect a license, clear its checkbox and click </w:t>
      </w:r>
      <w:r>
        <w:rPr>
          <w:b/>
          <w:szCs w:val="22"/>
        </w:rPr>
        <w:t>Save</w:t>
      </w:r>
      <w:r>
        <w:rPr>
          <w:szCs w:val="22"/>
        </w:rPr>
        <w:t xml:space="preserve">.  The checkbox lets you apply for the winning licenses in </w:t>
      </w:r>
      <w:r w:rsidR="00F30E02">
        <w:rPr>
          <w:szCs w:val="22"/>
        </w:rPr>
        <w:t>batches</w:t>
      </w:r>
      <w:r>
        <w:rPr>
          <w:szCs w:val="22"/>
        </w:rPr>
        <w:t xml:space="preserve">, rather than all </w:t>
      </w:r>
      <w:r w:rsidR="00F30E02">
        <w:rPr>
          <w:szCs w:val="22"/>
        </w:rPr>
        <w:t>in one application</w:t>
      </w:r>
      <w:r>
        <w:rPr>
          <w:szCs w:val="22"/>
        </w:rPr>
        <w:t xml:space="preserve">.  This is important if </w:t>
      </w:r>
      <w:r w:rsidR="00413CDB">
        <w:rPr>
          <w:szCs w:val="22"/>
        </w:rPr>
        <w:t xml:space="preserve">you </w:t>
      </w:r>
      <w:r>
        <w:rPr>
          <w:szCs w:val="22"/>
        </w:rPr>
        <w:t xml:space="preserve">intend to seek a tribal lands bidding credit in some but not all markets.  Click </w:t>
      </w:r>
      <w:r>
        <w:rPr>
          <w:b/>
          <w:szCs w:val="22"/>
        </w:rPr>
        <w:t>Continue</w:t>
      </w:r>
      <w:r>
        <w:rPr>
          <w:szCs w:val="22"/>
        </w:rPr>
        <w:t xml:space="preserve">. </w:t>
      </w:r>
    </w:p>
    <w:p w:rsidR="00730029" w:rsidRDefault="00730029">
      <w:pPr>
        <w:tabs>
          <w:tab w:val="left" w:pos="0"/>
          <w:tab w:val="left" w:pos="720"/>
        </w:tabs>
        <w:suppressAutoHyphens/>
        <w:rPr>
          <w:szCs w:val="22"/>
        </w:rPr>
      </w:pPr>
    </w:p>
    <w:p w:rsidR="00730029" w:rsidRPr="002525A5" w:rsidRDefault="00730029">
      <w:pPr>
        <w:numPr>
          <w:ilvl w:val="0"/>
          <w:numId w:val="6"/>
        </w:numPr>
        <w:tabs>
          <w:tab w:val="left" w:pos="0"/>
          <w:tab w:val="left" w:pos="720"/>
        </w:tabs>
        <w:suppressAutoHyphens/>
        <w:rPr>
          <w:szCs w:val="22"/>
        </w:rPr>
      </w:pPr>
      <w:r>
        <w:rPr>
          <w:szCs w:val="22"/>
        </w:rPr>
        <w:t xml:space="preserve">The next page must be completed by applicants seeking </w:t>
      </w:r>
      <w:r w:rsidR="00FE0AF4">
        <w:rPr>
          <w:szCs w:val="22"/>
        </w:rPr>
        <w:t xml:space="preserve">a </w:t>
      </w:r>
      <w:r>
        <w:rPr>
          <w:szCs w:val="22"/>
        </w:rPr>
        <w:t>tribal lands bidding credit.</w:t>
      </w:r>
      <w:r w:rsidR="00D106FF">
        <w:rPr>
          <w:szCs w:val="22"/>
        </w:rPr>
        <w:t xml:space="preserve"> </w:t>
      </w:r>
      <w:r>
        <w:rPr>
          <w:szCs w:val="22"/>
        </w:rPr>
        <w:t xml:space="preserve"> If you are applying for markets in which you intend to seek </w:t>
      </w:r>
      <w:r w:rsidR="004F3E5E">
        <w:rPr>
          <w:szCs w:val="22"/>
        </w:rPr>
        <w:t xml:space="preserve">a </w:t>
      </w:r>
      <w:r>
        <w:rPr>
          <w:szCs w:val="22"/>
        </w:rPr>
        <w:t xml:space="preserve">tribal lands bidding credit, </w:t>
      </w:r>
      <w:r w:rsidRPr="002525A5">
        <w:rPr>
          <w:szCs w:val="22"/>
        </w:rPr>
        <w:t xml:space="preserve">see </w:t>
      </w:r>
      <w:r w:rsidRPr="006A2B4C">
        <w:rPr>
          <w:szCs w:val="22"/>
        </w:rPr>
        <w:t>Section IV</w:t>
      </w:r>
      <w:r w:rsidR="004F3E5E">
        <w:rPr>
          <w:szCs w:val="22"/>
        </w:rPr>
        <w:t xml:space="preserve">., </w:t>
      </w:r>
      <w:r w:rsidR="004F3E5E">
        <w:rPr>
          <w:sz w:val="20"/>
        </w:rPr>
        <w:t>“Instructions for Applicants Seeking A Tribal Lands Bidding Credit,”</w:t>
      </w:r>
      <w:r w:rsidRPr="002525A5">
        <w:rPr>
          <w:szCs w:val="22"/>
        </w:rPr>
        <w:t xml:space="preserve"> </w:t>
      </w:r>
      <w:r w:rsidR="004F3E5E">
        <w:rPr>
          <w:szCs w:val="22"/>
        </w:rPr>
        <w:t>below</w:t>
      </w:r>
      <w:r w:rsidRPr="002525A5">
        <w:rPr>
          <w:szCs w:val="22"/>
        </w:rPr>
        <w:t>.</w:t>
      </w:r>
    </w:p>
    <w:p w:rsidR="00730029" w:rsidRDefault="00730029">
      <w:pPr>
        <w:tabs>
          <w:tab w:val="left" w:pos="0"/>
        </w:tabs>
        <w:suppressAutoHyphens/>
        <w:rPr>
          <w:szCs w:val="22"/>
        </w:rPr>
      </w:pPr>
    </w:p>
    <w:p w:rsidR="00730029" w:rsidRDefault="00730029">
      <w:pPr>
        <w:numPr>
          <w:ilvl w:val="0"/>
          <w:numId w:val="6"/>
        </w:numPr>
        <w:autoSpaceDE w:val="0"/>
        <w:autoSpaceDN w:val="0"/>
        <w:adjustRightInd w:val="0"/>
        <w:rPr>
          <w:szCs w:val="22"/>
        </w:rPr>
      </w:pPr>
      <w:r>
        <w:rPr>
          <w:szCs w:val="22"/>
        </w:rPr>
        <w:t xml:space="preserve">Agreement </w:t>
      </w:r>
      <w:r>
        <w:t xml:space="preserve">information that was provided on </w:t>
      </w:r>
      <w:r w:rsidR="007B6479">
        <w:t xml:space="preserve">an applicant’s </w:t>
      </w:r>
      <w:r>
        <w:t xml:space="preserve">FCC Form 175 will be pre-filled into </w:t>
      </w:r>
      <w:r w:rsidR="009876D2">
        <w:t>its</w:t>
      </w:r>
      <w:r>
        <w:t xml:space="preserve"> FCC Form 601.  </w:t>
      </w:r>
      <w:r w:rsidR="007B6479">
        <w:t xml:space="preserve">Applicants should carefully review </w:t>
      </w:r>
      <w:r w:rsidR="00011105">
        <w:t>this</w:t>
      </w:r>
      <w:r w:rsidR="007B6479">
        <w:t xml:space="preserve"> information to confirm that it is complete and accurate.  </w:t>
      </w:r>
      <w:r>
        <w:t>A</w:t>
      </w:r>
      <w:r w:rsidR="001A306E">
        <w:t>n a</w:t>
      </w:r>
      <w:r>
        <w:t xml:space="preserve">pplicant can edit </w:t>
      </w:r>
      <w:r w:rsidR="007B6479">
        <w:t>any information that was</w:t>
      </w:r>
      <w:r w:rsidR="003E052D">
        <w:t xml:space="preserve"> pre-filled</w:t>
      </w:r>
      <w:r w:rsidR="00011105">
        <w:t xml:space="preserve">, </w:t>
      </w:r>
      <w:r>
        <w:t xml:space="preserve">delete </w:t>
      </w:r>
      <w:r w:rsidR="00011105">
        <w:t xml:space="preserve">existing agreements, </w:t>
      </w:r>
      <w:r>
        <w:t>and</w:t>
      </w:r>
      <w:r w:rsidR="006E3F47">
        <w:t>/or</w:t>
      </w:r>
      <w:r>
        <w:t xml:space="preserve"> add</w:t>
      </w:r>
      <w:r w:rsidR="00011105">
        <w:t xml:space="preserve"> additional agreements, if needed</w:t>
      </w:r>
      <w:r>
        <w:t>.  In addition, i</w:t>
      </w:r>
      <w:r>
        <w:rPr>
          <w:szCs w:val="22"/>
        </w:rPr>
        <w:t xml:space="preserve">f the applicant has entered into, intends to enter into, or is in the process of negotiating any agreements that could affect its designated entity status, you must </w:t>
      </w:r>
      <w:r w:rsidRPr="00C10CA0">
        <w:rPr>
          <w:szCs w:val="22"/>
        </w:rPr>
        <w:t>answer the appropriate question “</w:t>
      </w:r>
      <w:r>
        <w:rPr>
          <w:szCs w:val="22"/>
        </w:rPr>
        <w:t xml:space="preserve">Yes” on the </w:t>
      </w:r>
      <w:r w:rsidR="00A226E0">
        <w:rPr>
          <w:szCs w:val="22"/>
        </w:rPr>
        <w:t>“</w:t>
      </w:r>
      <w:r>
        <w:rPr>
          <w:szCs w:val="22"/>
        </w:rPr>
        <w:t>Agreement Information</w:t>
      </w:r>
      <w:r w:rsidR="00A226E0">
        <w:rPr>
          <w:szCs w:val="22"/>
        </w:rPr>
        <w:t>”</w:t>
      </w:r>
      <w:r>
        <w:rPr>
          <w:szCs w:val="22"/>
        </w:rPr>
        <w:t xml:space="preserve"> page, and list the agreement name, agreement type, and parties to the agreement.  Further, </w:t>
      </w:r>
      <w:r w:rsidR="001A306E">
        <w:rPr>
          <w:szCs w:val="22"/>
        </w:rPr>
        <w:t xml:space="preserve">each </w:t>
      </w:r>
      <w:r>
        <w:rPr>
          <w:szCs w:val="22"/>
        </w:rPr>
        <w:t xml:space="preserve">applicant must summarize </w:t>
      </w:r>
      <w:r w:rsidR="001A306E">
        <w:rPr>
          <w:szCs w:val="22"/>
        </w:rPr>
        <w:t>its</w:t>
      </w:r>
      <w:r>
        <w:rPr>
          <w:szCs w:val="22"/>
        </w:rPr>
        <w:t xml:space="preserve"> agreements, and provide a copy of each such agreement as part of Exhibit D.  Refer to the guidelines below for Exhibit D: Agreements &amp; Other Instruments.    </w:t>
      </w:r>
    </w:p>
    <w:p w:rsidR="00730029" w:rsidRDefault="00730029">
      <w:pPr>
        <w:tabs>
          <w:tab w:val="left" w:pos="0"/>
          <w:tab w:val="left" w:pos="720"/>
        </w:tabs>
        <w:suppressAutoHyphens/>
        <w:rPr>
          <w:szCs w:val="22"/>
        </w:rPr>
      </w:pPr>
    </w:p>
    <w:p w:rsidR="00182FCC" w:rsidRDefault="00730029">
      <w:pPr>
        <w:numPr>
          <w:ilvl w:val="0"/>
          <w:numId w:val="6"/>
        </w:numPr>
        <w:autoSpaceDE w:val="0"/>
        <w:autoSpaceDN w:val="0"/>
        <w:adjustRightInd w:val="0"/>
        <w:rPr>
          <w:szCs w:val="22"/>
        </w:rPr>
      </w:pPr>
      <w:r>
        <w:rPr>
          <w:szCs w:val="22"/>
        </w:rPr>
        <w:t xml:space="preserve">For applicants seeking a designated entity bidding credit, revenue information for the Applicant, Disclosable Interest Holder(s), and Affiliate(s) will be pre-filled from </w:t>
      </w:r>
      <w:r w:rsidR="00EF1149">
        <w:rPr>
          <w:szCs w:val="22"/>
        </w:rPr>
        <w:t>its</w:t>
      </w:r>
      <w:r>
        <w:rPr>
          <w:szCs w:val="22"/>
        </w:rPr>
        <w:t xml:space="preserve"> FCC Form 175 into the FCC Form 601.  </w:t>
      </w:r>
      <w:r w:rsidR="001D2C5A">
        <w:rPr>
          <w:szCs w:val="22"/>
        </w:rPr>
        <w:t>Each a</w:t>
      </w:r>
      <w:r w:rsidR="001D2C5A">
        <w:t xml:space="preserve">pplicant is responsible for ensuring that the information is complete and accurate.  </w:t>
      </w:r>
      <w:r>
        <w:rPr>
          <w:szCs w:val="22"/>
        </w:rPr>
        <w:t xml:space="preserve">Applicants can edit </w:t>
      </w:r>
      <w:r w:rsidR="001D2C5A">
        <w:rPr>
          <w:szCs w:val="22"/>
        </w:rPr>
        <w:t>any</w:t>
      </w:r>
      <w:r>
        <w:rPr>
          <w:szCs w:val="22"/>
        </w:rPr>
        <w:t xml:space="preserve"> revenue information</w:t>
      </w:r>
      <w:r w:rsidR="001D2C5A">
        <w:rPr>
          <w:szCs w:val="22"/>
        </w:rPr>
        <w:t xml:space="preserve"> that was </w:t>
      </w:r>
      <w:r w:rsidR="003E052D">
        <w:rPr>
          <w:szCs w:val="22"/>
        </w:rPr>
        <w:t>pre-filled</w:t>
      </w:r>
      <w:r>
        <w:rPr>
          <w:szCs w:val="22"/>
        </w:rPr>
        <w:t>.  If there have been changes to the Applicant, Disclosable Interest Holder(s)</w:t>
      </w:r>
      <w:r w:rsidR="00A226E0">
        <w:rPr>
          <w:szCs w:val="22"/>
        </w:rPr>
        <w:t>,</w:t>
      </w:r>
      <w:r>
        <w:rPr>
          <w:szCs w:val="22"/>
        </w:rPr>
        <w:t xml:space="preserve"> </w:t>
      </w:r>
      <w:r w:rsidR="00A226E0">
        <w:rPr>
          <w:szCs w:val="22"/>
        </w:rPr>
        <w:t>or</w:t>
      </w:r>
      <w:r>
        <w:rPr>
          <w:szCs w:val="22"/>
        </w:rPr>
        <w:t xml:space="preserve"> Affiliate(s) revenue information </w:t>
      </w:r>
      <w:r w:rsidR="00041F36">
        <w:rPr>
          <w:szCs w:val="22"/>
        </w:rPr>
        <w:t>submitted</w:t>
      </w:r>
      <w:r w:rsidR="00A226E0">
        <w:rPr>
          <w:szCs w:val="22"/>
        </w:rPr>
        <w:t xml:space="preserve"> o</w:t>
      </w:r>
      <w:r w:rsidR="00041F36">
        <w:rPr>
          <w:szCs w:val="22"/>
        </w:rPr>
        <w:t xml:space="preserve">n an applicant’s </w:t>
      </w:r>
      <w:r w:rsidR="00A226E0">
        <w:rPr>
          <w:szCs w:val="22"/>
        </w:rPr>
        <w:t xml:space="preserve">FCC Form 175, </w:t>
      </w:r>
      <w:r>
        <w:rPr>
          <w:szCs w:val="22"/>
        </w:rPr>
        <w:t xml:space="preserve">or additional information needs to be added, </w:t>
      </w:r>
      <w:r w:rsidRPr="00C10CA0">
        <w:rPr>
          <w:szCs w:val="22"/>
        </w:rPr>
        <w:t>answer the appropriate question “</w:t>
      </w:r>
      <w:r>
        <w:rPr>
          <w:szCs w:val="22"/>
        </w:rPr>
        <w:t xml:space="preserve">Yes” on the </w:t>
      </w:r>
      <w:r w:rsidR="00A226E0">
        <w:rPr>
          <w:szCs w:val="22"/>
        </w:rPr>
        <w:t>“</w:t>
      </w:r>
      <w:r>
        <w:rPr>
          <w:szCs w:val="22"/>
        </w:rPr>
        <w:t>Revenue and Asset Information for Applicant</w:t>
      </w:r>
      <w:r w:rsidR="00A226E0">
        <w:rPr>
          <w:szCs w:val="22"/>
        </w:rPr>
        <w:t>”</w:t>
      </w:r>
      <w:r>
        <w:rPr>
          <w:szCs w:val="22"/>
        </w:rPr>
        <w:t xml:space="preserve"> page</w:t>
      </w:r>
      <w:r w:rsidR="001D2C5A">
        <w:rPr>
          <w:szCs w:val="22"/>
        </w:rPr>
        <w:t xml:space="preserve"> and</w:t>
      </w:r>
      <w:r>
        <w:rPr>
          <w:szCs w:val="22"/>
        </w:rPr>
        <w:t xml:space="preserve"> attach an exhibit with the additional information and a summarization of the revenue changes from the figures submitted with the FCC Form 175.  Refer to the guidelines below for Exhibit C:  Designated Entities.  The “Yes” answer will enable the revenue data fields and allow edit</w:t>
      </w:r>
      <w:r w:rsidR="001D2C5A">
        <w:rPr>
          <w:szCs w:val="22"/>
        </w:rPr>
        <w:t>s</w:t>
      </w:r>
      <w:r>
        <w:rPr>
          <w:szCs w:val="22"/>
        </w:rPr>
        <w:t xml:space="preserve"> or add</w:t>
      </w:r>
      <w:r w:rsidR="001D2C5A">
        <w:rPr>
          <w:szCs w:val="22"/>
        </w:rPr>
        <w:t>itions to</w:t>
      </w:r>
      <w:r>
        <w:rPr>
          <w:szCs w:val="22"/>
        </w:rPr>
        <w:t xml:space="preserve"> the revenue information for the Applicant.  </w:t>
      </w:r>
      <w:r w:rsidRPr="00E01D48">
        <w:rPr>
          <w:szCs w:val="22"/>
        </w:rPr>
        <w:t xml:space="preserve">Continue to the </w:t>
      </w:r>
      <w:r w:rsidR="00041F36">
        <w:rPr>
          <w:szCs w:val="22"/>
        </w:rPr>
        <w:t>“</w:t>
      </w:r>
      <w:r w:rsidRPr="00E01D48">
        <w:rPr>
          <w:szCs w:val="22"/>
        </w:rPr>
        <w:t>Revenue and Asset Information for Disclosable Interest Holder(s)</w:t>
      </w:r>
      <w:r w:rsidR="00041F36">
        <w:rPr>
          <w:szCs w:val="22"/>
        </w:rPr>
        <w:t>”</w:t>
      </w:r>
      <w:r w:rsidRPr="00E01D48">
        <w:rPr>
          <w:szCs w:val="22"/>
        </w:rPr>
        <w:t xml:space="preserve"> page</w:t>
      </w:r>
      <w:r w:rsidR="001D2C5A" w:rsidRPr="00E01D48">
        <w:rPr>
          <w:szCs w:val="22"/>
        </w:rPr>
        <w:t xml:space="preserve"> </w:t>
      </w:r>
      <w:r w:rsidR="00F1754B" w:rsidRPr="00E01D48">
        <w:rPr>
          <w:szCs w:val="22"/>
        </w:rPr>
        <w:t xml:space="preserve">and the </w:t>
      </w:r>
      <w:r w:rsidR="00041F36">
        <w:rPr>
          <w:szCs w:val="22"/>
        </w:rPr>
        <w:t>“</w:t>
      </w:r>
      <w:r w:rsidR="00F1754B" w:rsidRPr="00E01D48">
        <w:rPr>
          <w:szCs w:val="22"/>
        </w:rPr>
        <w:t>Revenue and Asset Information for Affiliate(s)</w:t>
      </w:r>
      <w:r w:rsidR="00041F36">
        <w:rPr>
          <w:szCs w:val="22"/>
        </w:rPr>
        <w:t>”</w:t>
      </w:r>
      <w:r w:rsidR="00F1754B" w:rsidRPr="00E01D48">
        <w:rPr>
          <w:szCs w:val="22"/>
        </w:rPr>
        <w:t xml:space="preserve"> page </w:t>
      </w:r>
      <w:r w:rsidR="001D2C5A" w:rsidRPr="00E01D48">
        <w:rPr>
          <w:szCs w:val="22"/>
        </w:rPr>
        <w:t>to</w:t>
      </w:r>
      <w:r w:rsidRPr="00E01D48">
        <w:rPr>
          <w:szCs w:val="22"/>
        </w:rPr>
        <w:t xml:space="preserve"> edit </w:t>
      </w:r>
      <w:r w:rsidR="00AB180C" w:rsidRPr="00E01D48">
        <w:rPr>
          <w:szCs w:val="22"/>
        </w:rPr>
        <w:t>any</w:t>
      </w:r>
      <w:r w:rsidRPr="00E01D48">
        <w:rPr>
          <w:szCs w:val="22"/>
        </w:rPr>
        <w:t xml:space="preserve"> information </w:t>
      </w:r>
      <w:r w:rsidR="00F1754B" w:rsidRPr="00E01D48">
        <w:rPr>
          <w:szCs w:val="22"/>
        </w:rPr>
        <w:t>pre-filled</w:t>
      </w:r>
      <w:r w:rsidR="00AB180C" w:rsidRPr="00E01D48">
        <w:rPr>
          <w:szCs w:val="22"/>
        </w:rPr>
        <w:t xml:space="preserve"> </w:t>
      </w:r>
      <w:r w:rsidRPr="00E01D48">
        <w:rPr>
          <w:szCs w:val="22"/>
        </w:rPr>
        <w:t xml:space="preserve">from </w:t>
      </w:r>
      <w:r w:rsidR="00041F36">
        <w:rPr>
          <w:szCs w:val="22"/>
        </w:rPr>
        <w:t>an applicant’s</w:t>
      </w:r>
      <w:r w:rsidR="00AB180C" w:rsidRPr="00E01D48">
        <w:rPr>
          <w:szCs w:val="22"/>
        </w:rPr>
        <w:t xml:space="preserve"> </w:t>
      </w:r>
      <w:r w:rsidRPr="00E01D48">
        <w:rPr>
          <w:szCs w:val="22"/>
        </w:rPr>
        <w:t>FCC Form 175</w:t>
      </w:r>
      <w:r w:rsidR="00041F36">
        <w:rPr>
          <w:szCs w:val="22"/>
        </w:rPr>
        <w:t>,</w:t>
      </w:r>
      <w:r w:rsidR="00E01D48" w:rsidRPr="00E01D48">
        <w:rPr>
          <w:szCs w:val="22"/>
        </w:rPr>
        <w:t xml:space="preserve"> or</w:t>
      </w:r>
      <w:r w:rsidR="00F1754B" w:rsidRPr="00E01D48">
        <w:rPr>
          <w:szCs w:val="22"/>
        </w:rPr>
        <w:t xml:space="preserve"> </w:t>
      </w:r>
      <w:r w:rsidR="00041F36">
        <w:rPr>
          <w:szCs w:val="22"/>
        </w:rPr>
        <w:t xml:space="preserve">to </w:t>
      </w:r>
      <w:r w:rsidR="00F1754B" w:rsidRPr="00E01D48">
        <w:rPr>
          <w:szCs w:val="22"/>
        </w:rPr>
        <w:t xml:space="preserve">delete </w:t>
      </w:r>
      <w:r w:rsidR="00041F36">
        <w:rPr>
          <w:szCs w:val="22"/>
        </w:rPr>
        <w:t>or</w:t>
      </w:r>
      <w:r w:rsidR="00F1754B" w:rsidRPr="00E01D48">
        <w:rPr>
          <w:szCs w:val="22"/>
        </w:rPr>
        <w:t xml:space="preserve"> add additional </w:t>
      </w:r>
      <w:r w:rsidR="00E01D48" w:rsidRPr="00E01D48">
        <w:rPr>
          <w:szCs w:val="22"/>
        </w:rPr>
        <w:t>entities and their revenue information</w:t>
      </w:r>
      <w:r w:rsidRPr="00E01D48">
        <w:rPr>
          <w:szCs w:val="22"/>
        </w:rPr>
        <w:t xml:space="preserve">.  </w:t>
      </w:r>
    </w:p>
    <w:p w:rsidR="00182FCC" w:rsidRDefault="00730029" w:rsidP="00182FCC">
      <w:pPr>
        <w:autoSpaceDE w:val="0"/>
        <w:autoSpaceDN w:val="0"/>
        <w:adjustRightInd w:val="0"/>
        <w:ind w:left="360"/>
        <w:rPr>
          <w:szCs w:val="22"/>
        </w:rPr>
      </w:pPr>
      <w:r>
        <w:rPr>
          <w:szCs w:val="22"/>
        </w:rPr>
        <w:t xml:space="preserve"> </w:t>
      </w:r>
    </w:p>
    <w:p w:rsidR="00730029" w:rsidRDefault="00730029" w:rsidP="00182FCC">
      <w:pPr>
        <w:autoSpaceDE w:val="0"/>
        <w:autoSpaceDN w:val="0"/>
        <w:adjustRightInd w:val="0"/>
        <w:ind w:left="720"/>
        <w:rPr>
          <w:szCs w:val="22"/>
        </w:rPr>
      </w:pPr>
      <w:r w:rsidRPr="00182FCC">
        <w:rPr>
          <w:b/>
          <w:szCs w:val="22"/>
        </w:rPr>
        <w:t>Note:</w:t>
      </w:r>
      <w:r>
        <w:rPr>
          <w:szCs w:val="22"/>
        </w:rPr>
        <w:t xml:space="preserve">  ULS requires a valid FRN for each of the Disclosable Interest Holders and Affiliates </w:t>
      </w:r>
      <w:r w:rsidR="00041F36">
        <w:rPr>
          <w:szCs w:val="22"/>
        </w:rPr>
        <w:t xml:space="preserve">pre-filled from the FCC Form 175 or </w:t>
      </w:r>
      <w:r>
        <w:rPr>
          <w:szCs w:val="22"/>
        </w:rPr>
        <w:t xml:space="preserve">added to the FCC Form 601 filing.  </w:t>
      </w:r>
    </w:p>
    <w:p w:rsidR="00730029" w:rsidRDefault="00730029">
      <w:pPr>
        <w:autoSpaceDE w:val="0"/>
        <w:autoSpaceDN w:val="0"/>
        <w:adjustRightInd w:val="0"/>
        <w:rPr>
          <w:szCs w:val="22"/>
        </w:rPr>
      </w:pPr>
    </w:p>
    <w:p w:rsidR="00730029" w:rsidRDefault="00730029">
      <w:pPr>
        <w:numPr>
          <w:ilvl w:val="0"/>
          <w:numId w:val="6"/>
        </w:numPr>
        <w:autoSpaceDE w:val="0"/>
        <w:autoSpaceDN w:val="0"/>
        <w:adjustRightInd w:val="0"/>
        <w:rPr>
          <w:szCs w:val="22"/>
        </w:rPr>
      </w:pPr>
      <w:r>
        <w:rPr>
          <w:szCs w:val="22"/>
        </w:rPr>
        <w:t xml:space="preserve">Information required by </w:t>
      </w:r>
      <w:r w:rsidR="001A306E">
        <w:rPr>
          <w:szCs w:val="22"/>
        </w:rPr>
        <w:t>s</w:t>
      </w:r>
      <w:r>
        <w:rPr>
          <w:szCs w:val="22"/>
        </w:rPr>
        <w:t>ection 1.2110(j) of the Commission’s rules regarding Attributable Material Relationships must be included in Exhibit C.  Refer to the guidelines below for Exhibit</w:t>
      </w:r>
      <w:r w:rsidR="001A306E">
        <w:rPr>
          <w:szCs w:val="22"/>
        </w:rPr>
        <w:t> </w:t>
      </w:r>
      <w:r>
        <w:rPr>
          <w:szCs w:val="22"/>
        </w:rPr>
        <w:t>C: Designated Entities.</w:t>
      </w:r>
    </w:p>
    <w:p w:rsidR="00E87A57" w:rsidRDefault="004F3E5E" w:rsidP="004F3E5E">
      <w:pPr>
        <w:autoSpaceDE w:val="0"/>
        <w:autoSpaceDN w:val="0"/>
        <w:adjustRightInd w:val="0"/>
        <w:rPr>
          <w:szCs w:val="22"/>
        </w:rPr>
      </w:pPr>
      <w:r>
        <w:rPr>
          <w:sz w:val="20"/>
        </w:rPr>
        <w:t xml:space="preserve"> </w:t>
      </w:r>
      <w:r>
        <w:rPr>
          <w:szCs w:val="22"/>
        </w:rPr>
        <w:t xml:space="preserve">  </w:t>
      </w:r>
      <w:r w:rsidR="00E87A57">
        <w:rPr>
          <w:szCs w:val="22"/>
        </w:rPr>
        <w:t xml:space="preserve"> </w:t>
      </w:r>
    </w:p>
    <w:p w:rsidR="00730029" w:rsidRDefault="00730029">
      <w:pPr>
        <w:autoSpaceDE w:val="0"/>
        <w:autoSpaceDN w:val="0"/>
        <w:adjustRightInd w:val="0"/>
        <w:ind w:left="360"/>
        <w:rPr>
          <w:szCs w:val="22"/>
        </w:rPr>
      </w:pPr>
    </w:p>
    <w:p w:rsidR="00730029" w:rsidRDefault="00730029">
      <w:pPr>
        <w:numPr>
          <w:ilvl w:val="0"/>
          <w:numId w:val="6"/>
        </w:numPr>
        <w:tabs>
          <w:tab w:val="left" w:pos="0"/>
          <w:tab w:val="left" w:pos="720"/>
        </w:tabs>
        <w:suppressAutoHyphens/>
        <w:rPr>
          <w:szCs w:val="22"/>
        </w:rPr>
      </w:pPr>
      <w:r>
        <w:rPr>
          <w:szCs w:val="22"/>
        </w:rPr>
        <w:t xml:space="preserve">Continue completing the questions on the pages as they appear, following the onscreen prompts and instructions until you reach the </w:t>
      </w:r>
      <w:r w:rsidR="00041F36">
        <w:rPr>
          <w:szCs w:val="22"/>
        </w:rPr>
        <w:t>“</w:t>
      </w:r>
      <w:r>
        <w:rPr>
          <w:szCs w:val="22"/>
        </w:rPr>
        <w:t>Summary</w:t>
      </w:r>
      <w:r w:rsidR="00041F36">
        <w:rPr>
          <w:szCs w:val="22"/>
        </w:rPr>
        <w:t>”</w:t>
      </w:r>
      <w:r>
        <w:rPr>
          <w:szCs w:val="22"/>
        </w:rPr>
        <w:t xml:space="preserve"> page.  Use the view and edit capabilities to review </w:t>
      </w:r>
      <w:r w:rsidR="00182FCC">
        <w:rPr>
          <w:szCs w:val="22"/>
        </w:rPr>
        <w:t xml:space="preserve">the </w:t>
      </w:r>
      <w:r>
        <w:rPr>
          <w:szCs w:val="22"/>
        </w:rPr>
        <w:t xml:space="preserve">application to confirm that it is complete and accurate.  Correct information as necessary. Once you are confident that the application is ready for certification and submission, click on the </w:t>
      </w:r>
      <w:r>
        <w:rPr>
          <w:b/>
          <w:szCs w:val="22"/>
        </w:rPr>
        <w:t>Continue to Certify</w:t>
      </w:r>
      <w:r>
        <w:rPr>
          <w:szCs w:val="22"/>
        </w:rPr>
        <w:t xml:space="preserve"> button.  </w:t>
      </w:r>
    </w:p>
    <w:p w:rsidR="00730029" w:rsidRDefault="00730029">
      <w:pPr>
        <w:tabs>
          <w:tab w:val="left" w:pos="0"/>
          <w:tab w:val="left" w:pos="720"/>
        </w:tabs>
        <w:suppressAutoHyphens/>
        <w:rPr>
          <w:szCs w:val="22"/>
        </w:rPr>
      </w:pPr>
    </w:p>
    <w:p w:rsidR="00D87C0E" w:rsidRDefault="00730029" w:rsidP="00D87C0E">
      <w:pPr>
        <w:numPr>
          <w:ilvl w:val="0"/>
          <w:numId w:val="6"/>
        </w:numPr>
        <w:tabs>
          <w:tab w:val="left" w:pos="0"/>
          <w:tab w:val="left" w:pos="720"/>
        </w:tabs>
        <w:suppressAutoHyphens/>
        <w:rPr>
          <w:szCs w:val="22"/>
        </w:rPr>
      </w:pPr>
      <w:r w:rsidRPr="00D87C0E">
        <w:rPr>
          <w:szCs w:val="22"/>
        </w:rPr>
        <w:t xml:space="preserve">The </w:t>
      </w:r>
      <w:r w:rsidR="00041F36" w:rsidRPr="00D87C0E">
        <w:rPr>
          <w:szCs w:val="22"/>
        </w:rPr>
        <w:t>“</w:t>
      </w:r>
      <w:r w:rsidRPr="00D87C0E">
        <w:rPr>
          <w:szCs w:val="22"/>
        </w:rPr>
        <w:t>Certification</w:t>
      </w:r>
      <w:r w:rsidR="00041F36" w:rsidRPr="00D87C0E">
        <w:rPr>
          <w:szCs w:val="22"/>
        </w:rPr>
        <w:t>”</w:t>
      </w:r>
      <w:r w:rsidRPr="00D87C0E">
        <w:rPr>
          <w:szCs w:val="22"/>
        </w:rPr>
        <w:t xml:space="preserve"> page provides General Certification Statements.  By </w:t>
      </w:r>
      <w:r w:rsidR="004D45A3" w:rsidRPr="00D87C0E">
        <w:rPr>
          <w:szCs w:val="22"/>
        </w:rPr>
        <w:t>“</w:t>
      </w:r>
      <w:r w:rsidRPr="00D87C0E">
        <w:rPr>
          <w:szCs w:val="22"/>
        </w:rPr>
        <w:t>signing</w:t>
      </w:r>
      <w:r w:rsidR="004D45A3" w:rsidRPr="00D87C0E">
        <w:rPr>
          <w:szCs w:val="22"/>
        </w:rPr>
        <w:t>”</w:t>
      </w:r>
      <w:r w:rsidRPr="00D87C0E">
        <w:rPr>
          <w:szCs w:val="22"/>
        </w:rPr>
        <w:t xml:space="preserve"> this form, </w:t>
      </w:r>
      <w:r w:rsidR="00182FCC" w:rsidRPr="00D87C0E">
        <w:rPr>
          <w:szCs w:val="22"/>
        </w:rPr>
        <w:t xml:space="preserve">an </w:t>
      </w:r>
      <w:r w:rsidRPr="00D87C0E">
        <w:rPr>
          <w:szCs w:val="22"/>
        </w:rPr>
        <w:t xml:space="preserve">applicant certifies that the statements listed in this section are true, complete, correct, and made in good faith.  </w:t>
      </w:r>
    </w:p>
    <w:p w:rsidR="00D87C0E" w:rsidRPr="00D87C0E" w:rsidRDefault="00D87C0E" w:rsidP="006709A8">
      <w:pPr>
        <w:tabs>
          <w:tab w:val="left" w:pos="0"/>
        </w:tabs>
        <w:suppressAutoHyphens/>
        <w:ind w:left="720"/>
        <w:rPr>
          <w:szCs w:val="22"/>
        </w:rPr>
      </w:pPr>
    </w:p>
    <w:p w:rsidR="00730029" w:rsidRDefault="00730029">
      <w:pPr>
        <w:numPr>
          <w:ilvl w:val="0"/>
          <w:numId w:val="6"/>
        </w:numPr>
        <w:tabs>
          <w:tab w:val="left" w:pos="0"/>
          <w:tab w:val="left" w:pos="720"/>
        </w:tabs>
        <w:suppressAutoHyphens/>
        <w:rPr>
          <w:szCs w:val="22"/>
        </w:rPr>
      </w:pPr>
      <w:r>
        <w:rPr>
          <w:szCs w:val="22"/>
        </w:rPr>
        <w:t xml:space="preserve">To submit the application to the </w:t>
      </w:r>
      <w:r w:rsidR="00FD4AC0">
        <w:rPr>
          <w:szCs w:val="22"/>
        </w:rPr>
        <w:t>Commission</w:t>
      </w:r>
      <w:r>
        <w:rPr>
          <w:szCs w:val="22"/>
        </w:rPr>
        <w:t xml:space="preserve">, click the </w:t>
      </w:r>
      <w:r>
        <w:rPr>
          <w:b/>
          <w:szCs w:val="22"/>
        </w:rPr>
        <w:t>Submit Application</w:t>
      </w:r>
      <w:r>
        <w:rPr>
          <w:szCs w:val="22"/>
        </w:rPr>
        <w:t xml:space="preserve"> button.</w:t>
      </w:r>
    </w:p>
    <w:p w:rsidR="00730029" w:rsidRDefault="00730029">
      <w:pPr>
        <w:tabs>
          <w:tab w:val="left" w:pos="0"/>
          <w:tab w:val="left" w:pos="720"/>
        </w:tabs>
        <w:suppressAutoHyphens/>
        <w:rPr>
          <w:szCs w:val="22"/>
        </w:rPr>
      </w:pPr>
    </w:p>
    <w:p w:rsidR="00730029" w:rsidRDefault="00182FCC">
      <w:pPr>
        <w:numPr>
          <w:ilvl w:val="0"/>
          <w:numId w:val="6"/>
        </w:numPr>
        <w:tabs>
          <w:tab w:val="left" w:pos="0"/>
          <w:tab w:val="left" w:pos="720"/>
        </w:tabs>
        <w:suppressAutoHyphens/>
        <w:rPr>
          <w:szCs w:val="22"/>
        </w:rPr>
      </w:pPr>
      <w:r>
        <w:rPr>
          <w:szCs w:val="22"/>
        </w:rPr>
        <w:t>After the application has been submitted, a</w:t>
      </w:r>
      <w:r w:rsidR="00730029">
        <w:rPr>
          <w:szCs w:val="22"/>
        </w:rPr>
        <w:t xml:space="preserve"> Confirmation page </w:t>
      </w:r>
      <w:r>
        <w:rPr>
          <w:szCs w:val="22"/>
        </w:rPr>
        <w:t xml:space="preserve">displays </w:t>
      </w:r>
      <w:r w:rsidR="00214137">
        <w:rPr>
          <w:szCs w:val="22"/>
        </w:rPr>
        <w:t>a</w:t>
      </w:r>
      <w:r>
        <w:rPr>
          <w:szCs w:val="22"/>
        </w:rPr>
        <w:t xml:space="preserve"> file number.</w:t>
      </w:r>
      <w:r w:rsidR="00730029">
        <w:rPr>
          <w:szCs w:val="22"/>
        </w:rPr>
        <w:t xml:space="preserve">  </w:t>
      </w:r>
      <w:r>
        <w:rPr>
          <w:szCs w:val="22"/>
        </w:rPr>
        <w:t>Applicants should</w:t>
      </w:r>
      <w:r w:rsidR="00730029">
        <w:t xml:space="preserve"> print </w:t>
      </w:r>
      <w:r w:rsidR="006A211F">
        <w:t xml:space="preserve">a copy of </w:t>
      </w:r>
      <w:r w:rsidR="00730029">
        <w:t xml:space="preserve">the Confirmation page </w:t>
      </w:r>
      <w:r w:rsidR="006A211F">
        <w:t xml:space="preserve">for their records </w:t>
      </w:r>
      <w:r w:rsidR="00730029">
        <w:t xml:space="preserve">by choosing the </w:t>
      </w:r>
      <w:r w:rsidR="00A451A4">
        <w:t>“</w:t>
      </w:r>
      <w:r w:rsidR="00730029">
        <w:t>Print</w:t>
      </w:r>
      <w:r w:rsidR="00A451A4">
        <w:t>”</w:t>
      </w:r>
      <w:r w:rsidR="00730029">
        <w:t xml:space="preserve"> option from the </w:t>
      </w:r>
      <w:r w:rsidR="00A451A4">
        <w:t>“</w:t>
      </w:r>
      <w:r w:rsidR="00730029">
        <w:t>File</w:t>
      </w:r>
      <w:r w:rsidR="00A451A4">
        <w:t>”</w:t>
      </w:r>
      <w:r w:rsidR="00730029">
        <w:t xml:space="preserve"> menu of </w:t>
      </w:r>
      <w:r w:rsidR="006A211F">
        <w:t xml:space="preserve">the </w:t>
      </w:r>
      <w:r w:rsidR="00730029">
        <w:t xml:space="preserve">Web browser.  </w:t>
      </w:r>
      <w:r w:rsidR="006A211F">
        <w:t>Applicants can also</w:t>
      </w:r>
      <w:r w:rsidR="00730029">
        <w:t xml:space="preserve"> print a copy of the</w:t>
      </w:r>
      <w:r w:rsidR="006A211F">
        <w:t xml:space="preserve">ir </w:t>
      </w:r>
      <w:r w:rsidR="00730029">
        <w:t xml:space="preserve">complete application by selecting the </w:t>
      </w:r>
      <w:r w:rsidR="00A451A4">
        <w:t>“</w:t>
      </w:r>
      <w:r w:rsidR="00730029">
        <w:t>Reference Copy</w:t>
      </w:r>
      <w:r w:rsidR="00A451A4">
        <w:t>”</w:t>
      </w:r>
      <w:r w:rsidR="00730029">
        <w:t xml:space="preserve"> link.  </w:t>
      </w:r>
      <w:r w:rsidR="006A211F">
        <w:rPr>
          <w:szCs w:val="22"/>
        </w:rPr>
        <w:t>U</w:t>
      </w:r>
      <w:r w:rsidR="00730029">
        <w:rPr>
          <w:szCs w:val="22"/>
        </w:rPr>
        <w:t xml:space="preserve">se the </w:t>
      </w:r>
      <w:r w:rsidR="00041F36">
        <w:rPr>
          <w:szCs w:val="22"/>
        </w:rPr>
        <w:t>“</w:t>
      </w:r>
      <w:r w:rsidR="00730029">
        <w:rPr>
          <w:b/>
          <w:szCs w:val="22"/>
        </w:rPr>
        <w:t>Log Out</w:t>
      </w:r>
      <w:r w:rsidR="00041F36" w:rsidRPr="00041F36">
        <w:rPr>
          <w:szCs w:val="22"/>
        </w:rPr>
        <w:t>”</w:t>
      </w:r>
      <w:r w:rsidR="00730029">
        <w:rPr>
          <w:szCs w:val="22"/>
        </w:rPr>
        <w:t xml:space="preserve"> link at the top left of the page to exit ULS online filing.</w:t>
      </w:r>
    </w:p>
    <w:p w:rsidR="00730029" w:rsidRDefault="00730029">
      <w:pPr>
        <w:tabs>
          <w:tab w:val="left" w:pos="0"/>
          <w:tab w:val="left" w:pos="720"/>
        </w:tabs>
        <w:suppressAutoHyphens/>
        <w:rPr>
          <w:szCs w:val="22"/>
        </w:rPr>
      </w:pPr>
    </w:p>
    <w:p w:rsidR="00730029" w:rsidRPr="004C3ABF" w:rsidRDefault="00730029">
      <w:pPr>
        <w:tabs>
          <w:tab w:val="left" w:pos="0"/>
          <w:tab w:val="left" w:pos="720"/>
        </w:tabs>
        <w:suppressAutoHyphens/>
        <w:rPr>
          <w:b/>
          <w:szCs w:val="22"/>
          <w:u w:val="single"/>
        </w:rPr>
      </w:pPr>
      <w:r w:rsidRPr="004C3ABF">
        <w:rPr>
          <w:b/>
          <w:szCs w:val="22"/>
          <w:u w:val="single"/>
        </w:rPr>
        <w:t xml:space="preserve">Updating </w:t>
      </w:r>
      <w:r w:rsidR="004C3ABF" w:rsidRPr="004C3ABF">
        <w:rPr>
          <w:b/>
          <w:szCs w:val="22"/>
          <w:u w:val="single"/>
        </w:rPr>
        <w:t>an FCC Form 601</w:t>
      </w:r>
    </w:p>
    <w:p w:rsidR="00730029" w:rsidRDefault="00730029">
      <w:pPr>
        <w:tabs>
          <w:tab w:val="left" w:pos="0"/>
          <w:tab w:val="left" w:pos="720"/>
        </w:tabs>
        <w:suppressAutoHyphens/>
        <w:rPr>
          <w:szCs w:val="22"/>
        </w:rPr>
      </w:pPr>
    </w:p>
    <w:p w:rsidR="00730029" w:rsidRPr="002525A5" w:rsidRDefault="00EF1149">
      <w:pPr>
        <w:tabs>
          <w:tab w:val="left" w:pos="0"/>
          <w:tab w:val="left" w:pos="720"/>
        </w:tabs>
        <w:suppressAutoHyphens/>
        <w:rPr>
          <w:szCs w:val="22"/>
        </w:rPr>
      </w:pPr>
      <w:r w:rsidRPr="00EF1149">
        <w:rPr>
          <w:b/>
          <w:szCs w:val="22"/>
        </w:rPr>
        <w:t>Changes before</w:t>
      </w:r>
      <w:r>
        <w:rPr>
          <w:b/>
          <w:szCs w:val="22"/>
        </w:rPr>
        <w:t xml:space="preserve"> FCC Form 601 D</w:t>
      </w:r>
      <w:r w:rsidRPr="00EF1149">
        <w:rPr>
          <w:b/>
          <w:szCs w:val="22"/>
        </w:rPr>
        <w:t>eadline</w:t>
      </w:r>
      <w:r>
        <w:rPr>
          <w:b/>
          <w:szCs w:val="22"/>
        </w:rPr>
        <w:t>.</w:t>
      </w:r>
      <w:r>
        <w:rPr>
          <w:szCs w:val="22"/>
        </w:rPr>
        <w:t xml:space="preserve">  </w:t>
      </w:r>
      <w:r w:rsidR="006A211F">
        <w:rPr>
          <w:szCs w:val="22"/>
        </w:rPr>
        <w:t xml:space="preserve">An applicant </w:t>
      </w:r>
      <w:r w:rsidR="00730029">
        <w:rPr>
          <w:szCs w:val="22"/>
        </w:rPr>
        <w:t xml:space="preserve">may access </w:t>
      </w:r>
      <w:r w:rsidR="006A211F">
        <w:rPr>
          <w:szCs w:val="22"/>
        </w:rPr>
        <w:t xml:space="preserve">its </w:t>
      </w:r>
      <w:r w:rsidR="00730029">
        <w:rPr>
          <w:szCs w:val="22"/>
        </w:rPr>
        <w:t xml:space="preserve">application to make changes until </w:t>
      </w:r>
      <w:r w:rsidR="00730029" w:rsidRPr="002525A5">
        <w:rPr>
          <w:szCs w:val="22"/>
        </w:rPr>
        <w:t>the</w:t>
      </w:r>
      <w:r w:rsidR="00C61A34">
        <w:rPr>
          <w:b/>
          <w:szCs w:val="22"/>
        </w:rPr>
        <w:t xml:space="preserve"> February 13, 2015</w:t>
      </w:r>
      <w:r w:rsidR="00730029" w:rsidRPr="006A2B4C">
        <w:rPr>
          <w:szCs w:val="22"/>
        </w:rPr>
        <w:t>,</w:t>
      </w:r>
      <w:r w:rsidR="00730029" w:rsidRPr="002525A5">
        <w:rPr>
          <w:szCs w:val="22"/>
        </w:rPr>
        <w:t xml:space="preserve"> filing deadline</w:t>
      </w:r>
      <w:r w:rsidRPr="002525A5">
        <w:rPr>
          <w:szCs w:val="22"/>
        </w:rPr>
        <w:t xml:space="preserve"> using the following steps</w:t>
      </w:r>
      <w:r w:rsidR="00730029" w:rsidRPr="002525A5">
        <w:rPr>
          <w:szCs w:val="22"/>
        </w:rPr>
        <w:t>:</w:t>
      </w:r>
    </w:p>
    <w:p w:rsidR="00730029" w:rsidRPr="002525A5" w:rsidRDefault="00730029">
      <w:pPr>
        <w:tabs>
          <w:tab w:val="left" w:pos="0"/>
          <w:tab w:val="left" w:pos="720"/>
        </w:tabs>
        <w:suppressAutoHyphens/>
        <w:rPr>
          <w:szCs w:val="22"/>
        </w:rPr>
      </w:pPr>
    </w:p>
    <w:p w:rsidR="00730029" w:rsidRDefault="00730029">
      <w:pPr>
        <w:numPr>
          <w:ilvl w:val="0"/>
          <w:numId w:val="8"/>
        </w:numPr>
        <w:tabs>
          <w:tab w:val="left" w:pos="0"/>
        </w:tabs>
        <w:suppressAutoHyphens/>
        <w:rPr>
          <w:szCs w:val="22"/>
        </w:rPr>
      </w:pPr>
      <w:r w:rsidRPr="002525A5">
        <w:rPr>
          <w:szCs w:val="22"/>
        </w:rPr>
        <w:t>If you quit your application</w:t>
      </w:r>
      <w:r>
        <w:rPr>
          <w:szCs w:val="22"/>
        </w:rPr>
        <w:t xml:space="preserve"> at any time prior to submitting it, it will be saved in ULS.  To continue working on a saved application, log</w:t>
      </w:r>
      <w:r w:rsidR="0031336D">
        <w:rPr>
          <w:szCs w:val="22"/>
        </w:rPr>
        <w:t xml:space="preserve"> </w:t>
      </w:r>
      <w:r>
        <w:rPr>
          <w:szCs w:val="22"/>
        </w:rPr>
        <w:t xml:space="preserve">in to ULS License Manager.  Choose the My Applications link from the menu on the left side of the page and click on the </w:t>
      </w:r>
      <w:r w:rsidR="00A451A4">
        <w:rPr>
          <w:szCs w:val="22"/>
        </w:rPr>
        <w:t>“</w:t>
      </w:r>
      <w:r>
        <w:rPr>
          <w:szCs w:val="22"/>
        </w:rPr>
        <w:t>Saved</w:t>
      </w:r>
      <w:r w:rsidR="00A451A4">
        <w:rPr>
          <w:szCs w:val="22"/>
        </w:rPr>
        <w:t>”</w:t>
      </w:r>
      <w:r>
        <w:rPr>
          <w:szCs w:val="22"/>
        </w:rPr>
        <w:t xml:space="preserve"> link.  C</w:t>
      </w:r>
      <w:r>
        <w:t xml:space="preserve">lick the link next to your saved application.  On the next page, “Application At A Glance,” </w:t>
      </w:r>
      <w:r>
        <w:rPr>
          <w:szCs w:val="22"/>
        </w:rPr>
        <w:t xml:space="preserve">choose the </w:t>
      </w:r>
      <w:r>
        <w:rPr>
          <w:b/>
          <w:szCs w:val="22"/>
        </w:rPr>
        <w:t>Continue</w:t>
      </w:r>
      <w:r>
        <w:rPr>
          <w:szCs w:val="22"/>
        </w:rPr>
        <w:t xml:space="preserve"> link under the “Work on This Application” menu.  Saved applications for an auctionable service </w:t>
      </w:r>
      <w:r>
        <w:rPr>
          <w:szCs w:val="22"/>
          <w:u w:val="single"/>
        </w:rPr>
        <w:t>must</w:t>
      </w:r>
      <w:r>
        <w:rPr>
          <w:szCs w:val="22"/>
        </w:rPr>
        <w:t xml:space="preserve"> be completed and submitted within the </w:t>
      </w:r>
      <w:r w:rsidR="004C15A9">
        <w:rPr>
          <w:szCs w:val="22"/>
        </w:rPr>
        <w:t>10</w:t>
      </w:r>
      <w:r>
        <w:rPr>
          <w:szCs w:val="22"/>
        </w:rPr>
        <w:t>-day filing window.  Any application that is not submitted by the deadline will not be reviewed by the Commission.</w:t>
      </w:r>
    </w:p>
    <w:p w:rsidR="00730029" w:rsidRDefault="00730029">
      <w:pPr>
        <w:tabs>
          <w:tab w:val="left" w:pos="0"/>
        </w:tabs>
        <w:suppressAutoHyphens/>
        <w:ind w:left="360"/>
        <w:rPr>
          <w:szCs w:val="22"/>
        </w:rPr>
      </w:pPr>
    </w:p>
    <w:p w:rsidR="00012F66" w:rsidRDefault="00730029">
      <w:pPr>
        <w:numPr>
          <w:ilvl w:val="0"/>
          <w:numId w:val="8"/>
        </w:numPr>
        <w:tabs>
          <w:tab w:val="left" w:pos="0"/>
        </w:tabs>
        <w:suppressAutoHyphens/>
        <w:rPr>
          <w:szCs w:val="22"/>
        </w:rPr>
      </w:pPr>
      <w:r>
        <w:rPr>
          <w:szCs w:val="22"/>
        </w:rPr>
        <w:t xml:space="preserve">Once you click the </w:t>
      </w:r>
      <w:r>
        <w:rPr>
          <w:b/>
          <w:szCs w:val="22"/>
        </w:rPr>
        <w:t xml:space="preserve">Submit </w:t>
      </w:r>
      <w:r>
        <w:rPr>
          <w:rFonts w:ascii="Times New Roman Bold" w:hAnsi="Times New Roman Bold"/>
          <w:b/>
          <w:szCs w:val="22"/>
        </w:rPr>
        <w:t>Application</w:t>
      </w:r>
      <w:r>
        <w:rPr>
          <w:szCs w:val="22"/>
        </w:rPr>
        <w:t xml:space="preserve"> button, ULS will assign a file number to the application.  To make changes to a submitted application, log in to ULS License Manager.  Choose the </w:t>
      </w:r>
      <w:r w:rsidR="00A451A4">
        <w:rPr>
          <w:szCs w:val="22"/>
        </w:rPr>
        <w:t>“</w:t>
      </w:r>
      <w:r>
        <w:rPr>
          <w:szCs w:val="22"/>
        </w:rPr>
        <w:t>My Applications</w:t>
      </w:r>
      <w:r w:rsidR="00A451A4">
        <w:rPr>
          <w:szCs w:val="22"/>
        </w:rPr>
        <w:t>”</w:t>
      </w:r>
      <w:r>
        <w:rPr>
          <w:szCs w:val="22"/>
        </w:rPr>
        <w:t xml:space="preserve"> link from the left side of the page.  Then choose the </w:t>
      </w:r>
      <w:r w:rsidR="00A451A4">
        <w:rPr>
          <w:szCs w:val="22"/>
        </w:rPr>
        <w:t>“</w:t>
      </w:r>
      <w:r>
        <w:rPr>
          <w:szCs w:val="22"/>
        </w:rPr>
        <w:t>Submitted Applications</w:t>
      </w:r>
      <w:r w:rsidR="00A451A4">
        <w:rPr>
          <w:szCs w:val="22"/>
        </w:rPr>
        <w:t>”</w:t>
      </w:r>
      <w:r>
        <w:rPr>
          <w:szCs w:val="22"/>
        </w:rPr>
        <w:t xml:space="preserve"> link.  Click on the file number of </w:t>
      </w:r>
      <w:r w:rsidRPr="00F03C54">
        <w:rPr>
          <w:szCs w:val="22"/>
        </w:rPr>
        <w:t>your</w:t>
      </w:r>
      <w:r>
        <w:rPr>
          <w:szCs w:val="22"/>
        </w:rPr>
        <w:t xml:space="preserve"> application, and choose the </w:t>
      </w:r>
      <w:r w:rsidR="00A451A4">
        <w:rPr>
          <w:szCs w:val="22"/>
        </w:rPr>
        <w:t>“</w:t>
      </w:r>
      <w:r>
        <w:rPr>
          <w:szCs w:val="22"/>
        </w:rPr>
        <w:t>Update</w:t>
      </w:r>
      <w:r w:rsidR="00A451A4">
        <w:rPr>
          <w:szCs w:val="22"/>
        </w:rPr>
        <w:t>”</w:t>
      </w:r>
      <w:r>
        <w:rPr>
          <w:szCs w:val="22"/>
        </w:rPr>
        <w:t xml:space="preserve"> link from the “Work on This Application” menu on the right side of the page.  You must click the </w:t>
      </w:r>
      <w:r>
        <w:rPr>
          <w:b/>
          <w:szCs w:val="22"/>
        </w:rPr>
        <w:t xml:space="preserve">Submit </w:t>
      </w:r>
      <w:r>
        <w:rPr>
          <w:rFonts w:ascii="Times New Roman Bold" w:hAnsi="Times New Roman Bold"/>
          <w:b/>
          <w:szCs w:val="22"/>
        </w:rPr>
        <w:t>Application</w:t>
      </w:r>
      <w:r>
        <w:rPr>
          <w:szCs w:val="22"/>
        </w:rPr>
        <w:t xml:space="preserve"> button prior to the close of the </w:t>
      </w:r>
      <w:r w:rsidR="004C15A9">
        <w:rPr>
          <w:szCs w:val="22"/>
        </w:rPr>
        <w:t>10</w:t>
      </w:r>
      <w:r>
        <w:rPr>
          <w:szCs w:val="22"/>
        </w:rPr>
        <w:t>-day filing window</w:t>
      </w:r>
      <w:r w:rsidR="001E560D">
        <w:rPr>
          <w:szCs w:val="22"/>
        </w:rPr>
        <w:t xml:space="preserve"> (i.e., by </w:t>
      </w:r>
      <w:r w:rsidR="001E560D" w:rsidRPr="00B16E94">
        <w:rPr>
          <w:b/>
          <w:szCs w:val="22"/>
        </w:rPr>
        <w:t xml:space="preserve">6:00 p.m. Eastern Time (ET) </w:t>
      </w:r>
      <w:r w:rsidR="001E560D" w:rsidRPr="002525A5">
        <w:rPr>
          <w:b/>
          <w:szCs w:val="22"/>
        </w:rPr>
        <w:t>on</w:t>
      </w:r>
      <w:r w:rsidR="0077736A">
        <w:rPr>
          <w:b/>
          <w:szCs w:val="22"/>
        </w:rPr>
        <w:t xml:space="preserve"> </w:t>
      </w:r>
      <w:r w:rsidR="00C61A34">
        <w:rPr>
          <w:b/>
          <w:szCs w:val="22"/>
        </w:rPr>
        <w:t>February 13, 2015</w:t>
      </w:r>
      <w:r w:rsidR="001E560D">
        <w:rPr>
          <w:b/>
        </w:rPr>
        <w:t>)</w:t>
      </w:r>
      <w:r>
        <w:rPr>
          <w:szCs w:val="22"/>
        </w:rPr>
        <w:t xml:space="preserve">. </w:t>
      </w:r>
      <w:r w:rsidR="00E37138">
        <w:rPr>
          <w:szCs w:val="22"/>
        </w:rPr>
        <w:t xml:space="preserve"> </w:t>
      </w:r>
    </w:p>
    <w:p w:rsidR="00012F66" w:rsidRDefault="00012F66" w:rsidP="00012F66">
      <w:pPr>
        <w:tabs>
          <w:tab w:val="left" w:pos="0"/>
        </w:tabs>
        <w:suppressAutoHyphens/>
        <w:ind w:left="360"/>
        <w:rPr>
          <w:szCs w:val="22"/>
        </w:rPr>
      </w:pPr>
    </w:p>
    <w:p w:rsidR="00730029" w:rsidRPr="00012F66" w:rsidRDefault="00012F66" w:rsidP="00012F66">
      <w:pPr>
        <w:tabs>
          <w:tab w:val="left" w:pos="0"/>
        </w:tabs>
        <w:suppressAutoHyphens/>
        <w:ind w:left="720"/>
        <w:rPr>
          <w:szCs w:val="22"/>
        </w:rPr>
      </w:pPr>
      <w:r w:rsidRPr="00012F66">
        <w:rPr>
          <w:b/>
          <w:szCs w:val="22"/>
        </w:rPr>
        <w:t>Important</w:t>
      </w:r>
      <w:r>
        <w:rPr>
          <w:b/>
          <w:szCs w:val="22"/>
        </w:rPr>
        <w:t>:</w:t>
      </w:r>
      <w:r>
        <w:rPr>
          <w:szCs w:val="22"/>
        </w:rPr>
        <w:t xml:space="preserve">  </w:t>
      </w:r>
      <w:r w:rsidRPr="00012F66">
        <w:rPr>
          <w:szCs w:val="22"/>
        </w:rPr>
        <w:t>I</w:t>
      </w:r>
      <w:r w:rsidR="00E37138" w:rsidRPr="00012F66">
        <w:rPr>
          <w:szCs w:val="22"/>
        </w:rPr>
        <w:t xml:space="preserve">f you open an application after you have clicked the </w:t>
      </w:r>
      <w:r w:rsidR="00E37138" w:rsidRPr="00012F66">
        <w:rPr>
          <w:b/>
          <w:szCs w:val="22"/>
        </w:rPr>
        <w:t>Submit Application</w:t>
      </w:r>
      <w:r w:rsidR="00E37138" w:rsidRPr="00012F66">
        <w:rPr>
          <w:szCs w:val="22"/>
        </w:rPr>
        <w:t xml:space="preserve"> button, even if you make no changes to the application, you must click the </w:t>
      </w:r>
      <w:r w:rsidR="00E37138" w:rsidRPr="00012F66">
        <w:rPr>
          <w:b/>
          <w:szCs w:val="22"/>
        </w:rPr>
        <w:t>Submit Application</w:t>
      </w:r>
      <w:r w:rsidR="00E37138" w:rsidRPr="00012F66">
        <w:rPr>
          <w:szCs w:val="22"/>
        </w:rPr>
        <w:t xml:space="preserve"> button again.  If you do not, ULS will treat the application as not yet submitted.</w:t>
      </w:r>
      <w:r w:rsidR="004F0DB4" w:rsidRPr="00012F66">
        <w:rPr>
          <w:szCs w:val="22"/>
        </w:rPr>
        <w:t xml:space="preserve">  </w:t>
      </w:r>
    </w:p>
    <w:p w:rsidR="00730029" w:rsidRDefault="00730029">
      <w:pPr>
        <w:tabs>
          <w:tab w:val="left" w:pos="0"/>
          <w:tab w:val="left" w:pos="720"/>
        </w:tabs>
        <w:suppressAutoHyphens/>
        <w:rPr>
          <w:szCs w:val="22"/>
        </w:rPr>
      </w:pPr>
    </w:p>
    <w:p w:rsidR="00730029" w:rsidRDefault="00EF1149">
      <w:pPr>
        <w:tabs>
          <w:tab w:val="left" w:pos="0"/>
          <w:tab w:val="left" w:pos="720"/>
        </w:tabs>
        <w:suppressAutoHyphens/>
        <w:rPr>
          <w:szCs w:val="22"/>
        </w:rPr>
      </w:pPr>
      <w:r w:rsidRPr="00EF1149">
        <w:rPr>
          <w:b/>
          <w:szCs w:val="22"/>
        </w:rPr>
        <w:t xml:space="preserve">Changes after </w:t>
      </w:r>
      <w:r>
        <w:rPr>
          <w:b/>
          <w:szCs w:val="22"/>
        </w:rPr>
        <w:t>FCC Form 601 D</w:t>
      </w:r>
      <w:r w:rsidRPr="00EF1149">
        <w:rPr>
          <w:b/>
          <w:szCs w:val="22"/>
        </w:rPr>
        <w:t>eadline.</w:t>
      </w:r>
      <w:r>
        <w:rPr>
          <w:szCs w:val="22"/>
        </w:rPr>
        <w:t xml:space="preserve">  </w:t>
      </w:r>
      <w:r w:rsidR="00730029">
        <w:rPr>
          <w:szCs w:val="22"/>
        </w:rPr>
        <w:t xml:space="preserve">To change any information on your application </w:t>
      </w:r>
      <w:r w:rsidR="00730029">
        <w:rPr>
          <w:b/>
          <w:szCs w:val="22"/>
        </w:rPr>
        <w:t>after</w:t>
      </w:r>
      <w:r w:rsidR="00730029">
        <w:rPr>
          <w:szCs w:val="22"/>
        </w:rPr>
        <w:t xml:space="preserve"> the </w:t>
      </w:r>
      <w:r w:rsidR="00F16415">
        <w:rPr>
          <w:szCs w:val="22"/>
        </w:rPr>
        <w:t>10-</w:t>
      </w:r>
      <w:r w:rsidR="00730029">
        <w:rPr>
          <w:szCs w:val="22"/>
        </w:rPr>
        <w:t xml:space="preserve">day filing window has closed, log into </w:t>
      </w:r>
      <w:r w:rsidR="00DB371C">
        <w:rPr>
          <w:szCs w:val="22"/>
        </w:rPr>
        <w:t xml:space="preserve">the </w:t>
      </w:r>
      <w:r w:rsidR="00730029">
        <w:rPr>
          <w:szCs w:val="22"/>
        </w:rPr>
        <w:t>ULS License Manager with the applicant’s FRN and Password.</w:t>
      </w:r>
      <w:r w:rsidR="00730029">
        <w:rPr>
          <w:b/>
          <w:szCs w:val="22"/>
        </w:rPr>
        <w:t xml:space="preserve">  </w:t>
      </w:r>
      <w:r w:rsidR="00730029">
        <w:rPr>
          <w:szCs w:val="22"/>
        </w:rPr>
        <w:t xml:space="preserve">Choose the </w:t>
      </w:r>
      <w:r w:rsidR="00A32C9E">
        <w:rPr>
          <w:szCs w:val="22"/>
        </w:rPr>
        <w:t>“</w:t>
      </w:r>
      <w:r w:rsidR="00730029">
        <w:rPr>
          <w:szCs w:val="22"/>
        </w:rPr>
        <w:t>My Application</w:t>
      </w:r>
      <w:r w:rsidR="00A32C9E">
        <w:rPr>
          <w:szCs w:val="22"/>
        </w:rPr>
        <w:t>”</w:t>
      </w:r>
      <w:r w:rsidR="00730029">
        <w:rPr>
          <w:szCs w:val="22"/>
        </w:rPr>
        <w:t xml:space="preserve"> link from the left side of the page.  Then click </w:t>
      </w:r>
      <w:r w:rsidR="00A32C9E">
        <w:rPr>
          <w:szCs w:val="22"/>
        </w:rPr>
        <w:t>“</w:t>
      </w:r>
      <w:r w:rsidR="00730029">
        <w:rPr>
          <w:szCs w:val="22"/>
        </w:rPr>
        <w:t xml:space="preserve">Pending </w:t>
      </w:r>
      <w:r w:rsidR="00A32C9E">
        <w:rPr>
          <w:szCs w:val="22"/>
        </w:rPr>
        <w:t>A</w:t>
      </w:r>
      <w:r w:rsidR="00730029">
        <w:rPr>
          <w:szCs w:val="22"/>
        </w:rPr>
        <w:t>pplications.</w:t>
      </w:r>
      <w:r w:rsidR="00A32C9E">
        <w:rPr>
          <w:szCs w:val="22"/>
        </w:rPr>
        <w:t>”</w:t>
      </w:r>
      <w:r w:rsidR="00730029">
        <w:rPr>
          <w:szCs w:val="22"/>
        </w:rPr>
        <w:t xml:space="preserve">  Click on the file number of </w:t>
      </w:r>
      <w:r w:rsidR="00730029" w:rsidRPr="00F03C54">
        <w:rPr>
          <w:szCs w:val="22"/>
        </w:rPr>
        <w:t>your</w:t>
      </w:r>
      <w:r w:rsidR="00730029">
        <w:rPr>
          <w:szCs w:val="22"/>
        </w:rPr>
        <w:t xml:space="preserve"> application, and choose the </w:t>
      </w:r>
      <w:r w:rsidR="00DB371C">
        <w:rPr>
          <w:szCs w:val="22"/>
        </w:rPr>
        <w:t>“</w:t>
      </w:r>
      <w:r w:rsidR="00730029">
        <w:rPr>
          <w:szCs w:val="22"/>
        </w:rPr>
        <w:t>Update</w:t>
      </w:r>
      <w:r w:rsidR="00DB371C">
        <w:rPr>
          <w:szCs w:val="22"/>
        </w:rPr>
        <w:t>”</w:t>
      </w:r>
      <w:r w:rsidR="00730029">
        <w:rPr>
          <w:szCs w:val="22"/>
        </w:rPr>
        <w:t xml:space="preserve"> link from the “Work on This Application” menu on the right side of the page. </w:t>
      </w:r>
    </w:p>
    <w:p w:rsidR="00730029" w:rsidRDefault="00730029">
      <w:pPr>
        <w:tabs>
          <w:tab w:val="left" w:pos="0"/>
          <w:tab w:val="left" w:pos="720"/>
        </w:tabs>
        <w:suppressAutoHyphens/>
        <w:rPr>
          <w:szCs w:val="22"/>
        </w:rPr>
      </w:pPr>
    </w:p>
    <w:p w:rsidR="00730029" w:rsidRDefault="00730029" w:rsidP="00EF1149">
      <w:pPr>
        <w:tabs>
          <w:tab w:val="left" w:pos="0"/>
          <w:tab w:val="left" w:pos="720"/>
        </w:tabs>
        <w:suppressAutoHyphens/>
        <w:ind w:left="720"/>
        <w:rPr>
          <w:szCs w:val="22"/>
        </w:rPr>
      </w:pPr>
      <w:r w:rsidRPr="00EF1149">
        <w:rPr>
          <w:b/>
          <w:szCs w:val="22"/>
        </w:rPr>
        <w:t>Important</w:t>
      </w:r>
      <w:r>
        <w:rPr>
          <w:b/>
          <w:szCs w:val="22"/>
        </w:rPr>
        <w:t>:</w:t>
      </w:r>
      <w:r>
        <w:rPr>
          <w:szCs w:val="22"/>
        </w:rPr>
        <w:t xml:space="preserve">  </w:t>
      </w:r>
      <w:r w:rsidR="00DB371C">
        <w:rPr>
          <w:szCs w:val="22"/>
        </w:rPr>
        <w:t>Any c</w:t>
      </w:r>
      <w:r>
        <w:rPr>
          <w:szCs w:val="22"/>
        </w:rPr>
        <w:t xml:space="preserve">hanges made </w:t>
      </w:r>
      <w:r w:rsidR="005C278C">
        <w:rPr>
          <w:szCs w:val="22"/>
        </w:rPr>
        <w:t>to</w:t>
      </w:r>
      <w:r>
        <w:rPr>
          <w:szCs w:val="22"/>
        </w:rPr>
        <w:t xml:space="preserve"> an application after the f</w:t>
      </w:r>
      <w:r w:rsidR="0048564F">
        <w:rPr>
          <w:szCs w:val="22"/>
        </w:rPr>
        <w:t>il</w:t>
      </w:r>
      <w:r>
        <w:rPr>
          <w:szCs w:val="22"/>
        </w:rPr>
        <w:t xml:space="preserve">ing window has closed constitute an amendment to the application in ULS. </w:t>
      </w:r>
      <w:r w:rsidR="006A3B1F">
        <w:rPr>
          <w:szCs w:val="22"/>
        </w:rPr>
        <w:t xml:space="preserve"> </w:t>
      </w:r>
      <w:r w:rsidR="00DB371C">
        <w:rPr>
          <w:szCs w:val="22"/>
        </w:rPr>
        <w:t xml:space="preserve">The </w:t>
      </w:r>
      <w:r>
        <w:rPr>
          <w:szCs w:val="22"/>
        </w:rPr>
        <w:t>Commission</w:t>
      </w:r>
      <w:r w:rsidR="00DB371C">
        <w:rPr>
          <w:szCs w:val="22"/>
        </w:rPr>
        <w:t>’s</w:t>
      </w:r>
      <w:r>
        <w:rPr>
          <w:szCs w:val="22"/>
        </w:rPr>
        <w:t xml:space="preserve"> rules contain limitations on the filing of major amendments after </w:t>
      </w:r>
      <w:r w:rsidRPr="002525A5">
        <w:rPr>
          <w:szCs w:val="22"/>
        </w:rPr>
        <w:t>the</w:t>
      </w:r>
      <w:r w:rsidR="00C61A34">
        <w:rPr>
          <w:szCs w:val="22"/>
        </w:rPr>
        <w:t xml:space="preserve"> </w:t>
      </w:r>
      <w:r w:rsidR="00C61A34" w:rsidRPr="00C61A34">
        <w:rPr>
          <w:b/>
          <w:szCs w:val="22"/>
        </w:rPr>
        <w:t>February 13, 2015</w:t>
      </w:r>
      <w:r w:rsidRPr="005E68CE">
        <w:rPr>
          <w:szCs w:val="22"/>
        </w:rPr>
        <w:t>,</w:t>
      </w:r>
      <w:r>
        <w:rPr>
          <w:szCs w:val="22"/>
        </w:rPr>
        <w:t xml:space="preserve"> deadline that may affect the applicant</w:t>
      </w:r>
      <w:r w:rsidR="00D755B0">
        <w:rPr>
          <w:szCs w:val="22"/>
        </w:rPr>
        <w:t>’</w:t>
      </w:r>
      <w:r>
        <w:rPr>
          <w:szCs w:val="22"/>
        </w:rPr>
        <w:t>s legal rights.</w:t>
      </w:r>
      <w:r>
        <w:rPr>
          <w:rStyle w:val="FootnoteReference"/>
          <w:szCs w:val="22"/>
        </w:rPr>
        <w:footnoteReference w:id="9"/>
      </w:r>
      <w:r>
        <w:rPr>
          <w:szCs w:val="22"/>
        </w:rPr>
        <w:t xml:space="preserve">  Acceptance of an amendment by </w:t>
      </w:r>
      <w:r w:rsidR="00DB371C">
        <w:rPr>
          <w:szCs w:val="22"/>
        </w:rPr>
        <w:t xml:space="preserve">the Commission’s </w:t>
      </w:r>
      <w:r>
        <w:rPr>
          <w:szCs w:val="22"/>
        </w:rPr>
        <w:t xml:space="preserve">ULS does not </w:t>
      </w:r>
      <w:r w:rsidR="00DB371C">
        <w:rPr>
          <w:szCs w:val="22"/>
        </w:rPr>
        <w:t>constitute a determination</w:t>
      </w:r>
      <w:r>
        <w:rPr>
          <w:szCs w:val="22"/>
        </w:rPr>
        <w:t xml:space="preserve"> that the amendment is allowed under the Commission’s rules.  Applicants are advised to consult Commission’s rules in this regard prior to filing an</w:t>
      </w:r>
      <w:r w:rsidR="005C278C">
        <w:rPr>
          <w:szCs w:val="22"/>
        </w:rPr>
        <w:t>y</w:t>
      </w:r>
      <w:r>
        <w:rPr>
          <w:szCs w:val="22"/>
        </w:rPr>
        <w:t xml:space="preserve"> </w:t>
      </w:r>
      <w:r w:rsidR="005C278C">
        <w:rPr>
          <w:szCs w:val="22"/>
        </w:rPr>
        <w:t>change/</w:t>
      </w:r>
      <w:r>
        <w:rPr>
          <w:szCs w:val="22"/>
        </w:rPr>
        <w:t>amendment</w:t>
      </w:r>
      <w:r w:rsidR="005C278C">
        <w:rPr>
          <w:szCs w:val="22"/>
        </w:rPr>
        <w:t xml:space="preserve"> to their applications after the filing window has closed</w:t>
      </w:r>
      <w:r>
        <w:rPr>
          <w:szCs w:val="22"/>
        </w:rPr>
        <w:t xml:space="preserve">.  Once the Commission has granted a license, you may request a modification.  </w:t>
      </w:r>
    </w:p>
    <w:p w:rsidR="00730029" w:rsidRDefault="00730029">
      <w:pPr>
        <w:rPr>
          <w:i/>
          <w:szCs w:val="22"/>
          <w:u w:val="single"/>
        </w:rPr>
      </w:pPr>
    </w:p>
    <w:p w:rsidR="002E5C00" w:rsidRDefault="00730029" w:rsidP="00291E21">
      <w:pPr>
        <w:tabs>
          <w:tab w:val="left" w:pos="0"/>
          <w:tab w:val="left" w:pos="720"/>
        </w:tabs>
        <w:suppressAutoHyphens/>
      </w:pPr>
      <w:r w:rsidRPr="00291E21">
        <w:rPr>
          <w:b/>
          <w:szCs w:val="22"/>
          <w:u w:val="single"/>
        </w:rPr>
        <w:t>Technical Support</w:t>
      </w:r>
      <w:r w:rsidR="004C3ABF" w:rsidRPr="00291E21">
        <w:rPr>
          <w:b/>
          <w:szCs w:val="22"/>
          <w:u w:val="single"/>
        </w:rPr>
        <w:t xml:space="preserve"> with Filing FCC Form 601</w:t>
      </w:r>
      <w:r w:rsidRPr="004C3ABF">
        <w:t xml:space="preserve"> </w:t>
      </w:r>
    </w:p>
    <w:p w:rsidR="00730029" w:rsidRPr="004C3ABF" w:rsidRDefault="00730029" w:rsidP="00291E21">
      <w:pPr>
        <w:tabs>
          <w:tab w:val="left" w:pos="0"/>
          <w:tab w:val="left" w:pos="720"/>
        </w:tabs>
        <w:suppressAutoHyphens/>
        <w:rPr>
          <w:highlight w:val="cyan"/>
        </w:rPr>
      </w:pPr>
      <w:r w:rsidRPr="004C3ABF">
        <w:t xml:space="preserve"> </w:t>
      </w:r>
    </w:p>
    <w:p w:rsidR="00730029" w:rsidRDefault="00730029">
      <w:pPr>
        <w:tabs>
          <w:tab w:val="left" w:pos="0"/>
          <w:tab w:val="left" w:pos="720"/>
        </w:tabs>
        <w:suppressAutoHyphens/>
        <w:rPr>
          <w:color w:val="000000"/>
          <w:szCs w:val="22"/>
        </w:rPr>
      </w:pPr>
      <w:bookmarkStart w:id="1" w:name="OLE_LINK1"/>
      <w:r>
        <w:rPr>
          <w:color w:val="000000"/>
          <w:szCs w:val="22"/>
        </w:rPr>
        <w:t>For technical assistance with filing the FCC Form 601, contact the ULS Technical Support Hotline at (877) 480-3201, option 2, (717) 338-2888, or (717) 338-2824 (TTY).  The ULS Technical Support Hotline is available Monday through Friday from 8:00 a.m. to 6:00 p.m. ET.  There are no weekend hours, and the hotline is closed on all Federal holidays.  To provide quality service and ensure security, all telephone calls are recorded.</w:t>
      </w:r>
      <w:bookmarkEnd w:id="1"/>
    </w:p>
    <w:p w:rsidR="00730029" w:rsidRDefault="00730029">
      <w:pPr>
        <w:tabs>
          <w:tab w:val="left" w:pos="0"/>
          <w:tab w:val="left" w:pos="720"/>
        </w:tabs>
        <w:suppressAutoHyphens/>
        <w:rPr>
          <w:szCs w:val="22"/>
        </w:rPr>
      </w:pPr>
    </w:p>
    <w:p w:rsidR="00730029" w:rsidRDefault="00730029">
      <w:pPr>
        <w:pStyle w:val="Heading1"/>
        <w:jc w:val="left"/>
        <w:rPr>
          <w:szCs w:val="22"/>
        </w:rPr>
      </w:pPr>
      <w:r>
        <w:rPr>
          <w:szCs w:val="22"/>
        </w:rPr>
        <w:t>ORGANIZATION OF APPLICATION EXHIBITS</w:t>
      </w:r>
    </w:p>
    <w:p w:rsidR="00730029" w:rsidRDefault="00730029">
      <w:pPr>
        <w:tabs>
          <w:tab w:val="left" w:pos="0"/>
          <w:tab w:val="left" w:pos="360"/>
          <w:tab w:val="left" w:pos="720"/>
        </w:tabs>
        <w:suppressAutoHyphens/>
        <w:rPr>
          <w:szCs w:val="22"/>
        </w:rPr>
      </w:pPr>
      <w:r>
        <w:rPr>
          <w:b/>
          <w:szCs w:val="22"/>
        </w:rPr>
        <w:t>FCC Form 601</w:t>
      </w:r>
      <w:r w:rsidR="00290764">
        <w:rPr>
          <w:b/>
          <w:szCs w:val="22"/>
        </w:rPr>
        <w:t xml:space="preserve"> </w:t>
      </w:r>
      <w:r>
        <w:rPr>
          <w:b/>
          <w:szCs w:val="22"/>
        </w:rPr>
        <w:t>and Rule-Related Exhibits.</w:t>
      </w:r>
      <w:r>
        <w:rPr>
          <w:szCs w:val="22"/>
        </w:rPr>
        <w:t xml:space="preserve">  Any exhibits to be attached to an application in response to a question on the Main Form or Schedule B of FCC Form 601 or as specified in the Commission’s rules should be identified as specified in the instructions to the FCC Form 601.  Applicants</w:t>
      </w:r>
      <w:r>
        <w:rPr>
          <w:b/>
          <w:szCs w:val="22"/>
        </w:rPr>
        <w:t xml:space="preserve"> </w:t>
      </w:r>
      <w:r>
        <w:rPr>
          <w:szCs w:val="22"/>
        </w:rPr>
        <w:t xml:space="preserve">should select the </w:t>
      </w:r>
      <w:r w:rsidR="00FE0AF4">
        <w:rPr>
          <w:szCs w:val="22"/>
        </w:rPr>
        <w:t>“</w:t>
      </w:r>
      <w:r>
        <w:rPr>
          <w:szCs w:val="22"/>
        </w:rPr>
        <w:t>Attachments</w:t>
      </w:r>
      <w:r w:rsidR="00FE0AF4">
        <w:rPr>
          <w:szCs w:val="22"/>
        </w:rPr>
        <w:t>”</w:t>
      </w:r>
      <w:r>
        <w:rPr>
          <w:szCs w:val="22"/>
        </w:rPr>
        <w:t xml:space="preserve"> link to connect to the </w:t>
      </w:r>
      <w:r w:rsidR="005C278C">
        <w:rPr>
          <w:szCs w:val="22"/>
        </w:rPr>
        <w:t>“</w:t>
      </w:r>
      <w:r>
        <w:rPr>
          <w:szCs w:val="22"/>
        </w:rPr>
        <w:t>Attachments</w:t>
      </w:r>
      <w:r w:rsidR="005C278C">
        <w:rPr>
          <w:szCs w:val="22"/>
        </w:rPr>
        <w:t>”</w:t>
      </w:r>
      <w:r>
        <w:rPr>
          <w:szCs w:val="22"/>
        </w:rPr>
        <w:t xml:space="preserve"> page.</w:t>
      </w:r>
      <w:r w:rsidR="00A76A5B">
        <w:rPr>
          <w:szCs w:val="22"/>
        </w:rPr>
        <w:t xml:space="preserve"> </w:t>
      </w:r>
      <w:r>
        <w:rPr>
          <w:szCs w:val="22"/>
        </w:rPr>
        <w:t xml:space="preserve"> Select the appropriate attachment type from the pull-down menu, enter the correct attachment description (listed below) in the text box provided, browse for </w:t>
      </w:r>
      <w:r w:rsidRPr="00F03C54">
        <w:rPr>
          <w:szCs w:val="22"/>
        </w:rPr>
        <w:t>your</w:t>
      </w:r>
      <w:r>
        <w:rPr>
          <w:szCs w:val="22"/>
        </w:rPr>
        <w:t xml:space="preserve"> file, and click on the </w:t>
      </w:r>
      <w:r>
        <w:rPr>
          <w:b/>
          <w:szCs w:val="22"/>
        </w:rPr>
        <w:t>Add Attachment</w:t>
      </w:r>
      <w:r>
        <w:rPr>
          <w:bCs/>
          <w:szCs w:val="22"/>
        </w:rPr>
        <w:t xml:space="preserve"> button</w:t>
      </w:r>
      <w:r>
        <w:rPr>
          <w:szCs w:val="22"/>
        </w:rPr>
        <w:t xml:space="preserve">.  The electronic filing software will accept many different types of computer files.  For a full list of acceptable file formats, </w:t>
      </w:r>
      <w:r w:rsidRPr="00B81812">
        <w:rPr>
          <w:szCs w:val="22"/>
        </w:rPr>
        <w:t>see</w:t>
      </w:r>
      <w:r>
        <w:rPr>
          <w:szCs w:val="22"/>
        </w:rPr>
        <w:t xml:space="preserve"> </w:t>
      </w:r>
      <w:hyperlink r:id="rId11" w:anchor="d36e228" w:history="1">
        <w:r w:rsidR="007F7889" w:rsidRPr="003A2F1F">
          <w:rPr>
            <w:rStyle w:val="Hyperlink"/>
          </w:rPr>
          <w:t>http://esupport.fcc.gov/index.htm?job=attachments#d36e228</w:t>
        </w:r>
      </w:hyperlink>
      <w:r>
        <w:rPr>
          <w:szCs w:val="22"/>
        </w:rPr>
        <w:t>.  Do not add password protection to attached files.</w:t>
      </w:r>
    </w:p>
    <w:p w:rsidR="00730029" w:rsidRDefault="00730029">
      <w:pPr>
        <w:tabs>
          <w:tab w:val="left" w:pos="0"/>
          <w:tab w:val="left" w:pos="360"/>
          <w:tab w:val="left" w:pos="720"/>
        </w:tabs>
        <w:suppressAutoHyphens/>
        <w:rPr>
          <w:b/>
          <w:szCs w:val="22"/>
        </w:rPr>
      </w:pPr>
    </w:p>
    <w:p w:rsidR="00730029" w:rsidRDefault="00730029" w:rsidP="004670DB">
      <w:pPr>
        <w:tabs>
          <w:tab w:val="left" w:pos="0"/>
          <w:tab w:val="left" w:pos="360"/>
          <w:tab w:val="left" w:pos="720"/>
        </w:tabs>
        <w:suppressAutoHyphens/>
        <w:rPr>
          <w:szCs w:val="22"/>
        </w:rPr>
      </w:pPr>
      <w:r>
        <w:rPr>
          <w:szCs w:val="22"/>
        </w:rPr>
        <w:t xml:space="preserve">Provide exhibit attachments in ULS as applicable.  Any exhibits to be attached to an application as a result of </w:t>
      </w:r>
      <w:r w:rsidR="004F0DB4">
        <w:rPr>
          <w:szCs w:val="22"/>
        </w:rPr>
        <w:t xml:space="preserve">Commission </w:t>
      </w:r>
      <w:r>
        <w:rPr>
          <w:szCs w:val="22"/>
        </w:rPr>
        <w:t>rule requirements should be identified as follows:</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szCs w:val="22"/>
        </w:rPr>
        <w:tab/>
      </w:r>
      <w:r>
        <w:rPr>
          <w:szCs w:val="22"/>
          <w:u w:val="single"/>
        </w:rPr>
        <w:t>Title</w:t>
      </w:r>
    </w:p>
    <w:p w:rsidR="00730029" w:rsidRDefault="00730029">
      <w:pPr>
        <w:tabs>
          <w:tab w:val="left" w:pos="0"/>
          <w:tab w:val="left" w:pos="360"/>
          <w:tab w:val="left" w:pos="720"/>
        </w:tabs>
        <w:suppressAutoHyphens/>
        <w:ind w:left="360" w:hanging="360"/>
        <w:rPr>
          <w:szCs w:val="22"/>
        </w:rPr>
      </w:pPr>
      <w:r>
        <w:rPr>
          <w:szCs w:val="22"/>
        </w:rPr>
        <w:tab/>
        <w:t>Exhibit A: Ownership</w:t>
      </w:r>
    </w:p>
    <w:p w:rsidR="00730029" w:rsidRDefault="00730029">
      <w:pPr>
        <w:tabs>
          <w:tab w:val="left" w:pos="0"/>
          <w:tab w:val="left" w:pos="360"/>
          <w:tab w:val="left" w:pos="720"/>
        </w:tabs>
        <w:suppressAutoHyphens/>
        <w:rPr>
          <w:szCs w:val="22"/>
        </w:rPr>
      </w:pPr>
      <w:r>
        <w:rPr>
          <w:szCs w:val="22"/>
        </w:rPr>
        <w:tab/>
        <w:t>Exhibit B: Foreign Ownership</w:t>
      </w:r>
    </w:p>
    <w:p w:rsidR="00730029" w:rsidRDefault="00435895">
      <w:pPr>
        <w:tabs>
          <w:tab w:val="left" w:pos="0"/>
          <w:tab w:val="left" w:pos="360"/>
          <w:tab w:val="left" w:pos="720"/>
        </w:tabs>
        <w:suppressAutoHyphens/>
        <w:rPr>
          <w:szCs w:val="22"/>
        </w:rPr>
      </w:pPr>
      <w:r>
        <w:rPr>
          <w:szCs w:val="22"/>
        </w:rPr>
        <w:tab/>
      </w:r>
      <w:r w:rsidR="00730029">
        <w:rPr>
          <w:szCs w:val="22"/>
        </w:rPr>
        <w:t>Exhibit C: Designated Entities</w:t>
      </w:r>
    </w:p>
    <w:p w:rsidR="00730029" w:rsidRDefault="00730029">
      <w:pPr>
        <w:tabs>
          <w:tab w:val="left" w:pos="0"/>
          <w:tab w:val="left" w:pos="360"/>
          <w:tab w:val="left" w:pos="720"/>
        </w:tabs>
        <w:suppressAutoHyphens/>
        <w:ind w:left="1440" w:hanging="1440"/>
        <w:rPr>
          <w:szCs w:val="22"/>
        </w:rPr>
      </w:pPr>
      <w:r>
        <w:rPr>
          <w:szCs w:val="22"/>
        </w:rPr>
        <w:tab/>
        <w:t>Exhibit D: Agreements &amp; Other Instruments</w:t>
      </w:r>
      <w:r>
        <w:rPr>
          <w:szCs w:val="22"/>
        </w:rPr>
        <w:tab/>
      </w:r>
    </w:p>
    <w:p w:rsidR="00730029" w:rsidRDefault="00730029">
      <w:pPr>
        <w:tabs>
          <w:tab w:val="left" w:pos="0"/>
          <w:tab w:val="left" w:pos="360"/>
          <w:tab w:val="left" w:pos="720"/>
        </w:tabs>
        <w:suppressAutoHyphens/>
        <w:rPr>
          <w:szCs w:val="22"/>
        </w:rPr>
      </w:pPr>
      <w:r>
        <w:rPr>
          <w:szCs w:val="22"/>
        </w:rPr>
        <w:tab/>
        <w:t>Exhibit E: Confidentiality Requests</w:t>
      </w:r>
    </w:p>
    <w:p w:rsidR="00730029" w:rsidRDefault="00730029">
      <w:pPr>
        <w:tabs>
          <w:tab w:val="left" w:pos="0"/>
          <w:tab w:val="left" w:pos="360"/>
          <w:tab w:val="left" w:pos="720"/>
        </w:tabs>
        <w:suppressAutoHyphens/>
        <w:rPr>
          <w:szCs w:val="22"/>
        </w:rPr>
      </w:pPr>
      <w:r>
        <w:rPr>
          <w:szCs w:val="22"/>
        </w:rPr>
        <w:tab/>
        <w:t>Exhibit F: Waiver Requests</w:t>
      </w:r>
    </w:p>
    <w:p w:rsidR="00730029" w:rsidRDefault="00730029">
      <w:pPr>
        <w:tabs>
          <w:tab w:val="left" w:pos="0"/>
          <w:tab w:val="left" w:pos="360"/>
          <w:tab w:val="left" w:pos="720"/>
        </w:tabs>
        <w:suppressAutoHyphens/>
        <w:rPr>
          <w:szCs w:val="22"/>
        </w:rPr>
      </w:pPr>
      <w:r>
        <w:rPr>
          <w:szCs w:val="22"/>
        </w:rPr>
        <w:tab/>
        <w:t>Exhibit G: Miscellaneous Information</w:t>
      </w:r>
    </w:p>
    <w:p w:rsidR="00730029" w:rsidRDefault="00730029">
      <w:pPr>
        <w:tabs>
          <w:tab w:val="left" w:pos="0"/>
          <w:tab w:val="left" w:pos="360"/>
          <w:tab w:val="left" w:pos="720"/>
        </w:tabs>
        <w:suppressAutoHyphens/>
        <w:rPr>
          <w:szCs w:val="22"/>
        </w:rPr>
      </w:pPr>
      <w:r>
        <w:rPr>
          <w:szCs w:val="22"/>
        </w:rPr>
        <w:tab/>
        <w:t>Exhibit X: Tribal Lands Bidding Credit Waiver Requests</w:t>
      </w:r>
    </w:p>
    <w:p w:rsidR="00730029" w:rsidRDefault="00730029">
      <w:pPr>
        <w:tabs>
          <w:tab w:val="left" w:pos="0"/>
          <w:tab w:val="left" w:pos="360"/>
          <w:tab w:val="left" w:pos="720"/>
        </w:tabs>
        <w:suppressAutoHyphens/>
        <w:rPr>
          <w:szCs w:val="22"/>
        </w:rPr>
      </w:pPr>
      <w:r>
        <w:rPr>
          <w:szCs w:val="22"/>
        </w:rPr>
        <w:tab/>
        <w:t>Exhibit Y: Tribal Government Certification</w:t>
      </w:r>
    </w:p>
    <w:p w:rsidR="00730029" w:rsidRDefault="00730029">
      <w:pPr>
        <w:tabs>
          <w:tab w:val="left" w:pos="0"/>
          <w:tab w:val="left" w:pos="360"/>
          <w:tab w:val="left" w:pos="720"/>
        </w:tabs>
        <w:suppressAutoHyphens/>
        <w:rPr>
          <w:szCs w:val="22"/>
        </w:rPr>
      </w:pPr>
      <w:r>
        <w:rPr>
          <w:szCs w:val="22"/>
        </w:rPr>
        <w:tab/>
        <w:t>Exhibit Z: Tribal Lands Bidding Credit Applicant Certification</w:t>
      </w:r>
      <w:r>
        <w:rPr>
          <w:rStyle w:val="FootnoteReference"/>
          <w:szCs w:val="22"/>
        </w:rPr>
        <w:footnoteReference w:id="10"/>
      </w:r>
    </w:p>
    <w:p w:rsidR="00730029" w:rsidRPr="00901618" w:rsidRDefault="00730029">
      <w:pPr>
        <w:tabs>
          <w:tab w:val="left" w:pos="0"/>
          <w:tab w:val="left" w:pos="360"/>
          <w:tab w:val="left" w:pos="720"/>
        </w:tabs>
        <w:suppressAutoHyphens/>
        <w:rPr>
          <w:szCs w:val="22"/>
        </w:rPr>
      </w:pPr>
    </w:p>
    <w:p w:rsidR="00730029" w:rsidRPr="004F0DB4" w:rsidRDefault="00730029">
      <w:pPr>
        <w:tabs>
          <w:tab w:val="left" w:pos="0"/>
          <w:tab w:val="left" w:pos="360"/>
          <w:tab w:val="left" w:pos="720"/>
        </w:tabs>
        <w:suppressAutoHyphens/>
        <w:rPr>
          <w:szCs w:val="22"/>
        </w:rPr>
      </w:pPr>
      <w:r w:rsidRPr="004F0DB4">
        <w:rPr>
          <w:szCs w:val="22"/>
        </w:rPr>
        <w:t xml:space="preserve">As specified in the instructions to the FCC Form 601, each page of each exhibit must be identified with the letter of the exhibit, the number of the page of the exhibit, and the total number of pages of the exhibit.  </w:t>
      </w:r>
      <w:r w:rsidR="004F0DB4" w:rsidRPr="004F0DB4">
        <w:rPr>
          <w:szCs w:val="22"/>
        </w:rPr>
        <w:t>For example, “Exhibit A, Page 1 of 10”.</w:t>
      </w:r>
    </w:p>
    <w:p w:rsidR="00730029" w:rsidRDefault="00730029">
      <w:pPr>
        <w:tabs>
          <w:tab w:val="left" w:pos="0"/>
          <w:tab w:val="left" w:pos="360"/>
          <w:tab w:val="left" w:pos="720"/>
        </w:tabs>
        <w:suppressAutoHyphens/>
        <w:rPr>
          <w:szCs w:val="22"/>
        </w:rPr>
      </w:pPr>
    </w:p>
    <w:p w:rsidR="00730029" w:rsidRDefault="00730029">
      <w:pPr>
        <w:pStyle w:val="Heading3"/>
        <w:keepLines/>
        <w:numPr>
          <w:ilvl w:val="0"/>
          <w:numId w:val="0"/>
        </w:numPr>
        <w:jc w:val="left"/>
        <w:rPr>
          <w:smallCaps/>
          <w:szCs w:val="22"/>
        </w:rPr>
      </w:pPr>
      <w:r>
        <w:rPr>
          <w:smallCaps/>
          <w:szCs w:val="22"/>
        </w:rPr>
        <w:t>EXHIBIT A: OWNERSHIP INFORMATION</w:t>
      </w:r>
    </w:p>
    <w:p w:rsidR="00730029" w:rsidRDefault="00730029">
      <w:pPr>
        <w:keepLines/>
        <w:tabs>
          <w:tab w:val="left" w:pos="0"/>
          <w:tab w:val="left" w:pos="360"/>
          <w:tab w:val="left" w:pos="720"/>
        </w:tabs>
        <w:suppressAutoHyphens/>
        <w:rPr>
          <w:szCs w:val="22"/>
        </w:rPr>
      </w:pPr>
      <w:r>
        <w:rPr>
          <w:szCs w:val="22"/>
        </w:rPr>
        <w:t>Section 1.2112 of the Commission’s rules requires that each applicant for a license shall disclose fully the real party- or parties-in-interest.</w:t>
      </w:r>
      <w:r w:rsidR="002C6175">
        <w:rPr>
          <w:rStyle w:val="FootnoteReference"/>
          <w:szCs w:val="22"/>
        </w:rPr>
        <w:footnoteReference w:id="11"/>
      </w:r>
      <w:r>
        <w:rPr>
          <w:szCs w:val="22"/>
        </w:rPr>
        <w:t xml:space="preserve">  This requirement may be fulfilled by providing an attachment referencing the file number, date, and name of filer of the </w:t>
      </w:r>
      <w:r w:rsidRPr="002B0640">
        <w:rPr>
          <w:szCs w:val="22"/>
        </w:rPr>
        <w:t xml:space="preserve">appropriate FCC Form 602.  For information regarding the filing of the FCC Form 602, </w:t>
      </w:r>
      <w:r w:rsidRPr="00CF56C8">
        <w:rPr>
          <w:szCs w:val="22"/>
        </w:rPr>
        <w:t>see</w:t>
      </w:r>
      <w:r w:rsidRPr="002525A5">
        <w:rPr>
          <w:szCs w:val="22"/>
        </w:rPr>
        <w:t xml:space="preserve"> </w:t>
      </w:r>
      <w:r w:rsidRPr="006A2B4C">
        <w:rPr>
          <w:szCs w:val="22"/>
        </w:rPr>
        <w:t>Section V</w:t>
      </w:r>
      <w:r w:rsidRPr="002525A5">
        <w:rPr>
          <w:szCs w:val="22"/>
        </w:rPr>
        <w:t xml:space="preserve"> of this attachment.  To provide this information, applicants should upload the file, select Attachment Type “Ownership</w:t>
      </w:r>
      <w:r>
        <w:rPr>
          <w:szCs w:val="22"/>
        </w:rPr>
        <w:t>,” and enter “</w:t>
      </w:r>
      <w:r>
        <w:rPr>
          <w:b/>
          <w:szCs w:val="22"/>
        </w:rPr>
        <w:t>Exhibit A: Ownership</w:t>
      </w:r>
      <w:r>
        <w:rPr>
          <w:szCs w:val="22"/>
        </w:rPr>
        <w:t xml:space="preserve">” in the </w:t>
      </w:r>
      <w:r w:rsidR="005C278C">
        <w:rPr>
          <w:szCs w:val="22"/>
        </w:rPr>
        <w:t>“</w:t>
      </w:r>
      <w:r>
        <w:rPr>
          <w:szCs w:val="22"/>
        </w:rPr>
        <w:t>Description</w:t>
      </w:r>
      <w:r w:rsidR="005C278C">
        <w:rPr>
          <w:szCs w:val="22"/>
        </w:rPr>
        <w:t>”</w:t>
      </w:r>
      <w:r>
        <w:rPr>
          <w:szCs w:val="22"/>
        </w:rPr>
        <w:t xml:space="preserve"> field on the </w:t>
      </w:r>
      <w:r w:rsidR="005C278C">
        <w:rPr>
          <w:szCs w:val="22"/>
        </w:rPr>
        <w:t>“</w:t>
      </w:r>
      <w:r>
        <w:rPr>
          <w:szCs w:val="22"/>
        </w:rPr>
        <w:t>Attachments</w:t>
      </w:r>
      <w:r w:rsidR="005C278C">
        <w:rPr>
          <w:szCs w:val="22"/>
        </w:rPr>
        <w:t>”</w:t>
      </w:r>
      <w:r>
        <w:rPr>
          <w:szCs w:val="22"/>
        </w:rPr>
        <w:t xml:space="preserve"> page.</w:t>
      </w:r>
    </w:p>
    <w:p w:rsidR="00730029" w:rsidRDefault="00730029">
      <w:pPr>
        <w:tabs>
          <w:tab w:val="left" w:pos="0"/>
          <w:tab w:val="left" w:pos="360"/>
          <w:tab w:val="left" w:pos="720"/>
        </w:tabs>
        <w:suppressAutoHyphens/>
        <w:ind w:right="360"/>
        <w:rPr>
          <w:szCs w:val="22"/>
        </w:rPr>
      </w:pPr>
    </w:p>
    <w:p w:rsidR="00730029" w:rsidRDefault="00730029">
      <w:pPr>
        <w:tabs>
          <w:tab w:val="left" w:pos="0"/>
          <w:tab w:val="left" w:pos="360"/>
          <w:tab w:val="left" w:pos="720"/>
        </w:tabs>
        <w:suppressAutoHyphens/>
        <w:rPr>
          <w:szCs w:val="22"/>
        </w:rPr>
      </w:pPr>
      <w:r>
        <w:rPr>
          <w:szCs w:val="22"/>
        </w:rPr>
        <w:t xml:space="preserve">Although ownership information can be provided by referencing the FCC Form 602, applicants should </w:t>
      </w:r>
      <w:r w:rsidR="005C278C">
        <w:rPr>
          <w:szCs w:val="22"/>
        </w:rPr>
        <w:t xml:space="preserve">first </w:t>
      </w:r>
      <w:r>
        <w:rPr>
          <w:szCs w:val="22"/>
        </w:rPr>
        <w:t xml:space="preserve">confirm that their </w:t>
      </w:r>
      <w:r w:rsidR="005C278C">
        <w:rPr>
          <w:szCs w:val="22"/>
        </w:rPr>
        <w:t xml:space="preserve">current </w:t>
      </w:r>
      <w:r>
        <w:rPr>
          <w:szCs w:val="22"/>
        </w:rPr>
        <w:t xml:space="preserve">FCC Form 602 accurately reflects all information discussed below and as required under </w:t>
      </w:r>
      <w:r w:rsidR="00F03C54">
        <w:rPr>
          <w:szCs w:val="22"/>
        </w:rPr>
        <w:t>s</w:t>
      </w:r>
      <w:r>
        <w:rPr>
          <w:szCs w:val="22"/>
        </w:rPr>
        <w:t xml:space="preserve">ection 1.2112 of the Commission’s rules. </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b/>
          <w:szCs w:val="22"/>
        </w:rPr>
        <w:t xml:space="preserve">Direct Ownership.  </w:t>
      </w:r>
      <w:r>
        <w:rPr>
          <w:szCs w:val="22"/>
        </w:rPr>
        <w:t>An applicant must provide information regarding its direct ownership as follows:</w:t>
      </w:r>
    </w:p>
    <w:p w:rsidR="00730029" w:rsidRDefault="00730029">
      <w:pPr>
        <w:tabs>
          <w:tab w:val="left" w:pos="0"/>
          <w:tab w:val="left" w:pos="360"/>
          <w:tab w:val="left" w:pos="720"/>
        </w:tabs>
        <w:suppressAutoHyphens/>
        <w:rPr>
          <w:szCs w:val="22"/>
        </w:rPr>
      </w:pPr>
    </w:p>
    <w:p w:rsidR="00730029" w:rsidRDefault="00730029">
      <w:pPr>
        <w:numPr>
          <w:ilvl w:val="0"/>
          <w:numId w:val="5"/>
        </w:numPr>
        <w:tabs>
          <w:tab w:val="left" w:pos="0"/>
          <w:tab w:val="left" w:pos="720"/>
        </w:tabs>
        <w:suppressAutoHyphens/>
        <w:ind w:left="720"/>
        <w:rPr>
          <w:szCs w:val="22"/>
        </w:rPr>
      </w:pPr>
      <w:r>
        <w:rPr>
          <w:i/>
          <w:szCs w:val="22"/>
        </w:rPr>
        <w:t>General Rule:</w:t>
      </w:r>
      <w:r>
        <w:rPr>
          <w:szCs w:val="22"/>
        </w:rPr>
        <w:t xml:space="preserve"> The applicant must provide the name, address, and citizenship of any party holding 10 percent or more of stock in the applicant, whether voting or nonvoting, common or preferred, including the specific amount of the interest or percentage held.</w:t>
      </w:r>
      <w:r w:rsidR="006E74D0">
        <w:rPr>
          <w:rStyle w:val="FootnoteReference"/>
          <w:szCs w:val="22"/>
        </w:rPr>
        <w:footnoteReference w:id="12"/>
      </w:r>
      <w:r>
        <w:rPr>
          <w:szCs w:val="22"/>
        </w:rPr>
        <w:t xml:space="preserve">  </w:t>
      </w:r>
    </w:p>
    <w:p w:rsidR="00730029" w:rsidRDefault="00730029">
      <w:pPr>
        <w:tabs>
          <w:tab w:val="left" w:pos="0"/>
          <w:tab w:val="left" w:pos="360"/>
          <w:tab w:val="left" w:pos="720"/>
        </w:tabs>
        <w:suppressAutoHyphens/>
        <w:ind w:left="720"/>
        <w:rPr>
          <w:szCs w:val="22"/>
        </w:rPr>
      </w:pPr>
    </w:p>
    <w:p w:rsidR="00730029" w:rsidRDefault="00730029">
      <w:pPr>
        <w:numPr>
          <w:ilvl w:val="0"/>
          <w:numId w:val="5"/>
        </w:numPr>
        <w:tabs>
          <w:tab w:val="left" w:pos="0"/>
          <w:tab w:val="left" w:pos="720"/>
        </w:tabs>
        <w:suppressAutoHyphens/>
        <w:ind w:left="720"/>
        <w:rPr>
          <w:szCs w:val="22"/>
        </w:rPr>
      </w:pPr>
      <w:r>
        <w:rPr>
          <w:szCs w:val="22"/>
        </w:rPr>
        <w:t>If the applicant is a general partnership, provide the name, address, and citizenship of each partner, and the share or interest participation in the partnership.</w:t>
      </w:r>
      <w:r w:rsidR="006E74D0">
        <w:rPr>
          <w:rStyle w:val="FootnoteReference"/>
          <w:szCs w:val="22"/>
        </w:rPr>
        <w:footnoteReference w:id="13"/>
      </w:r>
      <w:r>
        <w:rPr>
          <w:szCs w:val="22"/>
        </w:rPr>
        <w:t xml:space="preserve">  </w:t>
      </w:r>
    </w:p>
    <w:p w:rsidR="00730029" w:rsidRDefault="00730029">
      <w:pPr>
        <w:tabs>
          <w:tab w:val="left" w:pos="0"/>
          <w:tab w:val="left" w:pos="360"/>
          <w:tab w:val="left" w:pos="720"/>
        </w:tabs>
        <w:suppressAutoHyphens/>
        <w:rPr>
          <w:szCs w:val="22"/>
        </w:rPr>
      </w:pPr>
    </w:p>
    <w:p w:rsidR="00730029" w:rsidRDefault="00730029">
      <w:pPr>
        <w:numPr>
          <w:ilvl w:val="0"/>
          <w:numId w:val="5"/>
        </w:numPr>
        <w:tabs>
          <w:tab w:val="left" w:pos="0"/>
          <w:tab w:val="left" w:pos="720"/>
        </w:tabs>
        <w:suppressAutoHyphens/>
        <w:ind w:left="720"/>
        <w:rPr>
          <w:szCs w:val="22"/>
        </w:rPr>
      </w:pPr>
      <w:r>
        <w:rPr>
          <w:szCs w:val="22"/>
        </w:rPr>
        <w:t>If the applicant is a limited partnership, provide the name, address, and citizenship of each limited partner whose interest in the applicant is 10 percent or greater (as calculated according to either the percentage of equity paid in or the percentage of distribution of profits and losses).</w:t>
      </w:r>
      <w:r w:rsidR="006E74D0">
        <w:rPr>
          <w:rStyle w:val="FootnoteReference"/>
          <w:szCs w:val="22"/>
        </w:rPr>
        <w:footnoteReference w:id="14"/>
      </w:r>
      <w:r>
        <w:rPr>
          <w:szCs w:val="22"/>
        </w:rPr>
        <w:t xml:space="preserve">  </w:t>
      </w:r>
      <w:r w:rsidR="00E37138">
        <w:rPr>
          <w:szCs w:val="22"/>
        </w:rPr>
        <w:t>In addition, if the applicant is a limited partnership, provide the name, address, and citizenship of each general partner, and the share or interest participation in the partnership.</w:t>
      </w:r>
      <w:r w:rsidR="006E74D0">
        <w:rPr>
          <w:rStyle w:val="FootnoteReference"/>
          <w:szCs w:val="22"/>
        </w:rPr>
        <w:footnoteReference w:id="15"/>
      </w:r>
      <w:r w:rsidR="00E37138">
        <w:rPr>
          <w:szCs w:val="22"/>
        </w:rPr>
        <w:t xml:space="preserve">  </w:t>
      </w:r>
    </w:p>
    <w:p w:rsidR="00730029" w:rsidRDefault="00730029">
      <w:pPr>
        <w:tabs>
          <w:tab w:val="left" w:pos="0"/>
          <w:tab w:val="left" w:pos="360"/>
          <w:tab w:val="left" w:pos="720"/>
        </w:tabs>
        <w:suppressAutoHyphens/>
        <w:rPr>
          <w:szCs w:val="22"/>
        </w:rPr>
      </w:pPr>
    </w:p>
    <w:p w:rsidR="00730029" w:rsidRDefault="00730029">
      <w:pPr>
        <w:numPr>
          <w:ilvl w:val="0"/>
          <w:numId w:val="5"/>
        </w:numPr>
        <w:tabs>
          <w:tab w:val="left" w:pos="0"/>
          <w:tab w:val="left" w:pos="720"/>
        </w:tabs>
        <w:suppressAutoHyphens/>
        <w:ind w:left="720"/>
        <w:rPr>
          <w:szCs w:val="22"/>
        </w:rPr>
      </w:pPr>
      <w:r>
        <w:rPr>
          <w:szCs w:val="22"/>
        </w:rPr>
        <w:t>If the applicant is a limited liability company, provide the name, address, and citizenship of each of its members whose interest in the applicant is 10 percent or greater.</w:t>
      </w:r>
      <w:r w:rsidR="006E74D0">
        <w:rPr>
          <w:rStyle w:val="FootnoteReference"/>
          <w:szCs w:val="22"/>
        </w:rPr>
        <w:footnoteReference w:id="16"/>
      </w:r>
      <w:r>
        <w:rPr>
          <w:szCs w:val="22"/>
        </w:rPr>
        <w:t xml:space="preserve">  </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b/>
          <w:szCs w:val="22"/>
        </w:rPr>
        <w:t xml:space="preserve">Indirect Ownership.  </w:t>
      </w:r>
      <w:r>
        <w:rPr>
          <w:szCs w:val="22"/>
        </w:rPr>
        <w:t>Applicants must identify all parties holding a 10 percent or greater indirect ownership interest in the applicant, as determined by successive multiplication of the ownership percentages for each link in the vertical ownership chain.</w:t>
      </w:r>
      <w:r w:rsidR="00D67EF7">
        <w:rPr>
          <w:rStyle w:val="FootnoteReference"/>
          <w:szCs w:val="22"/>
        </w:rPr>
        <w:footnoteReference w:id="17"/>
      </w:r>
      <w:r>
        <w:rPr>
          <w:szCs w:val="22"/>
        </w:rPr>
        <w:t xml:space="preserve">  If the ownership percentage for an interest in any link in the chain exceeds fifty percent or represents actual control, it shall be treated and reported as if it were a one hundred percent interest.</w:t>
      </w:r>
      <w:r w:rsidR="006E74D0">
        <w:rPr>
          <w:rStyle w:val="FootnoteReference"/>
          <w:szCs w:val="22"/>
        </w:rPr>
        <w:footnoteReference w:id="18"/>
      </w:r>
      <w:r>
        <w:rPr>
          <w:szCs w:val="22"/>
        </w:rPr>
        <w:t xml:space="preserve">  </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outlineLvl w:val="0"/>
        <w:rPr>
          <w:szCs w:val="22"/>
        </w:rPr>
      </w:pPr>
      <w:r>
        <w:rPr>
          <w:b/>
          <w:szCs w:val="22"/>
        </w:rPr>
        <w:t>Other Disclosable Interests and Entities.</w:t>
      </w:r>
      <w:r>
        <w:rPr>
          <w:szCs w:val="22"/>
        </w:rPr>
        <w:t xml:space="preserve">  A</w:t>
      </w:r>
      <w:r w:rsidR="003A36E4">
        <w:rPr>
          <w:szCs w:val="22"/>
        </w:rPr>
        <w:t>n a</w:t>
      </w:r>
      <w:r>
        <w:rPr>
          <w:szCs w:val="22"/>
        </w:rPr>
        <w:t xml:space="preserve">pplicant must list any Commission-licensed or </w:t>
      </w:r>
      <w:r w:rsidR="003A36E4">
        <w:rPr>
          <w:szCs w:val="22"/>
        </w:rPr>
        <w:t>-</w:t>
      </w:r>
      <w:r>
        <w:rPr>
          <w:szCs w:val="22"/>
        </w:rPr>
        <w:t xml:space="preserve">regulated entity </w:t>
      </w:r>
      <w:r w:rsidR="003A36E4">
        <w:rPr>
          <w:szCs w:val="22"/>
        </w:rPr>
        <w:t>and</w:t>
      </w:r>
      <w:r>
        <w:rPr>
          <w:szCs w:val="22"/>
        </w:rPr>
        <w:t xml:space="preserve"> </w:t>
      </w:r>
      <w:r w:rsidR="003A36E4">
        <w:rPr>
          <w:szCs w:val="22"/>
        </w:rPr>
        <w:t xml:space="preserve">any </w:t>
      </w:r>
      <w:r>
        <w:rPr>
          <w:szCs w:val="22"/>
        </w:rPr>
        <w:t xml:space="preserve">applicant for a Commission license or authorization in which the applicant or any of the parties </w:t>
      </w:r>
      <w:r w:rsidR="003A36E4">
        <w:rPr>
          <w:szCs w:val="22"/>
        </w:rPr>
        <w:t xml:space="preserve">required to be </w:t>
      </w:r>
      <w:r>
        <w:rPr>
          <w:szCs w:val="22"/>
        </w:rPr>
        <w:t xml:space="preserve">identified </w:t>
      </w:r>
      <w:r w:rsidR="003A36E4">
        <w:rPr>
          <w:szCs w:val="22"/>
        </w:rPr>
        <w:t>by the applicant pursuant to</w:t>
      </w:r>
      <w:r>
        <w:rPr>
          <w:szCs w:val="22"/>
        </w:rPr>
        <w:t xml:space="preserve"> </w:t>
      </w:r>
      <w:r w:rsidR="00F03C54">
        <w:rPr>
          <w:szCs w:val="22"/>
        </w:rPr>
        <w:t>s</w:t>
      </w:r>
      <w:r>
        <w:rPr>
          <w:szCs w:val="22"/>
        </w:rPr>
        <w:t>ections 1.2112(a)(1)-(5) of the Commission’s rules owns 10 percent or more ownership interest, whether voting or nonvoting, common or preferred.</w:t>
      </w:r>
      <w:r w:rsidR="003A36E4">
        <w:rPr>
          <w:rStyle w:val="FootnoteReference"/>
          <w:szCs w:val="22"/>
        </w:rPr>
        <w:footnoteReference w:id="19"/>
      </w:r>
      <w:r>
        <w:rPr>
          <w:szCs w:val="22"/>
        </w:rPr>
        <w:t xml:space="preserve">  This list must include a description of each such entity’s principal business and a description of each entity’s relationship to the applicant.</w:t>
      </w:r>
      <w:r w:rsidR="006E74D0">
        <w:rPr>
          <w:rStyle w:val="FootnoteReference"/>
          <w:szCs w:val="22"/>
        </w:rPr>
        <w:footnoteReference w:id="20"/>
      </w:r>
      <w:r>
        <w:rPr>
          <w:szCs w:val="22"/>
        </w:rPr>
        <w:t xml:space="preserve">  </w:t>
      </w:r>
    </w:p>
    <w:p w:rsidR="00730029" w:rsidRDefault="00730029">
      <w:pPr>
        <w:tabs>
          <w:tab w:val="left" w:pos="0"/>
          <w:tab w:val="left" w:pos="360"/>
          <w:tab w:val="left" w:pos="720"/>
        </w:tabs>
        <w:suppressAutoHyphens/>
        <w:outlineLvl w:val="0"/>
        <w:rPr>
          <w:szCs w:val="22"/>
        </w:rPr>
      </w:pPr>
    </w:p>
    <w:p w:rsidR="00730029" w:rsidRDefault="00730029">
      <w:pPr>
        <w:tabs>
          <w:tab w:val="left" w:pos="0"/>
          <w:tab w:val="left" w:pos="360"/>
          <w:tab w:val="left" w:pos="720"/>
        </w:tabs>
        <w:suppressAutoHyphens/>
        <w:outlineLvl w:val="0"/>
        <w:rPr>
          <w:szCs w:val="22"/>
        </w:rPr>
      </w:pPr>
      <w:r>
        <w:rPr>
          <w:b/>
          <w:szCs w:val="22"/>
        </w:rPr>
        <w:t>Complex Ownership Situations.</w:t>
      </w:r>
      <w:r>
        <w:rPr>
          <w:szCs w:val="22"/>
        </w:rPr>
        <w:t xml:space="preserve">  To facilitate the long-form review process, applicants whose ownership structures involve multiple layers are encouraged to provide a narrative and organizational chart detailing the relationships of the various entities.  </w:t>
      </w:r>
    </w:p>
    <w:p w:rsidR="00730029" w:rsidRDefault="00730029">
      <w:pPr>
        <w:tabs>
          <w:tab w:val="left" w:pos="0"/>
          <w:tab w:val="left" w:pos="720"/>
        </w:tabs>
        <w:suppressAutoHyphens/>
        <w:rPr>
          <w:szCs w:val="22"/>
        </w:rPr>
      </w:pPr>
    </w:p>
    <w:p w:rsidR="00730029" w:rsidRDefault="00730029">
      <w:pPr>
        <w:pStyle w:val="Heading3"/>
        <w:numPr>
          <w:ilvl w:val="0"/>
          <w:numId w:val="0"/>
        </w:numPr>
        <w:jc w:val="left"/>
        <w:rPr>
          <w:smallCaps/>
          <w:szCs w:val="22"/>
        </w:rPr>
      </w:pPr>
      <w:r>
        <w:rPr>
          <w:smallCaps/>
          <w:szCs w:val="22"/>
        </w:rPr>
        <w:t>EXHIBIT B: FOREIGN OWNERSHIP</w:t>
      </w:r>
    </w:p>
    <w:p w:rsidR="00F01D55" w:rsidRDefault="006A4859">
      <w:pPr>
        <w:tabs>
          <w:tab w:val="left" w:pos="0"/>
          <w:tab w:val="left" w:pos="360"/>
          <w:tab w:val="left" w:pos="720"/>
        </w:tabs>
        <w:suppressAutoHyphens/>
        <w:rPr>
          <w:szCs w:val="22"/>
        </w:rPr>
      </w:pPr>
      <w:r>
        <w:rPr>
          <w:szCs w:val="22"/>
        </w:rPr>
        <w:t>An</w:t>
      </w:r>
      <w:r w:rsidR="00730029">
        <w:rPr>
          <w:szCs w:val="22"/>
        </w:rPr>
        <w:t xml:space="preserve"> applicant </w:t>
      </w:r>
      <w:r>
        <w:rPr>
          <w:szCs w:val="22"/>
        </w:rPr>
        <w:t>that answers</w:t>
      </w:r>
      <w:r w:rsidR="00730029">
        <w:rPr>
          <w:szCs w:val="22"/>
        </w:rPr>
        <w:t xml:space="preserve"> “Yes” to Question </w:t>
      </w:r>
      <w:r w:rsidR="00F01D55">
        <w:rPr>
          <w:szCs w:val="22"/>
        </w:rPr>
        <w:t xml:space="preserve">47 or </w:t>
      </w:r>
      <w:r w:rsidR="00730029">
        <w:rPr>
          <w:szCs w:val="22"/>
        </w:rPr>
        <w:t>48a</w:t>
      </w:r>
      <w:r>
        <w:rPr>
          <w:szCs w:val="22"/>
        </w:rPr>
        <w:t xml:space="preserve"> on FCC Form 601 must provide an attachment</w:t>
      </w:r>
      <w:r w:rsidR="0082364C">
        <w:rPr>
          <w:szCs w:val="22"/>
        </w:rPr>
        <w:t xml:space="preserve"> </w:t>
      </w:r>
      <w:r w:rsidR="0082364C" w:rsidRPr="0082364C">
        <w:rPr>
          <w:szCs w:val="22"/>
        </w:rPr>
        <w:t xml:space="preserve">consisting of one of the showings specified in (i), (ii), or (iii) below </w:t>
      </w:r>
      <w:r w:rsidR="00A73C16">
        <w:rPr>
          <w:szCs w:val="22"/>
        </w:rPr>
        <w:t xml:space="preserve">or the Commission </w:t>
      </w:r>
      <w:r w:rsidR="0082364C" w:rsidRPr="0082364C">
        <w:rPr>
          <w:szCs w:val="22"/>
        </w:rPr>
        <w:t>will dismiss the application without further consideration</w:t>
      </w:r>
      <w:r w:rsidR="00A73C16">
        <w:rPr>
          <w:szCs w:val="22"/>
        </w:rPr>
        <w:t>:</w:t>
      </w:r>
      <w:r w:rsidR="0082364C" w:rsidRPr="0082364C">
        <w:rPr>
          <w:szCs w:val="22"/>
        </w:rPr>
        <w:t xml:space="preserve">  </w:t>
      </w:r>
      <w:r>
        <w:rPr>
          <w:szCs w:val="22"/>
        </w:rPr>
        <w:t xml:space="preserve"> </w:t>
      </w:r>
    </w:p>
    <w:p w:rsidR="00F01D55" w:rsidRDefault="00F01D55" w:rsidP="00A73C16">
      <w:pPr>
        <w:tabs>
          <w:tab w:val="left" w:pos="0"/>
          <w:tab w:val="left" w:pos="360"/>
          <w:tab w:val="left" w:pos="720"/>
        </w:tabs>
        <w:suppressAutoHyphens/>
        <w:spacing w:before="120" w:after="120"/>
        <w:rPr>
          <w:szCs w:val="22"/>
        </w:rPr>
      </w:pPr>
      <w:r>
        <w:rPr>
          <w:szCs w:val="22"/>
        </w:rPr>
        <w:tab/>
        <w:t xml:space="preserve">(i) </w:t>
      </w:r>
      <w:r w:rsidR="00A73C16">
        <w:rPr>
          <w:szCs w:val="22"/>
        </w:rPr>
        <w:t>a demonstration</w:t>
      </w:r>
      <w:r>
        <w:rPr>
          <w:szCs w:val="22"/>
        </w:rPr>
        <w:t xml:space="preserve"> that the applicant is exempt from the provisions of Section 310(b)(3)</w:t>
      </w:r>
      <w:r w:rsidR="00A73C16">
        <w:rPr>
          <w:szCs w:val="22"/>
        </w:rPr>
        <w:t xml:space="preserve"> </w:t>
      </w:r>
      <w:r w:rsidR="00C31DD1">
        <w:rPr>
          <w:szCs w:val="22"/>
        </w:rPr>
        <w:t>and</w:t>
      </w:r>
      <w:r w:rsidR="00A73C16">
        <w:rPr>
          <w:szCs w:val="22"/>
        </w:rPr>
        <w:t xml:space="preserve"> Section 310(b)(4)</w:t>
      </w:r>
      <w:r w:rsidR="005C4299">
        <w:rPr>
          <w:szCs w:val="22"/>
        </w:rPr>
        <w:t xml:space="preserve"> of the Communications Act, as amended</w:t>
      </w:r>
      <w:r>
        <w:rPr>
          <w:szCs w:val="22"/>
        </w:rPr>
        <w:t xml:space="preserve">, or </w:t>
      </w:r>
    </w:p>
    <w:p w:rsidR="00F01D55" w:rsidRDefault="00F01D55">
      <w:pPr>
        <w:tabs>
          <w:tab w:val="left" w:pos="0"/>
          <w:tab w:val="left" w:pos="360"/>
          <w:tab w:val="left" w:pos="720"/>
        </w:tabs>
        <w:suppressAutoHyphens/>
        <w:rPr>
          <w:szCs w:val="22"/>
        </w:rPr>
      </w:pPr>
      <w:r>
        <w:rPr>
          <w:szCs w:val="22"/>
        </w:rPr>
        <w:tab/>
        <w:t xml:space="preserve">(ii) a statement that the applicant has received prior Commission approval of its foreign ownership pursuant to the </w:t>
      </w:r>
      <w:r w:rsidR="00A73C16">
        <w:rPr>
          <w:szCs w:val="22"/>
        </w:rPr>
        <w:t>C</w:t>
      </w:r>
      <w:r>
        <w:rPr>
          <w:szCs w:val="22"/>
        </w:rPr>
        <w:t xml:space="preserve">ommission’s Section 310(b)(3) </w:t>
      </w:r>
      <w:r w:rsidRPr="00F01D55">
        <w:rPr>
          <w:szCs w:val="22"/>
        </w:rPr>
        <w:t xml:space="preserve">forbearance approach, </w:t>
      </w:r>
      <w:r w:rsidR="00A73C16">
        <w:rPr>
          <w:szCs w:val="22"/>
        </w:rPr>
        <w:t xml:space="preserve">or has received prior Commission approval of the foreign ownership of its direct and/or indirect controlling U.S. parent company(ies) pursuant to </w:t>
      </w:r>
      <w:r w:rsidR="00020353">
        <w:rPr>
          <w:szCs w:val="22"/>
        </w:rPr>
        <w:t>Section</w:t>
      </w:r>
      <w:r w:rsidR="00A73C16">
        <w:rPr>
          <w:szCs w:val="22"/>
        </w:rPr>
        <w:t xml:space="preserve"> 310(b)(4), </w:t>
      </w:r>
      <w:r w:rsidR="005C4299">
        <w:rPr>
          <w:szCs w:val="22"/>
        </w:rPr>
        <w:t xml:space="preserve">together with </w:t>
      </w:r>
      <w:r w:rsidRPr="00F01D55">
        <w:rPr>
          <w:szCs w:val="22"/>
        </w:rPr>
        <w:t xml:space="preserve">citation(s) to the relevant declaratory ruling(s) received by the </w:t>
      </w:r>
      <w:r w:rsidR="005C4299">
        <w:rPr>
          <w:szCs w:val="22"/>
        </w:rPr>
        <w:t>a</w:t>
      </w:r>
      <w:r w:rsidRPr="00F01D55">
        <w:rPr>
          <w:szCs w:val="22"/>
        </w:rPr>
        <w:t xml:space="preserve">pplicant (i.e., DA or FCC Number, FCC Record citation if available, and release date), and a statement specifying that the Applicant is in compliance with the terms and conditions of its ruling and with the Commission’s </w:t>
      </w:r>
      <w:r w:rsidR="00C45118">
        <w:rPr>
          <w:szCs w:val="22"/>
        </w:rPr>
        <w:t>r</w:t>
      </w:r>
      <w:r w:rsidRPr="00F01D55">
        <w:rPr>
          <w:szCs w:val="22"/>
        </w:rPr>
        <w:t>ules; or</w:t>
      </w:r>
      <w:r>
        <w:rPr>
          <w:szCs w:val="22"/>
        </w:rPr>
        <w:t xml:space="preserve"> </w:t>
      </w:r>
    </w:p>
    <w:p w:rsidR="00F01D55" w:rsidRDefault="00F01D55" w:rsidP="00A73C16">
      <w:pPr>
        <w:tabs>
          <w:tab w:val="left" w:pos="0"/>
          <w:tab w:val="left" w:pos="360"/>
          <w:tab w:val="left" w:pos="720"/>
        </w:tabs>
        <w:suppressAutoHyphens/>
        <w:spacing w:before="120" w:after="100" w:afterAutospacing="1"/>
        <w:rPr>
          <w:szCs w:val="22"/>
        </w:rPr>
      </w:pPr>
      <w:r>
        <w:rPr>
          <w:szCs w:val="22"/>
        </w:rPr>
        <w:tab/>
      </w:r>
      <w:r w:rsidRPr="00F01D55">
        <w:rPr>
          <w:szCs w:val="22"/>
        </w:rPr>
        <w:t xml:space="preserve">(iii) A copy of a petition for declaratory ruling filed pursuant to </w:t>
      </w:r>
      <w:r w:rsidR="00C31DD1">
        <w:rPr>
          <w:szCs w:val="22"/>
        </w:rPr>
        <w:t>(A) Section 1.990(a)(1</w:t>
      </w:r>
      <w:r w:rsidR="00C31DD1" w:rsidRPr="00F01D55">
        <w:rPr>
          <w:szCs w:val="22"/>
        </w:rPr>
        <w:t>) of the Commission</w:t>
      </w:r>
      <w:r w:rsidR="00C31DD1">
        <w:rPr>
          <w:szCs w:val="22"/>
        </w:rPr>
        <w:t>’s rules, 47 C.F.R. § 1.990(a)(1</w:t>
      </w:r>
      <w:r w:rsidR="00C31DD1" w:rsidRPr="00F01D55">
        <w:rPr>
          <w:szCs w:val="22"/>
        </w:rPr>
        <w:t>),</w:t>
      </w:r>
      <w:r w:rsidR="00C31DD1" w:rsidRPr="005C4299">
        <w:rPr>
          <w:szCs w:val="22"/>
        </w:rPr>
        <w:t xml:space="preserve"> </w:t>
      </w:r>
      <w:r w:rsidR="00C31DD1" w:rsidRPr="00F01D55">
        <w:rPr>
          <w:szCs w:val="22"/>
        </w:rPr>
        <w:t>requesting Commission approval</w:t>
      </w:r>
      <w:r w:rsidR="00C31DD1">
        <w:rPr>
          <w:szCs w:val="22"/>
        </w:rPr>
        <w:t xml:space="preserve"> of the foreign ownership of its direct and/or indirect controlling U.S. parent company(ies); or </w:t>
      </w:r>
      <w:r w:rsidR="00B83CC2">
        <w:rPr>
          <w:szCs w:val="22"/>
        </w:rPr>
        <w:t>(</w:t>
      </w:r>
      <w:r w:rsidR="00C31DD1">
        <w:rPr>
          <w:szCs w:val="22"/>
        </w:rPr>
        <w:t>B</w:t>
      </w:r>
      <w:r w:rsidR="00B83CC2">
        <w:rPr>
          <w:szCs w:val="22"/>
        </w:rPr>
        <w:t xml:space="preserve">) </w:t>
      </w:r>
      <w:r w:rsidRPr="00F01D55">
        <w:rPr>
          <w:szCs w:val="22"/>
        </w:rPr>
        <w:t xml:space="preserve">Section 1.990(a)(2) of the Commission’s </w:t>
      </w:r>
      <w:r w:rsidR="00D24956">
        <w:rPr>
          <w:szCs w:val="22"/>
        </w:rPr>
        <w:t>r</w:t>
      </w:r>
      <w:r w:rsidRPr="00F01D55">
        <w:rPr>
          <w:szCs w:val="22"/>
        </w:rPr>
        <w:t xml:space="preserve">ules, 47 C.F.R. § 1.990(a)(2), requesting Commission approval of the </w:t>
      </w:r>
      <w:r w:rsidR="005C4299">
        <w:rPr>
          <w:szCs w:val="22"/>
        </w:rPr>
        <w:t>a</w:t>
      </w:r>
      <w:r w:rsidRPr="00F01D55">
        <w:rPr>
          <w:szCs w:val="22"/>
        </w:rPr>
        <w:t xml:space="preserve">pplicant’s foreign ownership, held through one or more intervening U.S.-organized entities that hold non-controlling equity and/or voting interests in the </w:t>
      </w:r>
      <w:r w:rsidR="005C4299">
        <w:rPr>
          <w:szCs w:val="22"/>
        </w:rPr>
        <w:t>a</w:t>
      </w:r>
      <w:r w:rsidRPr="00F01D55">
        <w:rPr>
          <w:szCs w:val="22"/>
        </w:rPr>
        <w:t xml:space="preserve">pplicant, along with any foreign interests held in the </w:t>
      </w:r>
      <w:r w:rsidR="005C4299">
        <w:rPr>
          <w:szCs w:val="22"/>
        </w:rPr>
        <w:t>a</w:t>
      </w:r>
      <w:r w:rsidRPr="00F01D55">
        <w:rPr>
          <w:szCs w:val="22"/>
        </w:rPr>
        <w:t xml:space="preserve">pplicant directly (which shall not exceed 20 percent of its equity interests and/or 20 percent of its voting interests).  The petition may be filed electronically on the Internet through the International Bureau Filing System (IBFS) and shall otherwise comport with the requirements of Sections 1.990 through 1.994 of the Commission’s </w:t>
      </w:r>
      <w:r w:rsidR="00C45118">
        <w:rPr>
          <w:szCs w:val="22"/>
        </w:rPr>
        <w:t>r</w:t>
      </w:r>
      <w:r w:rsidRPr="00F01D55">
        <w:rPr>
          <w:szCs w:val="22"/>
        </w:rPr>
        <w:t>ules, 47 C.F.R. §§ 1.990-1.994.</w:t>
      </w:r>
      <w:r>
        <w:rPr>
          <w:szCs w:val="22"/>
        </w:rPr>
        <w:t xml:space="preserve"> </w:t>
      </w:r>
    </w:p>
    <w:p w:rsidR="00887EEF" w:rsidRDefault="00887EEF" w:rsidP="00887EEF">
      <w:pPr>
        <w:rPr>
          <w:szCs w:val="22"/>
        </w:rPr>
      </w:pPr>
      <w:r w:rsidRPr="00887EEF">
        <w:rPr>
          <w:szCs w:val="22"/>
        </w:rPr>
        <w:t xml:space="preserve">With respect to the showing specified in (ii) above, an </w:t>
      </w:r>
      <w:r w:rsidR="005C4299">
        <w:rPr>
          <w:szCs w:val="22"/>
        </w:rPr>
        <w:t>a</w:t>
      </w:r>
      <w:r w:rsidRPr="00887EEF">
        <w:rPr>
          <w:szCs w:val="22"/>
        </w:rPr>
        <w:t xml:space="preserve">pplicant that is relying on a foreign ownership ruling(s) issued to an “affiliate” pursuant to </w:t>
      </w:r>
      <w:r w:rsidR="00C45118">
        <w:rPr>
          <w:szCs w:val="22"/>
        </w:rPr>
        <w:t xml:space="preserve">the Commission’s </w:t>
      </w:r>
      <w:r w:rsidR="005C4299">
        <w:rPr>
          <w:szCs w:val="22"/>
        </w:rPr>
        <w:t xml:space="preserve">Section 310(b)(3) </w:t>
      </w:r>
      <w:r w:rsidR="00C45118">
        <w:rPr>
          <w:szCs w:val="22"/>
        </w:rPr>
        <w:t xml:space="preserve">forbearance approach </w:t>
      </w:r>
      <w:r w:rsidR="005C4299">
        <w:rPr>
          <w:szCs w:val="22"/>
        </w:rPr>
        <w:t>a</w:t>
      </w:r>
      <w:r w:rsidR="00C45118">
        <w:rPr>
          <w:szCs w:val="22"/>
        </w:rPr>
        <w:t>nd Section 1.</w:t>
      </w:r>
      <w:r w:rsidR="005C4299">
        <w:rPr>
          <w:szCs w:val="22"/>
        </w:rPr>
        <w:t xml:space="preserve">990(a)(2) of the </w:t>
      </w:r>
      <w:r w:rsidR="00C45118">
        <w:rPr>
          <w:szCs w:val="22"/>
        </w:rPr>
        <w:t xml:space="preserve">Commission’s rules, or pursuant to </w:t>
      </w:r>
      <w:r w:rsidRPr="00887EEF">
        <w:rPr>
          <w:szCs w:val="22"/>
        </w:rPr>
        <w:t xml:space="preserve">Section 310(b)(4) and Section 1.990(a)(1) of the </w:t>
      </w:r>
      <w:r w:rsidR="00C45118">
        <w:rPr>
          <w:szCs w:val="22"/>
        </w:rPr>
        <w:t>Commission’s r</w:t>
      </w:r>
      <w:r w:rsidRPr="00887EEF">
        <w:rPr>
          <w:szCs w:val="22"/>
        </w:rPr>
        <w:t xml:space="preserve">ules, shall include in its showing a certification signed by the affiliate, a U.S.-organized successor-in-interest formed as part of a </w:t>
      </w:r>
      <w:r w:rsidRPr="00C45118">
        <w:rPr>
          <w:i/>
          <w:szCs w:val="22"/>
        </w:rPr>
        <w:t>pro forma</w:t>
      </w:r>
      <w:r w:rsidRPr="00887EEF">
        <w:rPr>
          <w:szCs w:val="22"/>
        </w:rPr>
        <w:t xml:space="preserve"> reorganization, or a controlling parent company, stating that the affiliate or successor-in-interest is in compliance with the terms and conditions of the foreign ownership ruling(s) and the Commission’s </w:t>
      </w:r>
      <w:r w:rsidR="00C45118">
        <w:rPr>
          <w:szCs w:val="22"/>
        </w:rPr>
        <w:t>r</w:t>
      </w:r>
      <w:r w:rsidRPr="00887EEF">
        <w:rPr>
          <w:szCs w:val="22"/>
        </w:rPr>
        <w:t xml:space="preserve">ules.  See Section 1.994(b) of the </w:t>
      </w:r>
      <w:r w:rsidR="00C45118">
        <w:rPr>
          <w:szCs w:val="22"/>
        </w:rPr>
        <w:t>r</w:t>
      </w:r>
      <w:r w:rsidRPr="00887EEF">
        <w:rPr>
          <w:szCs w:val="22"/>
        </w:rPr>
        <w:t xml:space="preserve">ules, 47 C.F.R. § 1.994(b).  See also Section 1.990(d)(2) (defining the term “affiliate” for purposes of Sections 1.990-1.994 of the </w:t>
      </w:r>
      <w:r w:rsidR="00C45118">
        <w:rPr>
          <w:szCs w:val="22"/>
        </w:rPr>
        <w:t>r</w:t>
      </w:r>
      <w:r w:rsidRPr="00887EEF">
        <w:rPr>
          <w:szCs w:val="22"/>
        </w:rPr>
        <w:t>ules).</w:t>
      </w:r>
    </w:p>
    <w:p w:rsidR="00C45118" w:rsidRDefault="00F01D55">
      <w:pPr>
        <w:tabs>
          <w:tab w:val="left" w:pos="0"/>
          <w:tab w:val="left" w:pos="360"/>
          <w:tab w:val="left" w:pos="720"/>
        </w:tabs>
        <w:suppressAutoHyphens/>
        <w:rPr>
          <w:szCs w:val="22"/>
        </w:rPr>
      </w:pPr>
      <w:r>
        <w:rPr>
          <w:szCs w:val="22"/>
        </w:rPr>
        <w:tab/>
      </w:r>
    </w:p>
    <w:p w:rsidR="00F01D55" w:rsidRDefault="00F01D55">
      <w:pPr>
        <w:tabs>
          <w:tab w:val="left" w:pos="0"/>
          <w:tab w:val="left" w:pos="360"/>
          <w:tab w:val="left" w:pos="720"/>
        </w:tabs>
        <w:suppressAutoHyphens/>
        <w:rPr>
          <w:szCs w:val="22"/>
        </w:rPr>
      </w:pPr>
      <w:r>
        <w:rPr>
          <w:szCs w:val="22"/>
        </w:rPr>
        <w:t xml:space="preserve">Additionally, if the applicant answers “Yes” to 47 or 48a, </w:t>
      </w:r>
      <w:r w:rsidR="00C45118">
        <w:rPr>
          <w:szCs w:val="22"/>
        </w:rPr>
        <w:t>the applicant must respond to Question</w:t>
      </w:r>
      <w:r>
        <w:rPr>
          <w:szCs w:val="22"/>
        </w:rPr>
        <w:t xml:space="preserve"> 48b </w:t>
      </w:r>
      <w:r w:rsidR="00C45118">
        <w:rPr>
          <w:szCs w:val="22"/>
        </w:rPr>
        <w:t>to</w:t>
      </w:r>
      <w:r>
        <w:rPr>
          <w:szCs w:val="22"/>
        </w:rPr>
        <w:t xml:space="preserve"> </w:t>
      </w:r>
      <w:r w:rsidRPr="00F01D55">
        <w:rPr>
          <w:szCs w:val="22"/>
        </w:rPr>
        <w:t xml:space="preserve">enable the </w:t>
      </w:r>
      <w:r w:rsidR="00C45118">
        <w:rPr>
          <w:szCs w:val="22"/>
        </w:rPr>
        <w:t>Commission</w:t>
      </w:r>
      <w:r w:rsidRPr="00F01D55">
        <w:rPr>
          <w:szCs w:val="22"/>
        </w:rPr>
        <w:t xml:space="preserve"> to determine whether the </w:t>
      </w:r>
      <w:r w:rsidR="00C45118">
        <w:rPr>
          <w:szCs w:val="22"/>
        </w:rPr>
        <w:t>a</w:t>
      </w:r>
      <w:r w:rsidRPr="00F01D55">
        <w:rPr>
          <w:szCs w:val="22"/>
        </w:rPr>
        <w:t xml:space="preserve">pplicant has attached to its application the appropriate foreign ownership showing required by the Commission’s </w:t>
      </w:r>
      <w:r w:rsidRPr="00373749">
        <w:rPr>
          <w:i/>
          <w:szCs w:val="22"/>
        </w:rPr>
        <w:t>Foreign Ownership Second Report and Order</w:t>
      </w:r>
      <w:r w:rsidR="002255B3">
        <w:rPr>
          <w:rStyle w:val="FootnoteReference"/>
          <w:szCs w:val="22"/>
        </w:rPr>
        <w:footnoteReference w:id="21"/>
      </w:r>
      <w:r w:rsidRPr="00F01D55">
        <w:rPr>
          <w:szCs w:val="22"/>
        </w:rPr>
        <w:t xml:space="preserve"> and the foreign ownership rules adopted in that Order, 47 C.F.R. §§ 1.990-1.994.</w:t>
      </w:r>
      <w:r w:rsidR="006A4859">
        <w:rPr>
          <w:szCs w:val="22"/>
        </w:rPr>
        <w:t xml:space="preserve"> </w:t>
      </w:r>
      <w:r w:rsidR="00730029">
        <w:rPr>
          <w:szCs w:val="22"/>
        </w:rPr>
        <w:t xml:space="preserve"> </w:t>
      </w:r>
    </w:p>
    <w:p w:rsidR="00C45118" w:rsidRDefault="00C45118">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szCs w:val="22"/>
        </w:rPr>
        <w:t>To provide the information required, the applicant should select Attachment Type “Ownership” and enter “</w:t>
      </w:r>
      <w:r>
        <w:rPr>
          <w:b/>
          <w:szCs w:val="22"/>
        </w:rPr>
        <w:t>Exhibit B: Foreign Ownership</w:t>
      </w:r>
      <w:r>
        <w:rPr>
          <w:szCs w:val="22"/>
        </w:rPr>
        <w:t xml:space="preserve">” in the Description field on the Attachments page.  </w:t>
      </w:r>
    </w:p>
    <w:p w:rsidR="00730029" w:rsidRDefault="00730029">
      <w:pPr>
        <w:tabs>
          <w:tab w:val="left" w:pos="0"/>
          <w:tab w:val="left" w:pos="360"/>
          <w:tab w:val="left" w:pos="720"/>
        </w:tabs>
        <w:suppressAutoHyphens/>
        <w:rPr>
          <w:szCs w:val="22"/>
        </w:rPr>
      </w:pPr>
    </w:p>
    <w:p w:rsidR="00730029" w:rsidRDefault="00730029">
      <w:pPr>
        <w:numPr>
          <w:ilvl w:val="0"/>
          <w:numId w:val="19"/>
        </w:numPr>
        <w:tabs>
          <w:tab w:val="left" w:pos="0"/>
          <w:tab w:val="left" w:pos="360"/>
          <w:tab w:val="left" w:pos="900"/>
        </w:tabs>
        <w:suppressAutoHyphens/>
        <w:rPr>
          <w:szCs w:val="22"/>
        </w:rPr>
      </w:pPr>
      <w:r>
        <w:rPr>
          <w:i/>
          <w:szCs w:val="22"/>
        </w:rPr>
        <w:t>Item (1)</w:t>
      </w:r>
      <w:r w:rsidR="00C31DD1" w:rsidRPr="00C31DD1">
        <w:t xml:space="preserve"> </w:t>
      </w:r>
      <w:r w:rsidR="00C31DD1" w:rsidRPr="00C03569">
        <w:t>The showings specified in (i) and (ii) above, and information required by Question 48b, may be provided in narrative format</w:t>
      </w:r>
      <w:r>
        <w:rPr>
          <w:szCs w:val="22"/>
        </w:rPr>
        <w:t>.</w:t>
      </w:r>
    </w:p>
    <w:p w:rsidR="00730029" w:rsidRDefault="00730029">
      <w:pPr>
        <w:tabs>
          <w:tab w:val="left" w:pos="0"/>
          <w:tab w:val="left" w:pos="360"/>
          <w:tab w:val="left" w:pos="720"/>
        </w:tabs>
        <w:suppressAutoHyphens/>
        <w:rPr>
          <w:b/>
          <w:szCs w:val="22"/>
        </w:rPr>
      </w:pPr>
    </w:p>
    <w:p w:rsidR="00730029" w:rsidRDefault="00730029" w:rsidP="00302BA4">
      <w:pPr>
        <w:numPr>
          <w:ilvl w:val="0"/>
          <w:numId w:val="19"/>
        </w:numPr>
        <w:tabs>
          <w:tab w:val="left" w:pos="0"/>
          <w:tab w:val="left" w:pos="360"/>
          <w:tab w:val="left" w:pos="900"/>
        </w:tabs>
        <w:suppressAutoHyphens/>
        <w:rPr>
          <w:szCs w:val="22"/>
        </w:rPr>
      </w:pPr>
      <w:r>
        <w:rPr>
          <w:i/>
          <w:szCs w:val="22"/>
        </w:rPr>
        <w:t>Item (</w:t>
      </w:r>
      <w:r w:rsidR="00C31DD1">
        <w:rPr>
          <w:i/>
          <w:szCs w:val="22"/>
        </w:rPr>
        <w:t>2</w:t>
      </w:r>
      <w:r>
        <w:rPr>
          <w:i/>
          <w:szCs w:val="22"/>
        </w:rPr>
        <w:t>) Petitions for Declaratory Ruling</w:t>
      </w:r>
      <w:r>
        <w:rPr>
          <w:szCs w:val="22"/>
        </w:rPr>
        <w:t xml:space="preserve">: </w:t>
      </w:r>
      <w:r w:rsidR="00302BA4">
        <w:rPr>
          <w:szCs w:val="22"/>
        </w:rPr>
        <w:t xml:space="preserve"> </w:t>
      </w:r>
      <w:r>
        <w:rPr>
          <w:szCs w:val="22"/>
        </w:rPr>
        <w:t xml:space="preserve">In keeping with </w:t>
      </w:r>
      <w:r w:rsidR="00DA1466">
        <w:rPr>
          <w:szCs w:val="22"/>
        </w:rPr>
        <w:t>the foreign ownership</w:t>
      </w:r>
      <w:r>
        <w:rPr>
          <w:szCs w:val="22"/>
        </w:rPr>
        <w:t xml:space="preserve"> pre-approval process</w:t>
      </w:r>
      <w:r w:rsidR="00DA1466">
        <w:rPr>
          <w:szCs w:val="22"/>
        </w:rPr>
        <w:t xml:space="preserve"> adopted in the </w:t>
      </w:r>
      <w:r w:rsidR="00DA1466" w:rsidRPr="00EA3741">
        <w:rPr>
          <w:i/>
        </w:rPr>
        <w:t>Foreign O</w:t>
      </w:r>
      <w:r w:rsidR="00DA1466">
        <w:rPr>
          <w:i/>
        </w:rPr>
        <w:t>wnership Second Report and Order</w:t>
      </w:r>
      <w:r>
        <w:rPr>
          <w:szCs w:val="22"/>
        </w:rPr>
        <w:t>,</w:t>
      </w:r>
      <w:r w:rsidR="00DA1466">
        <w:rPr>
          <w:rStyle w:val="FootnoteReference"/>
        </w:rPr>
        <w:footnoteReference w:id="22"/>
      </w:r>
      <w:r>
        <w:rPr>
          <w:szCs w:val="22"/>
        </w:rPr>
        <w:t xml:space="preserve"> a</w:t>
      </w:r>
      <w:r w:rsidR="00F03C54">
        <w:rPr>
          <w:szCs w:val="22"/>
        </w:rPr>
        <w:t>n a</w:t>
      </w:r>
      <w:r>
        <w:rPr>
          <w:szCs w:val="22"/>
        </w:rPr>
        <w:t>uction applicant</w:t>
      </w:r>
      <w:r w:rsidR="00F03C54">
        <w:rPr>
          <w:szCs w:val="22"/>
        </w:rPr>
        <w:t xml:space="preserve"> is</w:t>
      </w:r>
      <w:r>
        <w:rPr>
          <w:szCs w:val="22"/>
        </w:rPr>
        <w:t xml:space="preserve"> required to certify in </w:t>
      </w:r>
      <w:r w:rsidR="00F03C54">
        <w:rPr>
          <w:szCs w:val="22"/>
        </w:rPr>
        <w:t>its short</w:t>
      </w:r>
      <w:r w:rsidR="00F2542A">
        <w:rPr>
          <w:szCs w:val="22"/>
        </w:rPr>
        <w:t>-</w:t>
      </w:r>
      <w:r w:rsidR="00F03C54">
        <w:rPr>
          <w:szCs w:val="22"/>
        </w:rPr>
        <w:t>form</w:t>
      </w:r>
      <w:r>
        <w:rPr>
          <w:szCs w:val="22"/>
        </w:rPr>
        <w:t xml:space="preserve"> application</w:t>
      </w:r>
      <w:r w:rsidR="00F03C54">
        <w:rPr>
          <w:szCs w:val="22"/>
        </w:rPr>
        <w:t xml:space="preserve"> (FCC Form 175)</w:t>
      </w:r>
      <w:r>
        <w:rPr>
          <w:szCs w:val="22"/>
        </w:rPr>
        <w:t xml:space="preserve"> that</w:t>
      </w:r>
      <w:r w:rsidR="00AC1EF3">
        <w:rPr>
          <w:szCs w:val="22"/>
        </w:rPr>
        <w:t>, as of the deadline for filing short-form applications for a given auction,</w:t>
      </w:r>
      <w:r>
        <w:rPr>
          <w:szCs w:val="22"/>
        </w:rPr>
        <w:t xml:space="preserve"> </w:t>
      </w:r>
      <w:r w:rsidR="00AC1EF3">
        <w:rPr>
          <w:szCs w:val="22"/>
        </w:rPr>
        <w:t>the applicant</w:t>
      </w:r>
      <w:r w:rsidR="00F03C54">
        <w:rPr>
          <w:szCs w:val="22"/>
        </w:rPr>
        <w:t xml:space="preserve"> is</w:t>
      </w:r>
      <w:r>
        <w:rPr>
          <w:szCs w:val="22"/>
        </w:rPr>
        <w:t xml:space="preserve"> in compliance with the foreign ownership requirements of </w:t>
      </w:r>
      <w:r w:rsidR="00664F62">
        <w:rPr>
          <w:szCs w:val="22"/>
        </w:rPr>
        <w:t>S</w:t>
      </w:r>
      <w:r>
        <w:rPr>
          <w:szCs w:val="22"/>
        </w:rPr>
        <w:t xml:space="preserve">ection 310 or that </w:t>
      </w:r>
      <w:r w:rsidR="00F03C54">
        <w:rPr>
          <w:szCs w:val="22"/>
        </w:rPr>
        <w:t>it has</w:t>
      </w:r>
      <w:r>
        <w:rPr>
          <w:szCs w:val="22"/>
        </w:rPr>
        <w:t xml:space="preserve"> filed a request for relief from those requirements that is pending with the Commission.</w:t>
      </w:r>
      <w:r>
        <w:rPr>
          <w:rStyle w:val="FootnoteReference"/>
          <w:szCs w:val="22"/>
        </w:rPr>
        <w:footnoteReference w:id="23"/>
      </w:r>
      <w:r>
        <w:rPr>
          <w:szCs w:val="22"/>
        </w:rPr>
        <w:t xml:space="preserve">  Similarly, where foreign ownership is at issue, </w:t>
      </w:r>
      <w:r w:rsidR="00F03C54">
        <w:rPr>
          <w:szCs w:val="22"/>
        </w:rPr>
        <w:t xml:space="preserve">an </w:t>
      </w:r>
      <w:r>
        <w:rPr>
          <w:szCs w:val="22"/>
        </w:rPr>
        <w:t xml:space="preserve">applicant must indicate in </w:t>
      </w:r>
      <w:r w:rsidR="00F03C54">
        <w:rPr>
          <w:szCs w:val="22"/>
        </w:rPr>
        <w:t>its long form application (</w:t>
      </w:r>
      <w:r>
        <w:rPr>
          <w:szCs w:val="22"/>
        </w:rPr>
        <w:t>FCC Form 601</w:t>
      </w:r>
      <w:r w:rsidR="00F03C54">
        <w:rPr>
          <w:szCs w:val="22"/>
        </w:rPr>
        <w:t>)</w:t>
      </w:r>
      <w:r>
        <w:rPr>
          <w:szCs w:val="22"/>
        </w:rPr>
        <w:t xml:space="preserve"> that </w:t>
      </w:r>
      <w:r w:rsidR="00F03C54">
        <w:rPr>
          <w:szCs w:val="22"/>
        </w:rPr>
        <w:t>it</w:t>
      </w:r>
      <w:r>
        <w:rPr>
          <w:szCs w:val="22"/>
        </w:rPr>
        <w:t xml:space="preserve"> either </w:t>
      </w:r>
      <w:r w:rsidR="00F03C54">
        <w:rPr>
          <w:szCs w:val="22"/>
        </w:rPr>
        <w:t>has</w:t>
      </w:r>
      <w:r>
        <w:rPr>
          <w:szCs w:val="22"/>
        </w:rPr>
        <w:t xml:space="preserve"> received a declaratory ruling that grants </w:t>
      </w:r>
      <w:r w:rsidR="00F03C54">
        <w:rPr>
          <w:szCs w:val="22"/>
        </w:rPr>
        <w:t>it</w:t>
      </w:r>
      <w:r>
        <w:rPr>
          <w:szCs w:val="22"/>
        </w:rPr>
        <w:t xml:space="preserve"> permission to exceed the statutory </w:t>
      </w:r>
      <w:r w:rsidR="00AC1EF3">
        <w:rPr>
          <w:szCs w:val="22"/>
        </w:rPr>
        <w:t xml:space="preserve">foreign ownership </w:t>
      </w:r>
      <w:r w:rsidR="00047933">
        <w:rPr>
          <w:szCs w:val="22"/>
        </w:rPr>
        <w:t xml:space="preserve">limit or </w:t>
      </w:r>
      <w:r>
        <w:rPr>
          <w:szCs w:val="22"/>
        </w:rPr>
        <w:t xml:space="preserve">benchmark </w:t>
      </w:r>
      <w:r w:rsidR="00AC1EF3">
        <w:rPr>
          <w:szCs w:val="22"/>
        </w:rPr>
        <w:t>in</w:t>
      </w:r>
      <w:r>
        <w:rPr>
          <w:szCs w:val="22"/>
        </w:rPr>
        <w:t xml:space="preserve"> </w:t>
      </w:r>
      <w:r w:rsidR="00664F62">
        <w:rPr>
          <w:szCs w:val="22"/>
        </w:rPr>
        <w:t>S</w:t>
      </w:r>
      <w:r>
        <w:rPr>
          <w:szCs w:val="22"/>
        </w:rPr>
        <w:t>ection 310(b)</w:t>
      </w:r>
      <w:r w:rsidR="00AC1EF3">
        <w:rPr>
          <w:szCs w:val="22"/>
        </w:rPr>
        <w:t>,</w:t>
      </w:r>
      <w:r>
        <w:rPr>
          <w:szCs w:val="22"/>
        </w:rPr>
        <w:t xml:space="preserve"> or that </w:t>
      </w:r>
      <w:r w:rsidR="00F03C54">
        <w:rPr>
          <w:szCs w:val="22"/>
        </w:rPr>
        <w:t>it</w:t>
      </w:r>
      <w:r>
        <w:rPr>
          <w:szCs w:val="22"/>
        </w:rPr>
        <w:t xml:space="preserve"> </w:t>
      </w:r>
      <w:r w:rsidR="00F03C54">
        <w:rPr>
          <w:szCs w:val="22"/>
        </w:rPr>
        <w:t xml:space="preserve">has </w:t>
      </w:r>
      <w:r>
        <w:rPr>
          <w:szCs w:val="22"/>
        </w:rPr>
        <w:t xml:space="preserve">a request </w:t>
      </w:r>
      <w:r w:rsidR="00AC1EF3">
        <w:rPr>
          <w:szCs w:val="22"/>
        </w:rPr>
        <w:t xml:space="preserve">to do so that is </w:t>
      </w:r>
      <w:r>
        <w:rPr>
          <w:szCs w:val="22"/>
        </w:rPr>
        <w:t xml:space="preserve">currently pending </w:t>
      </w:r>
      <w:r w:rsidR="00AC1EF3">
        <w:rPr>
          <w:szCs w:val="22"/>
        </w:rPr>
        <w:t>before</w:t>
      </w:r>
      <w:r>
        <w:rPr>
          <w:szCs w:val="22"/>
        </w:rPr>
        <w:t xml:space="preserve"> the Commission.  </w:t>
      </w:r>
      <w:r w:rsidR="00F03C54">
        <w:rPr>
          <w:szCs w:val="22"/>
        </w:rPr>
        <w:t xml:space="preserve">An applicant’s </w:t>
      </w:r>
      <w:r>
        <w:rPr>
          <w:szCs w:val="22"/>
        </w:rPr>
        <w:t xml:space="preserve">petition for a declaratory ruling to exceed the </w:t>
      </w:r>
      <w:r w:rsidR="00047933">
        <w:rPr>
          <w:szCs w:val="22"/>
        </w:rPr>
        <w:t xml:space="preserve">statutory limit or benchmark in </w:t>
      </w:r>
      <w:r w:rsidR="00664F62">
        <w:rPr>
          <w:szCs w:val="22"/>
        </w:rPr>
        <w:t>S</w:t>
      </w:r>
      <w:r>
        <w:rPr>
          <w:szCs w:val="22"/>
        </w:rPr>
        <w:t>ection 310</w:t>
      </w:r>
      <w:r w:rsidR="00047933">
        <w:rPr>
          <w:szCs w:val="22"/>
        </w:rPr>
        <w:t xml:space="preserve">(b)(3) or </w:t>
      </w:r>
      <w:r>
        <w:rPr>
          <w:szCs w:val="22"/>
        </w:rPr>
        <w:t>(b)(4)</w:t>
      </w:r>
      <w:r w:rsidR="00047933">
        <w:rPr>
          <w:szCs w:val="22"/>
        </w:rPr>
        <w:t>, respectively,</w:t>
      </w:r>
      <w:r>
        <w:rPr>
          <w:szCs w:val="22"/>
        </w:rPr>
        <w:t xml:space="preserve"> must be granted before any license for which the applicant is a high bidder may be granted.  </w:t>
      </w:r>
    </w:p>
    <w:p w:rsidR="00730029" w:rsidRDefault="00730029">
      <w:pPr>
        <w:rPr>
          <w:szCs w:val="22"/>
        </w:rPr>
      </w:pPr>
    </w:p>
    <w:p w:rsidR="00730029" w:rsidRDefault="00730029">
      <w:pPr>
        <w:pStyle w:val="Heading3"/>
        <w:numPr>
          <w:ilvl w:val="0"/>
          <w:numId w:val="0"/>
        </w:numPr>
        <w:jc w:val="left"/>
        <w:rPr>
          <w:smallCaps/>
          <w:szCs w:val="22"/>
        </w:rPr>
      </w:pPr>
      <w:r>
        <w:rPr>
          <w:smallCaps/>
          <w:szCs w:val="22"/>
        </w:rPr>
        <w:t>EXHIBIT C: DESIGNATED ENTITIES</w:t>
      </w:r>
    </w:p>
    <w:p w:rsidR="00730029" w:rsidRDefault="00730029">
      <w:pPr>
        <w:spacing w:before="100" w:beforeAutospacing="1" w:after="100" w:afterAutospacing="1"/>
        <w:rPr>
          <w:szCs w:val="22"/>
        </w:rPr>
      </w:pPr>
      <w:r>
        <w:rPr>
          <w:szCs w:val="22"/>
        </w:rPr>
        <w:t xml:space="preserve">As noted previously, revenue information for the Applicant, Disclosable Interest Holder(s), and Affiliate(s) will be pre-filled from the </w:t>
      </w:r>
      <w:r w:rsidR="00A268FE">
        <w:rPr>
          <w:szCs w:val="22"/>
        </w:rPr>
        <w:t>short</w:t>
      </w:r>
      <w:r w:rsidR="00F2542A">
        <w:rPr>
          <w:szCs w:val="22"/>
        </w:rPr>
        <w:t>-</w:t>
      </w:r>
      <w:r w:rsidR="00A268FE">
        <w:rPr>
          <w:szCs w:val="22"/>
        </w:rPr>
        <w:t>form application (</w:t>
      </w:r>
      <w:r>
        <w:rPr>
          <w:szCs w:val="22"/>
        </w:rPr>
        <w:t>FCC Form 175</w:t>
      </w:r>
      <w:r w:rsidR="00A268FE">
        <w:rPr>
          <w:szCs w:val="22"/>
        </w:rPr>
        <w:t>)</w:t>
      </w:r>
      <w:r>
        <w:rPr>
          <w:szCs w:val="22"/>
        </w:rPr>
        <w:t xml:space="preserve"> into the FCC Form 601.  Applicants, however, must review the pre-filled designated entity information and confirm its accuracy by applying the guidelines provided below.  If necessary, </w:t>
      </w:r>
      <w:r w:rsidR="00334435">
        <w:rPr>
          <w:szCs w:val="22"/>
        </w:rPr>
        <w:t xml:space="preserve">an </w:t>
      </w:r>
      <w:r>
        <w:rPr>
          <w:szCs w:val="22"/>
        </w:rPr>
        <w:t xml:space="preserve">applicant </w:t>
      </w:r>
      <w:r w:rsidR="00334435">
        <w:rPr>
          <w:szCs w:val="22"/>
        </w:rPr>
        <w:t>should</w:t>
      </w:r>
      <w:r>
        <w:rPr>
          <w:szCs w:val="22"/>
        </w:rPr>
        <w:t xml:space="preserve"> update the pre-filled revenue information in </w:t>
      </w:r>
      <w:r w:rsidR="00334435">
        <w:rPr>
          <w:szCs w:val="22"/>
        </w:rPr>
        <w:t xml:space="preserve">its </w:t>
      </w:r>
      <w:r>
        <w:rPr>
          <w:szCs w:val="22"/>
        </w:rPr>
        <w:t>FCC Form 601.  Any other designated entity information must be provided by uploading a file, selecting Attachment Type “Ownership” and entering “</w:t>
      </w:r>
      <w:r>
        <w:rPr>
          <w:b/>
          <w:szCs w:val="22"/>
        </w:rPr>
        <w:t>Exhibit C: Designated Entities</w:t>
      </w:r>
      <w:r>
        <w:rPr>
          <w:szCs w:val="22"/>
        </w:rPr>
        <w:t xml:space="preserve">” in the </w:t>
      </w:r>
      <w:r w:rsidR="006D039F">
        <w:rPr>
          <w:szCs w:val="22"/>
        </w:rPr>
        <w:t>“</w:t>
      </w:r>
      <w:r>
        <w:rPr>
          <w:szCs w:val="22"/>
        </w:rPr>
        <w:t>Description</w:t>
      </w:r>
      <w:r w:rsidR="006D039F">
        <w:rPr>
          <w:szCs w:val="22"/>
        </w:rPr>
        <w:t>”</w:t>
      </w:r>
      <w:r>
        <w:rPr>
          <w:szCs w:val="22"/>
        </w:rPr>
        <w:t xml:space="preserve"> field on the </w:t>
      </w:r>
      <w:r w:rsidR="00FB272F">
        <w:rPr>
          <w:szCs w:val="22"/>
        </w:rPr>
        <w:t>“</w:t>
      </w:r>
      <w:r>
        <w:rPr>
          <w:szCs w:val="22"/>
        </w:rPr>
        <w:t>Attachments</w:t>
      </w:r>
      <w:r w:rsidR="00FB272F">
        <w:rPr>
          <w:szCs w:val="22"/>
        </w:rPr>
        <w:t>”</w:t>
      </w:r>
      <w:r>
        <w:rPr>
          <w:szCs w:val="22"/>
        </w:rPr>
        <w:t xml:space="preserve"> page.  For example, applicants can use Exhibit C to provide information for entities with which they have an attributable material relationship as required by </w:t>
      </w:r>
      <w:r w:rsidR="00334435">
        <w:rPr>
          <w:szCs w:val="22"/>
        </w:rPr>
        <w:t xml:space="preserve">the Commission’s </w:t>
      </w:r>
      <w:r>
        <w:rPr>
          <w:szCs w:val="22"/>
        </w:rPr>
        <w:t>rules.  In addition,</w:t>
      </w:r>
      <w:r w:rsidR="00334435">
        <w:rPr>
          <w:szCs w:val="22"/>
        </w:rPr>
        <w:t xml:space="preserve"> an</w:t>
      </w:r>
      <w:r>
        <w:rPr>
          <w:szCs w:val="22"/>
        </w:rPr>
        <w:t xml:space="preserve"> applicant can use Exhibit C to explain any updates to the pre-filled information from </w:t>
      </w:r>
      <w:r w:rsidR="00334435">
        <w:rPr>
          <w:szCs w:val="22"/>
        </w:rPr>
        <w:t xml:space="preserve">its </w:t>
      </w:r>
      <w:r>
        <w:rPr>
          <w:szCs w:val="22"/>
        </w:rPr>
        <w:t>FCC Form 175, why certain entities should not be attributed to the applicant, and why certain relationships should not be considered attributable material relationships.</w:t>
      </w:r>
    </w:p>
    <w:p w:rsidR="00730029" w:rsidRDefault="00730029" w:rsidP="004670DB">
      <w:pPr>
        <w:rPr>
          <w:szCs w:val="22"/>
        </w:rPr>
      </w:pPr>
      <w:r w:rsidRPr="00F72B9A">
        <w:rPr>
          <w:szCs w:val="22"/>
        </w:rPr>
        <w:t xml:space="preserve">Pursuant to </w:t>
      </w:r>
      <w:r w:rsidR="00F72B9A" w:rsidRPr="00F72B9A">
        <w:rPr>
          <w:szCs w:val="22"/>
        </w:rPr>
        <w:t>s</w:t>
      </w:r>
      <w:r w:rsidRPr="00F72B9A">
        <w:rPr>
          <w:szCs w:val="22"/>
        </w:rPr>
        <w:t>ection 1.2110(f)(1) of the Commission’s rules, the Commission may award bidding credits (i.e</w:t>
      </w:r>
      <w:r w:rsidR="00F72B9A" w:rsidRPr="00F72B9A">
        <w:rPr>
          <w:szCs w:val="22"/>
        </w:rPr>
        <w:t>.</w:t>
      </w:r>
      <w:r w:rsidRPr="00F72B9A">
        <w:rPr>
          <w:szCs w:val="22"/>
        </w:rPr>
        <w:t>, payment discounts) to eligible designated entities.</w:t>
      </w:r>
      <w:r w:rsidR="006D039F">
        <w:rPr>
          <w:rStyle w:val="FootnoteReference"/>
          <w:szCs w:val="22"/>
        </w:rPr>
        <w:footnoteReference w:id="24"/>
      </w:r>
      <w:r w:rsidRPr="00F72B9A">
        <w:rPr>
          <w:szCs w:val="22"/>
        </w:rPr>
        <w:t xml:space="preserve">  </w:t>
      </w:r>
      <w:r w:rsidR="00F72B9A">
        <w:rPr>
          <w:szCs w:val="22"/>
        </w:rPr>
        <w:t xml:space="preserve">For licenses available in </w:t>
      </w:r>
      <w:r w:rsidR="00F72B9A" w:rsidRPr="00F72B9A">
        <w:rPr>
          <w:szCs w:val="22"/>
        </w:rPr>
        <w:t xml:space="preserve">the </w:t>
      </w:r>
      <w:r w:rsidR="008E5205">
        <w:rPr>
          <w:szCs w:val="22"/>
        </w:rPr>
        <w:t>1695-1710 MHz, 1755-1780 MHz, and 2155-2180 MHz bands (</w:t>
      </w:r>
      <w:r w:rsidR="002A08D0">
        <w:rPr>
          <w:szCs w:val="22"/>
        </w:rPr>
        <w:t>AWS-3</w:t>
      </w:r>
      <w:r w:rsidR="005215B2">
        <w:rPr>
          <w:szCs w:val="22"/>
        </w:rPr>
        <w:t xml:space="preserve"> bands</w:t>
      </w:r>
      <w:r w:rsidR="002A08D0">
        <w:rPr>
          <w:szCs w:val="22"/>
        </w:rPr>
        <w:t xml:space="preserve">) </w:t>
      </w:r>
      <w:r w:rsidR="00F80724">
        <w:rPr>
          <w:szCs w:val="22"/>
        </w:rPr>
        <w:t xml:space="preserve">in </w:t>
      </w:r>
      <w:r w:rsidR="00F72B9A" w:rsidRPr="00F72B9A">
        <w:rPr>
          <w:szCs w:val="22"/>
        </w:rPr>
        <w:t xml:space="preserve">Auction </w:t>
      </w:r>
      <w:r w:rsidR="00F80724">
        <w:rPr>
          <w:szCs w:val="22"/>
        </w:rPr>
        <w:t>9</w:t>
      </w:r>
      <w:r w:rsidR="002A08D0">
        <w:rPr>
          <w:szCs w:val="22"/>
        </w:rPr>
        <w:t>7</w:t>
      </w:r>
      <w:r w:rsidR="00F80724">
        <w:rPr>
          <w:szCs w:val="22"/>
        </w:rPr>
        <w:t xml:space="preserve">, </w:t>
      </w:r>
      <w:r w:rsidR="00F72B9A">
        <w:rPr>
          <w:szCs w:val="22"/>
        </w:rPr>
        <w:t xml:space="preserve"> s</w:t>
      </w:r>
      <w:r w:rsidRPr="00F72B9A">
        <w:rPr>
          <w:szCs w:val="22"/>
        </w:rPr>
        <w:t>ection</w:t>
      </w:r>
      <w:r w:rsidR="008F3426">
        <w:rPr>
          <w:szCs w:val="22"/>
        </w:rPr>
        <w:t>s</w:t>
      </w:r>
      <w:r w:rsidRPr="00F72B9A">
        <w:rPr>
          <w:szCs w:val="22"/>
        </w:rPr>
        <w:t xml:space="preserve"> </w:t>
      </w:r>
      <w:r w:rsidR="005215B2">
        <w:rPr>
          <w:szCs w:val="22"/>
        </w:rPr>
        <w:t>27.1106</w:t>
      </w:r>
      <w:r w:rsidR="00F36531">
        <w:rPr>
          <w:szCs w:val="22"/>
        </w:rPr>
        <w:t>(a)(1)-(2)</w:t>
      </w:r>
      <w:r w:rsidR="00F72B9A">
        <w:rPr>
          <w:szCs w:val="22"/>
        </w:rPr>
        <w:t xml:space="preserve"> </w:t>
      </w:r>
      <w:r w:rsidRPr="00F72B9A">
        <w:rPr>
          <w:szCs w:val="22"/>
        </w:rPr>
        <w:t xml:space="preserve">of the Commission’s rules specify </w:t>
      </w:r>
      <w:r w:rsidR="00F72B9A">
        <w:rPr>
          <w:szCs w:val="22"/>
        </w:rPr>
        <w:t xml:space="preserve">that </w:t>
      </w:r>
      <w:r w:rsidR="00965F58">
        <w:rPr>
          <w:szCs w:val="22"/>
        </w:rPr>
        <w:t xml:space="preserve">small </w:t>
      </w:r>
      <w:r w:rsidR="00F36531">
        <w:rPr>
          <w:szCs w:val="22"/>
        </w:rPr>
        <w:t xml:space="preserve">and very small </w:t>
      </w:r>
      <w:r w:rsidR="00965F58">
        <w:rPr>
          <w:szCs w:val="22"/>
        </w:rPr>
        <w:t>businesses</w:t>
      </w:r>
      <w:r w:rsidR="008F3426">
        <w:rPr>
          <w:szCs w:val="22"/>
        </w:rPr>
        <w:t xml:space="preserve"> (</w:t>
      </w:r>
      <w:r w:rsidR="00965F58">
        <w:rPr>
          <w:szCs w:val="22"/>
        </w:rPr>
        <w:t xml:space="preserve">and consortia </w:t>
      </w:r>
      <w:r w:rsidR="00F36531">
        <w:rPr>
          <w:szCs w:val="22"/>
        </w:rPr>
        <w:t>there</w:t>
      </w:r>
      <w:r w:rsidR="00965F58">
        <w:rPr>
          <w:szCs w:val="22"/>
        </w:rPr>
        <w:t>of</w:t>
      </w:r>
      <w:r w:rsidR="008F3426">
        <w:rPr>
          <w:szCs w:val="22"/>
        </w:rPr>
        <w:t>)</w:t>
      </w:r>
      <w:r w:rsidR="00F72B9A">
        <w:rPr>
          <w:szCs w:val="22"/>
        </w:rPr>
        <w:t xml:space="preserve"> are eligible f</w:t>
      </w:r>
      <w:r w:rsidRPr="00F72B9A">
        <w:rPr>
          <w:szCs w:val="22"/>
        </w:rPr>
        <w:t>or bidding credits</w:t>
      </w:r>
      <w:r w:rsidR="00F72B9A">
        <w:rPr>
          <w:szCs w:val="22"/>
        </w:rPr>
        <w:t xml:space="preserve"> in the following manner:</w:t>
      </w:r>
    </w:p>
    <w:p w:rsidR="00353D46" w:rsidRPr="00353D46" w:rsidRDefault="00353D46" w:rsidP="008F75DD">
      <w:pPr>
        <w:tabs>
          <w:tab w:val="left" w:pos="0"/>
          <w:tab w:val="left" w:pos="360"/>
        </w:tabs>
        <w:suppressAutoHyphens/>
        <w:rPr>
          <w:b/>
          <w:szCs w:val="22"/>
        </w:rPr>
      </w:pPr>
    </w:p>
    <w:p w:rsidR="00730029" w:rsidRPr="00F72B9A" w:rsidRDefault="00730029">
      <w:pPr>
        <w:numPr>
          <w:ilvl w:val="0"/>
          <w:numId w:val="20"/>
        </w:numPr>
        <w:tabs>
          <w:tab w:val="left" w:pos="0"/>
          <w:tab w:val="left" w:pos="360"/>
        </w:tabs>
        <w:suppressAutoHyphens/>
        <w:rPr>
          <w:szCs w:val="22"/>
        </w:rPr>
      </w:pPr>
      <w:r w:rsidRPr="00F72B9A">
        <w:rPr>
          <w:b/>
          <w:szCs w:val="22"/>
        </w:rPr>
        <w:t xml:space="preserve">Small </w:t>
      </w:r>
      <w:r w:rsidR="00F72B9A" w:rsidRPr="00F72B9A">
        <w:rPr>
          <w:b/>
          <w:szCs w:val="22"/>
        </w:rPr>
        <w:t>b</w:t>
      </w:r>
      <w:r w:rsidRPr="00F72B9A">
        <w:rPr>
          <w:b/>
          <w:szCs w:val="22"/>
        </w:rPr>
        <w:t>usinesses:</w:t>
      </w:r>
      <w:r w:rsidRPr="00F72B9A">
        <w:rPr>
          <w:szCs w:val="22"/>
        </w:rPr>
        <w:t xml:space="preserve"> A small business that, together with its affiliates and controlling interests, has had average annual gross revenues </w:t>
      </w:r>
      <w:r w:rsidR="00353D46" w:rsidRPr="00F72B9A">
        <w:rPr>
          <w:szCs w:val="22"/>
        </w:rPr>
        <w:t xml:space="preserve">that do </w:t>
      </w:r>
      <w:r w:rsidRPr="00F72B9A">
        <w:rPr>
          <w:szCs w:val="22"/>
        </w:rPr>
        <w:t xml:space="preserve">not exceed </w:t>
      </w:r>
      <w:r w:rsidRPr="00F72B9A">
        <w:rPr>
          <w:b/>
          <w:szCs w:val="22"/>
        </w:rPr>
        <w:t>$</w:t>
      </w:r>
      <w:r w:rsidR="00F36531">
        <w:rPr>
          <w:b/>
          <w:szCs w:val="22"/>
        </w:rPr>
        <w:t>40</w:t>
      </w:r>
      <w:r w:rsidRPr="00F72B9A">
        <w:rPr>
          <w:b/>
          <w:szCs w:val="22"/>
        </w:rPr>
        <w:t xml:space="preserve"> million</w:t>
      </w:r>
      <w:r w:rsidRPr="00F72B9A">
        <w:rPr>
          <w:szCs w:val="22"/>
        </w:rPr>
        <w:t xml:space="preserve"> for the preceding three years</w:t>
      </w:r>
      <w:r w:rsidR="00F72B9A" w:rsidRPr="00F72B9A">
        <w:rPr>
          <w:szCs w:val="22"/>
        </w:rPr>
        <w:t xml:space="preserve">, </w:t>
      </w:r>
      <w:r w:rsidR="00F72B9A">
        <w:rPr>
          <w:szCs w:val="22"/>
        </w:rPr>
        <w:t xml:space="preserve">is </w:t>
      </w:r>
      <w:r w:rsidRPr="00F72B9A">
        <w:rPr>
          <w:szCs w:val="22"/>
        </w:rPr>
        <w:t xml:space="preserve">eligible for </w:t>
      </w:r>
      <w:r w:rsidR="00F72B9A">
        <w:rPr>
          <w:szCs w:val="22"/>
        </w:rPr>
        <w:t xml:space="preserve">a </w:t>
      </w:r>
      <w:r w:rsidRPr="00F72B9A">
        <w:rPr>
          <w:szCs w:val="22"/>
        </w:rPr>
        <w:t xml:space="preserve">bidding credit of </w:t>
      </w:r>
      <w:r w:rsidR="00F36531">
        <w:rPr>
          <w:b/>
          <w:szCs w:val="22"/>
        </w:rPr>
        <w:t>fifteen</w:t>
      </w:r>
      <w:r w:rsidRPr="00F72B9A">
        <w:rPr>
          <w:b/>
          <w:szCs w:val="22"/>
        </w:rPr>
        <w:t xml:space="preserve"> percent (</w:t>
      </w:r>
      <w:r w:rsidR="00F36531">
        <w:rPr>
          <w:b/>
          <w:szCs w:val="22"/>
        </w:rPr>
        <w:t>15</w:t>
      </w:r>
      <w:r w:rsidRPr="00F72B9A">
        <w:rPr>
          <w:b/>
          <w:szCs w:val="22"/>
        </w:rPr>
        <w:t>%)</w:t>
      </w:r>
      <w:r w:rsidRPr="00F72B9A">
        <w:rPr>
          <w:szCs w:val="22"/>
        </w:rPr>
        <w:t xml:space="preserve"> to lower the cost of </w:t>
      </w:r>
      <w:r w:rsidR="00F72B9A">
        <w:rPr>
          <w:szCs w:val="22"/>
        </w:rPr>
        <w:t>its</w:t>
      </w:r>
      <w:r w:rsidRPr="00F72B9A">
        <w:rPr>
          <w:szCs w:val="22"/>
        </w:rPr>
        <w:t xml:space="preserve"> winning bids.</w:t>
      </w:r>
      <w:r w:rsidR="00F72B9A">
        <w:rPr>
          <w:rStyle w:val="FootnoteReference"/>
          <w:szCs w:val="22"/>
        </w:rPr>
        <w:footnoteReference w:id="25"/>
      </w:r>
      <w:r w:rsidRPr="00F72B9A">
        <w:rPr>
          <w:szCs w:val="22"/>
        </w:rPr>
        <w:t xml:space="preserve">  </w:t>
      </w:r>
    </w:p>
    <w:p w:rsidR="00730029" w:rsidRPr="00F72B9A" w:rsidRDefault="00730029">
      <w:pPr>
        <w:tabs>
          <w:tab w:val="left" w:pos="0"/>
          <w:tab w:val="left" w:pos="360"/>
          <w:tab w:val="left" w:pos="720"/>
        </w:tabs>
        <w:suppressAutoHyphens/>
        <w:rPr>
          <w:szCs w:val="22"/>
        </w:rPr>
      </w:pPr>
    </w:p>
    <w:p w:rsidR="00730029" w:rsidRPr="00F72B9A" w:rsidRDefault="00F36531">
      <w:pPr>
        <w:numPr>
          <w:ilvl w:val="0"/>
          <w:numId w:val="20"/>
        </w:numPr>
        <w:tabs>
          <w:tab w:val="left" w:pos="0"/>
          <w:tab w:val="left" w:pos="360"/>
        </w:tabs>
        <w:suppressAutoHyphens/>
        <w:rPr>
          <w:szCs w:val="22"/>
        </w:rPr>
      </w:pPr>
      <w:r>
        <w:rPr>
          <w:b/>
          <w:szCs w:val="22"/>
        </w:rPr>
        <w:t>Very s</w:t>
      </w:r>
      <w:r w:rsidR="00730029" w:rsidRPr="00F72B9A">
        <w:rPr>
          <w:b/>
          <w:szCs w:val="22"/>
        </w:rPr>
        <w:t xml:space="preserve">mall </w:t>
      </w:r>
      <w:r w:rsidR="00F72B9A" w:rsidRPr="00F72B9A">
        <w:rPr>
          <w:b/>
          <w:szCs w:val="22"/>
        </w:rPr>
        <w:t>b</w:t>
      </w:r>
      <w:r w:rsidR="00730029" w:rsidRPr="00F72B9A">
        <w:rPr>
          <w:b/>
          <w:szCs w:val="22"/>
        </w:rPr>
        <w:t>usinesses:</w:t>
      </w:r>
      <w:r w:rsidR="00730029" w:rsidRPr="00F72B9A">
        <w:rPr>
          <w:szCs w:val="22"/>
        </w:rPr>
        <w:t xml:space="preserve"> A </w:t>
      </w:r>
      <w:r>
        <w:rPr>
          <w:szCs w:val="22"/>
        </w:rPr>
        <w:t xml:space="preserve">very </w:t>
      </w:r>
      <w:r w:rsidR="00730029" w:rsidRPr="00F72B9A">
        <w:rPr>
          <w:szCs w:val="22"/>
        </w:rPr>
        <w:t xml:space="preserve">small business that, together with its affiliates and controlling interests, has had average gross revenues that </w:t>
      </w:r>
      <w:r w:rsidR="005215B2">
        <w:rPr>
          <w:szCs w:val="22"/>
        </w:rPr>
        <w:t xml:space="preserve">do not </w:t>
      </w:r>
      <w:r w:rsidR="00730029" w:rsidRPr="00F72B9A">
        <w:rPr>
          <w:szCs w:val="22"/>
        </w:rPr>
        <w:t xml:space="preserve">exceed </w:t>
      </w:r>
      <w:r w:rsidR="00730029" w:rsidRPr="00F72B9A">
        <w:rPr>
          <w:b/>
          <w:szCs w:val="22"/>
        </w:rPr>
        <w:t>$</w:t>
      </w:r>
      <w:r>
        <w:rPr>
          <w:b/>
          <w:szCs w:val="22"/>
        </w:rPr>
        <w:t>15</w:t>
      </w:r>
      <w:r w:rsidR="00730029" w:rsidRPr="00F72B9A">
        <w:rPr>
          <w:b/>
          <w:szCs w:val="22"/>
        </w:rPr>
        <w:t xml:space="preserve"> million</w:t>
      </w:r>
      <w:r w:rsidR="00730029" w:rsidRPr="00F72B9A">
        <w:rPr>
          <w:szCs w:val="22"/>
        </w:rPr>
        <w:t xml:space="preserve"> for the preceding three years</w:t>
      </w:r>
      <w:r w:rsidR="00F72B9A">
        <w:rPr>
          <w:szCs w:val="22"/>
        </w:rPr>
        <w:t>, is</w:t>
      </w:r>
      <w:r w:rsidR="00730029" w:rsidRPr="00F72B9A">
        <w:rPr>
          <w:szCs w:val="22"/>
        </w:rPr>
        <w:t xml:space="preserve"> eligible for </w:t>
      </w:r>
      <w:r w:rsidR="00F72B9A">
        <w:rPr>
          <w:szCs w:val="22"/>
        </w:rPr>
        <w:t xml:space="preserve">a </w:t>
      </w:r>
      <w:r w:rsidR="00730029" w:rsidRPr="00F72B9A">
        <w:rPr>
          <w:szCs w:val="22"/>
        </w:rPr>
        <w:t xml:space="preserve">bidding credit of </w:t>
      </w:r>
      <w:r>
        <w:rPr>
          <w:b/>
          <w:szCs w:val="22"/>
        </w:rPr>
        <w:t>twenty</w:t>
      </w:r>
      <w:r w:rsidR="008F3426">
        <w:rPr>
          <w:b/>
          <w:szCs w:val="22"/>
        </w:rPr>
        <w:t>-five</w:t>
      </w:r>
      <w:r w:rsidR="00730029" w:rsidRPr="00F72B9A">
        <w:rPr>
          <w:b/>
          <w:szCs w:val="22"/>
        </w:rPr>
        <w:t xml:space="preserve"> percent (</w:t>
      </w:r>
      <w:r>
        <w:rPr>
          <w:b/>
          <w:szCs w:val="22"/>
        </w:rPr>
        <w:t>25</w:t>
      </w:r>
      <w:r w:rsidR="00730029" w:rsidRPr="00F72B9A">
        <w:rPr>
          <w:b/>
          <w:szCs w:val="22"/>
        </w:rPr>
        <w:t>%)</w:t>
      </w:r>
      <w:r w:rsidR="00730029" w:rsidRPr="00F72B9A">
        <w:rPr>
          <w:szCs w:val="22"/>
        </w:rPr>
        <w:t xml:space="preserve"> to lower the cost of </w:t>
      </w:r>
      <w:r w:rsidR="00F72B9A">
        <w:rPr>
          <w:szCs w:val="22"/>
        </w:rPr>
        <w:t>its</w:t>
      </w:r>
      <w:r w:rsidR="00730029" w:rsidRPr="00F72B9A">
        <w:rPr>
          <w:szCs w:val="22"/>
        </w:rPr>
        <w:t xml:space="preserve"> winning bids.</w:t>
      </w:r>
      <w:r w:rsidR="00F72B9A">
        <w:rPr>
          <w:rStyle w:val="FootnoteReference"/>
          <w:szCs w:val="22"/>
        </w:rPr>
        <w:footnoteReference w:id="26"/>
      </w:r>
    </w:p>
    <w:p w:rsidR="00730029" w:rsidRPr="004670DB" w:rsidRDefault="00730029" w:rsidP="004670DB">
      <w:pPr>
        <w:rPr>
          <w:szCs w:val="22"/>
        </w:rPr>
      </w:pPr>
    </w:p>
    <w:p w:rsidR="00730029" w:rsidRDefault="00730029" w:rsidP="00D94C3A">
      <w:r>
        <w:rPr>
          <w:b/>
        </w:rPr>
        <w:t xml:space="preserve">Gross Revenues Test for Small </w:t>
      </w:r>
      <w:r w:rsidR="00F36531">
        <w:rPr>
          <w:b/>
        </w:rPr>
        <w:t xml:space="preserve">and Very Small </w:t>
      </w:r>
      <w:r>
        <w:rPr>
          <w:b/>
        </w:rPr>
        <w:t xml:space="preserve">Businesses. </w:t>
      </w:r>
      <w:r>
        <w:t xml:space="preserve"> For purposes of determining whether an applicant is eligible for status as </w:t>
      </w:r>
      <w:r w:rsidR="008A2BBC">
        <w:t>a</w:t>
      </w:r>
      <w:r>
        <w:t xml:space="preserve"> small </w:t>
      </w:r>
      <w:r w:rsidR="00F36531">
        <w:t xml:space="preserve">or very small </w:t>
      </w:r>
      <w:r>
        <w:t>business, the gross revenues of the applicant, its affiliates, its controlling interests, the affiliates of its controlling interests, and the entities with which it has an attributable material relationship</w:t>
      </w:r>
      <w:r>
        <w:rPr>
          <w:rStyle w:val="FootnoteReference"/>
          <w:szCs w:val="22"/>
        </w:rPr>
        <w:footnoteReference w:id="27"/>
      </w:r>
      <w:r>
        <w:t xml:space="preserve"> shall be considered on a cumulative basis and aggregated.</w:t>
      </w:r>
      <w:r w:rsidR="00F72B9A">
        <w:rPr>
          <w:rStyle w:val="FootnoteReference"/>
          <w:szCs w:val="22"/>
        </w:rPr>
        <w:footnoteReference w:id="28"/>
      </w:r>
      <w:r>
        <w:t xml:space="preserve">  In accordance with </w:t>
      </w:r>
      <w:r w:rsidR="00F72B9A">
        <w:t>s</w:t>
      </w:r>
      <w:r>
        <w:t xml:space="preserve">ection 1.2110(o) of the Commission’s rules, the applicant must provide the gross revenues for the most recently completed three calendar or fiscal years preceding the filing of the applicant’s </w:t>
      </w:r>
      <w:r w:rsidR="00F72B9A">
        <w:t>short-form application (</w:t>
      </w:r>
      <w:r>
        <w:t>FCC Form 175</w:t>
      </w:r>
      <w:r w:rsidR="00F72B9A">
        <w:t>)</w:t>
      </w:r>
      <w:r>
        <w:t xml:space="preserve">, </w:t>
      </w:r>
      <w:r w:rsidRPr="003857C6">
        <w:rPr>
          <w:u w:val="single"/>
        </w:rPr>
        <w:t>separately and in the aggregate</w:t>
      </w:r>
      <w:r>
        <w:t xml:space="preserve"> for the applicant, each of its affiliates, each of its controlling interests, each of the affiliates of its controlling interests, and each of the entities with which it has an attributable material relationship.</w:t>
      </w:r>
      <w:r w:rsidR="00F72B9A">
        <w:rPr>
          <w:rStyle w:val="FootnoteReference"/>
          <w:szCs w:val="22"/>
        </w:rPr>
        <w:footnoteReference w:id="29"/>
      </w:r>
      <w:r>
        <w:t xml:space="preserve">  Gross revenues for purposes of determining eligibility are defined in </w:t>
      </w:r>
      <w:r w:rsidR="00F72B9A">
        <w:t xml:space="preserve">section </w:t>
      </w:r>
      <w:r>
        <w:t>1.2110(o)</w:t>
      </w:r>
      <w:r w:rsidR="00F72B9A">
        <w:t xml:space="preserve"> of the Commission’s rules</w:t>
      </w:r>
      <w:r>
        <w:t>.</w:t>
      </w:r>
      <w:r w:rsidR="00F72B9A">
        <w:rPr>
          <w:rStyle w:val="FootnoteReference"/>
          <w:szCs w:val="22"/>
        </w:rPr>
        <w:footnoteReference w:id="30"/>
      </w:r>
      <w:r w:rsidR="00DA09DA">
        <w:t xml:space="preserve">  This definition includes “all income received by an entity”</w:t>
      </w:r>
      <w:r w:rsidR="00DA09DA">
        <w:rPr>
          <w:rStyle w:val="FootnoteReference"/>
        </w:rPr>
        <w:footnoteReference w:id="31"/>
      </w:r>
      <w:r w:rsidR="00DA09DA">
        <w:t>—regardless of whether the income is related to an FCC regulated business.</w:t>
      </w:r>
    </w:p>
    <w:p w:rsidR="00730029" w:rsidRDefault="00730029" w:rsidP="004670DB">
      <w:pPr>
        <w:tabs>
          <w:tab w:val="left" w:pos="0"/>
          <w:tab w:val="left" w:pos="360"/>
          <w:tab w:val="left" w:pos="720"/>
        </w:tabs>
        <w:suppressAutoHyphens/>
        <w:rPr>
          <w:szCs w:val="22"/>
        </w:rPr>
      </w:pPr>
    </w:p>
    <w:p w:rsidR="00730029" w:rsidRDefault="00730029" w:rsidP="00D94C3A">
      <w:r>
        <w:rPr>
          <w:b/>
        </w:rPr>
        <w:t xml:space="preserve">For a Consortium of Small </w:t>
      </w:r>
      <w:r w:rsidR="00F36531">
        <w:rPr>
          <w:b/>
        </w:rPr>
        <w:t xml:space="preserve">or Very Small </w:t>
      </w:r>
      <w:r>
        <w:rPr>
          <w:b/>
        </w:rPr>
        <w:t xml:space="preserve">Businesses.  </w:t>
      </w:r>
      <w:r>
        <w:t>A</w:t>
      </w:r>
      <w:r w:rsidR="00F36531">
        <w:t>n a</w:t>
      </w:r>
      <w:r>
        <w:t>pplicant that applied as a</w:t>
      </w:r>
      <w:r w:rsidR="008A2BBC">
        <w:t xml:space="preserve"> consortium of </w:t>
      </w:r>
      <w:r>
        <w:t>small</w:t>
      </w:r>
      <w:r>
        <w:rPr>
          <w:b/>
        </w:rPr>
        <w:t xml:space="preserve"> </w:t>
      </w:r>
      <w:r w:rsidR="00F36531" w:rsidRPr="00F36531">
        <w:t>or very small</w:t>
      </w:r>
      <w:r w:rsidR="00F36531">
        <w:rPr>
          <w:b/>
        </w:rPr>
        <w:t xml:space="preserve"> </w:t>
      </w:r>
      <w:r>
        <w:t xml:space="preserve">businesses, as described in </w:t>
      </w:r>
      <w:r w:rsidR="00F72B9A">
        <w:t>s</w:t>
      </w:r>
      <w:r>
        <w:t xml:space="preserve">ection 1.2110(b)(3)(i) of the Commission’s rules, must compute and indicate gross revenues as outlined above for </w:t>
      </w:r>
      <w:r>
        <w:rPr>
          <w:i/>
        </w:rPr>
        <w:t>each</w:t>
      </w:r>
      <w:r>
        <w:t xml:space="preserve"> small </w:t>
      </w:r>
      <w:r w:rsidR="00F36531">
        <w:t xml:space="preserve">or very small </w:t>
      </w:r>
      <w:r>
        <w:t>business</w:t>
      </w:r>
      <w:r w:rsidR="001B2BBA">
        <w:t xml:space="preserve"> </w:t>
      </w:r>
      <w:r>
        <w:t>in the consortium.</w:t>
      </w:r>
      <w:r w:rsidR="00F36531">
        <w:rPr>
          <w:rStyle w:val="FootnoteReference"/>
        </w:rPr>
        <w:footnoteReference w:id="32"/>
      </w:r>
      <w:r>
        <w:t xml:space="preserve">  That is, each business entity comprising the small </w:t>
      </w:r>
      <w:r w:rsidR="00F36531">
        <w:t xml:space="preserve">or very small </w:t>
      </w:r>
      <w:r>
        <w:t xml:space="preserve">business consortium must qualify and show gross revenues separately.  The average gross revenues of the small </w:t>
      </w:r>
      <w:r w:rsidR="00F36531">
        <w:t xml:space="preserve">or very small </w:t>
      </w:r>
      <w:r>
        <w:t>businesses</w:t>
      </w:r>
      <w:r w:rsidR="001B2BBA">
        <w:t xml:space="preserve"> </w:t>
      </w:r>
      <w:r>
        <w:t>in the consortium shall not be aggregated.</w:t>
      </w:r>
      <w:r w:rsidR="00F72B9A">
        <w:rPr>
          <w:rStyle w:val="FootnoteReference"/>
          <w:szCs w:val="22"/>
        </w:rPr>
        <w:footnoteReference w:id="33"/>
      </w:r>
      <w:r>
        <w:t xml:space="preserve">  As stated above, each consortium member, which must be a separate, distinct and independent legal entity, must file a separate FCC Form 601 and FCC Form 602.</w:t>
      </w:r>
      <w:r>
        <w:rPr>
          <w:rStyle w:val="FootnoteReference"/>
          <w:szCs w:val="22"/>
        </w:rPr>
        <w:footnoteReference w:id="34"/>
      </w:r>
      <w:r>
        <w:t xml:space="preserve">  </w:t>
      </w:r>
      <w:r w:rsidR="006740AA">
        <w:t xml:space="preserve">If a consortium member is filing its own individual FCC Form 601, it </w:t>
      </w:r>
      <w:r>
        <w:t>should report the gross revenues of only that particular consortium member, along with its affiliates, its controlling interests, the affiliates of its controlling interests, and the entities with which it has an attributable material relationship.</w:t>
      </w:r>
      <w:r w:rsidR="00686B46">
        <w:t xml:space="preserve"> </w:t>
      </w:r>
      <w:r w:rsidR="00F9337D">
        <w:t>However, i</w:t>
      </w:r>
      <w:r w:rsidR="00686B46">
        <w:t>f two or more consortium members have formed a new entity pursuant to section 1.2107</w:t>
      </w:r>
      <w:r w:rsidR="00356A3B">
        <w:t>(g)(2</w:t>
      </w:r>
      <w:r w:rsidR="00686B46">
        <w:t xml:space="preserve">), </w:t>
      </w:r>
      <w:r w:rsidR="00356A3B">
        <w:t xml:space="preserve">than the combined gross revenues of the consortium members comprising the new entity </w:t>
      </w:r>
      <w:r w:rsidR="006B0EA5">
        <w:t>must be reported.</w:t>
      </w:r>
      <w:r w:rsidR="006B0EA5">
        <w:rPr>
          <w:rStyle w:val="FootnoteReference"/>
        </w:rPr>
        <w:footnoteReference w:id="35"/>
      </w:r>
    </w:p>
    <w:p w:rsidR="00730029" w:rsidRDefault="00730029" w:rsidP="004670DB">
      <w:pPr>
        <w:tabs>
          <w:tab w:val="left" w:pos="0"/>
          <w:tab w:val="left" w:pos="360"/>
          <w:tab w:val="left" w:pos="720"/>
        </w:tabs>
        <w:suppressAutoHyphens/>
        <w:rPr>
          <w:szCs w:val="22"/>
        </w:rPr>
      </w:pPr>
    </w:p>
    <w:p w:rsidR="00730029" w:rsidRDefault="00730029" w:rsidP="00D94C3A">
      <w:r>
        <w:rPr>
          <w:b/>
          <w:bCs/>
        </w:rPr>
        <w:t>For a Rural Telephone Cooperative.</w:t>
      </w:r>
      <w:r>
        <w:t xml:space="preserve">  </w:t>
      </w:r>
      <w:r w:rsidR="0031336D">
        <w:t>Section 1.2110(c)(2)(ii)(F) states that officers and directors of an applicant shall be considered to have a controlling interest.</w:t>
      </w:r>
      <w:r w:rsidR="00F108B5">
        <w:rPr>
          <w:rStyle w:val="FootnoteReference"/>
          <w:szCs w:val="22"/>
        </w:rPr>
        <w:footnoteReference w:id="36"/>
      </w:r>
      <w:r w:rsidR="0031336D">
        <w:t xml:space="preserve">  </w:t>
      </w:r>
      <w:r>
        <w:t xml:space="preserve">An applicant that is a rural telephone cooperative is exempt for the purpose of attribution from </w:t>
      </w:r>
      <w:r w:rsidR="00F108B5">
        <w:t>s</w:t>
      </w:r>
      <w:r>
        <w:t xml:space="preserve">ection 1.2110(c)(2)(ii)(F) of the Commission’s rules, if it complies with </w:t>
      </w:r>
      <w:r w:rsidR="00F108B5">
        <w:t>s</w:t>
      </w:r>
      <w:r>
        <w:t>ection 1.2110(b)(3)(iii) of the Commission’s rules</w:t>
      </w:r>
      <w:r w:rsidR="00664F62">
        <w:t>.</w:t>
      </w:r>
      <w:r w:rsidR="00664F62">
        <w:rPr>
          <w:rStyle w:val="FootnoteReference"/>
          <w:szCs w:val="22"/>
        </w:rPr>
        <w:footnoteReference w:id="37"/>
      </w:r>
      <w:r>
        <w:t xml:space="preserve">  In the absence of such an exemption, gross revenues of all controlling interests, including officers and directors, must be attributed to the applicant for purposes of claiming eligibility for designated entity benefits.</w:t>
      </w:r>
      <w:r w:rsidR="00664F62">
        <w:rPr>
          <w:rStyle w:val="FootnoteReference"/>
          <w:szCs w:val="22"/>
        </w:rPr>
        <w:footnoteReference w:id="38"/>
      </w:r>
    </w:p>
    <w:p w:rsidR="00664F62" w:rsidRDefault="00664F62" w:rsidP="004670DB">
      <w:pPr>
        <w:tabs>
          <w:tab w:val="left" w:pos="0"/>
          <w:tab w:val="left" w:pos="360"/>
          <w:tab w:val="left" w:pos="720"/>
        </w:tabs>
        <w:suppressAutoHyphens/>
        <w:rPr>
          <w:szCs w:val="22"/>
        </w:rPr>
      </w:pPr>
    </w:p>
    <w:p w:rsidR="00730029" w:rsidRDefault="00730029" w:rsidP="00D634DE">
      <w:pPr>
        <w:spacing w:after="120"/>
      </w:pPr>
      <w:r>
        <w:t xml:space="preserve">In </w:t>
      </w:r>
      <w:r w:rsidR="00287F97">
        <w:t>its Exhibit C</w:t>
      </w:r>
      <w:r>
        <w:t xml:space="preserve"> attachment, an applicant seeking the rural telephone cooperative exemption need</w:t>
      </w:r>
      <w:r w:rsidR="00E37138">
        <w:t>s</w:t>
      </w:r>
      <w:r>
        <w:t xml:space="preserve"> to demonstrate how it complies with </w:t>
      </w:r>
      <w:r w:rsidR="00F108B5">
        <w:t>s</w:t>
      </w:r>
      <w:r>
        <w:t xml:space="preserve">ection 1.2110(b)(3)(iii) of the Commission’s rules.  An applicant will be exempt from attributing the officers and directors of the applicant and </w:t>
      </w:r>
      <w:r w:rsidR="00287F97">
        <w:t>any</w:t>
      </w:r>
      <w:r>
        <w:t xml:space="preserve"> controlling interests, if the applicant or a controlling interest is: </w:t>
      </w:r>
    </w:p>
    <w:p w:rsidR="00730029" w:rsidRDefault="00730029" w:rsidP="00D94C3A">
      <w:pPr>
        <w:pStyle w:val="BodyText3"/>
        <w:numPr>
          <w:ilvl w:val="0"/>
          <w:numId w:val="24"/>
        </w:numPr>
        <w:tabs>
          <w:tab w:val="clear" w:pos="360"/>
          <w:tab w:val="left" w:pos="720"/>
        </w:tabs>
        <w:jc w:val="left"/>
        <w:rPr>
          <w:szCs w:val="22"/>
        </w:rPr>
      </w:pPr>
      <w:r>
        <w:rPr>
          <w:szCs w:val="22"/>
        </w:rPr>
        <w:t>Organized as a cooperative pursuant to state law;</w:t>
      </w:r>
      <w:r w:rsidRPr="00D94C3A">
        <w:rPr>
          <w:rStyle w:val="FootnoteReference"/>
          <w:szCs w:val="22"/>
        </w:rPr>
        <w:footnoteReference w:id="39"/>
      </w:r>
    </w:p>
    <w:p w:rsidR="00730029" w:rsidRDefault="00730029" w:rsidP="00D94C3A">
      <w:pPr>
        <w:pStyle w:val="BodyText3"/>
        <w:numPr>
          <w:ilvl w:val="0"/>
          <w:numId w:val="24"/>
        </w:numPr>
        <w:tabs>
          <w:tab w:val="clear" w:pos="360"/>
          <w:tab w:val="left" w:pos="720"/>
        </w:tabs>
        <w:jc w:val="left"/>
        <w:rPr>
          <w:szCs w:val="22"/>
        </w:rPr>
      </w:pPr>
      <w:r>
        <w:rPr>
          <w:szCs w:val="22"/>
        </w:rPr>
        <w:t>A rural telephone company as defined by the Communications Act; and</w:t>
      </w:r>
    </w:p>
    <w:p w:rsidR="00730029" w:rsidRDefault="00730029" w:rsidP="00D94C3A">
      <w:pPr>
        <w:pStyle w:val="BodyText3"/>
        <w:numPr>
          <w:ilvl w:val="0"/>
          <w:numId w:val="24"/>
        </w:numPr>
        <w:tabs>
          <w:tab w:val="clear" w:pos="360"/>
          <w:tab w:val="left" w:pos="720"/>
        </w:tabs>
        <w:jc w:val="left"/>
        <w:rPr>
          <w:szCs w:val="22"/>
        </w:rPr>
      </w:pPr>
      <w:r>
        <w:rPr>
          <w:szCs w:val="22"/>
        </w:rPr>
        <w:t xml:space="preserve">Eligible for tax-exempt status under the Internal Revenue Code or adheres to the cooperative principles articulated in </w:t>
      </w:r>
      <w:r w:rsidRPr="00D94C3A">
        <w:rPr>
          <w:i/>
          <w:szCs w:val="22"/>
        </w:rPr>
        <w:t>Puget Sound Plywood, Inc. v. Commission of Internal Revenue</w:t>
      </w:r>
      <w:r>
        <w:rPr>
          <w:szCs w:val="22"/>
        </w:rPr>
        <w:t>, 44 T.C. 305 (1965).</w:t>
      </w:r>
      <w:r w:rsidRPr="00D94C3A">
        <w:rPr>
          <w:rStyle w:val="FootnoteReference"/>
          <w:szCs w:val="22"/>
        </w:rPr>
        <w:footnoteReference w:id="40"/>
      </w:r>
      <w:r>
        <w:rPr>
          <w:szCs w:val="22"/>
        </w:rPr>
        <w:t xml:space="preserve"> </w:t>
      </w:r>
    </w:p>
    <w:p w:rsidR="00730029" w:rsidRDefault="00730029">
      <w:pPr>
        <w:tabs>
          <w:tab w:val="left" w:pos="0"/>
          <w:tab w:val="left" w:pos="360"/>
          <w:tab w:val="left" w:pos="720"/>
        </w:tabs>
        <w:suppressAutoHyphens/>
        <w:rPr>
          <w:szCs w:val="22"/>
        </w:rPr>
      </w:pPr>
    </w:p>
    <w:p w:rsidR="00730029" w:rsidRDefault="00730029">
      <w:pPr>
        <w:tabs>
          <w:tab w:val="left" w:pos="0"/>
        </w:tabs>
        <w:suppressAutoHyphens/>
        <w:rPr>
          <w:szCs w:val="22"/>
        </w:rPr>
      </w:pPr>
      <w:r>
        <w:rPr>
          <w:b/>
          <w:szCs w:val="22"/>
        </w:rPr>
        <w:t xml:space="preserve">Controlling Interests and Affiliates.  </w:t>
      </w:r>
      <w:r>
        <w:rPr>
          <w:szCs w:val="22"/>
        </w:rPr>
        <w:t>All controlling interests and affiliates, as defined by the Commission’s rules, must be included in the gross revenue calculations discussed above.</w:t>
      </w:r>
      <w:r w:rsidR="00F108B5">
        <w:rPr>
          <w:rStyle w:val="FootnoteReference"/>
          <w:szCs w:val="22"/>
        </w:rPr>
        <w:footnoteReference w:id="41"/>
      </w:r>
      <w:r>
        <w:rPr>
          <w:szCs w:val="22"/>
        </w:rPr>
        <w:t xml:space="preserve">  </w:t>
      </w:r>
    </w:p>
    <w:p w:rsidR="00730029" w:rsidRDefault="00730029">
      <w:pPr>
        <w:tabs>
          <w:tab w:val="left" w:pos="0"/>
        </w:tabs>
        <w:suppressAutoHyphens/>
        <w:rPr>
          <w:szCs w:val="22"/>
        </w:rPr>
      </w:pPr>
    </w:p>
    <w:p w:rsidR="00730029" w:rsidRDefault="00730029">
      <w:pPr>
        <w:tabs>
          <w:tab w:val="left" w:pos="0"/>
        </w:tabs>
        <w:suppressAutoHyphens/>
        <w:rPr>
          <w:szCs w:val="22"/>
        </w:rPr>
      </w:pPr>
      <w:r w:rsidRPr="00603951">
        <w:rPr>
          <w:b/>
          <w:szCs w:val="22"/>
        </w:rPr>
        <w:t>Material Relationships.</w:t>
      </w:r>
      <w:r w:rsidRPr="00603951">
        <w:rPr>
          <w:szCs w:val="22"/>
        </w:rPr>
        <w:t xml:space="preserve">  </w:t>
      </w:r>
      <w:r w:rsidR="00603951" w:rsidRPr="00603951">
        <w:rPr>
          <w:szCs w:val="22"/>
        </w:rPr>
        <w:t xml:space="preserve">In determining eligibility for bidding credits, the Commission requires consideration of certain agreements or relationships </w:t>
      </w:r>
      <w:r w:rsidRPr="00603951">
        <w:rPr>
          <w:szCs w:val="22"/>
        </w:rPr>
        <w:t>for the lease or resale of its spectrum capacity.</w:t>
      </w:r>
      <w:r w:rsidRPr="00603951">
        <w:rPr>
          <w:rStyle w:val="FootnoteReference"/>
          <w:szCs w:val="22"/>
        </w:rPr>
        <w:footnoteReference w:id="42"/>
      </w:r>
      <w:r w:rsidRPr="00603951">
        <w:rPr>
          <w:szCs w:val="22"/>
        </w:rPr>
        <w:t xml:space="preserve">  </w:t>
      </w:r>
      <w:r w:rsidR="00603951" w:rsidRPr="00603951">
        <w:rPr>
          <w:szCs w:val="22"/>
        </w:rPr>
        <w:t>Such relationships are referred to as “attributable material relationships.”</w:t>
      </w:r>
      <w:r w:rsidR="00603951" w:rsidRPr="00603951">
        <w:rPr>
          <w:rStyle w:val="FootnoteReference"/>
          <w:szCs w:val="22"/>
        </w:rPr>
        <w:footnoteReference w:id="43"/>
      </w:r>
      <w:r w:rsidR="00603951" w:rsidRPr="00603951">
        <w:rPr>
          <w:szCs w:val="22"/>
        </w:rPr>
        <w:t xml:space="preserve">  </w:t>
      </w:r>
      <w:r w:rsidRPr="00603951">
        <w:rPr>
          <w:szCs w:val="22"/>
        </w:rPr>
        <w:t xml:space="preserve">An applicant has an attributable material relationship when </w:t>
      </w:r>
      <w:r w:rsidR="00E0667A" w:rsidRPr="00603951">
        <w:rPr>
          <w:szCs w:val="22"/>
        </w:rPr>
        <w:t>the</w:t>
      </w:r>
      <w:r w:rsidRPr="00603951">
        <w:rPr>
          <w:szCs w:val="22"/>
        </w:rPr>
        <w:t xml:space="preserve"> applicant has one or more agreements with any individual entity, including entities and individuals attributable to that entity, for the lease (under either spectrum manager or </w:t>
      </w:r>
      <w:r w:rsidRPr="00603951">
        <w:rPr>
          <w:i/>
          <w:szCs w:val="22"/>
        </w:rPr>
        <w:t>de facto</w:t>
      </w:r>
      <w:r w:rsidRPr="00603951">
        <w:rPr>
          <w:szCs w:val="22"/>
        </w:rPr>
        <w:t xml:space="preserve"> transfer leasing arrangements) or resale (including under a wholesale arrangement) of, on a cumulative basis, more than 25 percent of the spectrum capacity of any individual license that is held by the applicant or licensee.</w:t>
      </w:r>
      <w:r w:rsidRPr="00603951">
        <w:rPr>
          <w:rStyle w:val="FootnoteReference"/>
          <w:szCs w:val="22"/>
        </w:rPr>
        <w:footnoteReference w:id="44"/>
      </w:r>
      <w:r w:rsidR="00603951">
        <w:rPr>
          <w:szCs w:val="22"/>
        </w:rPr>
        <w:t xml:space="preserve">  </w:t>
      </w:r>
      <w:r w:rsidR="00603951">
        <w:rPr>
          <w:szCs w:val="22"/>
          <w:shd w:val="clear" w:color="auto" w:fill="FFFFFF"/>
          <w:lang w:bidi="he-IL"/>
        </w:rPr>
        <w:t xml:space="preserve">The attributable material relationship will cause the gross revenues of that entity and its attributable </w:t>
      </w:r>
      <w:r w:rsidR="00603951">
        <w:rPr>
          <w:szCs w:val="22"/>
        </w:rPr>
        <w:t>interest</w:t>
      </w:r>
      <w:r w:rsidR="00603951">
        <w:rPr>
          <w:szCs w:val="22"/>
          <w:shd w:val="clear" w:color="auto" w:fill="FFFFFF"/>
          <w:lang w:bidi="he-IL"/>
        </w:rPr>
        <w:t xml:space="preserve"> holders to be attributed to the applicant or licensee for the purposes of determining the applicant’s or licensee’s (i) eligibility for designated entity benefits and (ii) liability for “unjust enrichment”</w:t>
      </w:r>
      <w:r w:rsidR="00603951">
        <w:rPr>
          <w:rStyle w:val="FootnoteReference"/>
          <w:szCs w:val="22"/>
          <w:shd w:val="clear" w:color="auto" w:fill="FFFFFF"/>
          <w:lang w:bidi="he-IL"/>
        </w:rPr>
        <w:footnoteReference w:id="45"/>
      </w:r>
      <w:r w:rsidR="00603951">
        <w:rPr>
          <w:szCs w:val="22"/>
          <w:shd w:val="clear" w:color="auto" w:fill="FFFFFF"/>
          <w:lang w:bidi="he-IL"/>
        </w:rPr>
        <w:t xml:space="preserve"> on a license-by-license basis.</w:t>
      </w:r>
      <w:r w:rsidR="00603951">
        <w:rPr>
          <w:rStyle w:val="FootnoteReference"/>
          <w:szCs w:val="22"/>
          <w:shd w:val="clear" w:color="auto" w:fill="FFFFFF"/>
          <w:lang w:bidi="he-IL"/>
        </w:rPr>
        <w:footnoteReference w:id="46"/>
      </w:r>
    </w:p>
    <w:p w:rsidR="00730029" w:rsidRDefault="00730029">
      <w:pPr>
        <w:tabs>
          <w:tab w:val="left" w:pos="0"/>
          <w:tab w:val="left" w:pos="360"/>
          <w:tab w:val="left" w:pos="720"/>
        </w:tabs>
        <w:suppressAutoHyphens/>
        <w:rPr>
          <w:szCs w:val="22"/>
        </w:rPr>
      </w:pPr>
    </w:p>
    <w:p w:rsidR="00730029" w:rsidRDefault="00730029">
      <w:pPr>
        <w:keepNext/>
        <w:keepLines/>
        <w:tabs>
          <w:tab w:val="left" w:pos="0"/>
        </w:tabs>
        <w:suppressAutoHyphens/>
        <w:rPr>
          <w:szCs w:val="22"/>
        </w:rPr>
      </w:pPr>
      <w:r>
        <w:rPr>
          <w:b/>
        </w:rPr>
        <w:t>Minority-Owned and Women-Owned Business and Rural Telephone Companies.</w:t>
      </w:r>
      <w:r>
        <w:t xml:space="preserve">  The Commission is interested in the status of applicants as minority-owned and women-owned businesses and rural telephone companies for statistical purposes, even if the applicant is ineligible for bidding credits.</w:t>
      </w:r>
      <w:r w:rsidR="00F108B5">
        <w:rPr>
          <w:rStyle w:val="FootnoteReference"/>
        </w:rPr>
        <w:footnoteReference w:id="47"/>
      </w:r>
      <w:r>
        <w:t xml:space="preserve">  </w:t>
      </w:r>
      <w:r>
        <w:rPr>
          <w:szCs w:val="22"/>
        </w:rPr>
        <w:t>This information is collected in ULS and does not need to be included in an attachment.</w:t>
      </w:r>
    </w:p>
    <w:p w:rsidR="00730029" w:rsidRDefault="00730029"/>
    <w:p w:rsidR="00730029" w:rsidRDefault="00730029">
      <w:pPr>
        <w:pStyle w:val="Heading3"/>
        <w:numPr>
          <w:ilvl w:val="0"/>
          <w:numId w:val="0"/>
        </w:numPr>
        <w:jc w:val="left"/>
        <w:rPr>
          <w:szCs w:val="22"/>
        </w:rPr>
      </w:pPr>
      <w:r>
        <w:rPr>
          <w:szCs w:val="22"/>
        </w:rPr>
        <w:t xml:space="preserve">EXHIBIT D: AGREEMENTS &amp; OTHER INSTRUMENTS </w:t>
      </w:r>
    </w:p>
    <w:p w:rsidR="00730029" w:rsidRDefault="00730029" w:rsidP="004670DB">
      <w:r w:rsidRPr="004670DB">
        <w:rPr>
          <w:b/>
        </w:rPr>
        <w:t>Bidding Agreements.</w:t>
      </w:r>
      <w:r>
        <w:t xml:space="preserve">  </w:t>
      </w:r>
      <w:r w:rsidR="00E0667A">
        <w:t>Each a</w:t>
      </w:r>
      <w:r>
        <w:t>pplicant must provide a detailed explanation of the terms and conditions and parties involved in any bidding consortia, joint ventures, partnerships, or other agreements or arrangements entered into relating to the competitive bidding process prior to the time the bidding was completed.</w:t>
      </w:r>
      <w:r w:rsidR="00F108B5">
        <w:rPr>
          <w:rStyle w:val="FootnoteReference"/>
        </w:rPr>
        <w:footnoteReference w:id="48"/>
      </w:r>
      <w:r>
        <w:t xml:space="preserve">  </w:t>
      </w:r>
      <w:r w:rsidRPr="004670DB">
        <w:t xml:space="preserve">A list of the agreements disclosed on </w:t>
      </w:r>
      <w:r w:rsidR="00F108B5">
        <w:t>an applicant’s short-form application</w:t>
      </w:r>
      <w:r w:rsidRPr="004670DB">
        <w:t xml:space="preserve"> </w:t>
      </w:r>
      <w:r w:rsidR="00F108B5">
        <w:t>(</w:t>
      </w:r>
      <w:r w:rsidRPr="004670DB">
        <w:t>FCC Form 175</w:t>
      </w:r>
      <w:r w:rsidR="00F108B5">
        <w:t>)</w:t>
      </w:r>
      <w:r w:rsidRPr="004670DB">
        <w:t xml:space="preserve"> will be pre-filled on </w:t>
      </w:r>
      <w:r w:rsidR="00F108B5">
        <w:t>its</w:t>
      </w:r>
      <w:r w:rsidRPr="004670DB">
        <w:t xml:space="preserve"> </w:t>
      </w:r>
      <w:r w:rsidR="00664F62" w:rsidRPr="004670DB">
        <w:t xml:space="preserve">FCC </w:t>
      </w:r>
      <w:r w:rsidRPr="004670DB">
        <w:t xml:space="preserve">Form 601, but should be updated </w:t>
      </w:r>
      <w:r w:rsidR="00287F97">
        <w:t>as</w:t>
      </w:r>
      <w:r w:rsidRPr="004670DB">
        <w:t xml:space="preserve"> necessary.  Any other additional information should be provided by uploading a file, selecting Attachment Type “Other” and entering </w:t>
      </w:r>
      <w:r w:rsidRPr="004670DB">
        <w:rPr>
          <w:b/>
        </w:rPr>
        <w:t>“Exhibit D: Agreements &amp; Other Instruments”</w:t>
      </w:r>
      <w:r w:rsidRPr="004670DB">
        <w:t xml:space="preserve"> in the </w:t>
      </w:r>
      <w:r w:rsidR="006D039F">
        <w:t>“</w:t>
      </w:r>
      <w:r w:rsidRPr="004670DB">
        <w:t>Description</w:t>
      </w:r>
      <w:r w:rsidR="006D039F">
        <w:t>”</w:t>
      </w:r>
      <w:r w:rsidRPr="004670DB">
        <w:t xml:space="preserve"> field on the </w:t>
      </w:r>
      <w:r w:rsidR="00FB272F">
        <w:t>“</w:t>
      </w:r>
      <w:r w:rsidRPr="004670DB">
        <w:t>Attachments</w:t>
      </w:r>
      <w:r w:rsidR="00FB272F">
        <w:t>”</w:t>
      </w:r>
      <w:r w:rsidRPr="004670DB">
        <w:t xml:space="preserve"> page.  </w:t>
      </w:r>
    </w:p>
    <w:p w:rsidR="00730029" w:rsidRDefault="00730029">
      <w:pPr>
        <w:tabs>
          <w:tab w:val="left" w:pos="0"/>
          <w:tab w:val="left" w:pos="360"/>
          <w:tab w:val="left" w:pos="720"/>
        </w:tabs>
        <w:suppressAutoHyphens/>
        <w:rPr>
          <w:szCs w:val="22"/>
        </w:rPr>
      </w:pPr>
    </w:p>
    <w:p w:rsidR="00730029" w:rsidRPr="00D634DE" w:rsidRDefault="00730029">
      <w:pPr>
        <w:autoSpaceDE w:val="0"/>
        <w:autoSpaceDN w:val="0"/>
        <w:adjustRightInd w:val="0"/>
        <w:spacing w:after="120"/>
        <w:rPr>
          <w:szCs w:val="22"/>
        </w:rPr>
      </w:pPr>
      <w:r w:rsidRPr="00D94C3A">
        <w:rPr>
          <w:b/>
          <w:szCs w:val="22"/>
        </w:rPr>
        <w:t>Other Agreements.</w:t>
      </w:r>
      <w:r w:rsidRPr="00D94C3A">
        <w:rPr>
          <w:szCs w:val="22"/>
        </w:rPr>
        <w:t xml:space="preserve">  To comply with the requirements of </w:t>
      </w:r>
      <w:r w:rsidR="00287F97">
        <w:rPr>
          <w:szCs w:val="22"/>
        </w:rPr>
        <w:t xml:space="preserve">Commission rule </w:t>
      </w:r>
      <w:r w:rsidR="00F108B5" w:rsidRPr="00D94C3A">
        <w:rPr>
          <w:szCs w:val="22"/>
        </w:rPr>
        <w:t>s</w:t>
      </w:r>
      <w:r w:rsidRPr="00D94C3A">
        <w:rPr>
          <w:szCs w:val="22"/>
        </w:rPr>
        <w:t>ections 1.2110(j) and 1.2112(b)(2)(iii)-(iv)</w:t>
      </w:r>
      <w:r w:rsidR="00287F97">
        <w:rPr>
          <w:szCs w:val="22"/>
        </w:rPr>
        <w:t xml:space="preserve"> and </w:t>
      </w:r>
      <w:r w:rsidR="00287F97" w:rsidRPr="00D94C3A">
        <w:rPr>
          <w:szCs w:val="22"/>
        </w:rPr>
        <w:t>(vi)-(vii)</w:t>
      </w:r>
      <w:r w:rsidR="009349BE" w:rsidRPr="00D94C3A">
        <w:rPr>
          <w:szCs w:val="22"/>
        </w:rPr>
        <w:t xml:space="preserve"> relating to designated entities</w:t>
      </w:r>
      <w:r w:rsidRPr="00D94C3A">
        <w:rPr>
          <w:szCs w:val="22"/>
        </w:rPr>
        <w:t xml:space="preserve">, </w:t>
      </w:r>
      <w:r w:rsidR="00664F62" w:rsidRPr="00D94C3A">
        <w:rPr>
          <w:szCs w:val="22"/>
        </w:rPr>
        <w:t>a</w:t>
      </w:r>
      <w:r w:rsidRPr="00D94C3A">
        <w:rPr>
          <w:szCs w:val="22"/>
        </w:rPr>
        <w:t xml:space="preserve">ll agreements must be listed on the FCC Form 601 and </w:t>
      </w:r>
      <w:r w:rsidR="00E0667A" w:rsidRPr="00D94C3A">
        <w:rPr>
          <w:szCs w:val="22"/>
        </w:rPr>
        <w:t xml:space="preserve">each </w:t>
      </w:r>
      <w:r w:rsidRPr="00D94C3A">
        <w:rPr>
          <w:szCs w:val="22"/>
        </w:rPr>
        <w:t xml:space="preserve">applicant must provide a summary of </w:t>
      </w:r>
      <w:r w:rsidR="00287F97">
        <w:rPr>
          <w:szCs w:val="22"/>
        </w:rPr>
        <w:t>its</w:t>
      </w:r>
      <w:r w:rsidRPr="00D94C3A">
        <w:rPr>
          <w:szCs w:val="22"/>
        </w:rPr>
        <w:t xml:space="preserve"> agreements.</w:t>
      </w:r>
      <w:r w:rsidR="00664F62" w:rsidRPr="00D94C3A">
        <w:rPr>
          <w:rStyle w:val="FootnoteReference"/>
          <w:szCs w:val="22"/>
        </w:rPr>
        <w:footnoteReference w:id="49"/>
      </w:r>
      <w:r w:rsidRPr="00D94C3A">
        <w:rPr>
          <w:szCs w:val="22"/>
        </w:rPr>
        <w:t xml:space="preserve">  </w:t>
      </w:r>
      <w:r w:rsidR="00E0667A" w:rsidRPr="00D94C3A">
        <w:rPr>
          <w:szCs w:val="22"/>
        </w:rPr>
        <w:t>Each a</w:t>
      </w:r>
      <w:r w:rsidRPr="00D94C3A">
        <w:rPr>
          <w:szCs w:val="22"/>
        </w:rPr>
        <w:t xml:space="preserve">pplicant must list, summarize, and provide the dates on which </w:t>
      </w:r>
      <w:r w:rsidR="00E0667A" w:rsidRPr="00D94C3A">
        <w:rPr>
          <w:szCs w:val="22"/>
        </w:rPr>
        <w:t>it</w:t>
      </w:r>
      <w:r w:rsidRPr="00D94C3A">
        <w:rPr>
          <w:szCs w:val="22"/>
        </w:rPr>
        <w:t xml:space="preserve"> entered into all agreements that support the applicant</w:t>
      </w:r>
      <w:r w:rsidR="0031336D" w:rsidRPr="00D94C3A">
        <w:rPr>
          <w:szCs w:val="22"/>
        </w:rPr>
        <w:t>’</w:t>
      </w:r>
      <w:r w:rsidRPr="00D94C3A">
        <w:rPr>
          <w:szCs w:val="22"/>
        </w:rPr>
        <w:t xml:space="preserve">s designated entity eligibility, including the establishment of </w:t>
      </w:r>
      <w:r w:rsidRPr="00D634DE">
        <w:rPr>
          <w:i/>
          <w:szCs w:val="22"/>
        </w:rPr>
        <w:t>de facto</w:t>
      </w:r>
      <w:r w:rsidRPr="00D634DE">
        <w:rPr>
          <w:szCs w:val="22"/>
        </w:rPr>
        <w:t xml:space="preserve"> and </w:t>
      </w:r>
      <w:r w:rsidRPr="00D634DE">
        <w:rPr>
          <w:i/>
          <w:szCs w:val="22"/>
        </w:rPr>
        <w:t>de jure</w:t>
      </w:r>
      <w:r w:rsidRPr="00D634DE">
        <w:rPr>
          <w:szCs w:val="22"/>
        </w:rPr>
        <w:t xml:space="preserve"> control or the presence or absence of attributable material relationships.</w:t>
      </w:r>
      <w:r w:rsidR="00664F62" w:rsidRPr="00D634DE">
        <w:rPr>
          <w:rStyle w:val="FootnoteReference"/>
          <w:szCs w:val="22"/>
        </w:rPr>
        <w:footnoteReference w:id="50"/>
      </w:r>
      <w:r w:rsidRPr="00D634DE">
        <w:rPr>
          <w:szCs w:val="22"/>
        </w:rPr>
        <w:t xml:space="preserve">  </w:t>
      </w:r>
      <w:r w:rsidR="00E0667A" w:rsidRPr="00D634DE">
        <w:rPr>
          <w:szCs w:val="22"/>
        </w:rPr>
        <w:t>Each a</w:t>
      </w:r>
      <w:r w:rsidRPr="00D634DE">
        <w:rPr>
          <w:szCs w:val="22"/>
        </w:rPr>
        <w:t xml:space="preserve">pplicant must also list and summarize any agreements that </w:t>
      </w:r>
      <w:r w:rsidR="00E0667A" w:rsidRPr="00D634DE">
        <w:rPr>
          <w:szCs w:val="22"/>
        </w:rPr>
        <w:t>it</w:t>
      </w:r>
      <w:r w:rsidRPr="00D634DE">
        <w:rPr>
          <w:szCs w:val="22"/>
        </w:rPr>
        <w:t xml:space="preserve"> entered into for the lease or resale/wholesale of any of the spectrum capacity of the licenses</w:t>
      </w:r>
      <w:r w:rsidR="00287F97">
        <w:rPr>
          <w:rStyle w:val="FootnoteReference"/>
          <w:szCs w:val="22"/>
        </w:rPr>
        <w:footnoteReference w:id="51"/>
      </w:r>
      <w:r w:rsidRPr="00D634DE">
        <w:rPr>
          <w:szCs w:val="22"/>
        </w:rPr>
        <w:t xml:space="preserve"> and, if seeking the rural telephone cooperative exemption, all documentation to establish eligibility pursuant to </w:t>
      </w:r>
      <w:r w:rsidR="00F108B5" w:rsidRPr="00D634DE">
        <w:rPr>
          <w:szCs w:val="22"/>
        </w:rPr>
        <w:t>s</w:t>
      </w:r>
      <w:r w:rsidR="00664F62" w:rsidRPr="00D634DE">
        <w:rPr>
          <w:szCs w:val="22"/>
        </w:rPr>
        <w:t>e</w:t>
      </w:r>
      <w:r w:rsidRPr="00D634DE">
        <w:rPr>
          <w:szCs w:val="22"/>
        </w:rPr>
        <w:t>ction 1.2110(b)(3)(iii)(A) of the Commission’s rules.</w:t>
      </w:r>
      <w:r w:rsidR="00664F62" w:rsidRPr="00D634DE">
        <w:rPr>
          <w:rStyle w:val="FootnoteReference"/>
          <w:szCs w:val="22"/>
        </w:rPr>
        <w:footnoteReference w:id="52"/>
      </w:r>
      <w:r w:rsidR="00664F62" w:rsidRPr="00D634DE">
        <w:rPr>
          <w:szCs w:val="22"/>
        </w:rPr>
        <w:t xml:space="preserve"> </w:t>
      </w:r>
      <w:r w:rsidR="00664F62" w:rsidRPr="00D634DE">
        <w:rPr>
          <w:i/>
          <w:szCs w:val="22"/>
        </w:rPr>
        <w:t xml:space="preserve"> </w:t>
      </w:r>
      <w:r w:rsidRPr="00D634DE">
        <w:rPr>
          <w:szCs w:val="22"/>
        </w:rPr>
        <w:t xml:space="preserve">Further, </w:t>
      </w:r>
      <w:r w:rsidR="00E0667A" w:rsidRPr="00D634DE">
        <w:rPr>
          <w:szCs w:val="22"/>
        </w:rPr>
        <w:t xml:space="preserve">an </w:t>
      </w:r>
      <w:r w:rsidRPr="00D634DE">
        <w:rPr>
          <w:szCs w:val="22"/>
        </w:rPr>
        <w:t>applicant must list and summarize any investor protection agreements, including rights of first refusal, supermajority clauses, options, veto rights, rights to hire and fire employees, and to appoint members to boards of directors or management committees.</w:t>
      </w:r>
      <w:r w:rsidR="00664F62" w:rsidRPr="00D634DE">
        <w:rPr>
          <w:rStyle w:val="FootnoteReference"/>
          <w:szCs w:val="22"/>
        </w:rPr>
        <w:footnoteReference w:id="53"/>
      </w:r>
      <w:r w:rsidRPr="00D634DE">
        <w:rPr>
          <w:szCs w:val="22"/>
        </w:rPr>
        <w:t xml:space="preserve">  Pursuant to </w:t>
      </w:r>
      <w:r w:rsidR="00F108B5" w:rsidRPr="00D634DE">
        <w:rPr>
          <w:szCs w:val="22"/>
        </w:rPr>
        <w:t>s</w:t>
      </w:r>
      <w:r w:rsidRPr="00D634DE">
        <w:rPr>
          <w:szCs w:val="22"/>
        </w:rPr>
        <w:t>ections 1.2110(j) and 1.2112(b)(2)(i</w:t>
      </w:r>
      <w:r w:rsidR="001F50E3">
        <w:rPr>
          <w:szCs w:val="22"/>
        </w:rPr>
        <w:t>ii</w:t>
      </w:r>
      <w:r w:rsidRPr="00D634DE">
        <w:rPr>
          <w:szCs w:val="22"/>
        </w:rPr>
        <w:t xml:space="preserve">) of the Commission’s rules, such agreements and instruments include, but are not limited to: </w:t>
      </w:r>
    </w:p>
    <w:p w:rsidR="00730029" w:rsidRDefault="00730029">
      <w:pPr>
        <w:numPr>
          <w:ilvl w:val="0"/>
          <w:numId w:val="23"/>
        </w:numPr>
        <w:autoSpaceDE w:val="0"/>
        <w:autoSpaceDN w:val="0"/>
        <w:adjustRightInd w:val="0"/>
        <w:rPr>
          <w:szCs w:val="22"/>
        </w:rPr>
      </w:pPr>
      <w:r>
        <w:rPr>
          <w:szCs w:val="22"/>
        </w:rPr>
        <w:t xml:space="preserve">Articles of incorporation and bylaws; </w:t>
      </w:r>
    </w:p>
    <w:p w:rsidR="00730029" w:rsidRDefault="00730029">
      <w:pPr>
        <w:numPr>
          <w:ilvl w:val="0"/>
          <w:numId w:val="23"/>
        </w:numPr>
        <w:autoSpaceDE w:val="0"/>
        <w:autoSpaceDN w:val="0"/>
        <w:adjustRightInd w:val="0"/>
        <w:rPr>
          <w:szCs w:val="22"/>
        </w:rPr>
      </w:pPr>
      <w:r>
        <w:rPr>
          <w:szCs w:val="22"/>
        </w:rPr>
        <w:t xml:space="preserve">Shareholder agreements; </w:t>
      </w:r>
    </w:p>
    <w:p w:rsidR="00730029" w:rsidRDefault="00730029">
      <w:pPr>
        <w:numPr>
          <w:ilvl w:val="0"/>
          <w:numId w:val="23"/>
        </w:numPr>
        <w:autoSpaceDE w:val="0"/>
        <w:autoSpaceDN w:val="0"/>
        <w:adjustRightInd w:val="0"/>
        <w:rPr>
          <w:szCs w:val="22"/>
        </w:rPr>
      </w:pPr>
      <w:r>
        <w:rPr>
          <w:szCs w:val="22"/>
        </w:rPr>
        <w:t xml:space="preserve">Voting or other trust agreements; </w:t>
      </w:r>
    </w:p>
    <w:p w:rsidR="00730029" w:rsidRDefault="00730029">
      <w:pPr>
        <w:numPr>
          <w:ilvl w:val="0"/>
          <w:numId w:val="23"/>
        </w:numPr>
        <w:autoSpaceDE w:val="0"/>
        <w:autoSpaceDN w:val="0"/>
        <w:adjustRightInd w:val="0"/>
        <w:rPr>
          <w:szCs w:val="22"/>
        </w:rPr>
      </w:pPr>
      <w:r>
        <w:rPr>
          <w:szCs w:val="22"/>
        </w:rPr>
        <w:t xml:space="preserve">Partnership or </w:t>
      </w:r>
      <w:r w:rsidR="00A268FE">
        <w:rPr>
          <w:szCs w:val="22"/>
        </w:rPr>
        <w:t>Limited Liability Company (</w:t>
      </w:r>
      <w:r>
        <w:rPr>
          <w:szCs w:val="22"/>
        </w:rPr>
        <w:t>LLC</w:t>
      </w:r>
      <w:r w:rsidR="00A268FE">
        <w:rPr>
          <w:szCs w:val="22"/>
        </w:rPr>
        <w:t>)</w:t>
      </w:r>
      <w:r>
        <w:rPr>
          <w:szCs w:val="22"/>
        </w:rPr>
        <w:t xml:space="preserve"> agreements; </w:t>
      </w:r>
    </w:p>
    <w:p w:rsidR="00730029" w:rsidRDefault="00730029">
      <w:pPr>
        <w:numPr>
          <w:ilvl w:val="0"/>
          <w:numId w:val="23"/>
        </w:numPr>
        <w:autoSpaceDE w:val="0"/>
        <w:autoSpaceDN w:val="0"/>
        <w:adjustRightInd w:val="0"/>
        <w:rPr>
          <w:szCs w:val="22"/>
        </w:rPr>
      </w:pPr>
      <w:r>
        <w:rPr>
          <w:szCs w:val="22"/>
        </w:rPr>
        <w:t xml:space="preserve">Management agreements; </w:t>
      </w:r>
    </w:p>
    <w:p w:rsidR="00730029" w:rsidRDefault="00730029">
      <w:pPr>
        <w:numPr>
          <w:ilvl w:val="0"/>
          <w:numId w:val="23"/>
        </w:numPr>
        <w:autoSpaceDE w:val="0"/>
        <w:autoSpaceDN w:val="0"/>
        <w:adjustRightInd w:val="0"/>
        <w:rPr>
          <w:szCs w:val="22"/>
        </w:rPr>
      </w:pPr>
      <w:r>
        <w:rPr>
          <w:szCs w:val="22"/>
        </w:rPr>
        <w:t xml:space="preserve">Joint marketing agreements; </w:t>
      </w:r>
    </w:p>
    <w:p w:rsidR="00730029" w:rsidRDefault="00730029">
      <w:pPr>
        <w:numPr>
          <w:ilvl w:val="0"/>
          <w:numId w:val="23"/>
        </w:numPr>
        <w:autoSpaceDE w:val="0"/>
        <w:autoSpaceDN w:val="0"/>
        <w:adjustRightInd w:val="0"/>
        <w:rPr>
          <w:szCs w:val="22"/>
        </w:rPr>
      </w:pPr>
      <w:r>
        <w:rPr>
          <w:szCs w:val="22"/>
        </w:rPr>
        <w:t xml:space="preserve">Franchise agreements; </w:t>
      </w:r>
    </w:p>
    <w:p w:rsidR="00730029" w:rsidRDefault="00730029">
      <w:pPr>
        <w:numPr>
          <w:ilvl w:val="0"/>
          <w:numId w:val="23"/>
        </w:numPr>
        <w:autoSpaceDE w:val="0"/>
        <w:autoSpaceDN w:val="0"/>
        <w:adjustRightInd w:val="0"/>
        <w:rPr>
          <w:szCs w:val="22"/>
        </w:rPr>
      </w:pPr>
      <w:r>
        <w:rPr>
          <w:szCs w:val="22"/>
        </w:rPr>
        <w:t xml:space="preserve">Lease and resale/wholesale agreements; and </w:t>
      </w:r>
    </w:p>
    <w:p w:rsidR="00730029" w:rsidRDefault="00730029">
      <w:pPr>
        <w:numPr>
          <w:ilvl w:val="0"/>
          <w:numId w:val="23"/>
        </w:numPr>
        <w:autoSpaceDE w:val="0"/>
        <w:autoSpaceDN w:val="0"/>
        <w:adjustRightInd w:val="0"/>
        <w:rPr>
          <w:szCs w:val="22"/>
        </w:rPr>
      </w:pPr>
      <w:r>
        <w:rPr>
          <w:szCs w:val="22"/>
        </w:rPr>
        <w:t xml:space="preserve">Any other relevant agreements (including letters of intent), oral or written.  </w:t>
      </w:r>
    </w:p>
    <w:p w:rsidR="00730029" w:rsidRDefault="00730029">
      <w:pPr>
        <w:autoSpaceDE w:val="0"/>
        <w:autoSpaceDN w:val="0"/>
        <w:adjustRightInd w:val="0"/>
        <w:rPr>
          <w:szCs w:val="22"/>
        </w:rPr>
      </w:pPr>
    </w:p>
    <w:p w:rsidR="00730029" w:rsidRDefault="00730029">
      <w:pPr>
        <w:autoSpaceDE w:val="0"/>
        <w:autoSpaceDN w:val="0"/>
        <w:adjustRightInd w:val="0"/>
        <w:rPr>
          <w:szCs w:val="22"/>
        </w:rPr>
      </w:pPr>
      <w:r>
        <w:rPr>
          <w:szCs w:val="22"/>
        </w:rPr>
        <w:t>Applicants must upload the information in a file, select Attachment Type “Other” and enter “</w:t>
      </w:r>
      <w:r>
        <w:rPr>
          <w:b/>
          <w:szCs w:val="22"/>
        </w:rPr>
        <w:t>Exhibit D: Agreements &amp; Other Instruments</w:t>
      </w:r>
      <w:r>
        <w:rPr>
          <w:szCs w:val="22"/>
        </w:rPr>
        <w:t xml:space="preserve">” in the </w:t>
      </w:r>
      <w:r w:rsidR="006D039F">
        <w:rPr>
          <w:szCs w:val="22"/>
        </w:rPr>
        <w:t>“</w:t>
      </w:r>
      <w:r>
        <w:rPr>
          <w:szCs w:val="22"/>
        </w:rPr>
        <w:t>Description</w:t>
      </w:r>
      <w:r w:rsidR="006D039F">
        <w:rPr>
          <w:szCs w:val="22"/>
        </w:rPr>
        <w:t>”</w:t>
      </w:r>
      <w:r>
        <w:rPr>
          <w:szCs w:val="22"/>
        </w:rPr>
        <w:t xml:space="preserve"> field on the </w:t>
      </w:r>
      <w:r w:rsidR="00FB272F">
        <w:rPr>
          <w:szCs w:val="22"/>
        </w:rPr>
        <w:t>“</w:t>
      </w:r>
      <w:r>
        <w:rPr>
          <w:szCs w:val="22"/>
        </w:rPr>
        <w:t>Attachments</w:t>
      </w:r>
      <w:r w:rsidR="00FB272F">
        <w:rPr>
          <w:szCs w:val="22"/>
        </w:rPr>
        <w:t>”</w:t>
      </w:r>
      <w:r>
        <w:rPr>
          <w:szCs w:val="22"/>
        </w:rPr>
        <w:t xml:space="preserve"> page.  Copies of agreements required by </w:t>
      </w:r>
      <w:r w:rsidR="00F108B5">
        <w:rPr>
          <w:szCs w:val="22"/>
        </w:rPr>
        <w:t>s</w:t>
      </w:r>
      <w:r>
        <w:rPr>
          <w:szCs w:val="22"/>
        </w:rPr>
        <w:t>ection 1.2110(j) of the Commission’s rules must be included in Exhibit D.</w:t>
      </w:r>
      <w:r>
        <w:rPr>
          <w:rStyle w:val="FootnoteReference"/>
          <w:szCs w:val="22"/>
        </w:rPr>
        <w:footnoteReference w:id="54"/>
      </w:r>
      <w:r>
        <w:rPr>
          <w:szCs w:val="22"/>
        </w:rPr>
        <w:t xml:space="preserve">  A</w:t>
      </w:r>
      <w:r w:rsidR="00E0667A">
        <w:rPr>
          <w:szCs w:val="22"/>
        </w:rPr>
        <w:t>ny a</w:t>
      </w:r>
      <w:r>
        <w:rPr>
          <w:szCs w:val="22"/>
        </w:rPr>
        <w:t>pplicant with a significant number of reportable agreements or significantly lengthy agreements can elect to submit a separate Exhibit D attachment for the summary of agreements and for each agreement itself.  For those applicants with significant upload requirements, submitting separate agreements would ease the electronic filing process on ULS.  For example, an applicant can submit one attachment for the list and summary of agreements and upload it with the caption “Exhibit D: List and Summary of Agreements” and then submit an attachment for each agreement</w:t>
      </w:r>
      <w:r w:rsidRPr="00F108B5">
        <w:rPr>
          <w:szCs w:val="22"/>
        </w:rPr>
        <w:t>, e.g.,</w:t>
      </w:r>
      <w:r>
        <w:rPr>
          <w:szCs w:val="22"/>
        </w:rPr>
        <w:t xml:space="preserve"> “Exhibit D: LLC Agreement,” “Exhibit D: Lease Agreement.”  Applicants may elect to seek confidentiality for the agreements pursuant to </w:t>
      </w:r>
      <w:r w:rsidR="00E0667A">
        <w:rPr>
          <w:szCs w:val="22"/>
        </w:rPr>
        <w:t>s</w:t>
      </w:r>
      <w:r>
        <w:rPr>
          <w:szCs w:val="22"/>
        </w:rPr>
        <w:t>ection 0.459 of the Commission’s rules.</w:t>
      </w:r>
      <w:r w:rsidR="00F108B5">
        <w:rPr>
          <w:rStyle w:val="FootnoteReference"/>
          <w:szCs w:val="22"/>
        </w:rPr>
        <w:footnoteReference w:id="55"/>
      </w:r>
    </w:p>
    <w:p w:rsidR="00730029" w:rsidRDefault="00730029">
      <w:pPr>
        <w:tabs>
          <w:tab w:val="left" w:pos="0"/>
          <w:tab w:val="left" w:pos="360"/>
          <w:tab w:val="left" w:pos="720"/>
        </w:tabs>
        <w:suppressAutoHyphens/>
        <w:rPr>
          <w:szCs w:val="22"/>
        </w:rPr>
      </w:pPr>
    </w:p>
    <w:p w:rsidR="00730029" w:rsidRDefault="00730029">
      <w:pPr>
        <w:pStyle w:val="Heading3"/>
        <w:numPr>
          <w:ilvl w:val="0"/>
          <w:numId w:val="0"/>
        </w:numPr>
        <w:jc w:val="left"/>
        <w:rPr>
          <w:smallCaps/>
          <w:szCs w:val="22"/>
        </w:rPr>
      </w:pPr>
      <w:r>
        <w:rPr>
          <w:smallCaps/>
          <w:szCs w:val="22"/>
        </w:rPr>
        <w:t>EXHIBIT E: CONFIDENTIALITY REQUESTS</w:t>
      </w:r>
    </w:p>
    <w:p w:rsidR="00730029" w:rsidRDefault="00730029">
      <w:pPr>
        <w:tabs>
          <w:tab w:val="left" w:pos="0"/>
          <w:tab w:val="left" w:pos="360"/>
          <w:tab w:val="left" w:pos="720"/>
        </w:tabs>
        <w:suppressAutoHyphens/>
        <w:rPr>
          <w:szCs w:val="22"/>
        </w:rPr>
      </w:pPr>
      <w:r>
        <w:rPr>
          <w:szCs w:val="22"/>
        </w:rPr>
        <w:t>A</w:t>
      </w:r>
      <w:r w:rsidR="00E0667A">
        <w:rPr>
          <w:szCs w:val="22"/>
        </w:rPr>
        <w:t>ll a</w:t>
      </w:r>
      <w:r>
        <w:rPr>
          <w:szCs w:val="22"/>
        </w:rPr>
        <w:t xml:space="preserve">pplicants should be aware that all information required by the Commission’s rules is necessary to determine </w:t>
      </w:r>
      <w:r w:rsidR="00E0667A">
        <w:rPr>
          <w:szCs w:val="22"/>
        </w:rPr>
        <w:t>each</w:t>
      </w:r>
      <w:r>
        <w:rPr>
          <w:szCs w:val="22"/>
        </w:rPr>
        <w:t xml:space="preserve"> applicant</w:t>
      </w:r>
      <w:r w:rsidR="0031336D">
        <w:rPr>
          <w:szCs w:val="22"/>
        </w:rPr>
        <w:t>’</w:t>
      </w:r>
      <w:r>
        <w:rPr>
          <w:szCs w:val="22"/>
        </w:rPr>
        <w:t xml:space="preserve">s qualifications to be a Commission licensee and, as such, will be available for public inspection.  Information that is commercial, financial, privileged, or that contains a trade secret may be redacted, and confidentiality may be sought pursuant to </w:t>
      </w:r>
      <w:r w:rsidR="00E0667A">
        <w:rPr>
          <w:szCs w:val="22"/>
        </w:rPr>
        <w:t>s</w:t>
      </w:r>
      <w:r>
        <w:rPr>
          <w:szCs w:val="22"/>
        </w:rPr>
        <w:t>ection 0.459 of the Commission’s rules.</w:t>
      </w:r>
      <w:r w:rsidR="00E0667A">
        <w:rPr>
          <w:rStyle w:val="FootnoteReference"/>
          <w:szCs w:val="22"/>
        </w:rPr>
        <w:footnoteReference w:id="56"/>
      </w:r>
      <w:r>
        <w:rPr>
          <w:szCs w:val="22"/>
        </w:rPr>
        <w:t xml:space="preserve">  A</w:t>
      </w:r>
      <w:r w:rsidR="00E0667A">
        <w:rPr>
          <w:szCs w:val="22"/>
        </w:rPr>
        <w:t>n a</w:t>
      </w:r>
      <w:r>
        <w:rPr>
          <w:szCs w:val="22"/>
        </w:rPr>
        <w:t xml:space="preserve">pplicant requesting confidential treatment for any information required as a condition to participate in the auction must follow the procedures set out in </w:t>
      </w:r>
      <w:r w:rsidR="00E0667A">
        <w:rPr>
          <w:szCs w:val="22"/>
        </w:rPr>
        <w:t>s</w:t>
      </w:r>
      <w:r>
        <w:rPr>
          <w:szCs w:val="22"/>
        </w:rPr>
        <w:t>ection 0.459 of the Commission’s rules.  Because the required information bears on an applicant’s qualifications, the Commission envisions that confidentiality requests will not be granted routinely.</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szCs w:val="22"/>
        </w:rPr>
        <w:t xml:space="preserve">If an applicant has sought confidential treatment of any information, it must attach a statement explaining the request and referencing the particular information for which confidential treatment has been requested.  To provide this information, </w:t>
      </w:r>
      <w:r w:rsidR="00E0667A">
        <w:rPr>
          <w:szCs w:val="22"/>
        </w:rPr>
        <w:t xml:space="preserve">the </w:t>
      </w:r>
      <w:r>
        <w:rPr>
          <w:szCs w:val="22"/>
        </w:rPr>
        <w:t>applicant should upload this statement as a file, select Attachment Type “</w:t>
      </w:r>
      <w:r w:rsidR="00E37138">
        <w:rPr>
          <w:szCs w:val="22"/>
        </w:rPr>
        <w:t>Other</w:t>
      </w:r>
      <w:r>
        <w:rPr>
          <w:szCs w:val="22"/>
        </w:rPr>
        <w:t>” and enter “</w:t>
      </w:r>
      <w:r>
        <w:rPr>
          <w:b/>
          <w:szCs w:val="22"/>
        </w:rPr>
        <w:t>Exhibit E: Confidentiality Requests</w:t>
      </w:r>
      <w:r>
        <w:rPr>
          <w:szCs w:val="22"/>
        </w:rPr>
        <w:t xml:space="preserve">” in the </w:t>
      </w:r>
      <w:r w:rsidR="006D039F">
        <w:rPr>
          <w:szCs w:val="22"/>
        </w:rPr>
        <w:t>“</w:t>
      </w:r>
      <w:r>
        <w:rPr>
          <w:szCs w:val="22"/>
        </w:rPr>
        <w:t>Description</w:t>
      </w:r>
      <w:r w:rsidR="006D039F">
        <w:rPr>
          <w:szCs w:val="22"/>
        </w:rPr>
        <w:t>”</w:t>
      </w:r>
      <w:r>
        <w:rPr>
          <w:szCs w:val="22"/>
        </w:rPr>
        <w:t xml:space="preserve"> field on the </w:t>
      </w:r>
      <w:r w:rsidR="00FB272F">
        <w:rPr>
          <w:szCs w:val="22"/>
        </w:rPr>
        <w:t>“</w:t>
      </w:r>
      <w:r>
        <w:rPr>
          <w:szCs w:val="22"/>
        </w:rPr>
        <w:t>Attachments</w:t>
      </w:r>
      <w:r w:rsidR="00FB272F">
        <w:rPr>
          <w:szCs w:val="22"/>
        </w:rPr>
        <w:t>”</w:t>
      </w:r>
      <w:r>
        <w:rPr>
          <w:szCs w:val="22"/>
        </w:rPr>
        <w:t xml:space="preserve"> page.  </w:t>
      </w:r>
    </w:p>
    <w:p w:rsidR="00730029" w:rsidRDefault="00730029" w:rsidP="004670DB">
      <w:pPr>
        <w:tabs>
          <w:tab w:val="left" w:pos="0"/>
          <w:tab w:val="left" w:pos="360"/>
          <w:tab w:val="left" w:pos="720"/>
        </w:tabs>
        <w:suppressAutoHyphens/>
        <w:rPr>
          <w:szCs w:val="22"/>
        </w:rPr>
      </w:pPr>
    </w:p>
    <w:p w:rsidR="00730029" w:rsidRPr="004670DB" w:rsidRDefault="00730029" w:rsidP="004670DB">
      <w:pPr>
        <w:tabs>
          <w:tab w:val="left" w:pos="0"/>
          <w:tab w:val="left" w:pos="360"/>
          <w:tab w:val="left" w:pos="720"/>
        </w:tabs>
        <w:suppressAutoHyphens/>
        <w:rPr>
          <w:b/>
          <w:szCs w:val="22"/>
        </w:rPr>
      </w:pPr>
      <w:r w:rsidRPr="004670DB">
        <w:rPr>
          <w:b/>
          <w:szCs w:val="22"/>
        </w:rPr>
        <w:t>Note:  A</w:t>
      </w:r>
      <w:r w:rsidR="00E0667A">
        <w:rPr>
          <w:b/>
          <w:szCs w:val="22"/>
        </w:rPr>
        <w:t>n a</w:t>
      </w:r>
      <w:r w:rsidRPr="004670DB">
        <w:rPr>
          <w:b/>
          <w:szCs w:val="22"/>
        </w:rPr>
        <w:t xml:space="preserve">pplicant must select Attachment Type “Confidentiality” for the particular exhibit for which </w:t>
      </w:r>
      <w:r w:rsidR="00E0667A">
        <w:rPr>
          <w:b/>
          <w:szCs w:val="22"/>
        </w:rPr>
        <w:t>it is</w:t>
      </w:r>
      <w:r w:rsidRPr="004670DB">
        <w:rPr>
          <w:b/>
          <w:szCs w:val="22"/>
        </w:rPr>
        <w:t xml:space="preserve"> requesting confidential treatment.  Otherwise, the attachment will be available for public inspection.</w:t>
      </w:r>
    </w:p>
    <w:p w:rsidR="00730029" w:rsidRDefault="00730029">
      <w:pPr>
        <w:rPr>
          <w:szCs w:val="22"/>
        </w:rPr>
      </w:pPr>
    </w:p>
    <w:p w:rsidR="00730029" w:rsidRDefault="00730029">
      <w:pPr>
        <w:pStyle w:val="Heading3"/>
        <w:keepLines/>
        <w:numPr>
          <w:ilvl w:val="0"/>
          <w:numId w:val="0"/>
        </w:numPr>
        <w:jc w:val="left"/>
        <w:rPr>
          <w:szCs w:val="22"/>
        </w:rPr>
      </w:pPr>
      <w:r>
        <w:rPr>
          <w:szCs w:val="22"/>
        </w:rPr>
        <w:t>EXHIBIT F: WAIVER REQUESTS</w:t>
      </w:r>
    </w:p>
    <w:p w:rsidR="00730029" w:rsidRDefault="00730029">
      <w:pPr>
        <w:keepNext/>
        <w:keepLines/>
        <w:tabs>
          <w:tab w:val="left" w:pos="0"/>
          <w:tab w:val="left" w:pos="360"/>
          <w:tab w:val="left" w:pos="720"/>
        </w:tabs>
        <w:suppressAutoHyphens/>
        <w:outlineLvl w:val="0"/>
        <w:rPr>
          <w:szCs w:val="22"/>
        </w:rPr>
      </w:pPr>
      <w:r>
        <w:rPr>
          <w:b/>
          <w:szCs w:val="22"/>
        </w:rPr>
        <w:t xml:space="preserve">Note:  This </w:t>
      </w:r>
      <w:r w:rsidR="00D00C0C">
        <w:rPr>
          <w:b/>
          <w:szCs w:val="22"/>
        </w:rPr>
        <w:t>Section</w:t>
      </w:r>
      <w:r>
        <w:rPr>
          <w:b/>
          <w:szCs w:val="22"/>
        </w:rPr>
        <w:t xml:space="preserve"> does not apply to tribal lands </w:t>
      </w:r>
      <w:r w:rsidR="001F50E3">
        <w:rPr>
          <w:b/>
          <w:szCs w:val="22"/>
        </w:rPr>
        <w:t xml:space="preserve">bidding credit </w:t>
      </w:r>
      <w:r>
        <w:rPr>
          <w:b/>
          <w:szCs w:val="22"/>
        </w:rPr>
        <w:t>waiver requests.  For tribal lands bidding credit waiver requests,</w:t>
      </w:r>
      <w:r>
        <w:rPr>
          <w:b/>
          <w:i/>
          <w:szCs w:val="22"/>
        </w:rPr>
        <w:t xml:space="preserve"> </w:t>
      </w:r>
      <w:r w:rsidRPr="00CF56C8">
        <w:rPr>
          <w:b/>
          <w:szCs w:val="22"/>
        </w:rPr>
        <w:t>see</w:t>
      </w:r>
      <w:r w:rsidRPr="002525A5">
        <w:rPr>
          <w:b/>
          <w:i/>
          <w:szCs w:val="22"/>
        </w:rPr>
        <w:t xml:space="preserve"> </w:t>
      </w:r>
      <w:r w:rsidRPr="006A2B4C">
        <w:rPr>
          <w:b/>
          <w:szCs w:val="22"/>
        </w:rPr>
        <w:t>Section IV</w:t>
      </w:r>
      <w:r w:rsidRPr="002525A5">
        <w:rPr>
          <w:b/>
          <w:szCs w:val="22"/>
        </w:rPr>
        <w:t>, “Ex</w:t>
      </w:r>
      <w:r w:rsidRPr="002B0640">
        <w:rPr>
          <w:b/>
          <w:szCs w:val="22"/>
        </w:rPr>
        <w:t>hibit</w:t>
      </w:r>
      <w:r>
        <w:rPr>
          <w:b/>
          <w:szCs w:val="22"/>
        </w:rPr>
        <w:t xml:space="preserve"> X: Tribal Lands Bidding Credit Waiver Requests.” </w:t>
      </w:r>
    </w:p>
    <w:p w:rsidR="00730029" w:rsidRDefault="00730029"/>
    <w:p w:rsidR="00730029" w:rsidRDefault="00730029">
      <w:pPr>
        <w:tabs>
          <w:tab w:val="left" w:pos="0"/>
          <w:tab w:val="left" w:pos="360"/>
          <w:tab w:val="left" w:pos="720"/>
        </w:tabs>
        <w:suppressAutoHyphens/>
        <w:rPr>
          <w:szCs w:val="22"/>
        </w:rPr>
      </w:pPr>
      <w:r>
        <w:rPr>
          <w:szCs w:val="22"/>
        </w:rPr>
        <w:t>In the event an applicant wishes to file a request for waiver of a Commission rule,</w:t>
      </w:r>
      <w:r w:rsidR="00E0667A">
        <w:rPr>
          <w:rStyle w:val="FootnoteReference"/>
          <w:szCs w:val="22"/>
        </w:rPr>
        <w:footnoteReference w:id="57"/>
      </w:r>
      <w:r>
        <w:rPr>
          <w:szCs w:val="22"/>
        </w:rPr>
        <w:t xml:space="preserve"> the request should be filed with the corresponding application.  </w:t>
      </w:r>
      <w:r w:rsidR="00E0667A">
        <w:rPr>
          <w:szCs w:val="22"/>
        </w:rPr>
        <w:t>The a</w:t>
      </w:r>
      <w:r>
        <w:rPr>
          <w:szCs w:val="22"/>
        </w:rPr>
        <w:t xml:space="preserve">pplicant should upload </w:t>
      </w:r>
      <w:r w:rsidR="00E0667A">
        <w:rPr>
          <w:szCs w:val="22"/>
        </w:rPr>
        <w:t>its</w:t>
      </w:r>
      <w:r>
        <w:rPr>
          <w:szCs w:val="22"/>
        </w:rPr>
        <w:t xml:space="preserve"> waiver request as a file, select Attachment Type “Waiver” and enter “</w:t>
      </w:r>
      <w:r>
        <w:rPr>
          <w:b/>
          <w:szCs w:val="22"/>
        </w:rPr>
        <w:t>Exhibit F: Waiver Requests</w:t>
      </w:r>
      <w:r>
        <w:rPr>
          <w:szCs w:val="22"/>
        </w:rPr>
        <w:t xml:space="preserve">” in the </w:t>
      </w:r>
      <w:r w:rsidR="006D039F">
        <w:rPr>
          <w:szCs w:val="22"/>
        </w:rPr>
        <w:t>“</w:t>
      </w:r>
      <w:r>
        <w:rPr>
          <w:szCs w:val="22"/>
        </w:rPr>
        <w:t>Description</w:t>
      </w:r>
      <w:r w:rsidR="006D039F">
        <w:rPr>
          <w:szCs w:val="22"/>
        </w:rPr>
        <w:t>”</w:t>
      </w:r>
      <w:r>
        <w:rPr>
          <w:szCs w:val="22"/>
        </w:rPr>
        <w:t xml:space="preserve"> field on the </w:t>
      </w:r>
      <w:r w:rsidR="00FB272F">
        <w:rPr>
          <w:szCs w:val="22"/>
        </w:rPr>
        <w:t>“</w:t>
      </w:r>
      <w:r>
        <w:rPr>
          <w:szCs w:val="22"/>
        </w:rPr>
        <w:t>Attachments</w:t>
      </w:r>
      <w:r w:rsidR="00FB272F">
        <w:rPr>
          <w:szCs w:val="22"/>
        </w:rPr>
        <w:t>”</w:t>
      </w:r>
      <w:r>
        <w:rPr>
          <w:szCs w:val="22"/>
        </w:rPr>
        <w:t xml:space="preserve"> page. </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szCs w:val="22"/>
        </w:rPr>
        <w:t>Waiver requests filed after the submission of the FCC Form 601 may result in a delay of the processing of the application.  If a request for waiver is filed separately from the FCC Form 601, such request must refer to the corresponding application, including its file number.</w:t>
      </w:r>
    </w:p>
    <w:p w:rsidR="00730029" w:rsidRDefault="00730029">
      <w:pPr>
        <w:tabs>
          <w:tab w:val="left" w:pos="0"/>
          <w:tab w:val="left" w:pos="360"/>
          <w:tab w:val="left" w:pos="720"/>
        </w:tabs>
        <w:suppressAutoHyphens/>
        <w:rPr>
          <w:szCs w:val="22"/>
        </w:rPr>
      </w:pPr>
    </w:p>
    <w:p w:rsidR="00730029" w:rsidRDefault="00730029" w:rsidP="00D06A6C">
      <w:pPr>
        <w:tabs>
          <w:tab w:val="left" w:pos="0"/>
          <w:tab w:val="left" w:pos="360"/>
          <w:tab w:val="left" w:pos="720"/>
        </w:tabs>
        <w:suppressAutoHyphens/>
        <w:spacing w:after="220"/>
        <w:rPr>
          <w:b/>
          <w:szCs w:val="22"/>
        </w:rPr>
      </w:pPr>
      <w:r>
        <w:rPr>
          <w:b/>
          <w:szCs w:val="22"/>
        </w:rPr>
        <w:t>EXHIBIT G:  MISCELLANEOUS INFORMATION</w:t>
      </w:r>
      <w:r>
        <w:rPr>
          <w:b/>
        </w:rPr>
        <w:t xml:space="preserve"> </w:t>
      </w:r>
    </w:p>
    <w:p w:rsidR="00435895" w:rsidRDefault="00730029">
      <w:pPr>
        <w:tabs>
          <w:tab w:val="left" w:pos="0"/>
          <w:tab w:val="left" w:pos="360"/>
          <w:tab w:val="left" w:pos="720"/>
        </w:tabs>
        <w:suppressAutoHyphens/>
        <w:rPr>
          <w:szCs w:val="22"/>
        </w:rPr>
      </w:pPr>
      <w:r>
        <w:rPr>
          <w:szCs w:val="22"/>
        </w:rPr>
        <w:t xml:space="preserve">In the event that a winning bidder wishes to provide any additional information that does not fall within </w:t>
      </w:r>
      <w:r w:rsidR="001F50E3">
        <w:rPr>
          <w:szCs w:val="22"/>
        </w:rPr>
        <w:t xml:space="preserve">the description of </w:t>
      </w:r>
      <w:r>
        <w:rPr>
          <w:szCs w:val="22"/>
        </w:rPr>
        <w:t>any of the other exhibits, these documents or files should be submitted by selecting Attachment Type “Other” and entering “</w:t>
      </w:r>
      <w:r>
        <w:rPr>
          <w:b/>
          <w:szCs w:val="22"/>
        </w:rPr>
        <w:t>Exhibit G: Miscellaneous Information</w:t>
      </w:r>
      <w:r>
        <w:rPr>
          <w:szCs w:val="22"/>
        </w:rPr>
        <w:t xml:space="preserve">” in the </w:t>
      </w:r>
      <w:r w:rsidR="006D039F">
        <w:rPr>
          <w:szCs w:val="22"/>
        </w:rPr>
        <w:t>“</w:t>
      </w:r>
      <w:r>
        <w:rPr>
          <w:szCs w:val="22"/>
        </w:rPr>
        <w:t>Description</w:t>
      </w:r>
      <w:r w:rsidR="006D039F">
        <w:rPr>
          <w:szCs w:val="22"/>
        </w:rPr>
        <w:t>”</w:t>
      </w:r>
      <w:r>
        <w:rPr>
          <w:szCs w:val="22"/>
        </w:rPr>
        <w:t xml:space="preserve"> field on the </w:t>
      </w:r>
      <w:r w:rsidR="00FB272F">
        <w:rPr>
          <w:szCs w:val="22"/>
        </w:rPr>
        <w:t>“</w:t>
      </w:r>
      <w:r>
        <w:rPr>
          <w:szCs w:val="22"/>
        </w:rPr>
        <w:t>Attachments</w:t>
      </w:r>
      <w:r w:rsidR="00FB272F">
        <w:rPr>
          <w:szCs w:val="22"/>
        </w:rPr>
        <w:t>”</w:t>
      </w:r>
      <w:r>
        <w:rPr>
          <w:szCs w:val="22"/>
        </w:rPr>
        <w:t xml:space="preserve"> page.</w:t>
      </w:r>
    </w:p>
    <w:p w:rsidR="00373749" w:rsidRDefault="00373749">
      <w:pPr>
        <w:tabs>
          <w:tab w:val="left" w:pos="0"/>
          <w:tab w:val="left" w:pos="360"/>
          <w:tab w:val="left" w:pos="720"/>
        </w:tabs>
        <w:suppressAutoHyphens/>
        <w:rPr>
          <w:szCs w:val="22"/>
        </w:rPr>
      </w:pPr>
    </w:p>
    <w:p w:rsidR="00730029" w:rsidRDefault="00730029">
      <w:pPr>
        <w:pStyle w:val="Heading1"/>
        <w:numPr>
          <w:ilvl w:val="0"/>
          <w:numId w:val="0"/>
        </w:numPr>
        <w:jc w:val="left"/>
        <w:rPr>
          <w:szCs w:val="22"/>
        </w:rPr>
      </w:pPr>
      <w:r>
        <w:rPr>
          <w:szCs w:val="22"/>
        </w:rPr>
        <w:t>IV.</w:t>
      </w:r>
      <w:r>
        <w:rPr>
          <w:szCs w:val="22"/>
        </w:rPr>
        <w:tab/>
        <w:t xml:space="preserve">INSTRUCTIONS FOR APPLICANTS SEEKING </w:t>
      </w:r>
      <w:r w:rsidR="00930098">
        <w:rPr>
          <w:szCs w:val="22"/>
        </w:rPr>
        <w:t xml:space="preserve">A </w:t>
      </w:r>
      <w:r>
        <w:rPr>
          <w:szCs w:val="22"/>
        </w:rPr>
        <w:t>TRIBAL LANDS BIDDING CREDIT</w:t>
      </w:r>
    </w:p>
    <w:p w:rsidR="006E1494" w:rsidRPr="006E1494" w:rsidRDefault="00730029">
      <w:pPr>
        <w:tabs>
          <w:tab w:val="left" w:pos="0"/>
          <w:tab w:val="left" w:pos="360"/>
          <w:tab w:val="left" w:pos="720"/>
        </w:tabs>
        <w:suppressAutoHyphens/>
        <w:spacing w:after="120"/>
        <w:rPr>
          <w:b/>
          <w:szCs w:val="22"/>
          <w:u w:val="single"/>
        </w:rPr>
      </w:pPr>
      <w:r w:rsidRPr="006E1494">
        <w:rPr>
          <w:b/>
          <w:szCs w:val="22"/>
          <w:u w:val="single"/>
        </w:rPr>
        <w:t>Filing the FCC Form 601</w:t>
      </w:r>
      <w:r w:rsidR="006E1494" w:rsidRPr="006E1494">
        <w:rPr>
          <w:b/>
          <w:szCs w:val="22"/>
          <w:u w:val="single"/>
        </w:rPr>
        <w:t xml:space="preserve"> When Seeking </w:t>
      </w:r>
      <w:r w:rsidR="006E0528">
        <w:rPr>
          <w:b/>
          <w:szCs w:val="22"/>
          <w:u w:val="single"/>
        </w:rPr>
        <w:t xml:space="preserve">A </w:t>
      </w:r>
      <w:r w:rsidR="006E1494" w:rsidRPr="006E1494">
        <w:rPr>
          <w:b/>
          <w:szCs w:val="22"/>
          <w:u w:val="single"/>
        </w:rPr>
        <w:t>Tribal Lands Bidding Credit</w:t>
      </w:r>
    </w:p>
    <w:p w:rsidR="00730029" w:rsidRPr="009E5DDB" w:rsidRDefault="009B35EC">
      <w:pPr>
        <w:tabs>
          <w:tab w:val="left" w:pos="0"/>
          <w:tab w:val="left" w:pos="360"/>
          <w:tab w:val="left" w:pos="720"/>
        </w:tabs>
        <w:suppressAutoHyphens/>
        <w:spacing w:after="120"/>
        <w:rPr>
          <w:szCs w:val="22"/>
        </w:rPr>
      </w:pPr>
      <w:r w:rsidRPr="00D634DE">
        <w:rPr>
          <w:szCs w:val="22"/>
        </w:rPr>
        <w:t>If a</w:t>
      </w:r>
      <w:r w:rsidR="00730029" w:rsidRPr="00D634DE">
        <w:rPr>
          <w:szCs w:val="22"/>
        </w:rPr>
        <w:t>pplicant</w:t>
      </w:r>
      <w:r w:rsidRPr="00D634DE">
        <w:rPr>
          <w:szCs w:val="22"/>
        </w:rPr>
        <w:t xml:space="preserve"> i</w:t>
      </w:r>
      <w:r w:rsidR="00730029" w:rsidRPr="00D634DE">
        <w:rPr>
          <w:szCs w:val="22"/>
        </w:rPr>
        <w:t>s interested in receiving a tribal lands bidding credit</w:t>
      </w:r>
      <w:r w:rsidRPr="00D634DE">
        <w:rPr>
          <w:szCs w:val="22"/>
        </w:rPr>
        <w:t>, it</w:t>
      </w:r>
      <w:r w:rsidR="00730029" w:rsidRPr="00D634DE">
        <w:rPr>
          <w:szCs w:val="22"/>
        </w:rPr>
        <w:t xml:space="preserve"> must apply to do so when initially filing the FCC Form 601 in ULS (</w:t>
      </w:r>
      <w:r w:rsidR="00730029" w:rsidRPr="00CF56C8">
        <w:rPr>
          <w:szCs w:val="22"/>
          <w:shd w:val="clear" w:color="auto" w:fill="FFFFFF"/>
        </w:rPr>
        <w:t>see</w:t>
      </w:r>
      <w:r w:rsidR="00730029" w:rsidRPr="009E5DDB">
        <w:rPr>
          <w:szCs w:val="22"/>
        </w:rPr>
        <w:t xml:space="preserve"> Section II, “Filing FCC Form 601”).  </w:t>
      </w:r>
    </w:p>
    <w:p w:rsidR="00730029" w:rsidRPr="009E5DDB" w:rsidRDefault="00730029">
      <w:pPr>
        <w:numPr>
          <w:ilvl w:val="0"/>
          <w:numId w:val="17"/>
        </w:numPr>
        <w:tabs>
          <w:tab w:val="left" w:pos="0"/>
          <w:tab w:val="left" w:pos="360"/>
        </w:tabs>
        <w:suppressAutoHyphens/>
        <w:spacing w:after="120"/>
        <w:rPr>
          <w:szCs w:val="22"/>
        </w:rPr>
      </w:pPr>
      <w:r w:rsidRPr="009E5DDB">
        <w:rPr>
          <w:szCs w:val="22"/>
        </w:rPr>
        <w:t xml:space="preserve">Select “Yes” on the page asking if you intend to seek a Tribal Lands Bidding Credit.  </w:t>
      </w:r>
    </w:p>
    <w:p w:rsidR="00730029" w:rsidRDefault="00730029">
      <w:pPr>
        <w:numPr>
          <w:ilvl w:val="0"/>
          <w:numId w:val="17"/>
        </w:numPr>
        <w:tabs>
          <w:tab w:val="left" w:pos="0"/>
          <w:tab w:val="left" w:pos="360"/>
        </w:tabs>
        <w:suppressAutoHyphens/>
        <w:rPr>
          <w:szCs w:val="22"/>
        </w:rPr>
      </w:pPr>
      <w:r>
        <w:rPr>
          <w:szCs w:val="22"/>
        </w:rPr>
        <w:t xml:space="preserve">On the Seek Tribal Lands Bidding Credit page, indicate </w:t>
      </w:r>
      <w:r w:rsidR="001A7549">
        <w:rPr>
          <w:szCs w:val="22"/>
        </w:rPr>
        <w:t xml:space="preserve">each channel block within </w:t>
      </w:r>
      <w:r>
        <w:rPr>
          <w:szCs w:val="22"/>
        </w:rPr>
        <w:t>each market for which credit is sought by selecting the appropriate box.</w:t>
      </w:r>
      <w:r w:rsidR="00E0667A">
        <w:rPr>
          <w:rStyle w:val="FootnoteReference"/>
          <w:szCs w:val="22"/>
        </w:rPr>
        <w:footnoteReference w:id="58"/>
      </w:r>
      <w:r>
        <w:rPr>
          <w:szCs w:val="22"/>
        </w:rPr>
        <w:t xml:space="preserve">  </w:t>
      </w:r>
    </w:p>
    <w:p w:rsidR="008853BF" w:rsidRDefault="00934737">
      <w:pPr>
        <w:numPr>
          <w:ilvl w:val="0"/>
          <w:numId w:val="17"/>
        </w:numPr>
        <w:tabs>
          <w:tab w:val="left" w:pos="0"/>
          <w:tab w:val="left" w:pos="360"/>
        </w:tabs>
        <w:suppressAutoHyphens/>
        <w:rPr>
          <w:szCs w:val="22"/>
        </w:rPr>
      </w:pPr>
      <w:r>
        <w:rPr>
          <w:b/>
          <w:szCs w:val="22"/>
        </w:rPr>
        <w:t>Eastern Navajo Agency</w:t>
      </w:r>
      <w:r w:rsidR="004405EE">
        <w:rPr>
          <w:b/>
          <w:szCs w:val="22"/>
        </w:rPr>
        <w:t xml:space="preserve"> (ENA) in</w:t>
      </w:r>
      <w:r>
        <w:rPr>
          <w:b/>
          <w:szCs w:val="22"/>
        </w:rPr>
        <w:t xml:space="preserve"> New Mexico:  </w:t>
      </w:r>
      <w:r w:rsidR="00F7337E" w:rsidRPr="00E8568C">
        <w:rPr>
          <w:szCs w:val="22"/>
        </w:rPr>
        <w:t>On November 12, 2014, the Wireless Telecommunications Bureau granted a request for waiver of section 1.2110(f)(3)(i) of the Commission</w:t>
      </w:r>
      <w:r w:rsidR="00F7337E">
        <w:rPr>
          <w:szCs w:val="22"/>
        </w:rPr>
        <w:t>’</w:t>
      </w:r>
      <w:r w:rsidR="00F7337E" w:rsidRPr="00E8568C">
        <w:rPr>
          <w:szCs w:val="22"/>
        </w:rPr>
        <w:t xml:space="preserve">s rules to treat all of the </w:t>
      </w:r>
      <w:r w:rsidR="00AB76F6">
        <w:rPr>
          <w:szCs w:val="22"/>
        </w:rPr>
        <w:t xml:space="preserve">ENA </w:t>
      </w:r>
      <w:r w:rsidR="00F7337E" w:rsidRPr="00E8568C">
        <w:rPr>
          <w:szCs w:val="22"/>
        </w:rPr>
        <w:t xml:space="preserve">in New Mexico as a federally recognized tribal land for purposes of the tribal lands bidding credits that </w:t>
      </w:r>
      <w:r w:rsidR="00DA247D">
        <w:rPr>
          <w:szCs w:val="22"/>
        </w:rPr>
        <w:t>are</w:t>
      </w:r>
      <w:r w:rsidR="00F7337E" w:rsidRPr="00E8568C">
        <w:rPr>
          <w:szCs w:val="22"/>
        </w:rPr>
        <w:t xml:space="preserve"> available to winning bidders in Auction</w:t>
      </w:r>
      <w:r w:rsidR="002D2EF3">
        <w:rPr>
          <w:szCs w:val="22"/>
        </w:rPr>
        <w:t> </w:t>
      </w:r>
      <w:r w:rsidR="00F7337E" w:rsidRPr="00E8568C">
        <w:rPr>
          <w:szCs w:val="22"/>
        </w:rPr>
        <w:t>97.</w:t>
      </w:r>
      <w:bookmarkStart w:id="2" w:name="_Ref404692035"/>
      <w:r w:rsidR="00F7337E">
        <w:rPr>
          <w:rStyle w:val="FootnoteReference"/>
          <w:szCs w:val="22"/>
        </w:rPr>
        <w:footnoteReference w:id="59"/>
      </w:r>
      <w:bookmarkEnd w:id="2"/>
      <w:r w:rsidR="00F7337E" w:rsidRPr="00E8568C">
        <w:rPr>
          <w:szCs w:val="22"/>
        </w:rPr>
        <w:t xml:space="preserve"> </w:t>
      </w:r>
      <w:r w:rsidR="00F7337E">
        <w:rPr>
          <w:szCs w:val="22"/>
        </w:rPr>
        <w:t xml:space="preserve"> </w:t>
      </w:r>
      <w:r w:rsidR="008853BF" w:rsidRPr="00B135FD">
        <w:rPr>
          <w:szCs w:val="22"/>
        </w:rPr>
        <w:t xml:space="preserve">Winning bidders in Auction 97 of licenses for </w:t>
      </w:r>
      <w:r w:rsidR="004405EE">
        <w:rPr>
          <w:szCs w:val="22"/>
        </w:rPr>
        <w:t xml:space="preserve">the following markets </w:t>
      </w:r>
      <w:r w:rsidR="008853BF" w:rsidRPr="00B135FD">
        <w:rPr>
          <w:szCs w:val="22"/>
        </w:rPr>
        <w:t>may seek a tribal lands bidding credit for licenses that include the area covered by census blocks in the ENA</w:t>
      </w:r>
      <w:r w:rsidR="00BD27F2">
        <w:rPr>
          <w:szCs w:val="22"/>
        </w:rPr>
        <w:t>:</w:t>
      </w:r>
      <w:r w:rsidR="00145DBC" w:rsidRPr="008853BF">
        <w:rPr>
          <w:szCs w:val="22"/>
        </w:rPr>
        <w:t xml:space="preserve"> </w:t>
      </w:r>
    </w:p>
    <w:p w:rsidR="008853BF" w:rsidRDefault="008853BF" w:rsidP="00DF2BAF">
      <w:pPr>
        <w:tabs>
          <w:tab w:val="left" w:pos="0"/>
          <w:tab w:val="left" w:pos="360"/>
        </w:tabs>
        <w:suppressAutoHyphens/>
        <w:ind w:left="720"/>
        <w:rPr>
          <w:szCs w:val="22"/>
        </w:rPr>
      </w:pP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Economic Area (EA) 155, Farmington NM-CO; </w:t>
      </w: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EA 156, Albuquerque NM-AZ; </w:t>
      </w: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EA 139, Santa Fe, NM; </w:t>
      </w: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Cellular Market Area (CMA) 86, Albuquerque, NM; </w:t>
      </w: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CMA 553, New Mexico 1 - San Juan; and </w:t>
      </w:r>
    </w:p>
    <w:p w:rsidR="008853BF" w:rsidRDefault="00145DBC" w:rsidP="00424C69">
      <w:pPr>
        <w:numPr>
          <w:ilvl w:val="2"/>
          <w:numId w:val="29"/>
        </w:numPr>
        <w:tabs>
          <w:tab w:val="clear" w:pos="2160"/>
          <w:tab w:val="left" w:pos="0"/>
          <w:tab w:val="left" w:pos="360"/>
        </w:tabs>
        <w:suppressAutoHyphens/>
        <w:ind w:firstLine="0"/>
        <w:rPr>
          <w:szCs w:val="22"/>
        </w:rPr>
      </w:pPr>
      <w:r w:rsidRPr="008853BF">
        <w:rPr>
          <w:szCs w:val="22"/>
        </w:rPr>
        <w:t xml:space="preserve">CMA 555, New Mexico 3 - Catron.  </w:t>
      </w:r>
    </w:p>
    <w:p w:rsidR="008853BF" w:rsidRDefault="008853BF" w:rsidP="00DF2BAF">
      <w:pPr>
        <w:tabs>
          <w:tab w:val="left" w:pos="0"/>
          <w:tab w:val="left" w:pos="360"/>
        </w:tabs>
        <w:suppressAutoHyphens/>
        <w:rPr>
          <w:szCs w:val="22"/>
        </w:rPr>
      </w:pPr>
    </w:p>
    <w:p w:rsidR="000048EE" w:rsidRDefault="008853BF" w:rsidP="00DF2BAF">
      <w:pPr>
        <w:tabs>
          <w:tab w:val="left" w:pos="0"/>
          <w:tab w:val="left" w:pos="360"/>
        </w:tabs>
        <w:suppressAutoHyphens/>
        <w:ind w:left="720"/>
        <w:rPr>
          <w:szCs w:val="22"/>
        </w:rPr>
      </w:pPr>
      <w:r>
        <w:rPr>
          <w:szCs w:val="22"/>
        </w:rPr>
        <w:t>O</w:t>
      </w:r>
      <w:r w:rsidR="002D2EF3" w:rsidRPr="008853BF">
        <w:rPr>
          <w:szCs w:val="22"/>
        </w:rPr>
        <w:t xml:space="preserve">n the Seek Tribal Lands Bidding Credit page </w:t>
      </w:r>
      <w:r w:rsidR="00BD27F2">
        <w:rPr>
          <w:szCs w:val="22"/>
        </w:rPr>
        <w:t xml:space="preserve">follow Step 2 above.  </w:t>
      </w:r>
    </w:p>
    <w:p w:rsidR="00E87791" w:rsidRDefault="001A7CB6" w:rsidP="00424C69">
      <w:pPr>
        <w:pStyle w:val="ListParagraph"/>
        <w:numPr>
          <w:ilvl w:val="0"/>
          <w:numId w:val="28"/>
        </w:numPr>
        <w:tabs>
          <w:tab w:val="left" w:pos="0"/>
          <w:tab w:val="left" w:pos="360"/>
        </w:tabs>
        <w:suppressAutoHyphens/>
        <w:rPr>
          <w:szCs w:val="22"/>
        </w:rPr>
      </w:pPr>
      <w:r w:rsidRPr="00E87791">
        <w:rPr>
          <w:szCs w:val="22"/>
        </w:rPr>
        <w:t xml:space="preserve">At the bottom of this page, </w:t>
      </w:r>
      <w:r w:rsidR="005B7973" w:rsidRPr="00E87791">
        <w:rPr>
          <w:szCs w:val="22"/>
        </w:rPr>
        <w:t>also select</w:t>
      </w:r>
      <w:r w:rsidR="00BD27F2" w:rsidRPr="00E87791">
        <w:rPr>
          <w:szCs w:val="22"/>
        </w:rPr>
        <w:t xml:space="preserve"> </w:t>
      </w:r>
      <w:r w:rsidR="00990EE2" w:rsidRPr="00E87791">
        <w:rPr>
          <w:szCs w:val="22"/>
        </w:rPr>
        <w:t>ADD</w:t>
      </w:r>
      <w:r w:rsidR="00990EE2" w:rsidRPr="00424C69">
        <w:rPr>
          <w:szCs w:val="22"/>
        </w:rPr>
        <w:t xml:space="preserve">.  This action </w:t>
      </w:r>
      <w:r w:rsidR="006614EC" w:rsidRPr="00424C69">
        <w:rPr>
          <w:szCs w:val="22"/>
        </w:rPr>
        <w:t xml:space="preserve">will bring up a </w:t>
      </w:r>
      <w:r w:rsidRPr="00424C69">
        <w:rPr>
          <w:szCs w:val="22"/>
        </w:rPr>
        <w:t xml:space="preserve">new </w:t>
      </w:r>
      <w:r w:rsidR="006614EC" w:rsidRPr="00424C69">
        <w:rPr>
          <w:szCs w:val="22"/>
        </w:rPr>
        <w:t>screen</w:t>
      </w:r>
      <w:r w:rsidRPr="00424C69">
        <w:rPr>
          <w:szCs w:val="22"/>
        </w:rPr>
        <w:t xml:space="preserve">. </w:t>
      </w:r>
    </w:p>
    <w:p w:rsidR="00012825" w:rsidRDefault="000048EE" w:rsidP="00E87791">
      <w:pPr>
        <w:pStyle w:val="ListParagraph"/>
        <w:numPr>
          <w:ilvl w:val="0"/>
          <w:numId w:val="28"/>
        </w:numPr>
        <w:tabs>
          <w:tab w:val="left" w:pos="0"/>
          <w:tab w:val="left" w:pos="360"/>
        </w:tabs>
        <w:suppressAutoHyphens/>
        <w:rPr>
          <w:szCs w:val="22"/>
        </w:rPr>
      </w:pPr>
      <w:r>
        <w:rPr>
          <w:szCs w:val="22"/>
        </w:rPr>
        <w:t>I</w:t>
      </w:r>
      <w:r w:rsidRPr="00E87791">
        <w:rPr>
          <w:szCs w:val="22"/>
        </w:rPr>
        <w:t xml:space="preserve">dentify the additional Tribal land, </w:t>
      </w:r>
      <w:r w:rsidR="00555CAC" w:rsidRPr="00424C69">
        <w:rPr>
          <w:szCs w:val="22"/>
        </w:rPr>
        <w:t>e.g., “</w:t>
      </w:r>
      <w:r w:rsidR="007038E8">
        <w:rPr>
          <w:szCs w:val="22"/>
        </w:rPr>
        <w:t>All a</w:t>
      </w:r>
      <w:r w:rsidR="00555CAC" w:rsidRPr="00424C69">
        <w:rPr>
          <w:szCs w:val="22"/>
        </w:rPr>
        <w:t xml:space="preserve">dditional ENA census blocks </w:t>
      </w:r>
      <w:r w:rsidRPr="00424C69">
        <w:rPr>
          <w:szCs w:val="22"/>
        </w:rPr>
        <w:t xml:space="preserve">in market </w:t>
      </w:r>
      <w:r w:rsidR="00555CAC" w:rsidRPr="00424C69">
        <w:rPr>
          <w:szCs w:val="22"/>
        </w:rPr>
        <w:t>mad</w:t>
      </w:r>
      <w:r w:rsidR="00012825" w:rsidRPr="00424C69">
        <w:rPr>
          <w:szCs w:val="22"/>
        </w:rPr>
        <w:t xml:space="preserve">e eligible </w:t>
      </w:r>
      <w:r w:rsidR="007038E8">
        <w:rPr>
          <w:szCs w:val="22"/>
        </w:rPr>
        <w:t xml:space="preserve">for </w:t>
      </w:r>
      <w:r w:rsidR="002345B8">
        <w:rPr>
          <w:szCs w:val="22"/>
        </w:rPr>
        <w:t>tribal lands bidding credit (</w:t>
      </w:r>
      <w:r w:rsidR="007038E8">
        <w:rPr>
          <w:szCs w:val="22"/>
        </w:rPr>
        <w:t>TLBC</w:t>
      </w:r>
      <w:r w:rsidR="002345B8">
        <w:rPr>
          <w:szCs w:val="22"/>
        </w:rPr>
        <w:t>)</w:t>
      </w:r>
      <w:r w:rsidR="007038E8">
        <w:rPr>
          <w:szCs w:val="22"/>
        </w:rPr>
        <w:t xml:space="preserve"> </w:t>
      </w:r>
      <w:r w:rsidR="00012825" w:rsidRPr="00424C69">
        <w:rPr>
          <w:szCs w:val="22"/>
        </w:rPr>
        <w:t>by Order, DA 14-1638</w:t>
      </w:r>
      <w:r w:rsidR="00012825">
        <w:rPr>
          <w:szCs w:val="22"/>
        </w:rPr>
        <w:t>.</w:t>
      </w:r>
      <w:r w:rsidR="00555CAC" w:rsidRPr="00E87791">
        <w:rPr>
          <w:szCs w:val="22"/>
        </w:rPr>
        <w:t>”</w:t>
      </w:r>
    </w:p>
    <w:p w:rsidR="00012825" w:rsidRDefault="00012825" w:rsidP="00E87791">
      <w:pPr>
        <w:pStyle w:val="ListParagraph"/>
        <w:numPr>
          <w:ilvl w:val="0"/>
          <w:numId w:val="28"/>
        </w:numPr>
        <w:tabs>
          <w:tab w:val="left" w:pos="0"/>
          <w:tab w:val="left" w:pos="360"/>
        </w:tabs>
        <w:suppressAutoHyphens/>
        <w:rPr>
          <w:szCs w:val="22"/>
        </w:rPr>
      </w:pPr>
      <w:r>
        <w:rPr>
          <w:szCs w:val="22"/>
        </w:rPr>
        <w:t xml:space="preserve">Enter the </w:t>
      </w:r>
      <w:r w:rsidR="00A716C7" w:rsidRPr="00E87791">
        <w:rPr>
          <w:szCs w:val="22"/>
        </w:rPr>
        <w:t>square kilometers of the additional area</w:t>
      </w:r>
      <w:r w:rsidR="000048EE" w:rsidRPr="00E87791">
        <w:rPr>
          <w:szCs w:val="22"/>
        </w:rPr>
        <w:t xml:space="preserve"> </w:t>
      </w:r>
      <w:r>
        <w:rPr>
          <w:szCs w:val="22"/>
        </w:rPr>
        <w:t>in the next field.  ULS will not validate t</w:t>
      </w:r>
      <w:r w:rsidR="00BF6F66">
        <w:rPr>
          <w:szCs w:val="22"/>
        </w:rPr>
        <w:t xml:space="preserve">he area </w:t>
      </w:r>
      <w:r w:rsidR="00C60617">
        <w:rPr>
          <w:szCs w:val="22"/>
        </w:rPr>
        <w:t xml:space="preserve">entered </w:t>
      </w:r>
      <w:r w:rsidR="00A90966">
        <w:rPr>
          <w:szCs w:val="22"/>
        </w:rPr>
        <w:t>interactively</w:t>
      </w:r>
      <w:r>
        <w:rPr>
          <w:szCs w:val="22"/>
        </w:rPr>
        <w:t>.</w:t>
      </w:r>
      <w:r w:rsidR="00A90966">
        <w:rPr>
          <w:szCs w:val="22"/>
        </w:rPr>
        <w:t xml:space="preserve">  </w:t>
      </w:r>
      <w:r w:rsidR="00644E41">
        <w:rPr>
          <w:szCs w:val="22"/>
        </w:rPr>
        <w:t>FCC staff will review</w:t>
      </w:r>
      <w:r w:rsidR="00E87791">
        <w:rPr>
          <w:szCs w:val="22"/>
        </w:rPr>
        <w:t xml:space="preserve">.  </w:t>
      </w:r>
    </w:p>
    <w:p w:rsidR="0043150A" w:rsidRPr="00424C69" w:rsidRDefault="00356DDF" w:rsidP="00E87791">
      <w:pPr>
        <w:pStyle w:val="ListParagraph"/>
        <w:numPr>
          <w:ilvl w:val="0"/>
          <w:numId w:val="28"/>
        </w:numPr>
        <w:tabs>
          <w:tab w:val="left" w:pos="0"/>
          <w:tab w:val="left" w:pos="360"/>
        </w:tabs>
        <w:suppressAutoHyphens/>
        <w:rPr>
          <w:szCs w:val="22"/>
        </w:rPr>
      </w:pPr>
      <w:r w:rsidRPr="00E87791">
        <w:rPr>
          <w:szCs w:val="22"/>
        </w:rPr>
        <w:t>ULS will calculate</w:t>
      </w:r>
      <w:r w:rsidR="00A90966">
        <w:rPr>
          <w:szCs w:val="22"/>
        </w:rPr>
        <w:t xml:space="preserve"> </w:t>
      </w:r>
      <w:r w:rsidRPr="00E87791">
        <w:rPr>
          <w:szCs w:val="22"/>
        </w:rPr>
        <w:t xml:space="preserve">the amount of the bidding credit based on the square kilometers </w:t>
      </w:r>
      <w:r w:rsidR="00012825">
        <w:rPr>
          <w:szCs w:val="22"/>
        </w:rPr>
        <w:t>claimed.</w:t>
      </w:r>
      <w:r w:rsidR="00644E41">
        <w:rPr>
          <w:szCs w:val="22"/>
        </w:rPr>
        <w:t xml:space="preserve">  FCC staff will review</w:t>
      </w:r>
      <w:r w:rsidR="00E87791">
        <w:rPr>
          <w:szCs w:val="22"/>
        </w:rPr>
        <w:t xml:space="preserve">.  If corrections are necessary, the amount of the credit will be revised accordingly.  </w:t>
      </w:r>
    </w:p>
    <w:p w:rsidR="0043150A" w:rsidRDefault="0043150A">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t>All winning bidders, including those winning bidders that apply for a tribal lands bidding credit, must pay the full amount of the Final Balance Due shown in Attachment B by the</w:t>
      </w:r>
      <w:r w:rsidR="002A08D0">
        <w:t xml:space="preserve"> </w:t>
      </w:r>
      <w:r>
        <w:t xml:space="preserve">6:00 p.m. </w:t>
      </w:r>
      <w:r w:rsidRPr="002525A5">
        <w:t>ET</w:t>
      </w:r>
      <w:r w:rsidR="00C61A34">
        <w:t xml:space="preserve"> </w:t>
      </w:r>
      <w:r w:rsidR="00C61A34" w:rsidRPr="00C61A34">
        <w:rPr>
          <w:b/>
        </w:rPr>
        <w:t>March 2, 2015</w:t>
      </w:r>
      <w:r w:rsidR="002A08D0">
        <w:rPr>
          <w:b/>
        </w:rPr>
        <w:t>,</w:t>
      </w:r>
      <w:r w:rsidRPr="006A2B4C">
        <w:t xml:space="preserve"> deadline (or no later than 6:00 p.m. ET on</w:t>
      </w:r>
      <w:r w:rsidR="00C61A34">
        <w:t xml:space="preserve"> </w:t>
      </w:r>
      <w:r w:rsidR="00C61A34" w:rsidRPr="00C61A34">
        <w:rPr>
          <w:b/>
        </w:rPr>
        <w:t>March 16, 2015</w:t>
      </w:r>
      <w:r w:rsidR="00C61A34">
        <w:rPr>
          <w:b/>
        </w:rPr>
        <w:t xml:space="preserve">, </w:t>
      </w:r>
      <w:r w:rsidRPr="002525A5">
        <w:t xml:space="preserve">along with the five percent late fee required by </w:t>
      </w:r>
      <w:r w:rsidR="00664F62" w:rsidRPr="002525A5">
        <w:t>S</w:t>
      </w:r>
      <w:r w:rsidRPr="002525A5">
        <w:t>ection 1.2109(a) of the Commission’s rules).</w:t>
      </w:r>
      <w:r w:rsidRPr="002525A5">
        <w:rPr>
          <w:rStyle w:val="FootnoteReference"/>
        </w:rPr>
        <w:footnoteReference w:id="60"/>
      </w:r>
      <w:r w:rsidRPr="002525A5">
        <w:t xml:space="preserve">  </w:t>
      </w:r>
      <w:r w:rsidRPr="002525A5">
        <w:rPr>
          <w:szCs w:val="22"/>
        </w:rPr>
        <w:t>If an applicant’s</w:t>
      </w:r>
      <w:r>
        <w:rPr>
          <w:szCs w:val="22"/>
        </w:rPr>
        <w:t xml:space="preserve"> request for a tribal lands bidding credit is approved, the Commission will contact the applicant to discuss how the tribal lands bidding credit will be applied. </w:t>
      </w:r>
      <w:r w:rsidR="00FB3FC8">
        <w:rPr>
          <w:szCs w:val="22"/>
        </w:rPr>
        <w:t xml:space="preserve"> </w:t>
      </w:r>
    </w:p>
    <w:p w:rsidR="00730029" w:rsidRDefault="00730029">
      <w:pPr>
        <w:tabs>
          <w:tab w:val="left" w:pos="0"/>
          <w:tab w:val="left" w:pos="360"/>
          <w:tab w:val="left" w:pos="720"/>
        </w:tabs>
        <w:suppressAutoHyphens/>
        <w:rPr>
          <w:szCs w:val="22"/>
        </w:rPr>
      </w:pPr>
    </w:p>
    <w:p w:rsidR="00730029" w:rsidRDefault="00730029">
      <w:pPr>
        <w:tabs>
          <w:tab w:val="left" w:pos="0"/>
          <w:tab w:val="left" w:pos="360"/>
          <w:tab w:val="left" w:pos="720"/>
        </w:tabs>
        <w:suppressAutoHyphens/>
        <w:rPr>
          <w:szCs w:val="22"/>
        </w:rPr>
      </w:pPr>
      <w:r>
        <w:rPr>
          <w:szCs w:val="22"/>
        </w:rPr>
        <w:t xml:space="preserve">For a list of the tribal lands in each geographic area, go to the Auction Website at </w:t>
      </w:r>
      <w:hyperlink r:id="rId12" w:history="1">
        <w:r>
          <w:rPr>
            <w:rStyle w:val="Hyperlink"/>
            <w:b/>
            <w:color w:val="auto"/>
            <w:szCs w:val="22"/>
          </w:rPr>
          <w:t>http://wireless.fcc.gov/auctions</w:t>
        </w:r>
      </w:hyperlink>
      <w:r>
        <w:rPr>
          <w:b/>
          <w:szCs w:val="22"/>
        </w:rPr>
        <w:t xml:space="preserve"> </w:t>
      </w:r>
      <w:r>
        <w:rPr>
          <w:szCs w:val="22"/>
        </w:rPr>
        <w:t>and click on “Tribal Lands Credits,” then click on “Cross References.”</w:t>
      </w:r>
      <w:r w:rsidR="00793A08">
        <w:rPr>
          <w:rStyle w:val="FootnoteReference"/>
          <w:szCs w:val="22"/>
        </w:rPr>
        <w:footnoteReference w:id="61"/>
      </w:r>
      <w:r>
        <w:rPr>
          <w:szCs w:val="22"/>
        </w:rPr>
        <w:t xml:space="preserve"> Additional information regarding tribal lands bidding credits is available at the above-referenced website.  For additional information on the tribal lands bidding credit, applicants should review the Commission’s rulemaking proceeding regarding tribal lands bidding credits and related public notices.</w:t>
      </w:r>
      <w:r>
        <w:rPr>
          <w:rStyle w:val="FootnoteReference"/>
          <w:szCs w:val="22"/>
        </w:rPr>
        <w:footnoteReference w:id="62"/>
      </w:r>
    </w:p>
    <w:p w:rsidR="00730029" w:rsidRDefault="00730029">
      <w:pPr>
        <w:tabs>
          <w:tab w:val="left" w:pos="0"/>
          <w:tab w:val="left" w:pos="360"/>
          <w:tab w:val="left" w:pos="720"/>
        </w:tabs>
        <w:suppressAutoHyphens/>
        <w:rPr>
          <w:szCs w:val="22"/>
        </w:rPr>
      </w:pPr>
    </w:p>
    <w:p w:rsidR="00ED371D" w:rsidRDefault="009B35EC" w:rsidP="00ED371D">
      <w:pPr>
        <w:rPr>
          <w:szCs w:val="22"/>
        </w:rPr>
      </w:pPr>
      <w:r>
        <w:rPr>
          <w:szCs w:val="22"/>
        </w:rPr>
        <w:t>An a</w:t>
      </w:r>
      <w:r w:rsidR="00730029">
        <w:rPr>
          <w:szCs w:val="22"/>
        </w:rPr>
        <w:t xml:space="preserve">pplicant </w:t>
      </w:r>
      <w:r>
        <w:rPr>
          <w:szCs w:val="22"/>
        </w:rPr>
        <w:t xml:space="preserve">that </w:t>
      </w:r>
      <w:r w:rsidR="00730029">
        <w:rPr>
          <w:szCs w:val="22"/>
        </w:rPr>
        <w:t>indicat</w:t>
      </w:r>
      <w:r>
        <w:rPr>
          <w:szCs w:val="22"/>
        </w:rPr>
        <w:t>es</w:t>
      </w:r>
      <w:r w:rsidR="00730029">
        <w:rPr>
          <w:szCs w:val="22"/>
        </w:rPr>
        <w:t xml:space="preserve"> that </w:t>
      </w:r>
      <w:r>
        <w:rPr>
          <w:szCs w:val="22"/>
        </w:rPr>
        <w:t>it</w:t>
      </w:r>
      <w:r w:rsidR="00730029">
        <w:rPr>
          <w:szCs w:val="22"/>
        </w:rPr>
        <w:t xml:space="preserve"> intend</w:t>
      </w:r>
      <w:r>
        <w:rPr>
          <w:szCs w:val="22"/>
        </w:rPr>
        <w:t>s</w:t>
      </w:r>
      <w:r w:rsidR="00730029">
        <w:rPr>
          <w:szCs w:val="22"/>
        </w:rPr>
        <w:t xml:space="preserve"> to serve a qualifying tribal land in any market(s) listed on </w:t>
      </w:r>
      <w:r>
        <w:rPr>
          <w:szCs w:val="22"/>
        </w:rPr>
        <w:t>its</w:t>
      </w:r>
      <w:r w:rsidR="00730029">
        <w:rPr>
          <w:szCs w:val="22"/>
        </w:rPr>
        <w:t xml:space="preserve"> application will have an additional 180 days after the FCC Form 601 deadline within which to secure the necessary certifications from tribal authorities.</w:t>
      </w:r>
      <w:r w:rsidR="00E0667A">
        <w:rPr>
          <w:rStyle w:val="FootnoteReference"/>
          <w:szCs w:val="22"/>
        </w:rPr>
        <w:footnoteReference w:id="63"/>
      </w:r>
      <w:r w:rsidR="00730029">
        <w:rPr>
          <w:szCs w:val="22"/>
        </w:rPr>
        <w:t xml:space="preserve">  Within this 180-day period, </w:t>
      </w:r>
      <w:r>
        <w:rPr>
          <w:szCs w:val="22"/>
        </w:rPr>
        <w:t xml:space="preserve">the </w:t>
      </w:r>
      <w:r w:rsidR="00730029">
        <w:rPr>
          <w:szCs w:val="22"/>
        </w:rPr>
        <w:t xml:space="preserve">applicant must amend </w:t>
      </w:r>
      <w:r>
        <w:rPr>
          <w:szCs w:val="22"/>
        </w:rPr>
        <w:t>its</w:t>
      </w:r>
      <w:r w:rsidR="00730029">
        <w:rPr>
          <w:szCs w:val="22"/>
        </w:rPr>
        <w:t xml:space="preserve"> FCC Form 601 to (1) select the tribal lands to be served, (2) provide the requisite tribal government certifications, and (3) certif</w:t>
      </w:r>
      <w:r w:rsidR="001F50E3">
        <w:rPr>
          <w:szCs w:val="22"/>
        </w:rPr>
        <w:t>y</w:t>
      </w:r>
      <w:r w:rsidR="00730029">
        <w:rPr>
          <w:szCs w:val="22"/>
        </w:rPr>
        <w:t xml:space="preserve"> that it will, among other things, comply with the construction requirements set forth in </w:t>
      </w:r>
      <w:r>
        <w:rPr>
          <w:szCs w:val="22"/>
        </w:rPr>
        <w:t>section</w:t>
      </w:r>
      <w:r w:rsidR="00730029">
        <w:rPr>
          <w:szCs w:val="22"/>
        </w:rPr>
        <w:t xml:space="preserve"> 1.2110(f)(3)(vii)</w:t>
      </w:r>
      <w:r>
        <w:rPr>
          <w:szCs w:val="22"/>
        </w:rPr>
        <w:t xml:space="preserve"> of the Commission’s rules</w:t>
      </w:r>
      <w:r w:rsidR="00730029">
        <w:rPr>
          <w:szCs w:val="22"/>
        </w:rPr>
        <w:t>.</w:t>
      </w:r>
      <w:r>
        <w:rPr>
          <w:rStyle w:val="FootnoteReference"/>
          <w:szCs w:val="22"/>
        </w:rPr>
        <w:footnoteReference w:id="64"/>
      </w:r>
      <w:r w:rsidR="00730029">
        <w:rPr>
          <w:szCs w:val="22"/>
        </w:rPr>
        <w:t xml:space="preserve">  An applicant may provide the certifications when initially filing the FCC Form 601</w:t>
      </w:r>
      <w:r w:rsidR="001F50E3">
        <w:rPr>
          <w:szCs w:val="22"/>
        </w:rPr>
        <w:t>,</w:t>
      </w:r>
      <w:r w:rsidR="00730029">
        <w:rPr>
          <w:szCs w:val="22"/>
        </w:rPr>
        <w:t xml:space="preserve"> or </w:t>
      </w:r>
      <w:r w:rsidR="001F50E3">
        <w:rPr>
          <w:szCs w:val="22"/>
        </w:rPr>
        <w:t xml:space="preserve">may provide them </w:t>
      </w:r>
      <w:r w:rsidR="00730029">
        <w:rPr>
          <w:szCs w:val="22"/>
        </w:rPr>
        <w:t xml:space="preserve">after the filing window </w:t>
      </w:r>
      <w:r w:rsidR="00892BB7">
        <w:rPr>
          <w:szCs w:val="22"/>
        </w:rPr>
        <w:t xml:space="preserve">by </w:t>
      </w:r>
      <w:r w:rsidR="00730029">
        <w:rPr>
          <w:szCs w:val="22"/>
        </w:rPr>
        <w:t>re-enter</w:t>
      </w:r>
      <w:r w:rsidR="00892BB7">
        <w:rPr>
          <w:szCs w:val="22"/>
        </w:rPr>
        <w:t>ing</w:t>
      </w:r>
      <w:r w:rsidR="00730029">
        <w:rPr>
          <w:szCs w:val="22"/>
        </w:rPr>
        <w:t xml:space="preserve"> ULS and updat</w:t>
      </w:r>
      <w:r w:rsidR="00892BB7">
        <w:rPr>
          <w:szCs w:val="22"/>
        </w:rPr>
        <w:t>ing</w:t>
      </w:r>
      <w:r w:rsidR="00730029">
        <w:rPr>
          <w:szCs w:val="22"/>
        </w:rPr>
        <w:t xml:space="preserve"> </w:t>
      </w:r>
      <w:r w:rsidR="00892BB7">
        <w:rPr>
          <w:szCs w:val="22"/>
        </w:rPr>
        <w:t>its</w:t>
      </w:r>
      <w:r w:rsidR="00730029">
        <w:rPr>
          <w:szCs w:val="22"/>
        </w:rPr>
        <w:t xml:space="preserve"> FCC Form 601 to provide the certifications.  (</w:t>
      </w:r>
      <w:r w:rsidR="00730029" w:rsidRPr="00CF56C8">
        <w:rPr>
          <w:szCs w:val="22"/>
        </w:rPr>
        <w:t>See</w:t>
      </w:r>
      <w:r w:rsidR="00730029">
        <w:rPr>
          <w:szCs w:val="22"/>
        </w:rPr>
        <w:t xml:space="preserve"> “Updating the Tribal Lands Information through Electronic Filing” below.)  </w:t>
      </w:r>
    </w:p>
    <w:p w:rsidR="00ED371D" w:rsidRDefault="00ED371D" w:rsidP="00ED371D">
      <w:pPr>
        <w:rPr>
          <w:szCs w:val="22"/>
        </w:rPr>
      </w:pPr>
    </w:p>
    <w:p w:rsidR="00ED371D" w:rsidRPr="00FD4E1C" w:rsidRDefault="00ED371D" w:rsidP="00ED371D">
      <w:r w:rsidRPr="00ED371D">
        <w:rPr>
          <w:b/>
          <w:szCs w:val="22"/>
        </w:rPr>
        <w:t>Important:</w:t>
      </w:r>
      <w:r>
        <w:rPr>
          <w:szCs w:val="22"/>
        </w:rPr>
        <w:t xml:space="preserve">  </w:t>
      </w:r>
      <w:r>
        <w:t>Each a</w:t>
      </w:r>
      <w:r w:rsidRPr="00FD4E1C">
        <w:t>pplicant</w:t>
      </w:r>
      <w:r>
        <w:t xml:space="preserve"> is</w:t>
      </w:r>
      <w:r w:rsidRPr="00FD4E1C">
        <w:t xml:space="preserve"> reminded that </w:t>
      </w:r>
      <w:r>
        <w:t>it</w:t>
      </w:r>
      <w:r w:rsidRPr="00FD4E1C">
        <w:t xml:space="preserve"> should file </w:t>
      </w:r>
      <w:r w:rsidR="002B2B2C">
        <w:t>one</w:t>
      </w:r>
      <w:r w:rsidRPr="00FD4E1C">
        <w:t xml:space="preserve"> </w:t>
      </w:r>
      <w:r>
        <w:t>FCC Form</w:t>
      </w:r>
      <w:r w:rsidRPr="00FD4E1C">
        <w:t xml:space="preserve"> </w:t>
      </w:r>
      <w:r>
        <w:t xml:space="preserve">601 </w:t>
      </w:r>
      <w:r w:rsidRPr="00FD4E1C">
        <w:t xml:space="preserve">for those markets in which </w:t>
      </w:r>
      <w:r>
        <w:t>it</w:t>
      </w:r>
      <w:r w:rsidRPr="00FD4E1C">
        <w:t xml:space="preserve"> seek</w:t>
      </w:r>
      <w:r>
        <w:t>s</w:t>
      </w:r>
      <w:r w:rsidRPr="00FD4E1C">
        <w:t xml:space="preserve"> </w:t>
      </w:r>
      <w:r w:rsidR="002B2B2C">
        <w:t xml:space="preserve">a </w:t>
      </w:r>
      <w:r w:rsidRPr="00FD4E1C">
        <w:t xml:space="preserve">tribal lands bidding credit, and </w:t>
      </w:r>
      <w:r>
        <w:t>another</w:t>
      </w:r>
      <w:r w:rsidR="002B2B2C">
        <w:t>, separate FCC Form 601</w:t>
      </w:r>
      <w:r>
        <w:t xml:space="preserve"> </w:t>
      </w:r>
      <w:r w:rsidRPr="00FD4E1C">
        <w:t xml:space="preserve">for those markets where </w:t>
      </w:r>
      <w:r>
        <w:t>it</w:t>
      </w:r>
      <w:r w:rsidRPr="00FD4E1C">
        <w:t xml:space="preserve"> do</w:t>
      </w:r>
      <w:r>
        <w:t>es</w:t>
      </w:r>
      <w:r w:rsidRPr="00FD4E1C">
        <w:t xml:space="preserve"> not seek such </w:t>
      </w:r>
      <w:r w:rsidR="00AC289C">
        <w:t xml:space="preserve">a </w:t>
      </w:r>
      <w:r w:rsidRPr="00FD4E1C">
        <w:t xml:space="preserve">credit.  </w:t>
      </w:r>
    </w:p>
    <w:p w:rsidR="00730029" w:rsidRDefault="00730029" w:rsidP="00ED371D">
      <w:pPr>
        <w:tabs>
          <w:tab w:val="left" w:pos="0"/>
          <w:tab w:val="left" w:pos="360"/>
          <w:tab w:val="left" w:pos="720"/>
        </w:tabs>
        <w:suppressAutoHyphens/>
        <w:rPr>
          <w:szCs w:val="22"/>
        </w:rPr>
      </w:pPr>
    </w:p>
    <w:p w:rsidR="00730029" w:rsidRDefault="00730029" w:rsidP="004670DB">
      <w:pPr>
        <w:rPr>
          <w:szCs w:val="22"/>
        </w:rPr>
      </w:pPr>
      <w:r>
        <w:rPr>
          <w:szCs w:val="22"/>
        </w:rPr>
        <w:t xml:space="preserve">Any applicant that intends to apply for </w:t>
      </w:r>
      <w:r w:rsidR="002B2B2C">
        <w:rPr>
          <w:szCs w:val="22"/>
        </w:rPr>
        <w:t xml:space="preserve">a </w:t>
      </w:r>
      <w:r>
        <w:rPr>
          <w:szCs w:val="22"/>
        </w:rPr>
        <w:t>tribal lands bidding credit in one or more markets must do so by the filing deadline for the FCC Form 601 (</w:t>
      </w:r>
      <w:r w:rsidRPr="009B35EC">
        <w:rPr>
          <w:szCs w:val="22"/>
        </w:rPr>
        <w:t>i.e.,</w:t>
      </w:r>
      <w:r>
        <w:rPr>
          <w:szCs w:val="22"/>
        </w:rPr>
        <w:t xml:space="preserve"> </w:t>
      </w:r>
      <w:r w:rsidRPr="002525A5">
        <w:rPr>
          <w:szCs w:val="22"/>
        </w:rPr>
        <w:t xml:space="preserve">by </w:t>
      </w:r>
      <w:r w:rsidR="00FB71D7" w:rsidRPr="00FB71D7">
        <w:rPr>
          <w:b/>
          <w:szCs w:val="22"/>
        </w:rPr>
        <w:t>February 13, 2015</w:t>
      </w:r>
      <w:r w:rsidRPr="005E68CE">
        <w:rPr>
          <w:szCs w:val="22"/>
        </w:rPr>
        <w:t>).</w:t>
      </w:r>
      <w:r>
        <w:rPr>
          <w:szCs w:val="22"/>
        </w:rPr>
        <w:t xml:space="preserve">  A</w:t>
      </w:r>
      <w:r w:rsidR="009B35EC">
        <w:rPr>
          <w:szCs w:val="22"/>
        </w:rPr>
        <w:t>n a</w:t>
      </w:r>
      <w:r>
        <w:rPr>
          <w:szCs w:val="22"/>
        </w:rPr>
        <w:t xml:space="preserve">pplicant will not be permitted to amend </w:t>
      </w:r>
      <w:r w:rsidR="009B35EC">
        <w:rPr>
          <w:szCs w:val="22"/>
        </w:rPr>
        <w:t>its</w:t>
      </w:r>
      <w:r>
        <w:rPr>
          <w:szCs w:val="22"/>
        </w:rPr>
        <w:t xml:space="preserve"> application after the filing deadline to indicate that </w:t>
      </w:r>
      <w:r w:rsidR="009B35EC">
        <w:rPr>
          <w:szCs w:val="22"/>
        </w:rPr>
        <w:t>it</w:t>
      </w:r>
      <w:r>
        <w:rPr>
          <w:szCs w:val="22"/>
        </w:rPr>
        <w:t xml:space="preserve"> intend</w:t>
      </w:r>
      <w:r w:rsidR="009B35EC">
        <w:rPr>
          <w:szCs w:val="22"/>
        </w:rPr>
        <w:t>s</w:t>
      </w:r>
      <w:r>
        <w:rPr>
          <w:szCs w:val="22"/>
        </w:rPr>
        <w:t xml:space="preserve"> to seek a tribal lands bidding credit for any market.  However, it is possible for </w:t>
      </w:r>
      <w:r w:rsidR="009B35EC">
        <w:rPr>
          <w:szCs w:val="22"/>
        </w:rPr>
        <w:t xml:space="preserve">an </w:t>
      </w:r>
      <w:r>
        <w:rPr>
          <w:szCs w:val="22"/>
        </w:rPr>
        <w:t xml:space="preserve">applicant to update an application to indicate that </w:t>
      </w:r>
      <w:r w:rsidR="009B35EC">
        <w:rPr>
          <w:szCs w:val="22"/>
        </w:rPr>
        <w:t>it</w:t>
      </w:r>
      <w:r>
        <w:rPr>
          <w:szCs w:val="22"/>
        </w:rPr>
        <w:t xml:space="preserve"> no longer intend</w:t>
      </w:r>
      <w:r w:rsidR="009B35EC">
        <w:rPr>
          <w:szCs w:val="22"/>
        </w:rPr>
        <w:t>s</w:t>
      </w:r>
      <w:r>
        <w:rPr>
          <w:szCs w:val="22"/>
        </w:rPr>
        <w:t xml:space="preserve"> to seek a tribal lands bidding credit in a particular market.  A</w:t>
      </w:r>
      <w:r w:rsidR="009B35EC">
        <w:rPr>
          <w:szCs w:val="22"/>
        </w:rPr>
        <w:t>ny a</w:t>
      </w:r>
      <w:r>
        <w:rPr>
          <w:szCs w:val="22"/>
        </w:rPr>
        <w:t>pplicant that elect</w:t>
      </w:r>
      <w:r w:rsidR="00152068">
        <w:rPr>
          <w:szCs w:val="22"/>
        </w:rPr>
        <w:t>ed</w:t>
      </w:r>
      <w:r>
        <w:rPr>
          <w:szCs w:val="22"/>
        </w:rPr>
        <w:t xml:space="preserve"> to seek </w:t>
      </w:r>
      <w:r w:rsidR="00152068">
        <w:rPr>
          <w:szCs w:val="22"/>
        </w:rPr>
        <w:t>a</w:t>
      </w:r>
      <w:r>
        <w:rPr>
          <w:szCs w:val="22"/>
        </w:rPr>
        <w:t xml:space="preserve"> tribal lands bidding credit when </w:t>
      </w:r>
      <w:r w:rsidR="009B35EC">
        <w:rPr>
          <w:szCs w:val="22"/>
        </w:rPr>
        <w:t>it</w:t>
      </w:r>
      <w:r>
        <w:rPr>
          <w:szCs w:val="22"/>
        </w:rPr>
        <w:t xml:space="preserve"> initially submit</w:t>
      </w:r>
      <w:r w:rsidR="009B35EC">
        <w:rPr>
          <w:szCs w:val="22"/>
        </w:rPr>
        <w:t>ted its</w:t>
      </w:r>
      <w:r>
        <w:rPr>
          <w:szCs w:val="22"/>
        </w:rPr>
        <w:t xml:space="preserve"> FCC Form 601, but then subsequently decide</w:t>
      </w:r>
      <w:r w:rsidR="009B35EC">
        <w:rPr>
          <w:szCs w:val="22"/>
        </w:rPr>
        <w:t>s</w:t>
      </w:r>
      <w:r>
        <w:rPr>
          <w:szCs w:val="22"/>
        </w:rPr>
        <w:t xml:space="preserve"> not to seek the credit, should update </w:t>
      </w:r>
      <w:r w:rsidR="009B35EC">
        <w:rPr>
          <w:szCs w:val="22"/>
        </w:rPr>
        <w:t>its</w:t>
      </w:r>
      <w:r>
        <w:rPr>
          <w:szCs w:val="22"/>
        </w:rPr>
        <w:t xml:space="preserve"> application to delete the request for the tribal lands bidding credit.</w:t>
      </w:r>
    </w:p>
    <w:p w:rsidR="00730029" w:rsidRDefault="00730029" w:rsidP="00343535">
      <w:pPr>
        <w:rPr>
          <w:b/>
          <w:szCs w:val="22"/>
        </w:rPr>
      </w:pPr>
    </w:p>
    <w:p w:rsidR="006E1494" w:rsidRPr="006E1494" w:rsidRDefault="00730029" w:rsidP="00343535">
      <w:pPr>
        <w:keepLines/>
        <w:tabs>
          <w:tab w:val="left" w:pos="0"/>
          <w:tab w:val="left" w:pos="720"/>
        </w:tabs>
        <w:suppressAutoHyphens/>
        <w:rPr>
          <w:szCs w:val="22"/>
          <w:u w:val="single"/>
        </w:rPr>
      </w:pPr>
      <w:r w:rsidRPr="006E1494">
        <w:rPr>
          <w:b/>
          <w:szCs w:val="22"/>
          <w:u w:val="single"/>
        </w:rPr>
        <w:t>Updating the Tribal Lands Information through Electronic Filing</w:t>
      </w:r>
    </w:p>
    <w:p w:rsidR="006E1494" w:rsidRDefault="006E1494" w:rsidP="00343535">
      <w:pPr>
        <w:keepLines/>
        <w:tabs>
          <w:tab w:val="left" w:pos="0"/>
          <w:tab w:val="left" w:pos="720"/>
        </w:tabs>
        <w:suppressAutoHyphens/>
        <w:rPr>
          <w:szCs w:val="22"/>
        </w:rPr>
      </w:pPr>
    </w:p>
    <w:p w:rsidR="00730029" w:rsidRDefault="00730029" w:rsidP="00343535">
      <w:pPr>
        <w:keepLines/>
        <w:tabs>
          <w:tab w:val="left" w:pos="0"/>
          <w:tab w:val="left" w:pos="720"/>
        </w:tabs>
        <w:suppressAutoHyphens/>
        <w:rPr>
          <w:szCs w:val="22"/>
        </w:rPr>
      </w:pPr>
      <w:r>
        <w:rPr>
          <w:szCs w:val="22"/>
        </w:rPr>
        <w:t>To update a</w:t>
      </w:r>
      <w:r w:rsidR="00606AD4">
        <w:rPr>
          <w:szCs w:val="22"/>
        </w:rPr>
        <w:t>n</w:t>
      </w:r>
      <w:r>
        <w:rPr>
          <w:szCs w:val="22"/>
        </w:rPr>
        <w:t xml:space="preserve"> FCC Form 601 during the filing window (</w:t>
      </w:r>
      <w:r w:rsidR="00D00C0C">
        <w:rPr>
          <w:szCs w:val="22"/>
        </w:rPr>
        <w:t xml:space="preserve">i.e., </w:t>
      </w:r>
      <w:r>
        <w:rPr>
          <w:szCs w:val="22"/>
        </w:rPr>
        <w:t xml:space="preserve">before it has been submitted to the FCC), </w:t>
      </w:r>
      <w:r w:rsidRPr="00CF56C8">
        <w:rPr>
          <w:szCs w:val="22"/>
        </w:rPr>
        <w:t>see</w:t>
      </w:r>
      <w:r w:rsidRPr="00D00C0C">
        <w:rPr>
          <w:szCs w:val="22"/>
        </w:rPr>
        <w:t xml:space="preserve"> </w:t>
      </w:r>
      <w:r>
        <w:rPr>
          <w:szCs w:val="22"/>
        </w:rPr>
        <w:t xml:space="preserve">“Updating an </w:t>
      </w:r>
      <w:r w:rsidR="0048564F">
        <w:rPr>
          <w:szCs w:val="22"/>
        </w:rPr>
        <w:t>FCC Form 601</w:t>
      </w:r>
      <w:r>
        <w:rPr>
          <w:szCs w:val="22"/>
        </w:rPr>
        <w:t xml:space="preserve">” </w:t>
      </w:r>
      <w:r w:rsidRPr="002525A5">
        <w:rPr>
          <w:szCs w:val="22"/>
        </w:rPr>
        <w:t xml:space="preserve">in </w:t>
      </w:r>
      <w:r w:rsidRPr="006A2B4C">
        <w:rPr>
          <w:szCs w:val="22"/>
        </w:rPr>
        <w:t>Section II</w:t>
      </w:r>
      <w:r w:rsidRPr="002525A5">
        <w:rPr>
          <w:szCs w:val="22"/>
        </w:rPr>
        <w:t xml:space="preserve"> above</w:t>
      </w:r>
      <w:r>
        <w:rPr>
          <w:szCs w:val="22"/>
        </w:rPr>
        <w:t>.  To update a</w:t>
      </w:r>
      <w:r w:rsidR="00606AD4">
        <w:rPr>
          <w:szCs w:val="22"/>
        </w:rPr>
        <w:t>n</w:t>
      </w:r>
      <w:r>
        <w:rPr>
          <w:szCs w:val="22"/>
        </w:rPr>
        <w:t xml:space="preserve"> </w:t>
      </w:r>
      <w:r w:rsidR="006E1494">
        <w:rPr>
          <w:szCs w:val="22"/>
        </w:rPr>
        <w:t xml:space="preserve">FCC </w:t>
      </w:r>
      <w:r>
        <w:rPr>
          <w:szCs w:val="22"/>
        </w:rPr>
        <w:t>Form 601 application for tribal lands certification after it has been officially received by the Commission (</w:t>
      </w:r>
      <w:r w:rsidR="00D00C0C">
        <w:rPr>
          <w:szCs w:val="22"/>
        </w:rPr>
        <w:t xml:space="preserve">i.e., </w:t>
      </w:r>
      <w:r>
        <w:rPr>
          <w:szCs w:val="22"/>
        </w:rPr>
        <w:t>within the 180-day period</w:t>
      </w:r>
      <w:r w:rsidR="00D00C0C" w:rsidRPr="00D00C0C">
        <w:rPr>
          <w:szCs w:val="22"/>
        </w:rPr>
        <w:t xml:space="preserve"> </w:t>
      </w:r>
      <w:r w:rsidR="00D00C0C">
        <w:rPr>
          <w:szCs w:val="22"/>
        </w:rPr>
        <w:t>after the FCC Form 601 deadline</w:t>
      </w:r>
      <w:r>
        <w:rPr>
          <w:szCs w:val="22"/>
        </w:rPr>
        <w:t>),</w:t>
      </w:r>
      <w:r w:rsidR="00152068">
        <w:rPr>
          <w:rStyle w:val="FootnoteReference"/>
          <w:szCs w:val="22"/>
        </w:rPr>
        <w:footnoteReference w:id="65"/>
      </w:r>
      <w:r>
        <w:rPr>
          <w:szCs w:val="22"/>
        </w:rPr>
        <w:t xml:space="preserve"> the applicant must re-enter ULS</w:t>
      </w:r>
      <w:r w:rsidR="00D00C0C">
        <w:rPr>
          <w:szCs w:val="22"/>
        </w:rPr>
        <w:t xml:space="preserve"> and follow these steps:</w:t>
      </w:r>
      <w:r>
        <w:rPr>
          <w:szCs w:val="22"/>
        </w:rPr>
        <w:t xml:space="preserve">  </w:t>
      </w:r>
    </w:p>
    <w:p w:rsidR="00730029" w:rsidRDefault="00730029">
      <w:pPr>
        <w:tabs>
          <w:tab w:val="left" w:pos="0"/>
          <w:tab w:val="left" w:pos="720"/>
        </w:tabs>
        <w:suppressAutoHyphens/>
        <w:rPr>
          <w:szCs w:val="22"/>
        </w:rPr>
      </w:pPr>
    </w:p>
    <w:p w:rsidR="00730029" w:rsidRDefault="00730029">
      <w:pPr>
        <w:numPr>
          <w:ilvl w:val="0"/>
          <w:numId w:val="13"/>
        </w:numPr>
        <w:tabs>
          <w:tab w:val="left" w:pos="0"/>
        </w:tabs>
        <w:suppressAutoHyphens/>
        <w:rPr>
          <w:szCs w:val="22"/>
        </w:rPr>
      </w:pPr>
      <w:r>
        <w:rPr>
          <w:szCs w:val="22"/>
        </w:rPr>
        <w:t xml:space="preserve">Access ULS through the Internet at </w:t>
      </w:r>
      <w:hyperlink r:id="rId13" w:history="1">
        <w:r>
          <w:rPr>
            <w:rStyle w:val="Hyperlink"/>
            <w:b/>
            <w:color w:val="auto"/>
            <w:szCs w:val="22"/>
          </w:rPr>
          <w:t>http://wireless.fcc.gov/uls</w:t>
        </w:r>
      </w:hyperlink>
      <w:r>
        <w:rPr>
          <w:szCs w:val="22"/>
        </w:rPr>
        <w:t xml:space="preserve">.  Select the </w:t>
      </w:r>
      <w:r>
        <w:rPr>
          <w:b/>
          <w:szCs w:val="22"/>
        </w:rPr>
        <w:t>Online Filing</w:t>
      </w:r>
      <w:r>
        <w:rPr>
          <w:szCs w:val="22"/>
        </w:rPr>
        <w:t xml:space="preserve"> button from this page.</w:t>
      </w:r>
    </w:p>
    <w:p w:rsidR="00730029" w:rsidRDefault="00730029">
      <w:pPr>
        <w:tabs>
          <w:tab w:val="left" w:pos="0"/>
        </w:tabs>
        <w:suppressAutoHyphens/>
        <w:ind w:left="360"/>
        <w:rPr>
          <w:szCs w:val="22"/>
        </w:rPr>
      </w:pPr>
    </w:p>
    <w:p w:rsidR="00730029" w:rsidRDefault="00730029">
      <w:pPr>
        <w:numPr>
          <w:ilvl w:val="0"/>
          <w:numId w:val="13"/>
        </w:numPr>
        <w:tabs>
          <w:tab w:val="left" w:pos="0"/>
        </w:tabs>
        <w:suppressAutoHyphens/>
        <w:rPr>
          <w:szCs w:val="22"/>
        </w:rPr>
      </w:pPr>
      <w:r>
        <w:rPr>
          <w:szCs w:val="22"/>
        </w:rPr>
        <w:t xml:space="preserve">At the </w:t>
      </w:r>
      <w:r w:rsidR="00152068">
        <w:rPr>
          <w:szCs w:val="22"/>
        </w:rPr>
        <w:t>“</w:t>
      </w:r>
      <w:r>
        <w:rPr>
          <w:szCs w:val="22"/>
        </w:rPr>
        <w:t>Log In</w:t>
      </w:r>
      <w:r w:rsidR="00152068">
        <w:rPr>
          <w:szCs w:val="22"/>
        </w:rPr>
        <w:t>”</w:t>
      </w:r>
      <w:r>
        <w:rPr>
          <w:szCs w:val="22"/>
        </w:rPr>
        <w:t xml:space="preserve"> page, enter the applicant’s FRN and password.  Click </w:t>
      </w:r>
      <w:r>
        <w:rPr>
          <w:b/>
          <w:szCs w:val="22"/>
        </w:rPr>
        <w:t>Submit</w:t>
      </w:r>
      <w:r>
        <w:rPr>
          <w:szCs w:val="22"/>
        </w:rPr>
        <w:t>.</w:t>
      </w:r>
    </w:p>
    <w:p w:rsidR="00730029" w:rsidRDefault="00730029">
      <w:pPr>
        <w:tabs>
          <w:tab w:val="left" w:pos="0"/>
          <w:tab w:val="left" w:pos="720"/>
        </w:tabs>
        <w:suppressAutoHyphens/>
        <w:rPr>
          <w:szCs w:val="22"/>
        </w:rPr>
      </w:pPr>
    </w:p>
    <w:p w:rsidR="00730029" w:rsidRDefault="00730029">
      <w:pPr>
        <w:numPr>
          <w:ilvl w:val="0"/>
          <w:numId w:val="13"/>
        </w:numPr>
        <w:tabs>
          <w:tab w:val="left" w:pos="0"/>
        </w:tabs>
        <w:suppressAutoHyphens/>
        <w:rPr>
          <w:szCs w:val="22"/>
        </w:rPr>
      </w:pPr>
      <w:r>
        <w:rPr>
          <w:szCs w:val="22"/>
        </w:rPr>
        <w:t xml:space="preserve">Choose the </w:t>
      </w:r>
      <w:r w:rsidR="00152068">
        <w:rPr>
          <w:szCs w:val="22"/>
        </w:rPr>
        <w:t>“</w:t>
      </w:r>
      <w:r>
        <w:rPr>
          <w:szCs w:val="22"/>
        </w:rPr>
        <w:t>My Applications</w:t>
      </w:r>
      <w:r w:rsidR="00152068">
        <w:rPr>
          <w:szCs w:val="22"/>
        </w:rPr>
        <w:t>”</w:t>
      </w:r>
      <w:r>
        <w:rPr>
          <w:szCs w:val="22"/>
        </w:rPr>
        <w:t xml:space="preserve"> link from the left side of the page.  Then choose the </w:t>
      </w:r>
      <w:r w:rsidR="00152068">
        <w:rPr>
          <w:szCs w:val="22"/>
        </w:rPr>
        <w:t>“</w:t>
      </w:r>
      <w:r>
        <w:rPr>
          <w:szCs w:val="22"/>
        </w:rPr>
        <w:t xml:space="preserve">Pending </w:t>
      </w:r>
      <w:r w:rsidR="00152068">
        <w:rPr>
          <w:szCs w:val="22"/>
        </w:rPr>
        <w:t>A</w:t>
      </w:r>
      <w:r>
        <w:rPr>
          <w:szCs w:val="22"/>
        </w:rPr>
        <w:t>pplications</w:t>
      </w:r>
      <w:r w:rsidR="00152068">
        <w:rPr>
          <w:szCs w:val="22"/>
        </w:rPr>
        <w:t>”</w:t>
      </w:r>
      <w:r>
        <w:rPr>
          <w:szCs w:val="22"/>
        </w:rPr>
        <w:t xml:space="preserve"> link.</w:t>
      </w:r>
    </w:p>
    <w:p w:rsidR="00730029" w:rsidRDefault="00730029">
      <w:pPr>
        <w:tabs>
          <w:tab w:val="left" w:pos="0"/>
        </w:tabs>
        <w:suppressAutoHyphens/>
        <w:ind w:left="360"/>
        <w:rPr>
          <w:szCs w:val="22"/>
        </w:rPr>
      </w:pPr>
      <w:r>
        <w:rPr>
          <w:szCs w:val="22"/>
        </w:rPr>
        <w:t xml:space="preserve"> </w:t>
      </w:r>
    </w:p>
    <w:p w:rsidR="00730029" w:rsidRDefault="00730029">
      <w:pPr>
        <w:numPr>
          <w:ilvl w:val="0"/>
          <w:numId w:val="13"/>
        </w:numPr>
        <w:tabs>
          <w:tab w:val="left" w:pos="0"/>
        </w:tabs>
        <w:suppressAutoHyphens/>
        <w:rPr>
          <w:szCs w:val="22"/>
        </w:rPr>
      </w:pPr>
      <w:r>
        <w:rPr>
          <w:szCs w:val="22"/>
        </w:rPr>
        <w:t xml:space="preserve">Click on the file number of </w:t>
      </w:r>
      <w:r w:rsidR="009C6EB2">
        <w:rPr>
          <w:szCs w:val="22"/>
        </w:rPr>
        <w:t>the</w:t>
      </w:r>
      <w:r>
        <w:rPr>
          <w:szCs w:val="22"/>
        </w:rPr>
        <w:t xml:space="preserve"> application to view the </w:t>
      </w:r>
      <w:r w:rsidR="00152068">
        <w:rPr>
          <w:szCs w:val="22"/>
        </w:rPr>
        <w:t>“</w:t>
      </w:r>
      <w:r>
        <w:rPr>
          <w:szCs w:val="22"/>
        </w:rPr>
        <w:t>Application At a Glance</w:t>
      </w:r>
      <w:r w:rsidR="00152068">
        <w:rPr>
          <w:szCs w:val="22"/>
        </w:rPr>
        <w:t>”</w:t>
      </w:r>
      <w:r>
        <w:rPr>
          <w:szCs w:val="22"/>
        </w:rPr>
        <w:t xml:space="preserve"> page.  Click the </w:t>
      </w:r>
      <w:r w:rsidR="00152068">
        <w:rPr>
          <w:szCs w:val="22"/>
        </w:rPr>
        <w:t>“</w:t>
      </w:r>
      <w:r>
        <w:rPr>
          <w:szCs w:val="22"/>
        </w:rPr>
        <w:t>Update</w:t>
      </w:r>
      <w:r w:rsidR="00152068">
        <w:rPr>
          <w:szCs w:val="22"/>
        </w:rPr>
        <w:t>”</w:t>
      </w:r>
      <w:r>
        <w:rPr>
          <w:szCs w:val="22"/>
        </w:rPr>
        <w:t xml:space="preserve"> link from the </w:t>
      </w:r>
      <w:r w:rsidR="00152068">
        <w:rPr>
          <w:szCs w:val="22"/>
        </w:rPr>
        <w:t>“</w:t>
      </w:r>
      <w:r>
        <w:rPr>
          <w:szCs w:val="22"/>
        </w:rPr>
        <w:t>Work on This Application</w:t>
      </w:r>
      <w:r w:rsidR="00152068">
        <w:rPr>
          <w:szCs w:val="22"/>
        </w:rPr>
        <w:t>”</w:t>
      </w:r>
      <w:r>
        <w:rPr>
          <w:szCs w:val="22"/>
        </w:rPr>
        <w:t xml:space="preserve"> menu on the right side of the page to access </w:t>
      </w:r>
      <w:r w:rsidR="00F372CB">
        <w:rPr>
          <w:szCs w:val="22"/>
        </w:rPr>
        <w:t xml:space="preserve">FCC </w:t>
      </w:r>
      <w:r>
        <w:rPr>
          <w:szCs w:val="22"/>
        </w:rPr>
        <w:t>Form 601.</w:t>
      </w:r>
    </w:p>
    <w:p w:rsidR="00730029" w:rsidRDefault="00730029">
      <w:pPr>
        <w:tabs>
          <w:tab w:val="left" w:pos="0"/>
        </w:tabs>
        <w:suppressAutoHyphens/>
        <w:rPr>
          <w:szCs w:val="22"/>
        </w:rPr>
      </w:pPr>
    </w:p>
    <w:p w:rsidR="00730029" w:rsidRDefault="00730029">
      <w:pPr>
        <w:numPr>
          <w:ilvl w:val="0"/>
          <w:numId w:val="13"/>
        </w:numPr>
        <w:tabs>
          <w:tab w:val="left" w:pos="0"/>
          <w:tab w:val="left" w:pos="720"/>
        </w:tabs>
        <w:suppressAutoHyphens/>
      </w:pPr>
      <w:r>
        <w:t xml:space="preserve">Proceed through the application pages using the </w:t>
      </w:r>
      <w:r>
        <w:rPr>
          <w:b/>
        </w:rPr>
        <w:t>Continue</w:t>
      </w:r>
      <w:r>
        <w:t xml:space="preserve"> button at the bottom of each page until you reach the </w:t>
      </w:r>
      <w:r w:rsidR="00152068">
        <w:t>“</w:t>
      </w:r>
      <w:r>
        <w:t>Tribal Lands Secured Certifications</w:t>
      </w:r>
      <w:r w:rsidR="00152068">
        <w:t>”</w:t>
      </w:r>
      <w:r>
        <w:t xml:space="preserve"> page.  Answer “Yes” to the question on this page and provide an attachment using the </w:t>
      </w:r>
      <w:r w:rsidR="00FE0AF4">
        <w:t>“</w:t>
      </w:r>
      <w:r>
        <w:t>Attachments</w:t>
      </w:r>
      <w:r w:rsidR="00FE0AF4">
        <w:t>”</w:t>
      </w:r>
      <w:r>
        <w:t xml:space="preserve"> link at the top of the page.  </w:t>
      </w:r>
      <w:r>
        <w:rPr>
          <w:szCs w:val="22"/>
        </w:rPr>
        <w:t>For each market where a tribal lands bidding credit is being sought, the applicant must attach a signed, tribal government certification from each of the federally</w:t>
      </w:r>
      <w:r w:rsidR="00152068">
        <w:rPr>
          <w:szCs w:val="22"/>
        </w:rPr>
        <w:t>-</w:t>
      </w:r>
      <w:r>
        <w:rPr>
          <w:szCs w:val="22"/>
        </w:rPr>
        <w:t xml:space="preserve">recognized tribal governments and an applicant certification.  </w:t>
      </w:r>
      <w:r w:rsidRPr="00CF56C8">
        <w:rPr>
          <w:szCs w:val="22"/>
        </w:rPr>
        <w:t>See</w:t>
      </w:r>
      <w:r>
        <w:rPr>
          <w:i/>
          <w:szCs w:val="22"/>
        </w:rPr>
        <w:t xml:space="preserve"> </w:t>
      </w:r>
      <w:r>
        <w:rPr>
          <w:szCs w:val="22"/>
        </w:rPr>
        <w:t>“</w:t>
      </w:r>
      <w:r>
        <w:rPr>
          <w:b/>
          <w:szCs w:val="22"/>
        </w:rPr>
        <w:t>Exhibit Y: Tribal Government Certification</w:t>
      </w:r>
      <w:r>
        <w:rPr>
          <w:szCs w:val="22"/>
        </w:rPr>
        <w:t>” and “</w:t>
      </w:r>
      <w:r>
        <w:rPr>
          <w:b/>
          <w:szCs w:val="22"/>
        </w:rPr>
        <w:t>Exhibit Z: Tribal Lands Bidding Credit Applicant Certification</w:t>
      </w:r>
      <w:r>
        <w:rPr>
          <w:szCs w:val="22"/>
        </w:rPr>
        <w:t>.”  C</w:t>
      </w:r>
      <w:r>
        <w:t xml:space="preserve">lick </w:t>
      </w:r>
      <w:r>
        <w:rPr>
          <w:b/>
        </w:rPr>
        <w:t>Continue</w:t>
      </w:r>
      <w:r>
        <w:t>.</w:t>
      </w:r>
    </w:p>
    <w:p w:rsidR="00730029" w:rsidRDefault="00730029">
      <w:pPr>
        <w:tabs>
          <w:tab w:val="left" w:pos="0"/>
          <w:tab w:val="left" w:pos="720"/>
        </w:tabs>
        <w:suppressAutoHyphens/>
      </w:pPr>
    </w:p>
    <w:p w:rsidR="00730029" w:rsidRDefault="00730029">
      <w:pPr>
        <w:numPr>
          <w:ilvl w:val="0"/>
          <w:numId w:val="13"/>
        </w:numPr>
        <w:tabs>
          <w:tab w:val="left" w:pos="0"/>
          <w:tab w:val="left" w:pos="720"/>
        </w:tabs>
        <w:suppressAutoHyphens/>
      </w:pPr>
      <w:r>
        <w:t xml:space="preserve">For each market contained in the application where </w:t>
      </w:r>
      <w:r w:rsidR="00D00C0C">
        <w:t>the applicant</w:t>
      </w:r>
      <w:r>
        <w:t xml:space="preserve"> indicated an intent to serve tribal lands, a </w:t>
      </w:r>
      <w:r w:rsidR="00152068">
        <w:t>“</w:t>
      </w:r>
      <w:r>
        <w:t>Select Tribal Lands</w:t>
      </w:r>
      <w:r w:rsidR="00152068">
        <w:t>”</w:t>
      </w:r>
      <w:r>
        <w:t xml:space="preserve"> page will be presented providing </w:t>
      </w:r>
      <w:r>
        <w:rPr>
          <w:szCs w:val="22"/>
        </w:rPr>
        <w:t>the names of the federally</w:t>
      </w:r>
      <w:r w:rsidR="00152068">
        <w:rPr>
          <w:szCs w:val="22"/>
        </w:rPr>
        <w:t>-</w:t>
      </w:r>
      <w:r>
        <w:rPr>
          <w:szCs w:val="22"/>
        </w:rPr>
        <w:t>recognized tribal lands within the market and the square kilometers of the tribal land within the market</w:t>
      </w:r>
      <w:r>
        <w:t xml:space="preserve">.  </w:t>
      </w:r>
      <w:r w:rsidR="007267C3">
        <w:t xml:space="preserve">To add a new federally-recognized tribal land to this market, select </w:t>
      </w:r>
      <w:r w:rsidR="007267C3">
        <w:rPr>
          <w:b/>
        </w:rPr>
        <w:t xml:space="preserve">Add.  </w:t>
      </w:r>
      <w:r>
        <w:t>Select the checkbox for each tribal land you want to include in your request and for which you have the tribal government certifications</w:t>
      </w:r>
      <w:r w:rsidR="003E4AE2">
        <w:rPr>
          <w:rStyle w:val="FootnoteReference"/>
        </w:rPr>
        <w:footnoteReference w:id="66"/>
      </w:r>
      <w:r>
        <w:t xml:space="preserve">, and then click </w:t>
      </w:r>
      <w:r>
        <w:rPr>
          <w:b/>
        </w:rPr>
        <w:t>Calculate</w:t>
      </w:r>
      <w:r>
        <w:t xml:space="preserve"> to see the credit amount you may be granted.  </w:t>
      </w:r>
    </w:p>
    <w:p w:rsidR="00730029" w:rsidRDefault="00730029">
      <w:pPr>
        <w:tabs>
          <w:tab w:val="left" w:pos="0"/>
          <w:tab w:val="left" w:pos="720"/>
        </w:tabs>
        <w:suppressAutoHyphens/>
        <w:rPr>
          <w:szCs w:val="22"/>
        </w:rPr>
      </w:pPr>
    </w:p>
    <w:p w:rsidR="00730029" w:rsidRDefault="00730029">
      <w:pPr>
        <w:numPr>
          <w:ilvl w:val="0"/>
          <w:numId w:val="13"/>
        </w:numPr>
        <w:tabs>
          <w:tab w:val="left" w:pos="0"/>
        </w:tabs>
        <w:suppressAutoHyphens/>
        <w:rPr>
          <w:szCs w:val="22"/>
        </w:rPr>
      </w:pPr>
      <w:r>
        <w:rPr>
          <w:szCs w:val="22"/>
        </w:rPr>
        <w:t xml:space="preserve">The </w:t>
      </w:r>
      <w:r w:rsidR="00152068">
        <w:rPr>
          <w:szCs w:val="22"/>
        </w:rPr>
        <w:t>“</w:t>
      </w:r>
      <w:r>
        <w:rPr>
          <w:szCs w:val="22"/>
        </w:rPr>
        <w:t>Tribal Lands Bidding Credit Summary</w:t>
      </w:r>
      <w:r w:rsidR="00152068">
        <w:rPr>
          <w:szCs w:val="22"/>
        </w:rPr>
        <w:t>”</w:t>
      </w:r>
      <w:r>
        <w:rPr>
          <w:szCs w:val="22"/>
        </w:rPr>
        <w:t xml:space="preserve"> page will display the calculated credit and any additional credit requested for each channel block.  Click </w:t>
      </w:r>
      <w:r>
        <w:rPr>
          <w:b/>
          <w:szCs w:val="22"/>
        </w:rPr>
        <w:t xml:space="preserve">Continue.  </w:t>
      </w:r>
    </w:p>
    <w:p w:rsidR="00730029" w:rsidRDefault="00730029">
      <w:pPr>
        <w:tabs>
          <w:tab w:val="left" w:pos="0"/>
        </w:tabs>
        <w:suppressAutoHyphens/>
        <w:rPr>
          <w:szCs w:val="22"/>
        </w:rPr>
      </w:pPr>
    </w:p>
    <w:p w:rsidR="00730029" w:rsidRDefault="00730029">
      <w:pPr>
        <w:numPr>
          <w:ilvl w:val="0"/>
          <w:numId w:val="13"/>
        </w:numPr>
        <w:tabs>
          <w:tab w:val="left" w:pos="0"/>
        </w:tabs>
        <w:suppressAutoHyphens/>
        <w:rPr>
          <w:szCs w:val="22"/>
        </w:rPr>
      </w:pPr>
      <w:r>
        <w:rPr>
          <w:szCs w:val="22"/>
        </w:rPr>
        <w:t>If requesting a tribal lands bidding credit in more than one market, repeat steps 6 and 7 above for each market.</w:t>
      </w:r>
    </w:p>
    <w:p w:rsidR="00730029" w:rsidRDefault="00730029">
      <w:pPr>
        <w:tabs>
          <w:tab w:val="left" w:pos="0"/>
        </w:tabs>
        <w:suppressAutoHyphens/>
        <w:ind w:left="360"/>
        <w:rPr>
          <w:szCs w:val="22"/>
        </w:rPr>
      </w:pPr>
    </w:p>
    <w:p w:rsidR="00730029" w:rsidRPr="007F2D32" w:rsidRDefault="00730029">
      <w:pPr>
        <w:numPr>
          <w:ilvl w:val="0"/>
          <w:numId w:val="13"/>
        </w:numPr>
        <w:tabs>
          <w:tab w:val="left" w:pos="0"/>
        </w:tabs>
        <w:suppressAutoHyphens/>
        <w:rPr>
          <w:szCs w:val="22"/>
        </w:rPr>
      </w:pPr>
      <w:r w:rsidRPr="007F2D32">
        <w:t xml:space="preserve">Proceed through the remainder of the application pages using the </w:t>
      </w:r>
      <w:r w:rsidRPr="007F2D32">
        <w:rPr>
          <w:b/>
        </w:rPr>
        <w:t>Continue</w:t>
      </w:r>
      <w:r w:rsidRPr="007F2D32">
        <w:t xml:space="preserve"> button at the bottom of each page</w:t>
      </w:r>
      <w:r w:rsidRPr="007F2D32">
        <w:rPr>
          <w:szCs w:val="22"/>
        </w:rPr>
        <w:t xml:space="preserve"> </w:t>
      </w:r>
      <w:r w:rsidRPr="007F2D32">
        <w:t xml:space="preserve">to the </w:t>
      </w:r>
      <w:r w:rsidRPr="007F2D32">
        <w:rPr>
          <w:b/>
        </w:rPr>
        <w:t>Certification</w:t>
      </w:r>
      <w:r w:rsidRPr="007F2D32">
        <w:t xml:space="preserve"> page.  Certify your application and select </w:t>
      </w:r>
      <w:r w:rsidRPr="007F2D32">
        <w:rPr>
          <w:b/>
        </w:rPr>
        <w:t>Submit Application</w:t>
      </w:r>
      <w:r w:rsidRPr="007F2D32">
        <w:t xml:space="preserve">. </w:t>
      </w:r>
      <w:r w:rsidR="007F2D32">
        <w:rPr>
          <w:szCs w:val="22"/>
        </w:rPr>
        <w:t xml:space="preserve">After the application has been submitted, a Confirmation page displays the file number.  Applicants should </w:t>
      </w:r>
      <w:r w:rsidR="007F2D32">
        <w:t xml:space="preserve">print a copy of the Confirmation page for their records by choosing the </w:t>
      </w:r>
      <w:r w:rsidR="00152068">
        <w:t>“</w:t>
      </w:r>
      <w:r w:rsidR="007F2D32">
        <w:t>Print</w:t>
      </w:r>
      <w:r w:rsidR="00152068">
        <w:t>”</w:t>
      </w:r>
      <w:r w:rsidR="007F2D32">
        <w:t xml:space="preserve"> option from the </w:t>
      </w:r>
      <w:r w:rsidR="00152068">
        <w:t>“</w:t>
      </w:r>
      <w:r w:rsidR="007F2D32">
        <w:t>File</w:t>
      </w:r>
      <w:r w:rsidR="00152068">
        <w:t>”</w:t>
      </w:r>
      <w:r w:rsidR="007F2D32">
        <w:t xml:space="preserve"> menu of the Web browser.  Applicants can also print a copy of their </w:t>
      </w:r>
      <w:r w:rsidR="007F2D32" w:rsidDel="006A211F">
        <w:t>complete</w:t>
      </w:r>
      <w:r w:rsidR="007F2D32">
        <w:t xml:space="preserve"> application by selecting the </w:t>
      </w:r>
      <w:r w:rsidR="00152068">
        <w:t>“</w:t>
      </w:r>
      <w:r w:rsidR="007F2D32">
        <w:t>Reference Copy</w:t>
      </w:r>
      <w:r w:rsidR="00152068">
        <w:t>”</w:t>
      </w:r>
      <w:r w:rsidR="007F2D32">
        <w:t xml:space="preserve"> link.  </w:t>
      </w:r>
      <w:r w:rsidR="007F2D32">
        <w:rPr>
          <w:szCs w:val="22"/>
        </w:rPr>
        <w:t xml:space="preserve">Use the </w:t>
      </w:r>
      <w:r w:rsidR="007F2D32">
        <w:rPr>
          <w:b/>
          <w:szCs w:val="22"/>
        </w:rPr>
        <w:t>Log Out</w:t>
      </w:r>
      <w:r w:rsidR="007F2D32">
        <w:rPr>
          <w:szCs w:val="22"/>
        </w:rPr>
        <w:t xml:space="preserve"> link at the top left of the page to exit ULS online filing.</w:t>
      </w:r>
    </w:p>
    <w:p w:rsidR="00730029" w:rsidRDefault="00730029" w:rsidP="00343535">
      <w:pPr>
        <w:rPr>
          <w:szCs w:val="22"/>
        </w:rPr>
      </w:pPr>
    </w:p>
    <w:p w:rsidR="00730029" w:rsidRDefault="00730029">
      <w:pPr>
        <w:rPr>
          <w:b/>
          <w:szCs w:val="22"/>
          <w:u w:val="single"/>
        </w:rPr>
      </w:pPr>
      <w:r>
        <w:rPr>
          <w:szCs w:val="22"/>
        </w:rPr>
        <w:t>ULS will calculate the bidding credit amount for each market automatically, according to the size (in square kilometers) of the tribal territory within the market, and in compliance with the bidding credit limit.</w:t>
      </w:r>
      <w:r w:rsidR="00F372CB">
        <w:rPr>
          <w:rStyle w:val="FootnoteReference"/>
          <w:szCs w:val="22"/>
        </w:rPr>
        <w:footnoteReference w:id="67"/>
      </w:r>
      <w:r>
        <w:rPr>
          <w:szCs w:val="22"/>
        </w:rPr>
        <w:t xml:space="preserve">  </w:t>
      </w:r>
      <w:r w:rsidR="00C9729E">
        <w:rPr>
          <w:szCs w:val="22"/>
        </w:rPr>
        <w:t>If multiple spectrum blocks are won in the same market, the winning bid amounts for the spectrum blocks serving tribal lands will be aggregated and the bidding credit limit will be applied against the aggregated amount.</w:t>
      </w:r>
      <w:r w:rsidR="002C5773">
        <w:rPr>
          <w:rStyle w:val="FootnoteReference"/>
          <w:szCs w:val="22"/>
        </w:rPr>
        <w:footnoteReference w:id="68"/>
      </w:r>
    </w:p>
    <w:p w:rsidR="00730029" w:rsidRDefault="00730029">
      <w:pPr>
        <w:rPr>
          <w:b/>
          <w:szCs w:val="22"/>
          <w:u w:val="single"/>
        </w:rPr>
      </w:pPr>
    </w:p>
    <w:p w:rsidR="00D91E3B" w:rsidRDefault="00730029">
      <w:pPr>
        <w:rPr>
          <w:szCs w:val="22"/>
        </w:rPr>
      </w:pPr>
      <w:r>
        <w:rPr>
          <w:szCs w:val="22"/>
        </w:rPr>
        <w:t xml:space="preserve">If the applicant is seeking a bidding credit in excess of the amount calculated pursuant to </w:t>
      </w:r>
      <w:r w:rsidR="00F372CB">
        <w:rPr>
          <w:szCs w:val="22"/>
        </w:rPr>
        <w:t>s</w:t>
      </w:r>
      <w:r>
        <w:rPr>
          <w:szCs w:val="22"/>
        </w:rPr>
        <w:t xml:space="preserve">ection 1.2110(f)(3), the applicant must submit a waiver request, pursuant to </w:t>
      </w:r>
      <w:r w:rsidR="00F372CB">
        <w:rPr>
          <w:szCs w:val="22"/>
        </w:rPr>
        <w:t>s</w:t>
      </w:r>
      <w:r>
        <w:rPr>
          <w:szCs w:val="22"/>
        </w:rPr>
        <w:t>ection 1.925 of the Commission’s Rules</w:t>
      </w:r>
      <w:r w:rsidR="006B0EA5">
        <w:rPr>
          <w:szCs w:val="22"/>
        </w:rPr>
        <w:t>, as discussed below</w:t>
      </w:r>
      <w:r>
        <w:rPr>
          <w:szCs w:val="22"/>
        </w:rPr>
        <w:t>.</w:t>
      </w:r>
      <w:r w:rsidR="00F372CB">
        <w:rPr>
          <w:rStyle w:val="FootnoteReference"/>
          <w:szCs w:val="22"/>
        </w:rPr>
        <w:footnoteReference w:id="69"/>
      </w:r>
      <w:r>
        <w:rPr>
          <w:szCs w:val="22"/>
        </w:rPr>
        <w:t xml:space="preserve">  </w:t>
      </w:r>
      <w:r w:rsidR="00D91208" w:rsidRPr="00CF56C8">
        <w:rPr>
          <w:szCs w:val="22"/>
        </w:rPr>
        <w:t>See</w:t>
      </w:r>
      <w:r w:rsidR="00D91208">
        <w:rPr>
          <w:szCs w:val="22"/>
        </w:rPr>
        <w:t xml:space="preserve"> “</w:t>
      </w:r>
      <w:r w:rsidR="00D91208">
        <w:rPr>
          <w:b/>
          <w:szCs w:val="22"/>
        </w:rPr>
        <w:t>Exhibit X: Tribal Lands Bidding Credit Waiver Requests</w:t>
      </w:r>
      <w:r w:rsidR="00D91208">
        <w:rPr>
          <w:szCs w:val="22"/>
        </w:rPr>
        <w:t xml:space="preserve">.”  </w:t>
      </w:r>
      <w:r>
        <w:rPr>
          <w:szCs w:val="22"/>
        </w:rPr>
        <w:t xml:space="preserve">Each waiver request will be evaluated on a case-by-case basis. </w:t>
      </w:r>
    </w:p>
    <w:p w:rsidR="00D91E3B" w:rsidRDefault="00D91E3B">
      <w:pPr>
        <w:rPr>
          <w:szCs w:val="22"/>
        </w:rPr>
      </w:pPr>
    </w:p>
    <w:p w:rsidR="00730029" w:rsidRDefault="00730029">
      <w:pPr>
        <w:pStyle w:val="Heading3"/>
        <w:numPr>
          <w:ilvl w:val="0"/>
          <w:numId w:val="0"/>
        </w:numPr>
        <w:jc w:val="left"/>
        <w:rPr>
          <w:caps/>
          <w:szCs w:val="22"/>
        </w:rPr>
      </w:pPr>
      <w:r>
        <w:rPr>
          <w:caps/>
          <w:szCs w:val="22"/>
        </w:rPr>
        <w:t xml:space="preserve">Exhibit X: Tribal Lands BIDDING CREDIT Waiver Requests </w:t>
      </w:r>
    </w:p>
    <w:p w:rsidR="00730029" w:rsidRDefault="00730029">
      <w:pPr>
        <w:rPr>
          <w:szCs w:val="22"/>
        </w:rPr>
      </w:pPr>
      <w:r>
        <w:rPr>
          <w:b/>
          <w:szCs w:val="22"/>
        </w:rPr>
        <w:t xml:space="preserve">Request for </w:t>
      </w:r>
      <w:r w:rsidR="004C3ABF">
        <w:rPr>
          <w:b/>
          <w:szCs w:val="22"/>
        </w:rPr>
        <w:t>A</w:t>
      </w:r>
      <w:r>
        <w:rPr>
          <w:b/>
          <w:szCs w:val="22"/>
        </w:rPr>
        <w:t xml:space="preserve">dditional </w:t>
      </w:r>
      <w:r w:rsidR="00D50398">
        <w:rPr>
          <w:b/>
          <w:szCs w:val="22"/>
        </w:rPr>
        <w:t xml:space="preserve">Tribal Lands </w:t>
      </w:r>
      <w:r w:rsidR="004C3ABF">
        <w:rPr>
          <w:b/>
          <w:szCs w:val="22"/>
        </w:rPr>
        <w:t>B</w:t>
      </w:r>
      <w:r>
        <w:rPr>
          <w:b/>
          <w:szCs w:val="22"/>
        </w:rPr>
        <w:t xml:space="preserve">idding </w:t>
      </w:r>
      <w:r w:rsidR="004C3ABF">
        <w:rPr>
          <w:b/>
          <w:szCs w:val="22"/>
        </w:rPr>
        <w:t>C</w:t>
      </w:r>
      <w:r>
        <w:rPr>
          <w:b/>
          <w:szCs w:val="22"/>
        </w:rPr>
        <w:t>redit</w:t>
      </w:r>
      <w:r w:rsidR="004C3ABF">
        <w:rPr>
          <w:szCs w:val="22"/>
        </w:rPr>
        <w:t xml:space="preserve">. </w:t>
      </w:r>
      <w:r>
        <w:rPr>
          <w:szCs w:val="22"/>
        </w:rPr>
        <w:t xml:space="preserve"> If the applicant is seeking a </w:t>
      </w:r>
      <w:r w:rsidR="00D50398">
        <w:rPr>
          <w:szCs w:val="22"/>
        </w:rPr>
        <w:t xml:space="preserve">tribal lands </w:t>
      </w:r>
      <w:r>
        <w:rPr>
          <w:szCs w:val="22"/>
        </w:rPr>
        <w:t xml:space="preserve">credit in excess of the amount calculated according to </w:t>
      </w:r>
      <w:r w:rsidR="00F372CB">
        <w:rPr>
          <w:szCs w:val="22"/>
        </w:rPr>
        <w:t>s</w:t>
      </w:r>
      <w:r>
        <w:rPr>
          <w:szCs w:val="22"/>
        </w:rPr>
        <w:t>ection 1.2110(f)(3),</w:t>
      </w:r>
      <w:r w:rsidR="00D50398">
        <w:rPr>
          <w:rStyle w:val="FootnoteReference"/>
          <w:szCs w:val="22"/>
        </w:rPr>
        <w:footnoteReference w:id="70"/>
      </w:r>
      <w:r>
        <w:rPr>
          <w:szCs w:val="22"/>
        </w:rPr>
        <w:t xml:space="preserve"> the applicant must submit a waiver request</w:t>
      </w:r>
      <w:r w:rsidR="00687DE2">
        <w:rPr>
          <w:szCs w:val="22"/>
        </w:rPr>
        <w:t xml:space="preserve"> within the 180day period after the FCC Form 601 filing deadline</w:t>
      </w:r>
      <w:r>
        <w:rPr>
          <w:szCs w:val="22"/>
        </w:rPr>
        <w:t xml:space="preserve">, pursuant to </w:t>
      </w:r>
      <w:r w:rsidR="00F372CB">
        <w:rPr>
          <w:szCs w:val="22"/>
        </w:rPr>
        <w:t>s</w:t>
      </w:r>
      <w:r>
        <w:rPr>
          <w:szCs w:val="22"/>
        </w:rPr>
        <w:t>ection 1.925 of the Commission’s rules.</w:t>
      </w:r>
      <w:r w:rsidR="00F372CB">
        <w:rPr>
          <w:rStyle w:val="FootnoteReference"/>
          <w:szCs w:val="22"/>
        </w:rPr>
        <w:footnoteReference w:id="71"/>
      </w:r>
      <w:r>
        <w:rPr>
          <w:szCs w:val="22"/>
        </w:rPr>
        <w:t xml:space="preserve">  These waiver requests are subject to the percentage cap on tribal lands bidding credits, and waivers will not be granted in excess of the applicable cap.  This waiver request must demonstrate that the infrastructure costs exceed the amount of the standard bidding credit as calculated by ULS.  The applicant will need to supply a detailed showing of the projected infrastructure costs, including a certification by an independent auditor that the estimated costs are reasonable.  Each tribal land waiver request should be attached separately by selecting Attachment Type “Tribal Lands Waiver Request”</w:t>
      </w:r>
      <w:r w:rsidR="00D40CCA">
        <w:rPr>
          <w:szCs w:val="22"/>
        </w:rPr>
        <w:t xml:space="preserve">.  In the “Description” field, enter the name of the attachment along with the </w:t>
      </w:r>
      <w:r w:rsidR="00266BE5">
        <w:rPr>
          <w:szCs w:val="22"/>
        </w:rPr>
        <w:t>market</w:t>
      </w:r>
      <w:r w:rsidR="00D40CCA">
        <w:rPr>
          <w:szCs w:val="22"/>
        </w:rPr>
        <w:t xml:space="preserve"> and Tribal lands to which the waiver request pertains, </w:t>
      </w:r>
      <w:r w:rsidRPr="00F372CB">
        <w:rPr>
          <w:szCs w:val="22"/>
        </w:rPr>
        <w:t>e.g.,</w:t>
      </w:r>
      <w:r>
        <w:rPr>
          <w:szCs w:val="22"/>
        </w:rPr>
        <w:t xml:space="preserve"> </w:t>
      </w:r>
      <w:r w:rsidR="00D40CCA" w:rsidRPr="00662EEA">
        <w:rPr>
          <w:b/>
          <w:szCs w:val="22"/>
        </w:rPr>
        <w:t>“</w:t>
      </w:r>
      <w:r w:rsidRPr="00662EEA">
        <w:rPr>
          <w:b/>
          <w:szCs w:val="22"/>
        </w:rPr>
        <w:t>Exhibit X: Tribal Lands Waiver Request</w:t>
      </w:r>
      <w:r w:rsidR="00D40CCA">
        <w:rPr>
          <w:b/>
          <w:szCs w:val="22"/>
        </w:rPr>
        <w:t xml:space="preserve"> for AT-CMA315</w:t>
      </w:r>
      <w:r w:rsidR="00266BE5">
        <w:rPr>
          <w:b/>
          <w:szCs w:val="22"/>
        </w:rPr>
        <w:t>-</w:t>
      </w:r>
      <w:r w:rsidR="00D40CCA">
        <w:rPr>
          <w:b/>
          <w:bCs/>
        </w:rPr>
        <w:t>G,  Alaska 1 - Wade Hampton, Atqasuk (Atkasook)”</w:t>
      </w:r>
      <w:r w:rsidRPr="006A2B4C">
        <w:rPr>
          <w:szCs w:val="22"/>
        </w:rPr>
        <w:t>.</w:t>
      </w:r>
    </w:p>
    <w:p w:rsidR="00730029" w:rsidRDefault="00730029">
      <w:pPr>
        <w:rPr>
          <w:szCs w:val="22"/>
        </w:rPr>
      </w:pPr>
    </w:p>
    <w:p w:rsidR="00730029" w:rsidRDefault="00730029">
      <w:pPr>
        <w:pStyle w:val="Heading3"/>
        <w:numPr>
          <w:ilvl w:val="0"/>
          <w:numId w:val="0"/>
        </w:numPr>
        <w:jc w:val="left"/>
        <w:rPr>
          <w:caps/>
          <w:smallCaps/>
          <w:szCs w:val="22"/>
        </w:rPr>
      </w:pPr>
      <w:r>
        <w:rPr>
          <w:caps/>
          <w:szCs w:val="22"/>
        </w:rPr>
        <w:t>Exhibit Y: Tribal Government Certification</w:t>
      </w:r>
    </w:p>
    <w:p w:rsidR="00730029" w:rsidRDefault="00730029">
      <w:pPr>
        <w:tabs>
          <w:tab w:val="left" w:pos="0"/>
          <w:tab w:val="left" w:pos="360"/>
          <w:tab w:val="left" w:pos="720"/>
        </w:tabs>
        <w:suppressAutoHyphens/>
        <w:rPr>
          <w:szCs w:val="22"/>
        </w:rPr>
      </w:pPr>
      <w:r>
        <w:rPr>
          <w:szCs w:val="22"/>
        </w:rPr>
        <w:t xml:space="preserve">Within the 180-day period </w:t>
      </w:r>
      <w:r w:rsidR="00687DE2">
        <w:rPr>
          <w:szCs w:val="22"/>
        </w:rPr>
        <w:t>after</w:t>
      </w:r>
      <w:r>
        <w:rPr>
          <w:szCs w:val="22"/>
        </w:rPr>
        <w:t xml:space="preserve"> the FCC Form 601 filing deadline, </w:t>
      </w:r>
      <w:r w:rsidR="00F372CB">
        <w:rPr>
          <w:szCs w:val="22"/>
        </w:rPr>
        <w:t xml:space="preserve">an </w:t>
      </w:r>
      <w:r>
        <w:rPr>
          <w:szCs w:val="22"/>
        </w:rPr>
        <w:t xml:space="preserve">applicant </w:t>
      </w:r>
      <w:r w:rsidR="00F372CB">
        <w:rPr>
          <w:szCs w:val="22"/>
        </w:rPr>
        <w:t xml:space="preserve">seeking a tribal lands bidding credit </w:t>
      </w:r>
      <w:r>
        <w:rPr>
          <w:szCs w:val="22"/>
        </w:rPr>
        <w:t>must amend its FCC Form 601 to select the tribal lands it intends to serve and to provide the required tribal government certifications for each tribal land selected.</w:t>
      </w:r>
      <w:r w:rsidR="00F372CB">
        <w:rPr>
          <w:rStyle w:val="FootnoteReference"/>
          <w:szCs w:val="22"/>
        </w:rPr>
        <w:footnoteReference w:id="72"/>
      </w:r>
      <w:r>
        <w:rPr>
          <w:szCs w:val="22"/>
        </w:rPr>
        <w:t xml:space="preserve">  The tribal government certifications </w:t>
      </w:r>
      <w:r>
        <w:rPr>
          <w:b/>
          <w:szCs w:val="22"/>
        </w:rPr>
        <w:t>must be signed</w:t>
      </w:r>
      <w:r>
        <w:rPr>
          <w:szCs w:val="22"/>
        </w:rPr>
        <w:t xml:space="preserve"> by an officer, allotment owner(s), or corporate officer of the tribal land, Indian allotment, or Alaska Native land, respectively, and uploaded as an Adobe PDF file.  Each tribal government certification should be attached separately by selecting Attachment Type “Tribal Government Certification”</w:t>
      </w:r>
      <w:r w:rsidR="00D40CCA">
        <w:rPr>
          <w:szCs w:val="22"/>
        </w:rPr>
        <w:t xml:space="preserve">.  </w:t>
      </w:r>
      <w:r>
        <w:rPr>
          <w:szCs w:val="22"/>
        </w:rPr>
        <w:t xml:space="preserve"> </w:t>
      </w:r>
      <w:r w:rsidR="00D40CCA">
        <w:rPr>
          <w:szCs w:val="22"/>
        </w:rPr>
        <w:t xml:space="preserve">In the “Description” field, enter the name of the attachment along with the </w:t>
      </w:r>
      <w:r w:rsidR="00266BE5">
        <w:rPr>
          <w:szCs w:val="22"/>
        </w:rPr>
        <w:t>market</w:t>
      </w:r>
      <w:r w:rsidR="00D40CCA">
        <w:rPr>
          <w:szCs w:val="22"/>
        </w:rPr>
        <w:t xml:space="preserve"> and Tribal lands to which the </w:t>
      </w:r>
      <w:r w:rsidR="00266BE5">
        <w:rPr>
          <w:szCs w:val="22"/>
        </w:rPr>
        <w:t>certification</w:t>
      </w:r>
      <w:r w:rsidR="00D40CCA">
        <w:rPr>
          <w:szCs w:val="22"/>
        </w:rPr>
        <w:t xml:space="preserve"> pertains</w:t>
      </w:r>
      <w:r w:rsidR="00266BE5">
        <w:rPr>
          <w:szCs w:val="22"/>
        </w:rPr>
        <w:t>,</w:t>
      </w:r>
      <w:r w:rsidR="00D40CCA">
        <w:rPr>
          <w:szCs w:val="22"/>
        </w:rPr>
        <w:t xml:space="preserve"> </w:t>
      </w:r>
      <w:r w:rsidRPr="00F372CB">
        <w:rPr>
          <w:szCs w:val="22"/>
        </w:rPr>
        <w:t>e.g.,</w:t>
      </w:r>
      <w:r>
        <w:rPr>
          <w:szCs w:val="22"/>
        </w:rPr>
        <w:t xml:space="preserve"> </w:t>
      </w:r>
      <w:r w:rsidRPr="00662EEA">
        <w:rPr>
          <w:b/>
          <w:szCs w:val="22"/>
        </w:rPr>
        <w:t>“Exhibit Y: Tribal Government Certification</w:t>
      </w:r>
      <w:r w:rsidRPr="002B0640">
        <w:rPr>
          <w:szCs w:val="22"/>
        </w:rPr>
        <w:t xml:space="preserve"> </w:t>
      </w:r>
      <w:r w:rsidR="00D40CCA">
        <w:rPr>
          <w:b/>
          <w:bCs/>
        </w:rPr>
        <w:t>for AT-CMA315-G</w:t>
      </w:r>
      <w:r w:rsidR="00266BE5">
        <w:rPr>
          <w:b/>
          <w:bCs/>
        </w:rPr>
        <w:t xml:space="preserve">, </w:t>
      </w:r>
      <w:r w:rsidR="00D40CCA">
        <w:rPr>
          <w:b/>
          <w:bCs/>
        </w:rPr>
        <w:t>Alaska 1 - Wade Hampton, Atqasuk (Atkasook)”</w:t>
      </w:r>
      <w:r w:rsidRPr="00C10CA0">
        <w:rPr>
          <w:szCs w:val="22"/>
        </w:rPr>
        <w:t>.</w:t>
      </w:r>
      <w:r>
        <w:rPr>
          <w:szCs w:val="22"/>
        </w:rPr>
        <w:t xml:space="preserve">  </w:t>
      </w:r>
    </w:p>
    <w:p w:rsidR="00730029" w:rsidRDefault="00730029">
      <w:pPr>
        <w:rPr>
          <w:szCs w:val="22"/>
        </w:rPr>
      </w:pPr>
    </w:p>
    <w:p w:rsidR="00730029" w:rsidRDefault="00730029">
      <w:pPr>
        <w:rPr>
          <w:szCs w:val="22"/>
        </w:rPr>
      </w:pPr>
      <w:r>
        <w:rPr>
          <w:szCs w:val="22"/>
        </w:rPr>
        <w:t>A tribal government certification must state that:</w:t>
      </w:r>
    </w:p>
    <w:p w:rsidR="00730029" w:rsidRDefault="00730029">
      <w:pPr>
        <w:rPr>
          <w:szCs w:val="22"/>
        </w:rPr>
      </w:pPr>
    </w:p>
    <w:p w:rsidR="00730029" w:rsidRDefault="00730029">
      <w:pPr>
        <w:numPr>
          <w:ilvl w:val="0"/>
          <w:numId w:val="12"/>
        </w:numPr>
        <w:ind w:left="1440" w:right="1080"/>
        <w:rPr>
          <w:szCs w:val="22"/>
        </w:rPr>
      </w:pPr>
      <w:r>
        <w:rPr>
          <w:szCs w:val="22"/>
        </w:rPr>
        <w:t xml:space="preserve">The tribal area to be served by the winning bidder is </w:t>
      </w:r>
      <w:r w:rsidR="00D50398">
        <w:rPr>
          <w:szCs w:val="22"/>
        </w:rPr>
        <w:t xml:space="preserve">a qualifying tribal land because it is </w:t>
      </w:r>
      <w:r>
        <w:rPr>
          <w:szCs w:val="22"/>
        </w:rPr>
        <w:t>a federally-recognized Indian tribe’s reservation, Pueblo, Colony, Alaska Native region, or Indian allotment</w:t>
      </w:r>
      <w:r w:rsidR="00D25566">
        <w:rPr>
          <w:szCs w:val="22"/>
        </w:rPr>
        <w:t xml:space="preserve"> or is </w:t>
      </w:r>
      <w:r w:rsidR="00D4560E">
        <w:rPr>
          <w:szCs w:val="22"/>
        </w:rPr>
        <w:t>included in</w:t>
      </w:r>
      <w:r w:rsidR="00D25566">
        <w:rPr>
          <w:szCs w:val="22"/>
        </w:rPr>
        <w:t xml:space="preserve"> the census blocks </w:t>
      </w:r>
      <w:r w:rsidR="00C733DE">
        <w:rPr>
          <w:szCs w:val="22"/>
        </w:rPr>
        <w:t xml:space="preserve">identified in </w:t>
      </w:r>
      <w:r w:rsidR="0062098D">
        <w:rPr>
          <w:szCs w:val="22"/>
        </w:rPr>
        <w:t xml:space="preserve">the </w:t>
      </w:r>
      <w:r w:rsidR="00C733DE" w:rsidRPr="003C5D8D">
        <w:rPr>
          <w:i/>
          <w:szCs w:val="22"/>
        </w:rPr>
        <w:t>TLBC Waiver Order</w:t>
      </w:r>
      <w:r w:rsidR="00C733DE">
        <w:rPr>
          <w:szCs w:val="22"/>
        </w:rPr>
        <w:t xml:space="preserve"> (additional areas of the </w:t>
      </w:r>
      <w:r w:rsidR="00D25566">
        <w:rPr>
          <w:szCs w:val="22"/>
        </w:rPr>
        <w:t>Eastern Navajo Agency in New Mexico</w:t>
      </w:r>
      <w:r w:rsidR="00733BD7">
        <w:rPr>
          <w:szCs w:val="22"/>
        </w:rPr>
        <w:t>)</w:t>
      </w:r>
      <w:r w:rsidR="00D25566">
        <w:rPr>
          <w:szCs w:val="22"/>
        </w:rPr>
        <w:t>,</w:t>
      </w:r>
      <w:r w:rsidR="00D25566">
        <w:rPr>
          <w:rStyle w:val="FootnoteReference"/>
          <w:szCs w:val="22"/>
        </w:rPr>
        <w:footnoteReference w:id="73"/>
      </w:r>
      <w:r w:rsidR="00D25566">
        <w:rPr>
          <w:szCs w:val="22"/>
        </w:rPr>
        <w:t xml:space="preserve"> </w:t>
      </w:r>
      <w:r>
        <w:rPr>
          <w:szCs w:val="22"/>
        </w:rPr>
        <w:t>and has a wireline telephone penetration rate at or below eighty-five (85) percent</w:t>
      </w:r>
      <w:r w:rsidR="00D63B5A">
        <w:rPr>
          <w:szCs w:val="22"/>
        </w:rPr>
        <w:t xml:space="preserve"> according to the most recent U.S. Census</w:t>
      </w:r>
      <w:r>
        <w:rPr>
          <w:szCs w:val="22"/>
        </w:rPr>
        <w:t>;</w:t>
      </w:r>
      <w:r>
        <w:rPr>
          <w:rStyle w:val="FootnoteReference"/>
          <w:szCs w:val="22"/>
        </w:rPr>
        <w:footnoteReference w:id="74"/>
      </w:r>
    </w:p>
    <w:p w:rsidR="00730029" w:rsidRDefault="00730029">
      <w:pPr>
        <w:ind w:left="1080" w:right="1080"/>
        <w:rPr>
          <w:szCs w:val="22"/>
        </w:rPr>
      </w:pPr>
    </w:p>
    <w:p w:rsidR="00730029" w:rsidRDefault="00730029">
      <w:pPr>
        <w:numPr>
          <w:ilvl w:val="0"/>
          <w:numId w:val="12"/>
        </w:numPr>
        <w:ind w:left="1440" w:right="1080"/>
        <w:rPr>
          <w:szCs w:val="22"/>
        </w:rPr>
      </w:pPr>
      <w:r>
        <w:rPr>
          <w:szCs w:val="22"/>
        </w:rPr>
        <w:t>The tribal government has not and will not enter into an exclusive contract with the applicant precluding entry by other carriers, and will not unreasonably discriminate among wireless carriers seeking to provide service on the qualifying tribal land; and</w:t>
      </w:r>
    </w:p>
    <w:p w:rsidR="00730029" w:rsidRDefault="00730029">
      <w:pPr>
        <w:ind w:left="1080" w:right="1080"/>
        <w:rPr>
          <w:szCs w:val="22"/>
        </w:rPr>
      </w:pPr>
    </w:p>
    <w:p w:rsidR="00730029" w:rsidRDefault="00730029">
      <w:pPr>
        <w:numPr>
          <w:ilvl w:val="0"/>
          <w:numId w:val="12"/>
        </w:numPr>
        <w:ind w:left="1440" w:right="1080"/>
        <w:rPr>
          <w:szCs w:val="22"/>
        </w:rPr>
      </w:pPr>
      <w:r>
        <w:rPr>
          <w:szCs w:val="22"/>
        </w:rPr>
        <w:t>The tribal government will permit the applicant to site facilities and provide service on its tribal land.</w:t>
      </w:r>
    </w:p>
    <w:p w:rsidR="00730029" w:rsidRDefault="00730029">
      <w:pPr>
        <w:rPr>
          <w:szCs w:val="22"/>
        </w:rPr>
      </w:pPr>
      <w:r>
        <w:rPr>
          <w:szCs w:val="22"/>
        </w:rPr>
        <w:t xml:space="preserve"> </w:t>
      </w:r>
    </w:p>
    <w:p w:rsidR="00730029" w:rsidRDefault="00730029" w:rsidP="00202E0B">
      <w:pPr>
        <w:rPr>
          <w:szCs w:val="22"/>
        </w:rPr>
      </w:pPr>
      <w:r>
        <w:rPr>
          <w:i/>
          <w:szCs w:val="22"/>
        </w:rPr>
        <w:t xml:space="preserve">See </w:t>
      </w:r>
      <w:r>
        <w:rPr>
          <w:szCs w:val="22"/>
        </w:rPr>
        <w:t xml:space="preserve">47 C.F.R. § 1.2110(f)(3)(ii)(A)(1)-(3). </w:t>
      </w:r>
    </w:p>
    <w:p w:rsidR="00730029" w:rsidRDefault="00730029">
      <w:pPr>
        <w:rPr>
          <w:szCs w:val="22"/>
        </w:rPr>
      </w:pPr>
    </w:p>
    <w:p w:rsidR="00730029" w:rsidRDefault="00730029">
      <w:pPr>
        <w:pStyle w:val="Heading3"/>
        <w:numPr>
          <w:ilvl w:val="0"/>
          <w:numId w:val="0"/>
        </w:numPr>
        <w:jc w:val="left"/>
        <w:rPr>
          <w:caps/>
          <w:szCs w:val="22"/>
        </w:rPr>
      </w:pPr>
      <w:r>
        <w:rPr>
          <w:caps/>
          <w:szCs w:val="22"/>
        </w:rPr>
        <w:t xml:space="preserve">Exhibit Z: TRIBAL LANDS BIDDING CREDIT Applicant Certification  </w:t>
      </w:r>
    </w:p>
    <w:p w:rsidR="00730029" w:rsidRDefault="00054D12">
      <w:pPr>
        <w:tabs>
          <w:tab w:val="left" w:pos="0"/>
        </w:tabs>
        <w:suppressAutoHyphens/>
        <w:rPr>
          <w:szCs w:val="22"/>
        </w:rPr>
      </w:pPr>
      <w:r>
        <w:rPr>
          <w:szCs w:val="22"/>
        </w:rPr>
        <w:t>Within the 180-day period after the FCC Form 601 filing deadline, a</w:t>
      </w:r>
      <w:r w:rsidR="00730029">
        <w:rPr>
          <w:szCs w:val="22"/>
        </w:rPr>
        <w:t xml:space="preserve">n applicant seeking a tribal lands bidding credit must attach a certification stating that it will comply with the build out requirements set forth in </w:t>
      </w:r>
      <w:r w:rsidR="00F372CB">
        <w:rPr>
          <w:szCs w:val="22"/>
        </w:rPr>
        <w:t>s</w:t>
      </w:r>
      <w:r w:rsidR="00730029">
        <w:rPr>
          <w:szCs w:val="22"/>
        </w:rPr>
        <w:t>ection 1.2110(f)(3)(vi</w:t>
      </w:r>
      <w:r>
        <w:rPr>
          <w:szCs w:val="22"/>
        </w:rPr>
        <w:t>i</w:t>
      </w:r>
      <w:r w:rsidR="00730029">
        <w:rPr>
          <w:szCs w:val="22"/>
        </w:rPr>
        <w:t xml:space="preserve">) of the Commission’s rules and that it will consult with the tribal government regarding the </w:t>
      </w:r>
      <w:r w:rsidR="002655AA">
        <w:rPr>
          <w:szCs w:val="22"/>
        </w:rPr>
        <w:t>c</w:t>
      </w:r>
      <w:r w:rsidR="00730029">
        <w:rPr>
          <w:szCs w:val="22"/>
        </w:rPr>
        <w:t>iting of facilities and deployment of service on the tribal land.</w:t>
      </w:r>
      <w:r w:rsidR="00F372CB">
        <w:rPr>
          <w:rStyle w:val="FootnoteReference"/>
          <w:szCs w:val="22"/>
        </w:rPr>
        <w:footnoteReference w:id="75"/>
      </w:r>
    </w:p>
    <w:p w:rsidR="00730029" w:rsidRDefault="00730029"/>
    <w:p w:rsidR="00730029" w:rsidRDefault="00730029">
      <w:pPr>
        <w:pStyle w:val="Heading1"/>
        <w:numPr>
          <w:ilvl w:val="0"/>
          <w:numId w:val="0"/>
        </w:numPr>
        <w:jc w:val="left"/>
      </w:pPr>
      <w:r>
        <w:t>V.</w:t>
      </w:r>
      <w:r>
        <w:tab/>
        <w:t>FCC FORM 602 – OWNERSHIP DISCLOSURE INFORMATION</w:t>
      </w:r>
    </w:p>
    <w:p w:rsidR="00730029" w:rsidRDefault="000E7826">
      <w:pPr>
        <w:rPr>
          <w:szCs w:val="22"/>
        </w:rPr>
      </w:pPr>
      <w:r>
        <w:rPr>
          <w:szCs w:val="22"/>
        </w:rPr>
        <w:t>Each applicant must have a</w:t>
      </w:r>
      <w:r w:rsidR="00730029">
        <w:rPr>
          <w:szCs w:val="22"/>
        </w:rPr>
        <w:t xml:space="preserve"> current FCC Form 602 on file with the Commission by </w:t>
      </w:r>
      <w:r w:rsidR="00730029" w:rsidRPr="002608C0">
        <w:rPr>
          <w:szCs w:val="22"/>
        </w:rPr>
        <w:t>the</w:t>
      </w:r>
      <w:r w:rsidR="00F67288">
        <w:rPr>
          <w:szCs w:val="22"/>
        </w:rPr>
        <w:t xml:space="preserve"> </w:t>
      </w:r>
      <w:r w:rsidR="00FB71D7">
        <w:rPr>
          <w:b/>
          <w:szCs w:val="22"/>
        </w:rPr>
        <w:t>February 13, 2015</w:t>
      </w:r>
      <w:r w:rsidR="00730029" w:rsidRPr="006A2B4C">
        <w:rPr>
          <w:szCs w:val="22"/>
        </w:rPr>
        <w:t>,</w:t>
      </w:r>
      <w:r w:rsidR="00730029">
        <w:rPr>
          <w:szCs w:val="22"/>
        </w:rPr>
        <w:t xml:space="preserve"> deadline for filing the FCC Form 601.</w:t>
      </w:r>
      <w:r>
        <w:rPr>
          <w:rStyle w:val="FootnoteReference"/>
          <w:szCs w:val="22"/>
        </w:rPr>
        <w:footnoteReference w:id="76"/>
      </w:r>
      <w:r w:rsidR="00730029">
        <w:rPr>
          <w:szCs w:val="22"/>
        </w:rPr>
        <w:t xml:space="preserve">  </w:t>
      </w:r>
      <w:r w:rsidR="00730029">
        <w:t>If an applicant has a complete and accurate FCC Form 602 on file in ULS,</w:t>
      </w:r>
      <w:r w:rsidR="00730029">
        <w:rPr>
          <w:szCs w:val="22"/>
        </w:rPr>
        <w:t xml:space="preserve"> it is not necessary for </w:t>
      </w:r>
      <w:r>
        <w:rPr>
          <w:szCs w:val="22"/>
        </w:rPr>
        <w:t>the</w:t>
      </w:r>
      <w:r w:rsidR="00730029">
        <w:rPr>
          <w:szCs w:val="22"/>
        </w:rPr>
        <w:t xml:space="preserve"> applicant to file a new FCC Form 602.  However, </w:t>
      </w:r>
      <w:r>
        <w:rPr>
          <w:szCs w:val="22"/>
        </w:rPr>
        <w:t xml:space="preserve">each </w:t>
      </w:r>
      <w:r w:rsidR="00730029">
        <w:t>applicant</w:t>
      </w:r>
      <w:r>
        <w:t xml:space="preserve"> is</w:t>
      </w:r>
      <w:r w:rsidR="00730029">
        <w:t xml:space="preserve"> responsible for ensur</w:t>
      </w:r>
      <w:r w:rsidR="0063620D">
        <w:t>ing</w:t>
      </w:r>
      <w:r w:rsidR="00730029">
        <w:t xml:space="preserve"> that the information on </w:t>
      </w:r>
      <w:r>
        <w:t>its</w:t>
      </w:r>
      <w:r w:rsidR="00730029">
        <w:t xml:space="preserve"> FCC Form 602 on file with the Commission is complete and accurate.  </w:t>
      </w:r>
      <w:r w:rsidR="00730029">
        <w:rPr>
          <w:szCs w:val="22"/>
        </w:rPr>
        <w:t xml:space="preserve">If the applicant does not have an FCC Form 602 on file or it is not current, the applicant must file a new </w:t>
      </w:r>
      <w:r w:rsidR="0063620D">
        <w:rPr>
          <w:szCs w:val="22"/>
        </w:rPr>
        <w:t xml:space="preserve">or updated </w:t>
      </w:r>
      <w:r w:rsidR="00730029">
        <w:rPr>
          <w:szCs w:val="22"/>
        </w:rPr>
        <w:t>FCC Form 602.  If an FCC Form 602 needs to be filed, ULS can pre-fill the FCC Form 602 with the applicable ownership information from the</w:t>
      </w:r>
      <w:r>
        <w:rPr>
          <w:szCs w:val="22"/>
        </w:rPr>
        <w:t xml:space="preserve"> applicant’s short form application</w:t>
      </w:r>
      <w:r w:rsidR="00730029">
        <w:rPr>
          <w:szCs w:val="22"/>
        </w:rPr>
        <w:t xml:space="preserve"> </w:t>
      </w:r>
      <w:r>
        <w:rPr>
          <w:szCs w:val="22"/>
        </w:rPr>
        <w:t>(</w:t>
      </w:r>
      <w:r w:rsidR="00730029">
        <w:rPr>
          <w:szCs w:val="22"/>
        </w:rPr>
        <w:t>FCC Form 175</w:t>
      </w:r>
      <w:r>
        <w:rPr>
          <w:szCs w:val="22"/>
        </w:rPr>
        <w:t>)</w:t>
      </w:r>
      <w:r w:rsidR="00730029">
        <w:rPr>
          <w:szCs w:val="22"/>
        </w:rPr>
        <w:t>.  The applicant should confirm that the Ownership Disclosure information that is copied into the FCC Form 602 is complete and accurate.</w:t>
      </w:r>
      <w:r>
        <w:rPr>
          <w:rStyle w:val="FootnoteReference"/>
          <w:szCs w:val="22"/>
        </w:rPr>
        <w:footnoteReference w:id="77"/>
      </w:r>
      <w:r w:rsidR="00730029">
        <w:rPr>
          <w:szCs w:val="22"/>
        </w:rPr>
        <w:t xml:space="preserve">  Applicants are reminded that any updates to FCC Form 602 must be filed electronically.</w:t>
      </w:r>
      <w:r w:rsidR="00730029">
        <w:rPr>
          <w:rStyle w:val="FootnoteReference"/>
          <w:szCs w:val="22"/>
        </w:rPr>
        <w:footnoteReference w:id="78"/>
      </w:r>
      <w:r w:rsidR="00730029">
        <w:rPr>
          <w:szCs w:val="22"/>
        </w:rPr>
        <w:t xml:space="preserve">  </w:t>
      </w:r>
    </w:p>
    <w:p w:rsidR="00730029" w:rsidRDefault="00730029">
      <w:pPr>
        <w:rPr>
          <w:szCs w:val="22"/>
        </w:rPr>
      </w:pPr>
    </w:p>
    <w:p w:rsidR="00730029" w:rsidRPr="006E1494" w:rsidRDefault="006E1494">
      <w:pPr>
        <w:keepNext/>
        <w:keepLines/>
        <w:rPr>
          <w:szCs w:val="22"/>
          <w:u w:val="single"/>
        </w:rPr>
      </w:pPr>
      <w:r>
        <w:rPr>
          <w:b/>
          <w:szCs w:val="22"/>
          <w:u w:val="single"/>
        </w:rPr>
        <w:t xml:space="preserve">Step-by-Step Instructions for </w:t>
      </w:r>
      <w:r w:rsidR="00730029" w:rsidRPr="006E1494">
        <w:rPr>
          <w:b/>
          <w:szCs w:val="22"/>
          <w:u w:val="single"/>
        </w:rPr>
        <w:t>Fil</w:t>
      </w:r>
      <w:r>
        <w:rPr>
          <w:b/>
          <w:szCs w:val="22"/>
          <w:u w:val="single"/>
        </w:rPr>
        <w:t>ing</w:t>
      </w:r>
      <w:r w:rsidR="00730029" w:rsidRPr="006E1494">
        <w:rPr>
          <w:b/>
          <w:szCs w:val="22"/>
          <w:u w:val="single"/>
        </w:rPr>
        <w:t xml:space="preserve"> FCC Form 602  </w:t>
      </w:r>
    </w:p>
    <w:p w:rsidR="00730029" w:rsidRDefault="00730029">
      <w:pPr>
        <w:keepNext/>
        <w:keepLines/>
        <w:rPr>
          <w:szCs w:val="22"/>
        </w:rPr>
      </w:pPr>
    </w:p>
    <w:p w:rsidR="00730029" w:rsidRDefault="00730029">
      <w:pPr>
        <w:numPr>
          <w:ilvl w:val="0"/>
          <w:numId w:val="10"/>
        </w:numPr>
        <w:tabs>
          <w:tab w:val="left" w:pos="0"/>
        </w:tabs>
        <w:suppressAutoHyphens/>
        <w:rPr>
          <w:szCs w:val="22"/>
        </w:rPr>
      </w:pPr>
      <w:r>
        <w:rPr>
          <w:szCs w:val="22"/>
        </w:rPr>
        <w:t xml:space="preserve">Access the ULS homepage, </w:t>
      </w:r>
      <w:hyperlink r:id="rId14" w:history="1">
        <w:r>
          <w:rPr>
            <w:rStyle w:val="Hyperlink"/>
            <w:color w:val="auto"/>
            <w:szCs w:val="22"/>
          </w:rPr>
          <w:t>http://wireless.fcc.gov/uls</w:t>
        </w:r>
      </w:hyperlink>
      <w:r>
        <w:rPr>
          <w:szCs w:val="22"/>
        </w:rPr>
        <w:t xml:space="preserve">, and click the </w:t>
      </w:r>
      <w:r>
        <w:rPr>
          <w:b/>
          <w:szCs w:val="22"/>
        </w:rPr>
        <w:t>Log In</w:t>
      </w:r>
      <w:r>
        <w:rPr>
          <w:szCs w:val="22"/>
        </w:rPr>
        <w:t xml:space="preserve"> button in the Online Filing section. </w:t>
      </w:r>
    </w:p>
    <w:p w:rsidR="00730029" w:rsidRDefault="00730029">
      <w:pPr>
        <w:rPr>
          <w:szCs w:val="22"/>
        </w:rPr>
      </w:pPr>
    </w:p>
    <w:p w:rsidR="00730029" w:rsidRDefault="00730029">
      <w:pPr>
        <w:numPr>
          <w:ilvl w:val="0"/>
          <w:numId w:val="10"/>
        </w:numPr>
        <w:tabs>
          <w:tab w:val="left" w:pos="0"/>
        </w:tabs>
        <w:suppressAutoHyphens/>
        <w:rPr>
          <w:szCs w:val="22"/>
        </w:rPr>
      </w:pPr>
      <w:r>
        <w:rPr>
          <w:szCs w:val="22"/>
        </w:rPr>
        <w:t xml:space="preserve">On the next page, enter the FRN and password of the filer and select </w:t>
      </w:r>
      <w:r>
        <w:rPr>
          <w:b/>
          <w:szCs w:val="22"/>
        </w:rPr>
        <w:t>Continue.</w:t>
      </w:r>
      <w:r>
        <w:rPr>
          <w:szCs w:val="22"/>
        </w:rPr>
        <w:t xml:space="preserve">  The </w:t>
      </w:r>
      <w:r w:rsidR="0063620D">
        <w:rPr>
          <w:szCs w:val="22"/>
        </w:rPr>
        <w:t>“</w:t>
      </w:r>
      <w:r>
        <w:rPr>
          <w:szCs w:val="22"/>
        </w:rPr>
        <w:t>ULS Online Systems</w:t>
      </w:r>
      <w:r w:rsidR="0063620D">
        <w:rPr>
          <w:szCs w:val="22"/>
        </w:rPr>
        <w:t>”</w:t>
      </w:r>
      <w:r>
        <w:rPr>
          <w:szCs w:val="22"/>
        </w:rPr>
        <w:t xml:space="preserve"> page will appear.  </w:t>
      </w:r>
      <w:r>
        <w:rPr>
          <w:b/>
          <w:szCs w:val="22"/>
        </w:rPr>
        <w:t>Note:</w:t>
      </w:r>
      <w:r>
        <w:rPr>
          <w:szCs w:val="22"/>
        </w:rPr>
        <w:t xml:space="preserve"> If the Applicant listed on FCC Form 601 is listed as the filer on the Ownership filing, provide the same FRN as provided on FCC Form 601.  </w:t>
      </w:r>
    </w:p>
    <w:p w:rsidR="00730029" w:rsidRDefault="00730029">
      <w:pPr>
        <w:rPr>
          <w:szCs w:val="22"/>
        </w:rPr>
      </w:pPr>
    </w:p>
    <w:p w:rsidR="00730029" w:rsidRDefault="00730029">
      <w:pPr>
        <w:numPr>
          <w:ilvl w:val="0"/>
          <w:numId w:val="10"/>
        </w:numPr>
        <w:tabs>
          <w:tab w:val="left" w:pos="0"/>
        </w:tabs>
        <w:suppressAutoHyphens/>
        <w:rPr>
          <w:szCs w:val="22"/>
        </w:rPr>
      </w:pPr>
      <w:r>
        <w:rPr>
          <w:szCs w:val="22"/>
        </w:rPr>
        <w:t xml:space="preserve">Click the </w:t>
      </w:r>
      <w:r w:rsidR="0063620D">
        <w:rPr>
          <w:szCs w:val="22"/>
        </w:rPr>
        <w:t>“</w:t>
      </w:r>
      <w:r>
        <w:rPr>
          <w:szCs w:val="22"/>
        </w:rPr>
        <w:t>My Ownership Disclosure Information</w:t>
      </w:r>
      <w:r w:rsidR="0063620D">
        <w:rPr>
          <w:szCs w:val="22"/>
        </w:rPr>
        <w:t>”</w:t>
      </w:r>
      <w:r>
        <w:rPr>
          <w:szCs w:val="22"/>
        </w:rPr>
        <w:t xml:space="preserve"> link in the left-hand Task menu.</w:t>
      </w:r>
    </w:p>
    <w:p w:rsidR="00730029" w:rsidRDefault="00730029">
      <w:pPr>
        <w:tabs>
          <w:tab w:val="left" w:pos="0"/>
        </w:tabs>
        <w:suppressAutoHyphens/>
        <w:rPr>
          <w:szCs w:val="22"/>
        </w:rPr>
      </w:pPr>
    </w:p>
    <w:p w:rsidR="00730029" w:rsidRDefault="00730029">
      <w:pPr>
        <w:numPr>
          <w:ilvl w:val="0"/>
          <w:numId w:val="10"/>
        </w:numPr>
        <w:tabs>
          <w:tab w:val="left" w:pos="0"/>
        </w:tabs>
        <w:suppressAutoHyphens/>
        <w:rPr>
          <w:szCs w:val="22"/>
        </w:rPr>
      </w:pPr>
      <w:r>
        <w:rPr>
          <w:szCs w:val="22"/>
        </w:rPr>
        <w:t xml:space="preserve">On the </w:t>
      </w:r>
      <w:r w:rsidR="0063620D">
        <w:rPr>
          <w:szCs w:val="22"/>
        </w:rPr>
        <w:t>“</w:t>
      </w:r>
      <w:r>
        <w:rPr>
          <w:szCs w:val="22"/>
        </w:rPr>
        <w:t>My Ownership Disclosure Filing</w:t>
      </w:r>
      <w:r w:rsidR="0063620D">
        <w:rPr>
          <w:szCs w:val="22"/>
        </w:rPr>
        <w:t>”</w:t>
      </w:r>
      <w:r>
        <w:rPr>
          <w:szCs w:val="22"/>
        </w:rPr>
        <w:t xml:space="preserve"> page, you will see the Ownership Disclosure Filing created with the submission of the FCC Form 175 marked with a red dot.  Select the Filer Name link to update any of the ownership information and file the FCC Form 602.</w:t>
      </w:r>
    </w:p>
    <w:p w:rsidR="00730029" w:rsidRDefault="00730029">
      <w:pPr>
        <w:tabs>
          <w:tab w:val="left" w:pos="0"/>
        </w:tabs>
        <w:suppressAutoHyphens/>
        <w:rPr>
          <w:szCs w:val="22"/>
        </w:rPr>
      </w:pPr>
    </w:p>
    <w:p w:rsidR="00730029" w:rsidRDefault="00730029">
      <w:pPr>
        <w:numPr>
          <w:ilvl w:val="0"/>
          <w:numId w:val="10"/>
        </w:numPr>
        <w:tabs>
          <w:tab w:val="left" w:pos="0"/>
        </w:tabs>
        <w:suppressAutoHyphens/>
        <w:rPr>
          <w:szCs w:val="22"/>
        </w:rPr>
      </w:pPr>
      <w:r>
        <w:rPr>
          <w:szCs w:val="22"/>
        </w:rPr>
        <w:t xml:space="preserve">On the </w:t>
      </w:r>
      <w:r w:rsidR="0063620D">
        <w:rPr>
          <w:szCs w:val="22"/>
        </w:rPr>
        <w:t>“</w:t>
      </w:r>
      <w:r>
        <w:rPr>
          <w:szCs w:val="22"/>
        </w:rPr>
        <w:t>Ownership Disclosure Filing</w:t>
      </w:r>
      <w:r w:rsidR="0063620D">
        <w:rPr>
          <w:szCs w:val="22"/>
        </w:rPr>
        <w:t>”</w:t>
      </w:r>
      <w:r>
        <w:rPr>
          <w:szCs w:val="22"/>
        </w:rPr>
        <w:t xml:space="preserve"> page that appears, select the </w:t>
      </w:r>
      <w:r w:rsidR="0063620D">
        <w:rPr>
          <w:szCs w:val="22"/>
        </w:rPr>
        <w:t>“</w:t>
      </w:r>
      <w:r>
        <w:rPr>
          <w:szCs w:val="22"/>
        </w:rPr>
        <w:t>Update Filing</w:t>
      </w:r>
      <w:r w:rsidR="0063620D">
        <w:rPr>
          <w:szCs w:val="22"/>
        </w:rPr>
        <w:t>”</w:t>
      </w:r>
      <w:r>
        <w:rPr>
          <w:szCs w:val="22"/>
        </w:rPr>
        <w:t xml:space="preserve"> link in the </w:t>
      </w:r>
      <w:r w:rsidR="0063620D">
        <w:rPr>
          <w:szCs w:val="22"/>
        </w:rPr>
        <w:t>“</w:t>
      </w:r>
      <w:r>
        <w:rPr>
          <w:szCs w:val="22"/>
        </w:rPr>
        <w:t>Work on this Filing</w:t>
      </w:r>
      <w:r w:rsidR="0063620D">
        <w:rPr>
          <w:szCs w:val="22"/>
        </w:rPr>
        <w:t>”</w:t>
      </w:r>
      <w:r>
        <w:rPr>
          <w:szCs w:val="22"/>
        </w:rPr>
        <w:t xml:space="preserve"> menu.  The FCC Form 602 will pre-fill with the applicable ownership information from the FCC Form 175 filing. </w:t>
      </w:r>
    </w:p>
    <w:p w:rsidR="00730029" w:rsidRDefault="00730029">
      <w:pPr>
        <w:tabs>
          <w:tab w:val="left" w:pos="0"/>
        </w:tabs>
        <w:suppressAutoHyphens/>
        <w:rPr>
          <w:szCs w:val="22"/>
        </w:rPr>
      </w:pPr>
    </w:p>
    <w:p w:rsidR="00730029" w:rsidRDefault="00730029">
      <w:pPr>
        <w:numPr>
          <w:ilvl w:val="0"/>
          <w:numId w:val="10"/>
        </w:numPr>
        <w:tabs>
          <w:tab w:val="left" w:pos="0"/>
        </w:tabs>
        <w:suppressAutoHyphens/>
        <w:rPr>
          <w:szCs w:val="22"/>
        </w:rPr>
      </w:pPr>
      <w:r>
        <w:rPr>
          <w:szCs w:val="22"/>
        </w:rPr>
        <w:t>The Work on this Filing menu will display several update options.  This is your toolbox for performing action on your ownership filing.  Use the links as needed, to:</w:t>
      </w:r>
    </w:p>
    <w:p w:rsidR="00730029" w:rsidRDefault="00730029">
      <w:pPr>
        <w:tabs>
          <w:tab w:val="left" w:pos="0"/>
        </w:tabs>
        <w:suppressAutoHyphens/>
        <w:ind w:left="360"/>
        <w:rPr>
          <w:szCs w:val="22"/>
        </w:rPr>
      </w:pPr>
    </w:p>
    <w:p w:rsidR="00730029" w:rsidRDefault="00730029">
      <w:pPr>
        <w:numPr>
          <w:ilvl w:val="0"/>
          <w:numId w:val="7"/>
        </w:numPr>
        <w:ind w:left="1080"/>
        <w:rPr>
          <w:szCs w:val="22"/>
        </w:rPr>
      </w:pPr>
      <w:r>
        <w:rPr>
          <w:szCs w:val="22"/>
        </w:rPr>
        <w:t>View and Edit Filer Information</w:t>
      </w:r>
    </w:p>
    <w:p w:rsidR="00730029" w:rsidRDefault="00730029">
      <w:pPr>
        <w:numPr>
          <w:ilvl w:val="0"/>
          <w:numId w:val="7"/>
        </w:numPr>
        <w:ind w:left="1080"/>
        <w:rPr>
          <w:szCs w:val="22"/>
        </w:rPr>
      </w:pPr>
      <w:r>
        <w:rPr>
          <w:szCs w:val="22"/>
        </w:rPr>
        <w:t>Add a Disclosable Interest Holder of the Filer (corresponds to questions 1-9 on  Schedule A)</w:t>
      </w:r>
    </w:p>
    <w:p w:rsidR="00730029" w:rsidRDefault="00730029">
      <w:pPr>
        <w:numPr>
          <w:ilvl w:val="0"/>
          <w:numId w:val="7"/>
        </w:numPr>
        <w:ind w:left="1080"/>
        <w:rPr>
          <w:szCs w:val="22"/>
        </w:rPr>
      </w:pPr>
      <w:r>
        <w:rPr>
          <w:szCs w:val="22"/>
        </w:rPr>
        <w:t>Add an FCC Regulated Business of the Filer (corresponds to question 5 on the Main Form)</w:t>
      </w:r>
    </w:p>
    <w:p w:rsidR="00730029" w:rsidRDefault="00730029">
      <w:pPr>
        <w:numPr>
          <w:ilvl w:val="0"/>
          <w:numId w:val="7"/>
        </w:numPr>
        <w:ind w:left="1080"/>
        <w:rPr>
          <w:szCs w:val="22"/>
        </w:rPr>
      </w:pPr>
      <w:r>
        <w:rPr>
          <w:szCs w:val="22"/>
        </w:rPr>
        <w:t>Add an FCC Regulated Business of a Disclosable Interest Holder (corresponds to question 10 on Schedule A)</w:t>
      </w:r>
    </w:p>
    <w:p w:rsidR="00730029" w:rsidRDefault="00730029">
      <w:pPr>
        <w:numPr>
          <w:ilvl w:val="0"/>
          <w:numId w:val="7"/>
        </w:numPr>
        <w:ind w:left="1080"/>
        <w:rPr>
          <w:szCs w:val="22"/>
        </w:rPr>
      </w:pPr>
      <w:r>
        <w:rPr>
          <w:szCs w:val="22"/>
        </w:rPr>
        <w:t>Change the Filing Type</w:t>
      </w:r>
    </w:p>
    <w:p w:rsidR="00730029" w:rsidRDefault="00730029">
      <w:pPr>
        <w:numPr>
          <w:ilvl w:val="0"/>
          <w:numId w:val="7"/>
        </w:numPr>
        <w:ind w:left="1080"/>
        <w:rPr>
          <w:szCs w:val="22"/>
        </w:rPr>
      </w:pPr>
      <w:r>
        <w:rPr>
          <w:szCs w:val="22"/>
        </w:rPr>
        <w:t>Certify the Filing</w:t>
      </w:r>
    </w:p>
    <w:p w:rsidR="00730029" w:rsidRDefault="00730029">
      <w:pPr>
        <w:numPr>
          <w:ilvl w:val="0"/>
          <w:numId w:val="7"/>
        </w:numPr>
        <w:ind w:left="1080"/>
        <w:rPr>
          <w:i/>
          <w:szCs w:val="22"/>
        </w:rPr>
      </w:pPr>
      <w:r>
        <w:rPr>
          <w:szCs w:val="22"/>
        </w:rPr>
        <w:t>Change Cellular Cross Interest</w:t>
      </w:r>
    </w:p>
    <w:p w:rsidR="00730029" w:rsidRDefault="00730029">
      <w:pPr>
        <w:ind w:left="720"/>
        <w:rPr>
          <w:szCs w:val="22"/>
        </w:rPr>
      </w:pPr>
    </w:p>
    <w:p w:rsidR="00730029" w:rsidRDefault="00730029">
      <w:pPr>
        <w:numPr>
          <w:ilvl w:val="0"/>
          <w:numId w:val="10"/>
        </w:numPr>
        <w:tabs>
          <w:tab w:val="left" w:pos="0"/>
        </w:tabs>
        <w:suppressAutoHyphens/>
        <w:rPr>
          <w:szCs w:val="22"/>
        </w:rPr>
      </w:pPr>
      <w:r>
        <w:rPr>
          <w:szCs w:val="22"/>
        </w:rPr>
        <w:t xml:space="preserve">Update necessary information, following the onscreen instructions and prompts.  To complete your changes, select the </w:t>
      </w:r>
      <w:r>
        <w:rPr>
          <w:b/>
          <w:szCs w:val="22"/>
        </w:rPr>
        <w:t>Certify Filing</w:t>
      </w:r>
      <w:r>
        <w:rPr>
          <w:szCs w:val="22"/>
        </w:rPr>
        <w:t xml:space="preserve"> button, which appears at the bottom of the appropriate </w:t>
      </w:r>
      <w:r w:rsidR="0063620D">
        <w:rPr>
          <w:szCs w:val="22"/>
        </w:rPr>
        <w:t>“</w:t>
      </w:r>
      <w:r>
        <w:rPr>
          <w:szCs w:val="22"/>
        </w:rPr>
        <w:t>Ownership Filing</w:t>
      </w:r>
      <w:r w:rsidR="0063620D">
        <w:rPr>
          <w:szCs w:val="22"/>
        </w:rPr>
        <w:t>”</w:t>
      </w:r>
      <w:r>
        <w:rPr>
          <w:szCs w:val="22"/>
        </w:rPr>
        <w:t xml:space="preserve"> pages.  When the FCC Form 602 filing is submitted successfully, a </w:t>
      </w:r>
      <w:r w:rsidR="00630307">
        <w:rPr>
          <w:szCs w:val="22"/>
        </w:rPr>
        <w:t>C</w:t>
      </w:r>
      <w:r>
        <w:rPr>
          <w:szCs w:val="22"/>
        </w:rPr>
        <w:t>onfirmation page will display the filer’s FRN, the date of submission, and a file number for this filing.</w:t>
      </w:r>
      <w:r w:rsidR="009B137A">
        <w:rPr>
          <w:szCs w:val="22"/>
        </w:rPr>
        <w:t xml:space="preserve">  Any future reference to this filing must be made using this file number.</w:t>
      </w:r>
    </w:p>
    <w:p w:rsidR="00730029" w:rsidRDefault="00730029">
      <w:pPr>
        <w:tabs>
          <w:tab w:val="left" w:pos="0"/>
        </w:tabs>
        <w:suppressAutoHyphens/>
        <w:ind w:left="360"/>
        <w:rPr>
          <w:szCs w:val="22"/>
        </w:rPr>
      </w:pPr>
    </w:p>
    <w:p w:rsidR="00730029" w:rsidRDefault="00730029">
      <w:pPr>
        <w:tabs>
          <w:tab w:val="left" w:pos="0"/>
        </w:tabs>
        <w:suppressAutoHyphens/>
        <w:ind w:left="720"/>
      </w:pPr>
      <w:r w:rsidRPr="009B137A">
        <w:t xml:space="preserve">ULS Ownership Filing displays this Confirmation page for your records.  We strongly recommend you print a copy of this page.  You may print the Confirmation page by choosing the Print option from the File menu of your Web browser.  You may also choose to print a copy of the complete FCC Form 602 by selecting the </w:t>
      </w:r>
      <w:r w:rsidR="0063620D">
        <w:t>“</w:t>
      </w:r>
      <w:r w:rsidRPr="009B137A">
        <w:t>Reference Copy</w:t>
      </w:r>
      <w:r w:rsidR="0063620D">
        <w:t>”</w:t>
      </w:r>
      <w:r w:rsidRPr="009B137A">
        <w:t xml:space="preserve"> link.  </w:t>
      </w:r>
    </w:p>
    <w:p w:rsidR="00730029" w:rsidRDefault="00730029">
      <w:pPr>
        <w:rPr>
          <w:b/>
          <w:szCs w:val="22"/>
        </w:rPr>
      </w:pPr>
    </w:p>
    <w:p w:rsidR="00730029" w:rsidRDefault="00730029">
      <w:pPr>
        <w:rPr>
          <w:b/>
          <w:szCs w:val="22"/>
        </w:rPr>
      </w:pPr>
      <w:r>
        <w:rPr>
          <w:b/>
          <w:szCs w:val="22"/>
        </w:rPr>
        <w:t xml:space="preserve">Note:  </w:t>
      </w:r>
      <w:r>
        <w:rPr>
          <w:szCs w:val="22"/>
        </w:rPr>
        <w:t xml:space="preserve">For additional instructions regarding electronic filing of FCC Form 602 ownership information, use the </w:t>
      </w:r>
      <w:r>
        <w:rPr>
          <w:b/>
          <w:szCs w:val="22"/>
        </w:rPr>
        <w:t>Help</w:t>
      </w:r>
      <w:r>
        <w:rPr>
          <w:szCs w:val="22"/>
        </w:rPr>
        <w:t xml:space="preserve"> button, located on the top right of any page within Ownership Filing.</w:t>
      </w:r>
      <w:r>
        <w:rPr>
          <w:b/>
          <w:szCs w:val="22"/>
        </w:rPr>
        <w:t xml:space="preserve"> </w:t>
      </w:r>
    </w:p>
    <w:p w:rsidR="00730029" w:rsidRDefault="00730029">
      <w:pPr>
        <w:rPr>
          <w:szCs w:val="22"/>
        </w:rPr>
      </w:pPr>
    </w:p>
    <w:p w:rsidR="00730029" w:rsidRDefault="00630307">
      <w:pPr>
        <w:jc w:val="both"/>
        <w:rPr>
          <w:szCs w:val="22"/>
        </w:rPr>
      </w:pPr>
      <w:r>
        <w:rPr>
          <w:b/>
          <w:bCs/>
          <w:szCs w:val="22"/>
        </w:rPr>
        <w:t>COMMISSION</w:t>
      </w:r>
      <w:r w:rsidR="00730029">
        <w:rPr>
          <w:b/>
          <w:bCs/>
          <w:szCs w:val="22"/>
        </w:rPr>
        <w:t xml:space="preserve"> NOTICE REQUIRED BY THE PAPERWORK REDUCTION ACT</w:t>
      </w:r>
    </w:p>
    <w:p w:rsidR="00730029" w:rsidRDefault="00730029">
      <w:pPr>
        <w:suppressAutoHyphens/>
        <w:jc w:val="both"/>
        <w:rPr>
          <w:szCs w:val="22"/>
        </w:rPr>
      </w:pPr>
    </w:p>
    <w:p w:rsidR="00730029" w:rsidRDefault="00730029" w:rsidP="000E7826">
      <w:pPr>
        <w:suppressAutoHyphens/>
        <w:rPr>
          <w:szCs w:val="22"/>
        </w:rPr>
      </w:pPr>
      <w:r>
        <w:rPr>
          <w:szCs w:val="22"/>
        </w:rPr>
        <w:t>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3060-0798.</w:t>
      </w:r>
    </w:p>
    <w:p w:rsidR="00730029" w:rsidRDefault="00730029">
      <w:pPr>
        <w:suppressAutoHyphens/>
        <w:jc w:val="both"/>
        <w:rPr>
          <w:szCs w:val="22"/>
        </w:rPr>
      </w:pPr>
    </w:p>
    <w:p w:rsidR="00730029" w:rsidRDefault="00730029" w:rsidP="000E7826">
      <w:pPr>
        <w:rPr>
          <w:b/>
          <w:bCs/>
          <w:szCs w:val="22"/>
        </w:rPr>
      </w:pPr>
      <w:r>
        <w:rPr>
          <w:b/>
          <w:bCs/>
          <w:szCs w:val="22"/>
        </w:rPr>
        <w:t>THE FOREGOING NOTICE IS REQUIRED BY THE PAPERWORK REDUCTION ACT OF 1995, P.L. 104-13, OCTOBER 1, 1995, 44 U.S.C. 3507.</w:t>
      </w:r>
    </w:p>
    <w:p w:rsidR="00730029" w:rsidRDefault="00730029"/>
    <w:sectPr w:rsidR="0073002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E4" w:rsidRDefault="001538E4">
      <w:r>
        <w:separator/>
      </w:r>
    </w:p>
  </w:endnote>
  <w:endnote w:type="continuationSeparator" w:id="0">
    <w:p w:rsidR="001538E4" w:rsidRDefault="0015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26" w:rsidRDefault="00127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83" w:rsidRDefault="00145B83" w:rsidP="00E30503">
    <w:pPr>
      <w:pStyle w:val="Footer"/>
      <w:jc w:val="center"/>
      <w:rP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A36485">
      <w:rPr>
        <w:rStyle w:val="PageNumber"/>
        <w:noProof/>
        <w:szCs w:val="22"/>
      </w:rPr>
      <w:t>2</w:t>
    </w:r>
    <w:r>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83" w:rsidRDefault="00145B83" w:rsidP="00E30503">
    <w:pPr>
      <w:pStyle w:val="Footer"/>
      <w:jc w:val="center"/>
      <w:rPr>
        <w:szCs w:val="22"/>
      </w:rPr>
    </w:pPr>
    <w:r>
      <w:rPr>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E4" w:rsidRDefault="001538E4">
      <w:r>
        <w:separator/>
      </w:r>
    </w:p>
  </w:footnote>
  <w:footnote w:type="continuationSeparator" w:id="0">
    <w:p w:rsidR="001538E4" w:rsidRDefault="001538E4">
      <w:r>
        <w:continuationSeparator/>
      </w:r>
    </w:p>
  </w:footnote>
  <w:footnote w:id="1">
    <w:p w:rsidR="00145B83" w:rsidRPr="006972F4" w:rsidRDefault="00145B83" w:rsidP="000C7444">
      <w:pPr>
        <w:pStyle w:val="FootnoteText"/>
        <w:spacing w:after="120"/>
      </w:pPr>
      <w:r>
        <w:rPr>
          <w:rStyle w:val="FootnoteReference"/>
        </w:rPr>
        <w:footnoteRef/>
      </w:r>
      <w:r>
        <w:t xml:space="preserve"> </w:t>
      </w:r>
      <w:r>
        <w:rPr>
          <w:i/>
        </w:rPr>
        <w:t>See</w:t>
      </w:r>
      <w:r>
        <w:t xml:space="preserve"> 47 </w:t>
      </w:r>
      <w:r w:rsidRPr="00B30E75">
        <w:rPr>
          <w:sz w:val="20"/>
        </w:rPr>
        <w:t>C.F.R. §</w:t>
      </w:r>
      <w:r>
        <w:rPr>
          <w:sz w:val="20"/>
        </w:rPr>
        <w:t xml:space="preserve"> 1.2107(c), (d), (f).</w:t>
      </w:r>
    </w:p>
  </w:footnote>
  <w:footnote w:id="2">
    <w:p w:rsidR="00145B83" w:rsidRPr="00B30E75" w:rsidRDefault="00145B83" w:rsidP="00AB2107">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1.65.</w:t>
      </w:r>
      <w:r w:rsidRPr="00B30E75">
        <w:rPr>
          <w:b/>
          <w:sz w:val="20"/>
        </w:rPr>
        <w:t xml:space="preserve">   </w:t>
      </w:r>
    </w:p>
  </w:footnote>
  <w:footnote w:id="3">
    <w:p w:rsidR="00145B83" w:rsidRPr="00B30E75" w:rsidRDefault="00145B83" w:rsidP="00AB2107">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1.934(a), (d), (f); </w:t>
      </w:r>
      <w:r w:rsidRPr="00B30E75">
        <w:rPr>
          <w:i/>
          <w:sz w:val="20"/>
        </w:rPr>
        <w:t>see also</w:t>
      </w:r>
      <w:r w:rsidRPr="00B30E75">
        <w:rPr>
          <w:sz w:val="20"/>
        </w:rPr>
        <w:t xml:space="preserve"> 47 C.F.R. § 1.933(b).</w:t>
      </w:r>
    </w:p>
  </w:footnote>
  <w:footnote w:id="4">
    <w:p w:rsidR="00145B83" w:rsidRPr="00B30E75" w:rsidRDefault="00145B83" w:rsidP="00AB2107">
      <w:pPr>
        <w:pStyle w:val="FootnoteText"/>
        <w:spacing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1.2104(g), 1.2107(c).</w:t>
      </w:r>
    </w:p>
  </w:footnote>
  <w:footnote w:id="5">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Implementation of the Commercial Spectrum Enhancement Act and Modernization of the Commission's Competitive Bidding Rules and Procedures, WT Docket No. 05-211, </w:t>
      </w:r>
      <w:r w:rsidRPr="00B30E75">
        <w:rPr>
          <w:i/>
          <w:sz w:val="20"/>
        </w:rPr>
        <w:t>Report and Order</w:t>
      </w:r>
      <w:r w:rsidRPr="00B30E75">
        <w:rPr>
          <w:sz w:val="20"/>
        </w:rPr>
        <w:t>, 21 FCC Rcd 891, 911-12 ¶¶ 51-52 (2006) (“</w:t>
      </w:r>
      <w:r w:rsidRPr="00B30E75">
        <w:rPr>
          <w:i/>
          <w:sz w:val="20"/>
        </w:rPr>
        <w:t>CSEA</w:t>
      </w:r>
      <w:r>
        <w:rPr>
          <w:i/>
          <w:sz w:val="20"/>
        </w:rPr>
        <w:t>/Part 1</w:t>
      </w:r>
      <w:r w:rsidRPr="00B30E75">
        <w:rPr>
          <w:i/>
          <w:sz w:val="20"/>
        </w:rPr>
        <w:t xml:space="preserve"> Report and Order</w:t>
      </w:r>
      <w:r w:rsidRPr="00B30E75">
        <w:rPr>
          <w:sz w:val="20"/>
        </w:rPr>
        <w:t>”).</w:t>
      </w:r>
    </w:p>
  </w:footnote>
  <w:footnote w:id="6">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1.2107(g).</w:t>
      </w:r>
    </w:p>
  </w:footnote>
  <w:footnote w:id="7">
    <w:p w:rsidR="00145B83" w:rsidRPr="00B30E75" w:rsidRDefault="00145B83">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1.2107(g)(1)(i).</w:t>
      </w:r>
    </w:p>
  </w:footnote>
  <w:footnote w:id="8">
    <w:p w:rsidR="00145B83" w:rsidRPr="00B30E75" w:rsidRDefault="00145B83">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1.2107(g)(1)(ii).</w:t>
      </w:r>
    </w:p>
  </w:footnote>
  <w:footnote w:id="9">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w:t>
      </w:r>
      <w:r>
        <w:rPr>
          <w:i/>
          <w:sz w:val="20"/>
        </w:rPr>
        <w:t xml:space="preserve">See </w:t>
      </w:r>
      <w:r w:rsidRPr="00B30E75">
        <w:rPr>
          <w:sz w:val="20"/>
        </w:rPr>
        <w:t>47 C.F.R. §§ 1.927, 1.2107(c).</w:t>
      </w:r>
    </w:p>
  </w:footnote>
  <w:footnote w:id="10">
    <w:p w:rsidR="00145B83" w:rsidRPr="00B30E75" w:rsidRDefault="00145B83" w:rsidP="002C6175">
      <w:pPr>
        <w:pStyle w:val="FootnoteText"/>
        <w:spacing w:after="120"/>
        <w:rPr>
          <w:sz w:val="20"/>
        </w:rPr>
      </w:pPr>
      <w:r w:rsidRPr="00B30E75">
        <w:rPr>
          <w:rStyle w:val="FootnoteReference"/>
          <w:sz w:val="20"/>
        </w:rPr>
        <w:footnoteRef/>
      </w:r>
      <w:r w:rsidRPr="00B30E75">
        <w:rPr>
          <w:sz w:val="20"/>
        </w:rPr>
        <w:t xml:space="preserve"> </w:t>
      </w:r>
      <w:r w:rsidRPr="00B30E75">
        <w:rPr>
          <w:i/>
          <w:sz w:val="20"/>
        </w:rPr>
        <w:t>Id.</w:t>
      </w:r>
    </w:p>
  </w:footnote>
  <w:footnote w:id="11">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See</w:t>
      </w:r>
      <w:r w:rsidRPr="006E74D0">
        <w:rPr>
          <w:sz w:val="20"/>
        </w:rPr>
        <w:t xml:space="preserve"> 47 C.F.R. § 1.2112.</w:t>
      </w:r>
    </w:p>
  </w:footnote>
  <w:footnote w:id="12">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 xml:space="preserve">See </w:t>
      </w:r>
      <w:r w:rsidRPr="006E74D0">
        <w:rPr>
          <w:sz w:val="20"/>
        </w:rPr>
        <w:t>47 C.F.R. § 1.2112(a)(2).</w:t>
      </w:r>
    </w:p>
  </w:footnote>
  <w:footnote w:id="13">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 xml:space="preserve">See </w:t>
      </w:r>
      <w:r w:rsidRPr="006E74D0">
        <w:rPr>
          <w:sz w:val="20"/>
        </w:rPr>
        <w:t>47 C.F.R. § 1.2112(a)(4).</w:t>
      </w:r>
    </w:p>
  </w:footnote>
  <w:footnote w:id="14">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 xml:space="preserve">See </w:t>
      </w:r>
      <w:r w:rsidRPr="006E74D0">
        <w:rPr>
          <w:sz w:val="20"/>
        </w:rPr>
        <w:t>47 C.F.R. § 1.2112(a)(3).</w:t>
      </w:r>
    </w:p>
  </w:footnote>
  <w:footnote w:id="15">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See</w:t>
      </w:r>
      <w:r w:rsidRPr="006E74D0">
        <w:rPr>
          <w:sz w:val="20"/>
        </w:rPr>
        <w:t xml:space="preserve"> 47 C.F.R. § 1.2112(a)(1).</w:t>
      </w:r>
    </w:p>
  </w:footnote>
  <w:footnote w:id="16">
    <w:p w:rsidR="00145B83" w:rsidRDefault="00145B83" w:rsidP="006E74D0">
      <w:pPr>
        <w:pStyle w:val="FootnoteText"/>
        <w:spacing w:after="120"/>
      </w:pPr>
      <w:r w:rsidRPr="006E74D0">
        <w:rPr>
          <w:rStyle w:val="FootnoteReference"/>
          <w:sz w:val="20"/>
        </w:rPr>
        <w:footnoteRef/>
      </w:r>
      <w:r w:rsidRPr="006E74D0">
        <w:rPr>
          <w:sz w:val="20"/>
        </w:rPr>
        <w:t xml:space="preserve"> </w:t>
      </w:r>
      <w:r w:rsidRPr="006E74D0">
        <w:rPr>
          <w:i/>
          <w:sz w:val="20"/>
        </w:rPr>
        <w:t xml:space="preserve">See </w:t>
      </w:r>
      <w:r w:rsidRPr="006E74D0">
        <w:rPr>
          <w:sz w:val="20"/>
        </w:rPr>
        <w:t>47 C.F.R. § 1.2112(a)(5).</w:t>
      </w:r>
    </w:p>
  </w:footnote>
  <w:footnote w:id="17">
    <w:p w:rsidR="00145B83" w:rsidRDefault="00145B83" w:rsidP="000C7444">
      <w:pPr>
        <w:pStyle w:val="FootnoteText"/>
        <w:spacing w:after="120"/>
      </w:pPr>
      <w:r>
        <w:rPr>
          <w:rStyle w:val="FootnoteReference"/>
        </w:rPr>
        <w:footnoteRef/>
      </w:r>
      <w:r>
        <w:t xml:space="preserve"> </w:t>
      </w:r>
      <w:r w:rsidRPr="006E74D0">
        <w:rPr>
          <w:i/>
          <w:sz w:val="20"/>
        </w:rPr>
        <w:t xml:space="preserve">See </w:t>
      </w:r>
      <w:r>
        <w:rPr>
          <w:sz w:val="20"/>
        </w:rPr>
        <w:t>47 C.F.R. § 1.2112(a)(6</w:t>
      </w:r>
      <w:r w:rsidRPr="006E74D0">
        <w:rPr>
          <w:sz w:val="20"/>
        </w:rPr>
        <w:t>).</w:t>
      </w:r>
    </w:p>
  </w:footnote>
  <w:footnote w:id="18">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See</w:t>
      </w:r>
      <w:r w:rsidRPr="006E74D0">
        <w:rPr>
          <w:sz w:val="20"/>
        </w:rPr>
        <w:t xml:space="preserve"> </w:t>
      </w:r>
      <w:r>
        <w:rPr>
          <w:i/>
          <w:sz w:val="20"/>
        </w:rPr>
        <w:t>id</w:t>
      </w:r>
      <w:r w:rsidRPr="006E74D0">
        <w:rPr>
          <w:sz w:val="20"/>
        </w:rPr>
        <w:t>.</w:t>
      </w:r>
    </w:p>
  </w:footnote>
  <w:footnote w:id="19">
    <w:p w:rsidR="00145B83" w:rsidRDefault="00145B83" w:rsidP="003A36E4">
      <w:pPr>
        <w:pStyle w:val="FootnoteText"/>
        <w:spacing w:after="120"/>
      </w:pPr>
      <w:r>
        <w:rPr>
          <w:rStyle w:val="FootnoteReference"/>
        </w:rPr>
        <w:footnoteRef/>
      </w:r>
      <w:r>
        <w:t xml:space="preserve"> </w:t>
      </w:r>
      <w:r w:rsidRPr="006E74D0">
        <w:rPr>
          <w:i/>
          <w:sz w:val="20"/>
        </w:rPr>
        <w:t>See</w:t>
      </w:r>
      <w:r w:rsidRPr="006E74D0">
        <w:rPr>
          <w:sz w:val="20"/>
        </w:rPr>
        <w:t xml:space="preserve"> 47 C.F.R. § 1.2112(a)(7).</w:t>
      </w:r>
    </w:p>
  </w:footnote>
  <w:footnote w:id="20">
    <w:p w:rsidR="00145B83" w:rsidRPr="006E74D0" w:rsidRDefault="00145B83" w:rsidP="006E74D0">
      <w:pPr>
        <w:pStyle w:val="FootnoteText"/>
        <w:spacing w:after="120"/>
        <w:rPr>
          <w:sz w:val="20"/>
        </w:rPr>
      </w:pPr>
      <w:r w:rsidRPr="006E74D0">
        <w:rPr>
          <w:rStyle w:val="FootnoteReference"/>
          <w:sz w:val="20"/>
        </w:rPr>
        <w:footnoteRef/>
      </w:r>
      <w:r w:rsidRPr="006E74D0">
        <w:rPr>
          <w:sz w:val="20"/>
        </w:rPr>
        <w:t xml:space="preserve"> </w:t>
      </w:r>
      <w:r w:rsidRPr="006E74D0">
        <w:rPr>
          <w:i/>
          <w:sz w:val="20"/>
        </w:rPr>
        <w:t>See</w:t>
      </w:r>
      <w:r w:rsidRPr="006E74D0">
        <w:rPr>
          <w:sz w:val="20"/>
        </w:rPr>
        <w:t xml:space="preserve"> </w:t>
      </w:r>
      <w:r>
        <w:rPr>
          <w:i/>
          <w:sz w:val="20"/>
        </w:rPr>
        <w:t>id</w:t>
      </w:r>
      <w:r w:rsidRPr="006E74D0">
        <w:rPr>
          <w:sz w:val="20"/>
        </w:rPr>
        <w:t>.</w:t>
      </w:r>
    </w:p>
  </w:footnote>
  <w:footnote w:id="21">
    <w:p w:rsidR="00145B83" w:rsidRDefault="00145B83">
      <w:pPr>
        <w:pStyle w:val="FootnoteText"/>
      </w:pPr>
      <w:r>
        <w:rPr>
          <w:rStyle w:val="FootnoteReference"/>
        </w:rPr>
        <w:footnoteRef/>
      </w:r>
      <w:r>
        <w:t xml:space="preserve"> </w:t>
      </w:r>
      <w:r w:rsidRPr="00A203A3">
        <w:rPr>
          <w:i/>
          <w:sz w:val="20"/>
        </w:rPr>
        <w:t xml:space="preserve">See </w:t>
      </w:r>
      <w:r w:rsidRPr="00A203A3">
        <w:rPr>
          <w:spacing w:val="-2"/>
          <w:sz w:val="20"/>
        </w:rPr>
        <w:t xml:space="preserve">Review of Foreign Ownership Policies for Common Carrier and Aeronautical Radio Licensees under Section 310(b)(4) of the Communications Act of 1934, as Amended, </w:t>
      </w:r>
      <w:r w:rsidRPr="00A203A3">
        <w:rPr>
          <w:i/>
          <w:spacing w:val="-2"/>
          <w:sz w:val="20"/>
        </w:rPr>
        <w:t>Second Report and Order</w:t>
      </w:r>
      <w:r w:rsidRPr="00A203A3">
        <w:rPr>
          <w:spacing w:val="-2"/>
          <w:sz w:val="20"/>
        </w:rPr>
        <w:t>, 28 FCC Rcd 5741</w:t>
      </w:r>
      <w:r>
        <w:rPr>
          <w:spacing w:val="-2"/>
          <w:sz w:val="20"/>
        </w:rPr>
        <w:t xml:space="preserve"> </w:t>
      </w:r>
      <w:r w:rsidRPr="00A203A3">
        <w:rPr>
          <w:spacing w:val="-2"/>
          <w:sz w:val="20"/>
        </w:rPr>
        <w:t>(2013)</w:t>
      </w:r>
      <w:r>
        <w:rPr>
          <w:spacing w:val="-2"/>
          <w:sz w:val="20"/>
        </w:rPr>
        <w:t xml:space="preserve"> (“</w:t>
      </w:r>
      <w:r>
        <w:rPr>
          <w:i/>
          <w:spacing w:val="-2"/>
          <w:sz w:val="20"/>
        </w:rPr>
        <w:t>Foreign Ownership Second Report and Order”</w:t>
      </w:r>
      <w:r>
        <w:rPr>
          <w:spacing w:val="-2"/>
          <w:sz w:val="20"/>
        </w:rPr>
        <w:t>).</w:t>
      </w:r>
    </w:p>
  </w:footnote>
  <w:footnote w:id="22">
    <w:p w:rsidR="00145B83" w:rsidRDefault="00145B83" w:rsidP="00660951">
      <w:pPr>
        <w:pStyle w:val="FootnoteText"/>
        <w:spacing w:before="120" w:after="120"/>
      </w:pPr>
      <w:r>
        <w:rPr>
          <w:rStyle w:val="FootnoteReference"/>
        </w:rPr>
        <w:footnoteRef/>
      </w:r>
      <w:r>
        <w:t xml:space="preserve"> </w:t>
      </w:r>
      <w:r>
        <w:rPr>
          <w:i/>
        </w:rPr>
        <w:t xml:space="preserve">Id. </w:t>
      </w:r>
      <w:r>
        <w:t xml:space="preserve">at 5763 </w:t>
      </w:r>
      <w:r w:rsidRPr="00B30E75">
        <w:t>¶</w:t>
      </w:r>
      <w:r w:rsidRPr="00A203A3">
        <w:rPr>
          <w:spacing w:val="-2"/>
        </w:rPr>
        <w:t xml:space="preserve"> </w:t>
      </w:r>
      <w:r>
        <w:rPr>
          <w:spacing w:val="-2"/>
        </w:rPr>
        <w:t xml:space="preserve">37; </w:t>
      </w:r>
      <w:r w:rsidRPr="00660951">
        <w:rPr>
          <w:i/>
          <w:spacing w:val="-2"/>
          <w:sz w:val="20"/>
        </w:rPr>
        <w:t>see also</w:t>
      </w:r>
      <w:r w:rsidRPr="00660951">
        <w:rPr>
          <w:spacing w:val="-2"/>
          <w:sz w:val="20"/>
        </w:rPr>
        <w:t xml:space="preserve"> 47 C.F.R. </w:t>
      </w:r>
      <w:r w:rsidRPr="00660951">
        <w:rPr>
          <w:sz w:val="20"/>
        </w:rPr>
        <w:t>§ 1.990(a)(1), (2).</w:t>
      </w:r>
    </w:p>
  </w:footnote>
  <w:footnote w:id="23">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1.2105(a)(2)(v), (vi).</w:t>
      </w:r>
    </w:p>
  </w:footnote>
  <w:footnote w:id="24">
    <w:p w:rsidR="00145B83" w:rsidRPr="006D039F" w:rsidRDefault="00145B83">
      <w:pPr>
        <w:pStyle w:val="FootnoteText"/>
      </w:pPr>
      <w:r>
        <w:rPr>
          <w:rStyle w:val="FootnoteReference"/>
        </w:rPr>
        <w:footnoteRef/>
      </w:r>
      <w:r>
        <w:t xml:space="preserve"> </w:t>
      </w:r>
      <w:r>
        <w:rPr>
          <w:i/>
        </w:rPr>
        <w:t xml:space="preserve">See </w:t>
      </w:r>
      <w:r w:rsidRPr="00B30E75">
        <w:rPr>
          <w:sz w:val="20"/>
        </w:rPr>
        <w:t>47 C.F.R. § 1.2110(f)</w:t>
      </w:r>
      <w:r>
        <w:rPr>
          <w:sz w:val="20"/>
        </w:rPr>
        <w:t xml:space="preserve">(1).  </w:t>
      </w:r>
      <w:r>
        <w:rPr>
          <w:i/>
          <w:sz w:val="20"/>
        </w:rPr>
        <w:t>See also</w:t>
      </w:r>
      <w:r>
        <w:rPr>
          <w:sz w:val="20"/>
        </w:rPr>
        <w:t xml:space="preserve"> </w:t>
      </w:r>
      <w:r w:rsidRPr="00B30E75">
        <w:rPr>
          <w:sz w:val="20"/>
        </w:rPr>
        <w:t xml:space="preserve">47 C.F.R. §§ </w:t>
      </w:r>
      <w:r>
        <w:rPr>
          <w:sz w:val="20"/>
        </w:rPr>
        <w:t>27.1106(a), (b).</w:t>
      </w:r>
    </w:p>
  </w:footnote>
  <w:footnote w:id="25">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1.2110(f)</w:t>
      </w:r>
      <w:r>
        <w:rPr>
          <w:sz w:val="20"/>
        </w:rPr>
        <w:t>, 27.1106(a)(1), 27.1106(b)</w:t>
      </w:r>
      <w:r w:rsidRPr="00B30E75">
        <w:rPr>
          <w:sz w:val="20"/>
        </w:rPr>
        <w:t>.</w:t>
      </w:r>
    </w:p>
  </w:footnote>
  <w:footnote w:id="26">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1.2110(f)</w:t>
      </w:r>
      <w:r>
        <w:rPr>
          <w:sz w:val="20"/>
        </w:rPr>
        <w:t>, 27.1106(a)(2), 27.1106(b)</w:t>
      </w:r>
      <w:r w:rsidRPr="00B30E75">
        <w:rPr>
          <w:sz w:val="20"/>
        </w:rPr>
        <w:t>.</w:t>
      </w:r>
    </w:p>
  </w:footnote>
  <w:footnote w:id="27">
    <w:p w:rsidR="00145B83" w:rsidRPr="00692810" w:rsidRDefault="00145B83">
      <w:pPr>
        <w:pStyle w:val="FootnoteText"/>
        <w:spacing w:before="120" w:after="120"/>
        <w:rPr>
          <w:sz w:val="20"/>
        </w:rPr>
      </w:pPr>
      <w:r w:rsidRPr="00B30E75">
        <w:rPr>
          <w:rStyle w:val="FootnoteReference"/>
          <w:sz w:val="20"/>
        </w:rPr>
        <w:footnoteRef/>
      </w:r>
      <w:r w:rsidRPr="00B30E75">
        <w:rPr>
          <w:sz w:val="20"/>
        </w:rPr>
        <w:t xml:space="preserve"> 47 C.F.R. §§ </w:t>
      </w:r>
      <w:r>
        <w:rPr>
          <w:sz w:val="20"/>
        </w:rPr>
        <w:t xml:space="preserve">1.2110(b)(1)(i), </w:t>
      </w:r>
      <w:r w:rsidRPr="00B30E75">
        <w:rPr>
          <w:sz w:val="20"/>
        </w:rPr>
        <w:t>1.2110(b)(3)(iv)(B).</w:t>
      </w:r>
      <w:r>
        <w:rPr>
          <w:sz w:val="20"/>
        </w:rPr>
        <w:t xml:space="preserve">  </w:t>
      </w:r>
      <w:r>
        <w:rPr>
          <w:i/>
          <w:sz w:val="20"/>
        </w:rPr>
        <w:t>See also Part 1 Fifth Report and Order</w:t>
      </w:r>
      <w:r>
        <w:rPr>
          <w:sz w:val="20"/>
        </w:rPr>
        <w:t>, 15 FCC Rcd at 15323-27 ¶¶ 59-67.</w:t>
      </w:r>
    </w:p>
  </w:footnote>
  <w:footnote w:id="28">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47 C.F.R. §§ 1.2110(b)(1), 1.2112(b)(2).</w:t>
      </w:r>
    </w:p>
  </w:footnote>
  <w:footnote w:id="29">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47 C.F.R. § 1.2110(o), 1.2112(b)(2)(v).  </w:t>
      </w:r>
      <w:r w:rsidRPr="00B30E75">
        <w:rPr>
          <w:i/>
          <w:sz w:val="20"/>
        </w:rPr>
        <w:t>See also</w:t>
      </w:r>
      <w:r w:rsidRPr="00B30E75">
        <w:rPr>
          <w:sz w:val="20"/>
        </w:rPr>
        <w:t xml:space="preserve"> 47 C.F.R. § 1.2110(b)(1)(i).  </w:t>
      </w:r>
    </w:p>
  </w:footnote>
  <w:footnote w:id="30">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47 C.F.R. § 1.2110(o).</w:t>
      </w:r>
    </w:p>
  </w:footnote>
  <w:footnote w:id="31">
    <w:p w:rsidR="00DA09DA" w:rsidRPr="00BC2020" w:rsidRDefault="00DA09DA" w:rsidP="00DA09DA">
      <w:pPr>
        <w:pStyle w:val="FootnoteText"/>
        <w:spacing w:before="120" w:after="120"/>
        <w:rPr>
          <w:i/>
        </w:rPr>
      </w:pPr>
      <w:r>
        <w:rPr>
          <w:rStyle w:val="FootnoteReference"/>
        </w:rPr>
        <w:footnoteRef/>
      </w:r>
      <w:r>
        <w:t xml:space="preserve"> </w:t>
      </w:r>
      <w:r>
        <w:rPr>
          <w:i/>
        </w:rPr>
        <w:t xml:space="preserve">Id.  </w:t>
      </w:r>
    </w:p>
  </w:footnote>
  <w:footnote w:id="32">
    <w:p w:rsidR="00145B83" w:rsidRPr="00F36531" w:rsidRDefault="00145B83">
      <w:pPr>
        <w:pStyle w:val="FootnoteText"/>
      </w:pPr>
      <w:r>
        <w:rPr>
          <w:rStyle w:val="FootnoteReference"/>
        </w:rPr>
        <w:footnoteRef/>
      </w:r>
      <w:r>
        <w:t xml:space="preserve"> </w:t>
      </w:r>
      <w:r w:rsidRPr="00F36531">
        <w:rPr>
          <w:i/>
          <w:sz w:val="20"/>
        </w:rPr>
        <w:t xml:space="preserve">See </w:t>
      </w:r>
      <w:r w:rsidRPr="00F36531">
        <w:rPr>
          <w:sz w:val="20"/>
        </w:rPr>
        <w:t>1.2110(b)(3)(i)</w:t>
      </w:r>
      <w:r>
        <w:rPr>
          <w:sz w:val="20"/>
        </w:rPr>
        <w:t>.</w:t>
      </w:r>
    </w:p>
  </w:footnote>
  <w:footnote w:id="33">
    <w:p w:rsidR="00145B83" w:rsidRPr="00B30E75" w:rsidRDefault="00145B83" w:rsidP="00F72B9A">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1.2110(b)(3)(i).  </w:t>
      </w:r>
    </w:p>
  </w:footnote>
  <w:footnote w:id="34">
    <w:p w:rsidR="00145B83" w:rsidRPr="00B30E75" w:rsidRDefault="00145B83">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 xml:space="preserve">47 C.F.R. § 1.2107(g)(1)(i); </w:t>
      </w:r>
      <w:r w:rsidRPr="00B30E75">
        <w:rPr>
          <w:i/>
          <w:sz w:val="20"/>
        </w:rPr>
        <w:t>see also</w:t>
      </w:r>
      <w:r w:rsidRPr="00B30E75">
        <w:rPr>
          <w:sz w:val="20"/>
        </w:rPr>
        <w:t xml:space="preserve"> </w:t>
      </w:r>
      <w:r w:rsidRPr="00B30E75">
        <w:rPr>
          <w:i/>
          <w:sz w:val="20"/>
        </w:rPr>
        <w:t>CSEA</w:t>
      </w:r>
      <w:r>
        <w:rPr>
          <w:i/>
          <w:sz w:val="20"/>
        </w:rPr>
        <w:t>/Part 1</w:t>
      </w:r>
      <w:r w:rsidRPr="00B30E75">
        <w:rPr>
          <w:i/>
          <w:sz w:val="20"/>
        </w:rPr>
        <w:t xml:space="preserve"> Report and Order</w:t>
      </w:r>
      <w:r w:rsidRPr="00B30E75">
        <w:rPr>
          <w:sz w:val="20"/>
        </w:rPr>
        <w:t>, 21 FCC Rcd at 911-12 ¶¶ 51-52.</w:t>
      </w:r>
    </w:p>
  </w:footnote>
  <w:footnote w:id="35">
    <w:p w:rsidR="00145B83" w:rsidRPr="006B0EA5" w:rsidRDefault="00145B83">
      <w:pPr>
        <w:pStyle w:val="FootnoteText"/>
      </w:pPr>
      <w:r>
        <w:rPr>
          <w:rStyle w:val="FootnoteReference"/>
        </w:rPr>
        <w:footnoteRef/>
      </w:r>
      <w:r>
        <w:t xml:space="preserve"> </w:t>
      </w:r>
      <w:r w:rsidRPr="00B43F87">
        <w:rPr>
          <w:i/>
          <w:sz w:val="20"/>
        </w:rPr>
        <w:t>See</w:t>
      </w:r>
      <w:r w:rsidRPr="00B43F87">
        <w:rPr>
          <w:sz w:val="20"/>
        </w:rPr>
        <w:t xml:space="preserve"> 47 C.F.R. § 1.2107(g)(2).</w:t>
      </w:r>
    </w:p>
  </w:footnote>
  <w:footnote w:id="36">
    <w:p w:rsidR="00145B83" w:rsidRPr="00B30E75" w:rsidRDefault="00145B83" w:rsidP="00F108B5">
      <w:pPr>
        <w:pStyle w:val="FootnoteText"/>
        <w:spacing w:before="120" w:after="120"/>
        <w:rPr>
          <w:sz w:val="20"/>
        </w:rPr>
      </w:pPr>
      <w:r w:rsidRPr="00B30E75">
        <w:rPr>
          <w:rStyle w:val="FootnoteReference"/>
          <w:sz w:val="20"/>
        </w:rPr>
        <w:footnoteRef/>
      </w:r>
      <w:r w:rsidRPr="00B30E75">
        <w:rPr>
          <w:sz w:val="20"/>
        </w:rPr>
        <w:t xml:space="preserve"> 47 C.F.R. § 1.2110(c)(2)(ii)(F).</w:t>
      </w:r>
    </w:p>
  </w:footnote>
  <w:footnote w:id="37">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47 C.F.R. § 1.2110(b)(3)(iii), 1.2110(c)(2)(ii)(F).</w:t>
      </w:r>
    </w:p>
  </w:footnote>
  <w:footnote w:id="38">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47 C.F.R. § 1.2110(b)(1)(i), (c)(2)(ii)(F).</w:t>
      </w:r>
    </w:p>
  </w:footnote>
  <w:footnote w:id="39">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If this condition cannot be met because the relevant jurisdiction does not have a statute that specifies requirements for organization as a cooperative, the applicant must show it is validly organized and its articles of incorporation, by-laws and/or other documents provide that it operates pursuant to cooperative principles.  47 C.F.R. § 1.2110(b)(3)(iii)(A)(2).</w:t>
      </w:r>
    </w:p>
  </w:footnote>
  <w:footnote w:id="40">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1.2110(b)(3)(iii)(A); </w:t>
      </w:r>
      <w:r w:rsidRPr="00B30E75">
        <w:rPr>
          <w:i/>
          <w:sz w:val="20"/>
        </w:rPr>
        <w:t>see also</w:t>
      </w:r>
      <w:r w:rsidRPr="00B30E75">
        <w:rPr>
          <w:sz w:val="20"/>
        </w:rPr>
        <w:t xml:space="preserve"> Amendment of Part 1 of the Commission’s Rules – Competitive Bidding Procedures, WT Docket No. 97-82, </w:t>
      </w:r>
      <w:r w:rsidRPr="00B30E75">
        <w:rPr>
          <w:i/>
          <w:sz w:val="20"/>
        </w:rPr>
        <w:t>Second Order on Reconsideration of the Third Report and Order and Order on Reconsideration of the Fifth Report and Order</w:t>
      </w:r>
      <w:r w:rsidRPr="00B30E75">
        <w:rPr>
          <w:sz w:val="20"/>
        </w:rPr>
        <w:t xml:space="preserve">, 18 FCC Rcd 10180, 10190-95 ¶¶ 15-20 (2003); Amendment of Part 1 of the Commission’s Rules – Competitive Bidding Procedures, WT Docket No. 97-82, </w:t>
      </w:r>
      <w:r w:rsidRPr="00B30E75">
        <w:rPr>
          <w:i/>
          <w:sz w:val="20"/>
        </w:rPr>
        <w:t>Second Order on Reconsideration of the Fifth Report and Order</w:t>
      </w:r>
      <w:r w:rsidRPr="00B30E75">
        <w:rPr>
          <w:sz w:val="20"/>
        </w:rPr>
        <w:t>, 20 FCC Rcd 1942 (2005).</w:t>
      </w:r>
    </w:p>
  </w:footnote>
  <w:footnote w:id="41">
    <w:p w:rsidR="00145B83" w:rsidRPr="00B30E75" w:rsidRDefault="00145B83" w:rsidP="00F108B5">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1.2110(b)(1)(i), (c)(2), (c)(5).</w:t>
      </w:r>
    </w:p>
  </w:footnote>
  <w:footnote w:id="42">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1.2110(b)(3)(iv)(A); Implementation of the Commercial Spectrum Enhancement Act and Modernization of the Commission’s Competitive Bidding Rules and Procedures, WT Docket No. 05-211, </w:t>
      </w:r>
      <w:r w:rsidRPr="00B30E75">
        <w:rPr>
          <w:i/>
          <w:sz w:val="20"/>
        </w:rPr>
        <w:t>Second Report and Order and Second Further Notice of Proposed Rulemaking</w:t>
      </w:r>
      <w:r w:rsidRPr="00B30E75">
        <w:rPr>
          <w:sz w:val="20"/>
        </w:rPr>
        <w:t>, 21 FCC Rcd 4753, 4759-66 ¶¶ 15-30  (2006) (“</w:t>
      </w:r>
      <w:r w:rsidRPr="00B30E75">
        <w:rPr>
          <w:i/>
          <w:sz w:val="20"/>
        </w:rPr>
        <w:t>CSEA</w:t>
      </w:r>
      <w:r>
        <w:rPr>
          <w:i/>
          <w:sz w:val="20"/>
        </w:rPr>
        <w:t>/Part 1</w:t>
      </w:r>
      <w:r w:rsidRPr="00B30E75">
        <w:rPr>
          <w:sz w:val="20"/>
        </w:rPr>
        <w:t xml:space="preserve"> </w:t>
      </w:r>
      <w:r w:rsidRPr="00B30E75">
        <w:rPr>
          <w:i/>
          <w:sz w:val="20"/>
        </w:rPr>
        <w:t>Second Report and Order</w:t>
      </w:r>
      <w:r w:rsidRPr="00B30E75">
        <w:rPr>
          <w:sz w:val="20"/>
        </w:rPr>
        <w:t xml:space="preserve">”), </w:t>
      </w:r>
      <w:r w:rsidRPr="00B30E75">
        <w:rPr>
          <w:i/>
          <w:sz w:val="20"/>
        </w:rPr>
        <w:t>modified by erratum</w:t>
      </w:r>
      <w:r w:rsidRPr="00B30E75">
        <w:rPr>
          <w:sz w:val="20"/>
        </w:rPr>
        <w:t>, 21 FCC Rcd 6622 (2006),</w:t>
      </w:r>
      <w:r w:rsidRPr="00B30E75">
        <w:rPr>
          <w:i/>
          <w:sz w:val="20"/>
        </w:rPr>
        <w:t xml:space="preserve"> clarified by Order on Reconsideration</w:t>
      </w:r>
      <w:r w:rsidRPr="00B30E75">
        <w:rPr>
          <w:sz w:val="20"/>
        </w:rPr>
        <w:t>, 21 FCC Rcd 6703, 6710-15 ¶¶ 15-30 (2006) (“</w:t>
      </w:r>
      <w:r w:rsidRPr="00B30E75">
        <w:rPr>
          <w:i/>
          <w:sz w:val="20"/>
        </w:rPr>
        <w:t>CSEA</w:t>
      </w:r>
      <w:r>
        <w:rPr>
          <w:i/>
          <w:sz w:val="20"/>
        </w:rPr>
        <w:t>/Part 1</w:t>
      </w:r>
      <w:r w:rsidRPr="00B30E75">
        <w:rPr>
          <w:i/>
          <w:sz w:val="20"/>
        </w:rPr>
        <w:t xml:space="preserve"> Order on Reconsideration</w:t>
      </w:r>
      <w:r>
        <w:rPr>
          <w:i/>
          <w:sz w:val="20"/>
        </w:rPr>
        <w:t xml:space="preserve"> of </w:t>
      </w:r>
      <w:r w:rsidRPr="00B30E75">
        <w:rPr>
          <w:i/>
          <w:sz w:val="20"/>
        </w:rPr>
        <w:t>Second Report and Order</w:t>
      </w:r>
      <w:r w:rsidRPr="00B30E75">
        <w:rPr>
          <w:sz w:val="20"/>
        </w:rPr>
        <w:t>”), petitions for reconsideration pending</w:t>
      </w:r>
      <w:r>
        <w:rPr>
          <w:sz w:val="20"/>
        </w:rPr>
        <w:t xml:space="preserve">, </w:t>
      </w:r>
      <w:r>
        <w:rPr>
          <w:i/>
          <w:sz w:val="20"/>
        </w:rPr>
        <w:t xml:space="preserve">affirmed in part by </w:t>
      </w:r>
      <w:r w:rsidRPr="00603951">
        <w:rPr>
          <w:i/>
          <w:sz w:val="20"/>
        </w:rPr>
        <w:t>Council Tree Communications, Inc. v. FCC</w:t>
      </w:r>
      <w:r w:rsidRPr="00603951">
        <w:rPr>
          <w:sz w:val="20"/>
        </w:rPr>
        <w:t>, 619 F.3d 235 (3d Cir. 2110) (affirming attributable material relationship rule and vacating impermissible material relationship rule)</w:t>
      </w:r>
      <w:r>
        <w:rPr>
          <w:sz w:val="20"/>
        </w:rPr>
        <w:t xml:space="preserve">; </w:t>
      </w:r>
      <w:r>
        <w:rPr>
          <w:i/>
          <w:sz w:val="20"/>
        </w:rPr>
        <w:t xml:space="preserve">see also </w:t>
      </w:r>
      <w:r w:rsidRPr="00603951">
        <w:rPr>
          <w:i/>
          <w:sz w:val="20"/>
        </w:rPr>
        <w:t>Auction 92 Procedures Public Notice</w:t>
      </w:r>
      <w:r w:rsidRPr="00603951">
        <w:rPr>
          <w:sz w:val="20"/>
        </w:rPr>
        <w:t>, 26 FCC</w:t>
      </w:r>
      <w:r>
        <w:rPr>
          <w:sz w:val="20"/>
        </w:rPr>
        <w:t xml:space="preserve"> Rcd at 3358</w:t>
      </w:r>
      <w:r w:rsidRPr="00603951">
        <w:rPr>
          <w:sz w:val="20"/>
        </w:rPr>
        <w:t xml:space="preserve"> ¶</w:t>
      </w:r>
      <w:r>
        <w:rPr>
          <w:sz w:val="20"/>
        </w:rPr>
        <w:t>¶</w:t>
      </w:r>
      <w:r w:rsidRPr="00603951">
        <w:rPr>
          <w:sz w:val="20"/>
        </w:rPr>
        <w:t xml:space="preserve"> </w:t>
      </w:r>
      <w:r>
        <w:rPr>
          <w:sz w:val="20"/>
        </w:rPr>
        <w:t>72-7</w:t>
      </w:r>
      <w:r w:rsidRPr="00603951">
        <w:rPr>
          <w:sz w:val="20"/>
        </w:rPr>
        <w:t>3</w:t>
      </w:r>
      <w:r>
        <w:rPr>
          <w:sz w:val="20"/>
        </w:rPr>
        <w:t xml:space="preserve"> (summary of material relationship rule)</w:t>
      </w:r>
      <w:r w:rsidRPr="00B30E75">
        <w:rPr>
          <w:sz w:val="20"/>
        </w:rPr>
        <w:t>.</w:t>
      </w:r>
    </w:p>
  </w:footnote>
  <w:footnote w:id="43">
    <w:p w:rsidR="00145B83" w:rsidRDefault="00145B83" w:rsidP="00603951">
      <w:pPr>
        <w:pStyle w:val="FootnoteText"/>
        <w:spacing w:after="120"/>
      </w:pPr>
      <w:r>
        <w:rPr>
          <w:rStyle w:val="FootnoteReference"/>
        </w:rPr>
        <w:footnoteRef/>
      </w:r>
      <w:r>
        <w:t xml:space="preserve"> </w:t>
      </w:r>
      <w:r w:rsidRPr="00603951">
        <w:rPr>
          <w:i/>
          <w:sz w:val="20"/>
        </w:rPr>
        <w:t>See</w:t>
      </w:r>
      <w:r>
        <w:rPr>
          <w:i/>
        </w:rPr>
        <w:t xml:space="preserve"> </w:t>
      </w:r>
      <w:r w:rsidRPr="00B30E75">
        <w:rPr>
          <w:sz w:val="20"/>
        </w:rPr>
        <w:t>47 C.F.R. § 1.2110(b)(3)(iv)(B</w:t>
      </w:r>
      <w:r>
        <w:rPr>
          <w:sz w:val="20"/>
        </w:rPr>
        <w:t>)</w:t>
      </w:r>
      <w:r w:rsidRPr="00603951">
        <w:rPr>
          <w:sz w:val="20"/>
        </w:rPr>
        <w:t>.</w:t>
      </w:r>
    </w:p>
  </w:footnote>
  <w:footnote w:id="44">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w:t>
      </w:r>
      <w:r w:rsidRPr="00603951">
        <w:rPr>
          <w:i/>
          <w:sz w:val="20"/>
        </w:rPr>
        <w:t>See</w:t>
      </w:r>
      <w:r w:rsidRPr="00B30E75">
        <w:rPr>
          <w:sz w:val="20"/>
        </w:rPr>
        <w:t xml:space="preserve"> 47 C.F.R. § 1.2110(b)(3)(iv)(B); </w:t>
      </w:r>
      <w:r w:rsidRPr="00B30E75">
        <w:rPr>
          <w:i/>
          <w:sz w:val="20"/>
        </w:rPr>
        <w:t>CSEA</w:t>
      </w:r>
      <w:r>
        <w:rPr>
          <w:i/>
          <w:sz w:val="20"/>
        </w:rPr>
        <w:t>/Part 1</w:t>
      </w:r>
      <w:r w:rsidRPr="00B30E75">
        <w:rPr>
          <w:i/>
          <w:sz w:val="20"/>
        </w:rPr>
        <w:t xml:space="preserve"> Second Report and Order</w:t>
      </w:r>
      <w:r w:rsidRPr="00B30E75">
        <w:rPr>
          <w:sz w:val="20"/>
        </w:rPr>
        <w:t xml:space="preserve">, 21 FCC Rcd at 4759-66 ¶¶ 15-30; </w:t>
      </w:r>
      <w:r w:rsidRPr="00B30E75">
        <w:rPr>
          <w:i/>
          <w:sz w:val="20"/>
        </w:rPr>
        <w:t>see also</w:t>
      </w:r>
      <w:r w:rsidRPr="00B30E75">
        <w:rPr>
          <w:sz w:val="20"/>
        </w:rPr>
        <w:t xml:space="preserve"> </w:t>
      </w:r>
      <w:r w:rsidRPr="00B30E75">
        <w:rPr>
          <w:i/>
          <w:sz w:val="20"/>
        </w:rPr>
        <w:t>CSEA</w:t>
      </w:r>
      <w:r>
        <w:rPr>
          <w:i/>
          <w:sz w:val="20"/>
        </w:rPr>
        <w:t>/Part 1</w:t>
      </w:r>
      <w:r w:rsidRPr="00B30E75">
        <w:rPr>
          <w:i/>
          <w:sz w:val="20"/>
        </w:rPr>
        <w:t xml:space="preserve"> Order on Reconsideration</w:t>
      </w:r>
      <w:r>
        <w:rPr>
          <w:i/>
          <w:sz w:val="20"/>
        </w:rPr>
        <w:t xml:space="preserve"> of Second Report and Order</w:t>
      </w:r>
      <w:r w:rsidRPr="00B30E75">
        <w:rPr>
          <w:sz w:val="20"/>
        </w:rPr>
        <w:t>, 21 FCC Rcd at 6703.</w:t>
      </w:r>
    </w:p>
  </w:footnote>
  <w:footnote w:id="45">
    <w:p w:rsidR="00145B83" w:rsidRDefault="00145B83" w:rsidP="00603951">
      <w:pPr>
        <w:pStyle w:val="FootnoteText"/>
        <w:spacing w:after="120"/>
      </w:pPr>
      <w:r>
        <w:rPr>
          <w:rStyle w:val="FootnoteReference"/>
        </w:rPr>
        <w:footnoteRef/>
      </w:r>
      <w:r>
        <w:t xml:space="preserve"> </w:t>
      </w:r>
      <w:r w:rsidRPr="00603951">
        <w:rPr>
          <w:sz w:val="20"/>
        </w:rPr>
        <w:t xml:space="preserve">The repayment obligations of designated entities are governed by a five-year unjust enrichment schedule.  </w:t>
      </w:r>
      <w:r>
        <w:rPr>
          <w:i/>
          <w:sz w:val="20"/>
        </w:rPr>
        <w:t xml:space="preserve">See </w:t>
      </w:r>
      <w:r w:rsidRPr="00603951">
        <w:rPr>
          <w:i/>
          <w:sz w:val="20"/>
        </w:rPr>
        <w:t>Council Tree Communications, Inc. v. FCC</w:t>
      </w:r>
      <w:r w:rsidRPr="00603951">
        <w:rPr>
          <w:sz w:val="20"/>
        </w:rPr>
        <w:t>, 619 F.3d at 258 (vacating ten-year unjust enrichment schedule).</w:t>
      </w:r>
    </w:p>
  </w:footnote>
  <w:footnote w:id="46">
    <w:p w:rsidR="00145B83" w:rsidRDefault="00145B83" w:rsidP="00603951">
      <w:pPr>
        <w:pStyle w:val="FootnoteText"/>
      </w:pPr>
      <w:r>
        <w:rPr>
          <w:rStyle w:val="FootnoteReference"/>
        </w:rPr>
        <w:footnoteRef/>
      </w:r>
      <w:r>
        <w:t xml:space="preserve"> </w:t>
      </w:r>
      <w:r w:rsidRPr="00603951">
        <w:rPr>
          <w:i/>
          <w:sz w:val="20"/>
        </w:rPr>
        <w:t>CSEA/Part 1</w:t>
      </w:r>
      <w:r w:rsidRPr="00603951">
        <w:rPr>
          <w:i/>
          <w:iCs/>
          <w:sz w:val="20"/>
        </w:rPr>
        <w:t xml:space="preserve"> Second Report and Order</w:t>
      </w:r>
      <w:r w:rsidRPr="00603951">
        <w:rPr>
          <w:sz w:val="20"/>
        </w:rPr>
        <w:t xml:space="preserve">, 21 FCC Rcd at 4759-60 ¶ 15, 4763-65 ¶¶ 25-30, 4765-68 ¶¶ 31-41; </w:t>
      </w:r>
      <w:r w:rsidRPr="00603951">
        <w:rPr>
          <w:i/>
          <w:sz w:val="20"/>
        </w:rPr>
        <w:t>see also</w:t>
      </w:r>
      <w:r w:rsidRPr="00603951">
        <w:rPr>
          <w:sz w:val="20"/>
        </w:rPr>
        <w:t xml:space="preserve"> </w:t>
      </w:r>
      <w:r w:rsidRPr="00603951">
        <w:rPr>
          <w:i/>
          <w:sz w:val="20"/>
        </w:rPr>
        <w:t>CSEA/Part 1</w:t>
      </w:r>
      <w:r w:rsidRPr="00603951">
        <w:rPr>
          <w:i/>
          <w:iCs/>
          <w:sz w:val="20"/>
        </w:rPr>
        <w:t xml:space="preserve"> </w:t>
      </w:r>
      <w:r>
        <w:rPr>
          <w:i/>
          <w:iCs/>
          <w:sz w:val="20"/>
        </w:rPr>
        <w:t xml:space="preserve">Order on Reconsideration of </w:t>
      </w:r>
      <w:r w:rsidRPr="00603951">
        <w:rPr>
          <w:i/>
          <w:iCs/>
          <w:sz w:val="20"/>
        </w:rPr>
        <w:t>Second Report and Order</w:t>
      </w:r>
      <w:r w:rsidRPr="00603951">
        <w:rPr>
          <w:sz w:val="20"/>
        </w:rPr>
        <w:t>, 21 FCC Rcd at 6712-13 ¶¶ 24-26; and 47 C.F.R. §§ 1.2110(b)(3)(iv)(B), 1.2111(d).</w:t>
      </w:r>
    </w:p>
  </w:footnote>
  <w:footnote w:id="47">
    <w:p w:rsidR="00145B83" w:rsidRPr="00B30E75" w:rsidRDefault="00145B83" w:rsidP="00F108B5">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 xml:space="preserve">47 C.F.R. § 1.2110(c)(3), (4).  </w:t>
      </w:r>
    </w:p>
  </w:footnote>
  <w:footnote w:id="48">
    <w:p w:rsidR="00145B83" w:rsidRPr="00B30E75" w:rsidRDefault="00145B83" w:rsidP="00F108B5">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1.2107(d).  </w:t>
      </w:r>
    </w:p>
  </w:footnote>
  <w:footnote w:id="49">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47 C.F.R. §§ 1.2110(j), 1.2112(b)(2)(iii)-(iv), (vi)-(vii).</w:t>
      </w:r>
    </w:p>
  </w:footnote>
  <w:footnote w:id="50">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1.2110(j), 1.2112(b)(2)(i).</w:t>
      </w:r>
    </w:p>
  </w:footnote>
  <w:footnote w:id="51">
    <w:p w:rsidR="00145B83" w:rsidRDefault="00145B83">
      <w:pPr>
        <w:pStyle w:val="FootnoteText"/>
      </w:pPr>
      <w:r>
        <w:rPr>
          <w:rStyle w:val="FootnoteReference"/>
        </w:rPr>
        <w:footnoteRef/>
      </w:r>
      <w:r>
        <w:t xml:space="preserve"> </w:t>
      </w:r>
      <w:r w:rsidRPr="00B30E75">
        <w:rPr>
          <w:i/>
          <w:sz w:val="20"/>
        </w:rPr>
        <w:t>See</w:t>
      </w:r>
      <w:r>
        <w:rPr>
          <w:sz w:val="20"/>
        </w:rPr>
        <w:t xml:space="preserve"> 47 C.F.R. §</w:t>
      </w:r>
      <w:r w:rsidRPr="00B30E75">
        <w:rPr>
          <w:sz w:val="20"/>
        </w:rPr>
        <w:t>§ 1.2110(j),</w:t>
      </w:r>
      <w:r>
        <w:rPr>
          <w:sz w:val="20"/>
        </w:rPr>
        <w:t xml:space="preserve"> </w:t>
      </w:r>
      <w:r w:rsidRPr="00B30E75">
        <w:rPr>
          <w:sz w:val="20"/>
        </w:rPr>
        <w:t>1.2112(b)(2)(i</w:t>
      </w:r>
      <w:r>
        <w:rPr>
          <w:sz w:val="20"/>
        </w:rPr>
        <w:t>ii</w:t>
      </w:r>
      <w:r w:rsidRPr="00B30E75">
        <w:rPr>
          <w:sz w:val="20"/>
        </w:rPr>
        <w:t>)</w:t>
      </w:r>
      <w:r>
        <w:rPr>
          <w:sz w:val="20"/>
        </w:rPr>
        <w:t>, (vii).</w:t>
      </w:r>
    </w:p>
  </w:footnote>
  <w:footnote w:id="52">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1.2110(b)(3)(iii)(A), 1.2112(b)(2)(vi).</w:t>
      </w:r>
    </w:p>
  </w:footnote>
  <w:footnote w:id="53">
    <w:p w:rsidR="00145B83" w:rsidRPr="00B30E75" w:rsidRDefault="00145B83" w:rsidP="00664F62">
      <w:pPr>
        <w:pStyle w:val="FootnoteText"/>
        <w:spacing w:before="120"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1.2112(b)(2)(</w:t>
      </w:r>
      <w:r>
        <w:rPr>
          <w:sz w:val="20"/>
        </w:rPr>
        <w:t>iv</w:t>
      </w:r>
      <w:r w:rsidRPr="00B30E75">
        <w:rPr>
          <w:sz w:val="20"/>
        </w:rPr>
        <w:t xml:space="preserve">).  </w:t>
      </w:r>
    </w:p>
  </w:footnote>
  <w:footnote w:id="54">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1.2110(j) (“[D]esignated entities must file with their long-form applications a copy of each such agreement.”).</w:t>
      </w:r>
    </w:p>
  </w:footnote>
  <w:footnote w:id="55">
    <w:p w:rsidR="00145B83" w:rsidRPr="00B30E75" w:rsidRDefault="00145B83" w:rsidP="00F108B5">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0.459; </w:t>
      </w:r>
      <w:r w:rsidRPr="00B30E75">
        <w:rPr>
          <w:i/>
          <w:sz w:val="20"/>
        </w:rPr>
        <w:t>see also</w:t>
      </w:r>
      <w:r w:rsidRPr="00B30E75">
        <w:rPr>
          <w:sz w:val="20"/>
        </w:rPr>
        <w:t xml:space="preserve"> discussion of confidentiality requests under “Exhibit E: Confidentiality Requests” below.</w:t>
      </w:r>
    </w:p>
  </w:footnote>
  <w:footnote w:id="56">
    <w:p w:rsidR="00145B83" w:rsidRPr="00B30E75" w:rsidRDefault="00145B83" w:rsidP="00E0667A">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0.459.  </w:t>
      </w:r>
    </w:p>
  </w:footnote>
  <w:footnote w:id="57">
    <w:p w:rsidR="00145B83" w:rsidRPr="00B30E75" w:rsidRDefault="00145B83" w:rsidP="00E0667A">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1.925.</w:t>
      </w:r>
    </w:p>
  </w:footnote>
  <w:footnote w:id="58">
    <w:p w:rsidR="00145B83" w:rsidRPr="00B30E75" w:rsidRDefault="00145B83" w:rsidP="00E0667A">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1.2107(e), 1.2110(f)(3).</w:t>
      </w:r>
    </w:p>
  </w:footnote>
  <w:footnote w:id="59">
    <w:p w:rsidR="00145B83" w:rsidRPr="00774DEA" w:rsidRDefault="00145B83" w:rsidP="00944152">
      <w:pPr>
        <w:pStyle w:val="FootnoteText"/>
        <w:spacing w:after="120"/>
        <w:rPr>
          <w:sz w:val="20"/>
        </w:rPr>
      </w:pPr>
      <w:r w:rsidRPr="00774DEA">
        <w:rPr>
          <w:rStyle w:val="FootnoteReference"/>
          <w:sz w:val="20"/>
        </w:rPr>
        <w:footnoteRef/>
      </w:r>
      <w:r w:rsidRPr="00774DEA">
        <w:rPr>
          <w:sz w:val="20"/>
        </w:rPr>
        <w:t xml:space="preserve"> </w:t>
      </w:r>
      <w:r w:rsidRPr="00774DEA">
        <w:rPr>
          <w:i/>
          <w:sz w:val="20"/>
        </w:rPr>
        <w:t>See</w:t>
      </w:r>
      <w:r w:rsidRPr="00774DEA">
        <w:rPr>
          <w:sz w:val="20"/>
        </w:rPr>
        <w:t xml:space="preserve"> Request for Waiver of the Definition of ‘Federally Recognized </w:t>
      </w:r>
      <w:r>
        <w:rPr>
          <w:sz w:val="20"/>
        </w:rPr>
        <w:t>T</w:t>
      </w:r>
      <w:r w:rsidRPr="00774DEA">
        <w:rPr>
          <w:sz w:val="20"/>
        </w:rPr>
        <w:t>ribal Land’ Under Section 1.2110(f)(3)(i) of the Commission’s Rules to Include Additional Areas within the Eastern Navajo Agency of the Navajo Nation, DA 14-1638 (</w:t>
      </w:r>
      <w:r>
        <w:rPr>
          <w:sz w:val="20"/>
        </w:rPr>
        <w:t xml:space="preserve">WTB, </w:t>
      </w:r>
      <w:r w:rsidRPr="00774DEA">
        <w:rPr>
          <w:sz w:val="20"/>
        </w:rPr>
        <w:t>rel. Nov. 12, 2014)</w:t>
      </w:r>
      <w:r>
        <w:rPr>
          <w:sz w:val="20"/>
        </w:rPr>
        <w:t xml:space="preserve"> (</w:t>
      </w:r>
      <w:r>
        <w:rPr>
          <w:i/>
          <w:sz w:val="20"/>
        </w:rPr>
        <w:t>TLBC Waiver Order</w:t>
      </w:r>
      <w:r>
        <w:rPr>
          <w:sz w:val="20"/>
        </w:rPr>
        <w:t>).</w:t>
      </w:r>
      <w:r w:rsidRPr="00774DEA">
        <w:rPr>
          <w:sz w:val="20"/>
        </w:rPr>
        <w:t xml:space="preserve">  </w:t>
      </w:r>
    </w:p>
  </w:footnote>
  <w:footnote w:id="60">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47 C.F.R. § 1.2109(a).</w:t>
      </w:r>
    </w:p>
  </w:footnote>
  <w:footnote w:id="61">
    <w:p w:rsidR="00145B83" w:rsidRPr="00793A08" w:rsidRDefault="00145B83" w:rsidP="00793A08">
      <w:pPr>
        <w:pStyle w:val="FootnoteText"/>
        <w:spacing w:after="120"/>
        <w:rPr>
          <w:i/>
        </w:rPr>
      </w:pPr>
      <w:r>
        <w:rPr>
          <w:rStyle w:val="FootnoteReference"/>
        </w:rPr>
        <w:footnoteRef/>
      </w:r>
      <w:r w:rsidRPr="00944152">
        <w:rPr>
          <w:sz w:val="20"/>
        </w:rPr>
        <w:t xml:space="preserve"> </w:t>
      </w:r>
      <w:r w:rsidRPr="00944152">
        <w:rPr>
          <w:i/>
          <w:sz w:val="20"/>
        </w:rPr>
        <w:t>See also TLBC Waiver Order.</w:t>
      </w:r>
    </w:p>
  </w:footnote>
  <w:footnote w:id="62">
    <w:p w:rsidR="00145B83" w:rsidRPr="00D14EF7" w:rsidRDefault="00145B83">
      <w:pPr>
        <w:pStyle w:val="FootnoteText"/>
        <w:spacing w:after="120"/>
        <w:rPr>
          <w:i/>
          <w:sz w:val="20"/>
        </w:rPr>
      </w:pPr>
      <w:r w:rsidRPr="00B30E75">
        <w:rPr>
          <w:rStyle w:val="FootnoteReference"/>
          <w:sz w:val="20"/>
        </w:rPr>
        <w:footnoteRef/>
      </w:r>
      <w:r w:rsidRPr="00B30E75">
        <w:rPr>
          <w:sz w:val="20"/>
        </w:rPr>
        <w:t xml:space="preserve"> </w:t>
      </w:r>
      <w:r>
        <w:rPr>
          <w:i/>
          <w:sz w:val="20"/>
        </w:rPr>
        <w:t xml:space="preserve">See </w:t>
      </w:r>
      <w:r w:rsidRPr="00B30E75">
        <w:rPr>
          <w:sz w:val="20"/>
        </w:rPr>
        <w:t xml:space="preserve">Extending Wireless Telecommunications Services to Tribal Lands, </w:t>
      </w:r>
      <w:r w:rsidRPr="00B30E75">
        <w:rPr>
          <w:i/>
          <w:sz w:val="20"/>
        </w:rPr>
        <w:t>Third Report and Order</w:t>
      </w:r>
      <w:r w:rsidRPr="00B30E75">
        <w:rPr>
          <w:sz w:val="20"/>
        </w:rPr>
        <w:t>, 19 FCC Rcd 17652 (2004) (“</w:t>
      </w:r>
      <w:r w:rsidRPr="00B30E75">
        <w:rPr>
          <w:i/>
          <w:sz w:val="20"/>
        </w:rPr>
        <w:t>Tribal Lands Third Report and Order</w:t>
      </w:r>
      <w:r w:rsidRPr="00B30E75">
        <w:rPr>
          <w:sz w:val="20"/>
        </w:rPr>
        <w:t xml:space="preserve">”).  </w:t>
      </w:r>
      <w:r w:rsidRPr="00B30E75">
        <w:rPr>
          <w:i/>
          <w:sz w:val="20"/>
        </w:rPr>
        <w:t>See also</w:t>
      </w:r>
      <w:r w:rsidRPr="00B30E75">
        <w:rPr>
          <w:sz w:val="20"/>
        </w:rPr>
        <w:t xml:space="preserve"> </w:t>
      </w:r>
      <w:r w:rsidRPr="00B30E75">
        <w:rPr>
          <w:color w:val="000000"/>
          <w:sz w:val="20"/>
        </w:rPr>
        <w:t xml:space="preserve">Extending Wireless Telecommunications Services to Tribal Lands, </w:t>
      </w:r>
      <w:r w:rsidRPr="00B30E75">
        <w:rPr>
          <w:i/>
          <w:color w:val="000000"/>
          <w:sz w:val="20"/>
        </w:rPr>
        <w:t>Second Report and Order and Second Further Notice of Proposed Rulemaking</w:t>
      </w:r>
      <w:r w:rsidRPr="00B30E75">
        <w:rPr>
          <w:color w:val="000000"/>
          <w:sz w:val="20"/>
        </w:rPr>
        <w:t>, 18 FCC Rcd 4775 (2003) (“</w:t>
      </w:r>
      <w:r w:rsidRPr="00B30E75">
        <w:rPr>
          <w:i/>
          <w:color w:val="000000"/>
          <w:sz w:val="20"/>
        </w:rPr>
        <w:t>Tribal Lands Second Report and Order</w:t>
      </w:r>
      <w:r w:rsidRPr="00B30E75">
        <w:rPr>
          <w:sz w:val="20"/>
        </w:rPr>
        <w:t>;</w:t>
      </w:r>
      <w:r>
        <w:rPr>
          <w:sz w:val="20"/>
        </w:rPr>
        <w:t>”);</w:t>
      </w:r>
      <w:r w:rsidRPr="00B30E75">
        <w:rPr>
          <w:sz w:val="20"/>
        </w:rPr>
        <w:t xml:space="preserve"> Extending Wireless Telecommunications Services to Tribal Lands, </w:t>
      </w:r>
      <w:r w:rsidRPr="00B30E75">
        <w:rPr>
          <w:i/>
          <w:sz w:val="20"/>
        </w:rPr>
        <w:t>Report and Order and Further Notice of Proposed Rule Making</w:t>
      </w:r>
      <w:r w:rsidRPr="00B30E75">
        <w:rPr>
          <w:sz w:val="20"/>
        </w:rPr>
        <w:t>, 15 FCC Rcd 11794 (2000)</w:t>
      </w:r>
      <w:r>
        <w:rPr>
          <w:sz w:val="20"/>
        </w:rPr>
        <w:t xml:space="preserve"> (“</w:t>
      </w:r>
      <w:r>
        <w:rPr>
          <w:i/>
          <w:sz w:val="20"/>
        </w:rPr>
        <w:t>Tribal Lands Report and Order</w:t>
      </w:r>
      <w:r>
        <w:rPr>
          <w:sz w:val="20"/>
        </w:rPr>
        <w:t>”)</w:t>
      </w:r>
      <w:r w:rsidRPr="00B30E75">
        <w:rPr>
          <w:sz w:val="20"/>
        </w:rPr>
        <w:t xml:space="preserve">; “Wireless Telecommunications Bureau Announces Enhancements to the Universal Licensing System to Help Winning Bidders of FCC Auctions File for Tribal Land Bidding Credits,” </w:t>
      </w:r>
      <w:r w:rsidRPr="00B30E75">
        <w:rPr>
          <w:i/>
          <w:sz w:val="20"/>
        </w:rPr>
        <w:t>Public Notice</w:t>
      </w:r>
      <w:r w:rsidRPr="00B30E75">
        <w:rPr>
          <w:sz w:val="20"/>
        </w:rPr>
        <w:t xml:space="preserve">, 16 FCC Rcd 5355 (2001); “Wireless Telecommunications Bureau Releases Additional Information Regarding the Procedures for Obtaining a Tribal Lands Bidding Credit and List of Tribal Lands,” </w:t>
      </w:r>
      <w:r w:rsidRPr="00B30E75">
        <w:rPr>
          <w:i/>
          <w:sz w:val="20"/>
        </w:rPr>
        <w:t>Public Notice</w:t>
      </w:r>
      <w:r w:rsidRPr="00B30E75">
        <w:rPr>
          <w:sz w:val="20"/>
        </w:rPr>
        <w:t>, 15 FCC Rcd 24838 (2000) (“</w:t>
      </w:r>
      <w:r w:rsidRPr="00B30E75">
        <w:rPr>
          <w:i/>
          <w:sz w:val="20"/>
        </w:rPr>
        <w:t>Tribal Lands Public Notice</w:t>
      </w:r>
      <w:r w:rsidRPr="00B30E75">
        <w:rPr>
          <w:sz w:val="20"/>
        </w:rPr>
        <w:t xml:space="preserve">”); “Wireless Telecommunications Bureau Announces Availability of Bidding Credits for Providing Wireless Services to Qualifying Tribal Lands: Tribal Land Bidding Credits to be Available Beginning in Auction No. 36 (800 MHz Specialized Mobile Radio (SMR) Lower 80 Channels) and in Future Auctions,” </w:t>
      </w:r>
      <w:r w:rsidRPr="00B30E75">
        <w:rPr>
          <w:i/>
          <w:sz w:val="20"/>
        </w:rPr>
        <w:t>Public Notice</w:t>
      </w:r>
      <w:r w:rsidRPr="00B30E75">
        <w:rPr>
          <w:sz w:val="20"/>
        </w:rPr>
        <w:t>, 15 FCC Rcd 18351 (2000).</w:t>
      </w:r>
    </w:p>
  </w:footnote>
  <w:footnote w:id="63">
    <w:p w:rsidR="00145B83" w:rsidRPr="00B30E75" w:rsidRDefault="00145B83" w:rsidP="00E0667A">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1.2110(f)(3)(ii).  </w:t>
      </w:r>
    </w:p>
  </w:footnote>
  <w:footnote w:id="64">
    <w:p w:rsidR="00145B83" w:rsidRPr="00B30E75" w:rsidRDefault="00145B83" w:rsidP="009B35EC">
      <w:pPr>
        <w:pStyle w:val="FootnoteText"/>
        <w:spacing w:after="120"/>
        <w:rPr>
          <w:sz w:val="20"/>
        </w:rPr>
      </w:pPr>
      <w:r w:rsidRPr="00B30E75">
        <w:rPr>
          <w:rStyle w:val="FootnoteReference"/>
          <w:sz w:val="20"/>
        </w:rPr>
        <w:footnoteRef/>
      </w:r>
      <w:r w:rsidRPr="00B30E75">
        <w:rPr>
          <w:sz w:val="20"/>
        </w:rPr>
        <w:t xml:space="preserve"> </w:t>
      </w:r>
      <w:r w:rsidRPr="001F50E3">
        <w:rPr>
          <w:i/>
          <w:sz w:val="20"/>
        </w:rPr>
        <w:t>Id</w:t>
      </w:r>
      <w:r>
        <w:rPr>
          <w:sz w:val="20"/>
        </w:rPr>
        <w:t xml:space="preserve">.  </w:t>
      </w:r>
      <w:r>
        <w:rPr>
          <w:i/>
          <w:sz w:val="20"/>
        </w:rPr>
        <w:t xml:space="preserve">See also </w:t>
      </w:r>
      <w:r w:rsidRPr="001F50E3">
        <w:rPr>
          <w:sz w:val="20"/>
        </w:rPr>
        <w:t>47</w:t>
      </w:r>
      <w:r w:rsidRPr="00B30E75">
        <w:rPr>
          <w:sz w:val="20"/>
        </w:rPr>
        <w:t xml:space="preserve"> C.F.R. § 1.2110(f)(3)(vii).</w:t>
      </w:r>
    </w:p>
  </w:footnote>
  <w:footnote w:id="65">
    <w:p w:rsidR="00145B83" w:rsidRPr="00B30E75" w:rsidRDefault="00145B83" w:rsidP="00152068">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1.2110(f)(3)(ii).  </w:t>
      </w:r>
    </w:p>
    <w:p w:rsidR="00145B83" w:rsidRPr="00B30E75" w:rsidRDefault="00145B83" w:rsidP="00152068">
      <w:pPr>
        <w:pStyle w:val="FootnoteText"/>
        <w:rPr>
          <w:sz w:val="20"/>
        </w:rPr>
      </w:pPr>
    </w:p>
  </w:footnote>
  <w:footnote w:id="66">
    <w:p w:rsidR="00145B83" w:rsidRDefault="00145B83">
      <w:pPr>
        <w:pStyle w:val="FootnoteText"/>
      </w:pPr>
      <w:r>
        <w:rPr>
          <w:rStyle w:val="FootnoteReference"/>
        </w:rPr>
        <w:footnoteRef/>
      </w:r>
      <w:r>
        <w:t xml:space="preserve"> If applying for a tribal lands bidding credit in the </w:t>
      </w:r>
      <w:r w:rsidRPr="00424C69">
        <w:rPr>
          <w:szCs w:val="22"/>
        </w:rPr>
        <w:t xml:space="preserve">ENA census blocks made eligible </w:t>
      </w:r>
      <w:r>
        <w:rPr>
          <w:szCs w:val="22"/>
        </w:rPr>
        <w:t xml:space="preserve">for TLBC </w:t>
      </w:r>
      <w:r w:rsidRPr="00424C69">
        <w:rPr>
          <w:szCs w:val="22"/>
        </w:rPr>
        <w:t xml:space="preserve">by </w:t>
      </w:r>
      <w:r>
        <w:rPr>
          <w:szCs w:val="22"/>
        </w:rPr>
        <w:t xml:space="preserve">the </w:t>
      </w:r>
      <w:r w:rsidRPr="003C5D8D">
        <w:rPr>
          <w:i/>
          <w:sz w:val="20"/>
        </w:rPr>
        <w:t>TLBC Waiver Order</w:t>
      </w:r>
      <w:r>
        <w:rPr>
          <w:szCs w:val="22"/>
        </w:rPr>
        <w:t xml:space="preserve">, select “Other” and add description in the text box (e.g. </w:t>
      </w:r>
      <w:r w:rsidRPr="00424C69">
        <w:rPr>
          <w:szCs w:val="22"/>
        </w:rPr>
        <w:t>“</w:t>
      </w:r>
      <w:r>
        <w:rPr>
          <w:szCs w:val="22"/>
        </w:rPr>
        <w:t>All a</w:t>
      </w:r>
      <w:r w:rsidRPr="00424C69">
        <w:rPr>
          <w:szCs w:val="22"/>
        </w:rPr>
        <w:t xml:space="preserve">dditional ENA census blocks in market made eligible </w:t>
      </w:r>
      <w:r>
        <w:rPr>
          <w:szCs w:val="22"/>
        </w:rPr>
        <w:t xml:space="preserve">for TLBC </w:t>
      </w:r>
      <w:r w:rsidRPr="00424C69">
        <w:rPr>
          <w:szCs w:val="22"/>
        </w:rPr>
        <w:t>by Order, DA 14-1638</w:t>
      </w:r>
      <w:r w:rsidRPr="00E87791">
        <w:rPr>
          <w:szCs w:val="22"/>
        </w:rPr>
        <w:t>”</w:t>
      </w:r>
      <w:r>
        <w:rPr>
          <w:szCs w:val="22"/>
        </w:rPr>
        <w:t>)</w:t>
      </w:r>
      <w:r w:rsidR="00E46B44">
        <w:rPr>
          <w:szCs w:val="22"/>
        </w:rPr>
        <w:t>.</w:t>
      </w:r>
    </w:p>
  </w:footnote>
  <w:footnote w:id="67">
    <w:p w:rsidR="00145B83" w:rsidRPr="003C5D8D" w:rsidRDefault="00145B83" w:rsidP="002C5773">
      <w:pPr>
        <w:pStyle w:val="FootnoteText"/>
        <w:spacing w:after="120"/>
        <w:rPr>
          <w:i/>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1.2110(f)(3)(iii)</w:t>
      </w:r>
      <w:r>
        <w:rPr>
          <w:sz w:val="20"/>
        </w:rPr>
        <w:t xml:space="preserve"> and</w:t>
      </w:r>
      <w:r w:rsidRPr="00B30E75">
        <w:rPr>
          <w:sz w:val="20"/>
        </w:rPr>
        <w:t xml:space="preserve">(iv).  </w:t>
      </w:r>
      <w:r>
        <w:rPr>
          <w:i/>
          <w:sz w:val="20"/>
        </w:rPr>
        <w:t xml:space="preserve">See also </w:t>
      </w:r>
      <w:r>
        <w:rPr>
          <w:sz w:val="20"/>
        </w:rPr>
        <w:t xml:space="preserve">Step 3 in Section IV. , “Instructions for Applicants Seeking A Tribal Lands Bidding Credit,” above (ULS instructions for seeking TLBC for areas of Eastern Navajo Agency in New Mexico added for Auction 97 by the </w:t>
      </w:r>
      <w:r w:rsidRPr="003C5D8D">
        <w:rPr>
          <w:i/>
          <w:sz w:val="20"/>
        </w:rPr>
        <w:t>TLBC Waiver Order</w:t>
      </w:r>
      <w:r>
        <w:rPr>
          <w:sz w:val="20"/>
        </w:rPr>
        <w:t xml:space="preserve">).  </w:t>
      </w:r>
    </w:p>
  </w:footnote>
  <w:footnote w:id="68">
    <w:p w:rsidR="00145B83" w:rsidRDefault="00145B83" w:rsidP="002C5773">
      <w:pPr>
        <w:pStyle w:val="FootnoteText"/>
        <w:spacing w:after="120"/>
      </w:pPr>
      <w:r>
        <w:rPr>
          <w:rStyle w:val="FootnoteReference"/>
        </w:rPr>
        <w:footnoteRef/>
      </w:r>
      <w:r>
        <w:t xml:space="preserve"> </w:t>
      </w:r>
      <w:r>
        <w:rPr>
          <w:i/>
          <w:sz w:val="20"/>
        </w:rPr>
        <w:t>Tribal Lands Public Notice</w:t>
      </w:r>
      <w:r>
        <w:rPr>
          <w:sz w:val="20"/>
        </w:rPr>
        <w:t>, 15 FCC Rcd at 24839.</w:t>
      </w:r>
    </w:p>
  </w:footnote>
  <w:footnote w:id="69">
    <w:p w:rsidR="00145B83" w:rsidRPr="00B30E75" w:rsidRDefault="00145B83" w:rsidP="00054D12">
      <w:pPr>
        <w:pStyle w:val="FootnoteText"/>
        <w:spacing w:after="120"/>
        <w:rPr>
          <w:sz w:val="20"/>
        </w:rPr>
      </w:pPr>
      <w:r w:rsidRPr="00B30E75">
        <w:rPr>
          <w:rStyle w:val="FootnoteReference"/>
          <w:sz w:val="20"/>
        </w:rPr>
        <w:footnoteRef/>
      </w:r>
      <w:r w:rsidRPr="00B30E75">
        <w:rPr>
          <w:sz w:val="20"/>
        </w:rPr>
        <w:t xml:space="preserve"> </w:t>
      </w:r>
      <w:r>
        <w:rPr>
          <w:i/>
          <w:sz w:val="20"/>
        </w:rPr>
        <w:t xml:space="preserve">See Tribal Lands Report and </w:t>
      </w:r>
      <w:r w:rsidRPr="00A041DB">
        <w:rPr>
          <w:i/>
          <w:sz w:val="20"/>
        </w:rPr>
        <w:t>Order</w:t>
      </w:r>
      <w:r>
        <w:rPr>
          <w:sz w:val="20"/>
        </w:rPr>
        <w:t xml:space="preserve">, 15 FCC Rcd 11805, ¶ 31; </w:t>
      </w:r>
      <w:r w:rsidRPr="00A041DB">
        <w:rPr>
          <w:sz w:val="20"/>
        </w:rPr>
        <w:t>47</w:t>
      </w:r>
      <w:r w:rsidRPr="00B30E75">
        <w:rPr>
          <w:sz w:val="20"/>
        </w:rPr>
        <w:t xml:space="preserve"> C.F.R. § 1.925.  </w:t>
      </w:r>
    </w:p>
  </w:footnote>
  <w:footnote w:id="70">
    <w:p w:rsidR="00145B83" w:rsidRDefault="00145B83" w:rsidP="00D50398">
      <w:pPr>
        <w:pStyle w:val="FootnoteText"/>
        <w:spacing w:after="120"/>
      </w:pPr>
      <w:r>
        <w:rPr>
          <w:rStyle w:val="FootnoteReference"/>
        </w:rPr>
        <w:footnoteRef/>
      </w:r>
      <w:r>
        <w:t xml:space="preserve"> </w:t>
      </w:r>
      <w:r>
        <w:rPr>
          <w:sz w:val="20"/>
        </w:rPr>
        <w:t xml:space="preserve">47 C.F.R. § </w:t>
      </w:r>
      <w:r w:rsidRPr="00B30E75">
        <w:rPr>
          <w:sz w:val="20"/>
        </w:rPr>
        <w:t>1.2110(f)(3).</w:t>
      </w:r>
      <w:r>
        <w:rPr>
          <w:sz w:val="20"/>
        </w:rPr>
        <w:t xml:space="preserve">  Exhibit X is not required for applicants seeking a TLBC for the additional areas of the Eastern Navajo Agency in New Mexico added for Auction 97 by the </w:t>
      </w:r>
      <w:r w:rsidRPr="00431D9F">
        <w:rPr>
          <w:i/>
          <w:sz w:val="20"/>
        </w:rPr>
        <w:t>TLBC Waiver Order</w:t>
      </w:r>
      <w:r w:rsidRPr="009A3F40">
        <w:rPr>
          <w:sz w:val="20"/>
        </w:rPr>
        <w:t>.</w:t>
      </w:r>
      <w:r>
        <w:rPr>
          <w:sz w:val="20"/>
        </w:rPr>
        <w:t xml:space="preserve">  </w:t>
      </w:r>
    </w:p>
  </w:footnote>
  <w:footnote w:id="71">
    <w:p w:rsidR="00145B83" w:rsidRPr="00B30E75" w:rsidRDefault="00145B83" w:rsidP="00F372CB">
      <w:pPr>
        <w:pStyle w:val="FootnoteText"/>
        <w:spacing w:after="120"/>
        <w:rPr>
          <w:sz w:val="20"/>
        </w:rPr>
      </w:pPr>
      <w:r w:rsidRPr="00B30E75">
        <w:rPr>
          <w:rStyle w:val="FootnoteReference"/>
          <w:sz w:val="20"/>
        </w:rPr>
        <w:footnoteRef/>
      </w:r>
      <w:r w:rsidRPr="00B30E75">
        <w:rPr>
          <w:sz w:val="20"/>
        </w:rPr>
        <w:t xml:space="preserve"> </w:t>
      </w:r>
      <w:r>
        <w:rPr>
          <w:i/>
          <w:sz w:val="20"/>
        </w:rPr>
        <w:t xml:space="preserve">See Tribal Lands Report and </w:t>
      </w:r>
      <w:r w:rsidRPr="00A041DB">
        <w:rPr>
          <w:i/>
          <w:sz w:val="20"/>
        </w:rPr>
        <w:t>Order</w:t>
      </w:r>
      <w:r>
        <w:rPr>
          <w:sz w:val="20"/>
        </w:rPr>
        <w:t xml:space="preserve">, 15 FCC Rcd 11805, ¶ 31; </w:t>
      </w:r>
      <w:r w:rsidRPr="00B30E75">
        <w:rPr>
          <w:sz w:val="20"/>
        </w:rPr>
        <w:t xml:space="preserve">47 C.F.R. §§ 1.925.  </w:t>
      </w:r>
    </w:p>
  </w:footnote>
  <w:footnote w:id="72">
    <w:p w:rsidR="00145B83" w:rsidRPr="00B30E75" w:rsidRDefault="00145B83" w:rsidP="00F372CB">
      <w:pPr>
        <w:pStyle w:val="FootnoteText"/>
        <w:spacing w:after="120"/>
        <w:rPr>
          <w:sz w:val="20"/>
        </w:rPr>
      </w:pPr>
      <w:r w:rsidRPr="00B30E75">
        <w:rPr>
          <w:rStyle w:val="FootnoteReference"/>
          <w:sz w:val="20"/>
        </w:rPr>
        <w:footnoteRef/>
      </w:r>
      <w:r w:rsidRPr="00B30E75">
        <w:rPr>
          <w:sz w:val="20"/>
        </w:rPr>
        <w:t xml:space="preserve"> </w:t>
      </w:r>
      <w:r w:rsidRPr="00B30E75">
        <w:rPr>
          <w:i/>
          <w:sz w:val="20"/>
        </w:rPr>
        <w:t xml:space="preserve">See </w:t>
      </w:r>
      <w:r w:rsidRPr="00B30E75">
        <w:rPr>
          <w:sz w:val="20"/>
        </w:rPr>
        <w:t xml:space="preserve">47 C.F.R. § 1.2110(f)(3)(ii)(A).  </w:t>
      </w:r>
    </w:p>
  </w:footnote>
  <w:footnote w:id="73">
    <w:p w:rsidR="00145B83" w:rsidRPr="003C5D8D" w:rsidRDefault="00145B83" w:rsidP="003C5D8D">
      <w:pPr>
        <w:pStyle w:val="FootnoteText"/>
        <w:spacing w:after="120"/>
        <w:rPr>
          <w:sz w:val="20"/>
        </w:rPr>
      </w:pPr>
      <w:r>
        <w:rPr>
          <w:rStyle w:val="FootnoteReference"/>
        </w:rPr>
        <w:footnoteRef/>
      </w:r>
      <w:r>
        <w:t xml:space="preserve"> </w:t>
      </w:r>
      <w:r>
        <w:rPr>
          <w:i/>
          <w:sz w:val="20"/>
        </w:rPr>
        <w:t xml:space="preserve">See TLBC Waiver Order </w:t>
      </w:r>
      <w:r w:rsidRPr="003C5D8D">
        <w:rPr>
          <w:sz w:val="20"/>
        </w:rPr>
        <w:t>at Appendix</w:t>
      </w:r>
      <w:r>
        <w:rPr>
          <w:i/>
          <w:sz w:val="20"/>
        </w:rPr>
        <w:t xml:space="preserve"> </w:t>
      </w:r>
      <w:r w:rsidRPr="003C5D8D">
        <w:rPr>
          <w:sz w:val="20"/>
        </w:rPr>
        <w:t>(</w:t>
      </w:r>
      <w:r>
        <w:rPr>
          <w:sz w:val="20"/>
        </w:rPr>
        <w:t xml:space="preserve">and discussion above).  </w:t>
      </w:r>
    </w:p>
  </w:footnote>
  <w:footnote w:id="74">
    <w:p w:rsidR="00145B83" w:rsidRPr="00B30E75" w:rsidRDefault="00145B83">
      <w:pPr>
        <w:pStyle w:val="FootnoteText"/>
        <w:spacing w:after="120"/>
        <w:rPr>
          <w:sz w:val="20"/>
        </w:rPr>
      </w:pPr>
      <w:r w:rsidRPr="00B30E75">
        <w:rPr>
          <w:rStyle w:val="FootnoteReference"/>
          <w:sz w:val="20"/>
        </w:rPr>
        <w:footnoteRef/>
      </w:r>
      <w:r w:rsidRPr="00B30E75">
        <w:rPr>
          <w:sz w:val="20"/>
        </w:rPr>
        <w:t xml:space="preserve"> </w:t>
      </w:r>
      <w:r w:rsidRPr="00325A2F">
        <w:rPr>
          <w:i/>
          <w:sz w:val="20"/>
        </w:rPr>
        <w:t>See</w:t>
      </w:r>
      <w:r>
        <w:rPr>
          <w:i/>
          <w:sz w:val="20"/>
        </w:rPr>
        <w:t xml:space="preserve"> </w:t>
      </w:r>
      <w:r>
        <w:rPr>
          <w:sz w:val="20"/>
        </w:rPr>
        <w:t xml:space="preserve">47 C.F.R. § 1.2110(f)(3)(i).  </w:t>
      </w:r>
      <w:r>
        <w:rPr>
          <w:i/>
          <w:sz w:val="20"/>
        </w:rPr>
        <w:t xml:space="preserve">See also </w:t>
      </w:r>
      <w:r w:rsidRPr="00B30E75">
        <w:rPr>
          <w:i/>
          <w:sz w:val="20"/>
        </w:rPr>
        <w:t>Tribal Lands Third Report and Order</w:t>
      </w:r>
      <w:r w:rsidRPr="00B30E75">
        <w:rPr>
          <w:sz w:val="20"/>
        </w:rPr>
        <w:t>, 19 FCC Rcd 17652 (2004).</w:t>
      </w:r>
      <w:r>
        <w:rPr>
          <w:sz w:val="20"/>
        </w:rPr>
        <w:t xml:space="preserve">  </w:t>
      </w:r>
    </w:p>
  </w:footnote>
  <w:footnote w:id="75">
    <w:p w:rsidR="00145B83" w:rsidRPr="00B30E75" w:rsidRDefault="00145B83" w:rsidP="00F372CB">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1.2110(f)(3)(ii)(B) and (vi</w:t>
      </w:r>
      <w:r>
        <w:rPr>
          <w:sz w:val="20"/>
        </w:rPr>
        <w:t>i</w:t>
      </w:r>
      <w:r w:rsidRPr="00B30E75">
        <w:rPr>
          <w:sz w:val="20"/>
        </w:rPr>
        <w:t>).</w:t>
      </w:r>
    </w:p>
  </w:footnote>
  <w:footnote w:id="76">
    <w:p w:rsidR="00145B83" w:rsidRPr="00B30E75" w:rsidRDefault="00145B83" w:rsidP="000E7826">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1.919, 1.2107(f).  </w:t>
      </w:r>
    </w:p>
  </w:footnote>
  <w:footnote w:id="77">
    <w:p w:rsidR="00145B83" w:rsidRPr="00B30E75" w:rsidRDefault="00145B83" w:rsidP="000E7826">
      <w:pPr>
        <w:pStyle w:val="FootnoteText"/>
        <w:spacing w:after="120"/>
        <w:rPr>
          <w:sz w:val="20"/>
        </w:rPr>
      </w:pPr>
      <w:r w:rsidRPr="00B30E75">
        <w:rPr>
          <w:rStyle w:val="FootnoteReference"/>
          <w:sz w:val="20"/>
        </w:rPr>
        <w:footnoteRef/>
      </w:r>
      <w:r w:rsidRPr="00B30E75">
        <w:rPr>
          <w:sz w:val="20"/>
        </w:rPr>
        <w:t xml:space="preserve"> </w:t>
      </w:r>
      <w:r w:rsidRPr="00B30E75">
        <w:rPr>
          <w:i/>
          <w:sz w:val="20"/>
        </w:rPr>
        <w:t>See</w:t>
      </w:r>
      <w:r w:rsidRPr="00B30E75">
        <w:rPr>
          <w:sz w:val="20"/>
        </w:rPr>
        <w:t xml:space="preserve"> 47 C.F.R. §§ 1.919, 1.2112.  </w:t>
      </w:r>
    </w:p>
  </w:footnote>
  <w:footnote w:id="78">
    <w:p w:rsidR="00145B83" w:rsidRPr="00B30E75" w:rsidRDefault="00145B83">
      <w:pPr>
        <w:pStyle w:val="FootnoteText"/>
        <w:spacing w:after="120"/>
        <w:rPr>
          <w:sz w:val="20"/>
        </w:rPr>
      </w:pPr>
      <w:r w:rsidRPr="00B30E75">
        <w:rPr>
          <w:rStyle w:val="FootnoteReference"/>
          <w:sz w:val="20"/>
        </w:rPr>
        <w:footnoteRef/>
      </w:r>
      <w:r>
        <w:rPr>
          <w:sz w:val="20"/>
        </w:rPr>
        <w:t xml:space="preserve">47 C.F.R. § 1.913(b).  </w:t>
      </w:r>
      <w:r w:rsidRPr="00B30E75">
        <w:rPr>
          <w:i/>
          <w:sz w:val="20"/>
        </w:rPr>
        <w:t xml:space="preserve">See </w:t>
      </w:r>
      <w:r w:rsidRPr="00B30E75">
        <w:rPr>
          <w:sz w:val="20"/>
        </w:rPr>
        <w:t xml:space="preserve">Wireless Telecommunications Bureau Reminds Filers of Effective Date for Mandatory Electronic Filing of FCC Form 602, </w:t>
      </w:r>
      <w:r w:rsidRPr="00B30E75">
        <w:rPr>
          <w:i/>
          <w:sz w:val="20"/>
        </w:rPr>
        <w:t>Public Notice</w:t>
      </w:r>
      <w:r w:rsidRPr="00B30E75">
        <w:rPr>
          <w:sz w:val="20"/>
        </w:rPr>
        <w:t xml:space="preserve">, 17 FCC Rcd 22934 (2002).  For more information on FCC Form 602, </w:t>
      </w:r>
      <w:r w:rsidRPr="00B30E75">
        <w:rPr>
          <w:i/>
          <w:sz w:val="20"/>
        </w:rPr>
        <w:t xml:space="preserve">see </w:t>
      </w:r>
      <w:r w:rsidRPr="00B30E75">
        <w:rPr>
          <w:sz w:val="20"/>
        </w:rPr>
        <w:t xml:space="preserve">Wireless Telecommunications Bureau Announces Revised Version of FCC Form 602 is Now Available, </w:t>
      </w:r>
      <w:r w:rsidRPr="00B30E75">
        <w:rPr>
          <w:i/>
          <w:sz w:val="20"/>
        </w:rPr>
        <w:t>Public Notice</w:t>
      </w:r>
      <w:r w:rsidRPr="00B30E75">
        <w:rPr>
          <w:sz w:val="20"/>
        </w:rPr>
        <w:t xml:space="preserve">, 17 FCC Rcd 16197 (2002); Wireless Telecommunications Bureau Answers Frequently Asked Questions Concerning Reporting of Ownership Information on FCC Form 602, </w:t>
      </w:r>
      <w:r w:rsidRPr="00B30E75">
        <w:rPr>
          <w:i/>
          <w:sz w:val="20"/>
        </w:rPr>
        <w:t>Public Notice</w:t>
      </w:r>
      <w:r w:rsidRPr="00B30E75">
        <w:rPr>
          <w:sz w:val="20"/>
        </w:rPr>
        <w:t xml:space="preserve">, 14 FCC Rcd 8261 (1999).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26" w:rsidRDefault="00127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83" w:rsidRPr="008055C9" w:rsidRDefault="00145B83" w:rsidP="00E30503">
    <w:pPr>
      <w:pStyle w:val="Header"/>
      <w:pBdr>
        <w:bottom w:val="single" w:sz="4" w:space="1" w:color="auto"/>
      </w:pBdr>
      <w:tabs>
        <w:tab w:val="clear" w:pos="4320"/>
        <w:tab w:val="clear" w:pos="8640"/>
        <w:tab w:val="center" w:pos="4680"/>
        <w:tab w:val="right" w:pos="9360"/>
      </w:tabs>
      <w:rPr>
        <w:b/>
      </w:rPr>
    </w:pPr>
    <w:r w:rsidRPr="008055C9">
      <w:rPr>
        <w:b/>
      </w:rPr>
      <w:tab/>
      <w:t>Federal Communications Commission</w:t>
    </w:r>
    <w:r w:rsidRPr="008055C9">
      <w:rPr>
        <w:b/>
      </w:rPr>
      <w:tab/>
      <w:t xml:space="preserve">DA </w:t>
    </w:r>
    <w:r w:rsidR="0055041C">
      <w:rPr>
        <w:b/>
      </w:rPr>
      <w:t>15-131</w:t>
    </w:r>
  </w:p>
  <w:p w:rsidR="00145B83" w:rsidRDefault="00145B83" w:rsidP="00E30503">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83" w:rsidRPr="008055C9" w:rsidRDefault="00145B83" w:rsidP="00E30503">
    <w:pPr>
      <w:pStyle w:val="Header"/>
      <w:pBdr>
        <w:bottom w:val="single" w:sz="4" w:space="1" w:color="auto"/>
      </w:pBdr>
      <w:tabs>
        <w:tab w:val="clear" w:pos="4320"/>
        <w:tab w:val="clear" w:pos="8640"/>
        <w:tab w:val="center" w:pos="4680"/>
        <w:tab w:val="right" w:pos="9360"/>
      </w:tabs>
      <w:rPr>
        <w:b/>
      </w:rPr>
    </w:pPr>
    <w:r w:rsidRPr="008055C9">
      <w:rPr>
        <w:b/>
      </w:rPr>
      <w:tab/>
      <w:t>Federal Communications Commission</w:t>
    </w:r>
    <w:r w:rsidRPr="008055C9">
      <w:rPr>
        <w:b/>
      </w:rPr>
      <w:tab/>
      <w:t xml:space="preserve">DA </w:t>
    </w:r>
    <w:r w:rsidR="0055041C">
      <w:rPr>
        <w:b/>
      </w:rPr>
      <w:t>15-131</w:t>
    </w:r>
  </w:p>
  <w:p w:rsidR="00145B83" w:rsidRDefault="0014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EndnoteText"/>
      <w:lvlText w:val="%1."/>
      <w:lvlJc w:val="left"/>
      <w:pPr>
        <w:tabs>
          <w:tab w:val="num" w:pos="1080"/>
        </w:tabs>
        <w:ind w:firstLine="720"/>
      </w:pPr>
      <w:rPr>
        <w:b w:val="0"/>
        <w:i w:val="0"/>
      </w:rPr>
    </w:lvl>
  </w:abstractNum>
  <w:abstractNum w:abstractNumId="1">
    <w:nsid w:val="084870E2"/>
    <w:multiLevelType w:val="hybridMultilevel"/>
    <w:tmpl w:val="920A01C6"/>
    <w:lvl w:ilvl="0" w:tplc="04090015">
      <w:start w:val="1"/>
      <w:numFmt w:val="upperLetter"/>
      <w:lvlText w:val="%1."/>
      <w:lvlJc w:val="left"/>
      <w:pPr>
        <w:tabs>
          <w:tab w:val="num" w:pos="720"/>
        </w:tabs>
        <w:ind w:left="720" w:hanging="360"/>
      </w:pPr>
      <w:rPr>
        <w:rFonts w:hint="default"/>
      </w:rPr>
    </w:lvl>
    <w:lvl w:ilvl="1" w:tplc="D6F05A68">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82E42"/>
    <w:multiLevelType w:val="hybridMultilevel"/>
    <w:tmpl w:val="9334BF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86676"/>
    <w:multiLevelType w:val="singleLevel"/>
    <w:tmpl w:val="5F6AD504"/>
    <w:lvl w:ilvl="0">
      <w:start w:val="3"/>
      <w:numFmt w:val="upperRoman"/>
      <w:pStyle w:val="Heading1"/>
      <w:lvlText w:val="%1."/>
      <w:lvlJc w:val="left"/>
      <w:pPr>
        <w:tabs>
          <w:tab w:val="num" w:pos="720"/>
        </w:tabs>
        <w:ind w:left="720" w:hanging="720"/>
      </w:pPr>
      <w:rPr>
        <w:rFonts w:hint="default"/>
      </w:rPr>
    </w:lvl>
  </w:abstractNum>
  <w:abstractNum w:abstractNumId="4">
    <w:nsid w:val="23F40A0F"/>
    <w:multiLevelType w:val="singleLevel"/>
    <w:tmpl w:val="08143C50"/>
    <w:lvl w:ilvl="0">
      <w:start w:val="1"/>
      <w:numFmt w:val="bullet"/>
      <w:pStyle w:val="ParaNum"/>
      <w:lvlText w:val=""/>
      <w:lvlJc w:val="left"/>
      <w:pPr>
        <w:tabs>
          <w:tab w:val="num" w:pos="360"/>
        </w:tabs>
        <w:ind w:left="360" w:hanging="360"/>
      </w:pPr>
      <w:rPr>
        <w:rFonts w:ascii="Symbol" w:hAnsi="Symbol" w:hint="default"/>
      </w:rPr>
    </w:lvl>
  </w:abstractNum>
  <w:abstractNum w:abstractNumId="5">
    <w:nsid w:val="27E06CBB"/>
    <w:multiLevelType w:val="multilevel"/>
    <w:tmpl w:val="8D96592A"/>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6">
    <w:nsid w:val="2A4F5389"/>
    <w:multiLevelType w:val="hybridMultilevel"/>
    <w:tmpl w:val="DC567C8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8">
    <w:nsid w:val="2BB50A99"/>
    <w:multiLevelType w:val="hybridMultilevel"/>
    <w:tmpl w:val="6ACA3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4E43E4"/>
    <w:multiLevelType w:val="hybridMultilevel"/>
    <w:tmpl w:val="6CD0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3648AD"/>
    <w:multiLevelType w:val="hybridMultilevel"/>
    <w:tmpl w:val="9FB4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EA0B8B"/>
    <w:multiLevelType w:val="hybridMultilevel"/>
    <w:tmpl w:val="1730EE5C"/>
    <w:lvl w:ilvl="0" w:tplc="2AA6A0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6B3576"/>
    <w:multiLevelType w:val="hybridMultilevel"/>
    <w:tmpl w:val="BBA63E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AD0805"/>
    <w:multiLevelType w:val="hybridMultilevel"/>
    <w:tmpl w:val="B0C03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C6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AF144A"/>
    <w:multiLevelType w:val="hybridMultilevel"/>
    <w:tmpl w:val="FF44665E"/>
    <w:lvl w:ilvl="0" w:tplc="D6F05A68">
      <w:start w:val="1"/>
      <w:numFmt w:val="bullet"/>
      <w:lvlText w:val=""/>
      <w:lvlJc w:val="left"/>
      <w:pPr>
        <w:tabs>
          <w:tab w:val="num" w:pos="1080"/>
        </w:tabs>
        <w:ind w:left="1080" w:hanging="360"/>
      </w:pPr>
      <w:rPr>
        <w:rFonts w:ascii="Symbol" w:hAnsi="Symbol" w:hint="default"/>
        <w:color w:val="auto"/>
        <w:sz w:val="24"/>
        <w:szCs w:val="24"/>
      </w:rPr>
    </w:lvl>
    <w:lvl w:ilvl="1" w:tplc="D6F05A68">
      <w:start w:val="1"/>
      <w:numFmt w:val="bullet"/>
      <w:lvlText w:val=""/>
      <w:lvlJc w:val="left"/>
      <w:pPr>
        <w:tabs>
          <w:tab w:val="num" w:pos="1800"/>
        </w:tabs>
        <w:ind w:left="1800" w:hanging="360"/>
      </w:pPr>
      <w:rPr>
        <w:rFonts w:ascii="Symbol" w:hAnsi="Symbol"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B82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E302CE5"/>
    <w:multiLevelType w:val="hybridMultilevel"/>
    <w:tmpl w:val="AFA4D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182925"/>
    <w:multiLevelType w:val="singleLevel"/>
    <w:tmpl w:val="E87A3EDC"/>
    <w:lvl w:ilvl="0">
      <w:start w:val="1"/>
      <w:numFmt w:val="decimal"/>
      <w:lvlText w:val="%1."/>
      <w:lvlJc w:val="left"/>
      <w:pPr>
        <w:tabs>
          <w:tab w:val="num" w:pos="1260"/>
        </w:tabs>
        <w:ind w:left="180" w:firstLine="720"/>
      </w:pPr>
      <w:rPr>
        <w:b w:val="0"/>
      </w:rPr>
    </w:lvl>
  </w:abstractNum>
  <w:abstractNum w:abstractNumId="1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811FC6"/>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1C261DD"/>
    <w:multiLevelType w:val="hybridMultilevel"/>
    <w:tmpl w:val="5D225F3C"/>
    <w:lvl w:ilvl="0" w:tplc="D6F05A68">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B37C88"/>
    <w:multiLevelType w:val="singleLevel"/>
    <w:tmpl w:val="0409000F"/>
    <w:lvl w:ilvl="0">
      <w:start w:val="1"/>
      <w:numFmt w:val="decimal"/>
      <w:lvlText w:val="%1."/>
      <w:lvlJc w:val="left"/>
      <w:pPr>
        <w:tabs>
          <w:tab w:val="num" w:pos="720"/>
        </w:tabs>
        <w:ind w:left="720" w:hanging="360"/>
      </w:pPr>
    </w:lvl>
  </w:abstractNum>
  <w:abstractNum w:abstractNumId="23">
    <w:nsid w:val="7A500FAD"/>
    <w:multiLevelType w:val="hybridMultilevel"/>
    <w:tmpl w:val="16B6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53098"/>
    <w:multiLevelType w:val="hybridMultilevel"/>
    <w:tmpl w:val="E6FAA396"/>
    <w:lvl w:ilvl="0" w:tplc="2AA6A0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4"/>
  </w:num>
  <w:num w:numId="6">
    <w:abstractNumId w:val="22"/>
  </w:num>
  <w:num w:numId="7">
    <w:abstractNumId w:val="19"/>
  </w:num>
  <w:num w:numId="8">
    <w:abstractNumId w:val="23"/>
  </w:num>
  <w:num w:numId="9">
    <w:abstractNumId w:val="7"/>
  </w:num>
  <w:num w:numId="10">
    <w:abstractNumId w:val="8"/>
  </w:num>
  <w:num w:numId="11">
    <w:abstractNumId w:val="6"/>
  </w:num>
  <w:num w:numId="12">
    <w:abstractNumId w:val="20"/>
  </w:num>
  <w:num w:numId="13">
    <w:abstractNumId w:val="17"/>
  </w:num>
  <w:num w:numId="14">
    <w:abstractNumId w:val="1"/>
  </w:num>
  <w:num w:numId="15">
    <w:abstractNumId w:val="15"/>
  </w:num>
  <w:num w:numId="16">
    <w:abstractNumId w:val="21"/>
  </w:num>
  <w:num w:numId="17">
    <w:abstractNumId w:val="12"/>
  </w:num>
  <w:num w:numId="18">
    <w:abstractNumId w:val="16"/>
  </w:num>
  <w:num w:numId="19">
    <w:abstractNumId w:val="24"/>
  </w:num>
  <w:num w:numId="20">
    <w:abstractNumId w:val="11"/>
  </w:num>
  <w:num w:numId="21">
    <w:abstractNumId w:val="5"/>
  </w:num>
  <w:num w:numId="22">
    <w:abstractNumId w:val="5"/>
  </w:num>
  <w:num w:numId="23">
    <w:abstractNumId w:val="13"/>
  </w:num>
  <w:num w:numId="24">
    <w:abstractNumId w:val="9"/>
  </w:num>
  <w:num w:numId="25">
    <w:abstractNumId w:val="3"/>
  </w:num>
  <w:num w:numId="26">
    <w:abstractNumId w:val="5"/>
  </w:num>
  <w:num w:numId="27">
    <w:abstractNumId w:val="18"/>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9"/>
    <w:rsid w:val="000017C4"/>
    <w:rsid w:val="000048EE"/>
    <w:rsid w:val="000105F0"/>
    <w:rsid w:val="00011105"/>
    <w:rsid w:val="00012825"/>
    <w:rsid w:val="00012F66"/>
    <w:rsid w:val="00020353"/>
    <w:rsid w:val="00021F76"/>
    <w:rsid w:val="00023CCA"/>
    <w:rsid w:val="0003000B"/>
    <w:rsid w:val="00032186"/>
    <w:rsid w:val="000356AE"/>
    <w:rsid w:val="00041F36"/>
    <w:rsid w:val="0004299E"/>
    <w:rsid w:val="00047933"/>
    <w:rsid w:val="00054D12"/>
    <w:rsid w:val="00063921"/>
    <w:rsid w:val="000651AF"/>
    <w:rsid w:val="0006790E"/>
    <w:rsid w:val="00070826"/>
    <w:rsid w:val="00074CD9"/>
    <w:rsid w:val="00076266"/>
    <w:rsid w:val="000802A2"/>
    <w:rsid w:val="000842BB"/>
    <w:rsid w:val="00085C57"/>
    <w:rsid w:val="00091B7F"/>
    <w:rsid w:val="000C0265"/>
    <w:rsid w:val="000C7444"/>
    <w:rsid w:val="000E08B8"/>
    <w:rsid w:val="000E307F"/>
    <w:rsid w:val="000E7826"/>
    <w:rsid w:val="000F18F5"/>
    <w:rsid w:val="000F58F9"/>
    <w:rsid w:val="000F7EB4"/>
    <w:rsid w:val="00100AD2"/>
    <w:rsid w:val="00103048"/>
    <w:rsid w:val="001110BE"/>
    <w:rsid w:val="00115E31"/>
    <w:rsid w:val="001234CD"/>
    <w:rsid w:val="00123E74"/>
    <w:rsid w:val="00127226"/>
    <w:rsid w:val="001312C6"/>
    <w:rsid w:val="00140AF6"/>
    <w:rsid w:val="00140B57"/>
    <w:rsid w:val="00142EAA"/>
    <w:rsid w:val="00145B83"/>
    <w:rsid w:val="00145DBC"/>
    <w:rsid w:val="00152068"/>
    <w:rsid w:val="001527FD"/>
    <w:rsid w:val="001538E4"/>
    <w:rsid w:val="00161AEA"/>
    <w:rsid w:val="001648B8"/>
    <w:rsid w:val="00167F8B"/>
    <w:rsid w:val="0017234B"/>
    <w:rsid w:val="00174AC3"/>
    <w:rsid w:val="00176144"/>
    <w:rsid w:val="00182FCC"/>
    <w:rsid w:val="00194238"/>
    <w:rsid w:val="00194AEC"/>
    <w:rsid w:val="001A10F0"/>
    <w:rsid w:val="001A306E"/>
    <w:rsid w:val="001A5658"/>
    <w:rsid w:val="001A5F4E"/>
    <w:rsid w:val="001A7549"/>
    <w:rsid w:val="001A7CB6"/>
    <w:rsid w:val="001B245D"/>
    <w:rsid w:val="001B2BBA"/>
    <w:rsid w:val="001B7289"/>
    <w:rsid w:val="001B7B3F"/>
    <w:rsid w:val="001D1584"/>
    <w:rsid w:val="001D2C5A"/>
    <w:rsid w:val="001D47D3"/>
    <w:rsid w:val="001D56F5"/>
    <w:rsid w:val="001E560D"/>
    <w:rsid w:val="001F50E3"/>
    <w:rsid w:val="00202E0B"/>
    <w:rsid w:val="00206882"/>
    <w:rsid w:val="00214137"/>
    <w:rsid w:val="00217304"/>
    <w:rsid w:val="00217BC1"/>
    <w:rsid w:val="002255B3"/>
    <w:rsid w:val="00231E49"/>
    <w:rsid w:val="002327B5"/>
    <w:rsid w:val="002345B8"/>
    <w:rsid w:val="00235093"/>
    <w:rsid w:val="00240D5A"/>
    <w:rsid w:val="00245F6D"/>
    <w:rsid w:val="002525A5"/>
    <w:rsid w:val="002608C0"/>
    <w:rsid w:val="002655AA"/>
    <w:rsid w:val="00265C44"/>
    <w:rsid w:val="00266BE5"/>
    <w:rsid w:val="002806C0"/>
    <w:rsid w:val="0028423E"/>
    <w:rsid w:val="002847D4"/>
    <w:rsid w:val="00287BBA"/>
    <w:rsid w:val="00287BD7"/>
    <w:rsid w:val="00287F04"/>
    <w:rsid w:val="00287F97"/>
    <w:rsid w:val="00290764"/>
    <w:rsid w:val="00291E21"/>
    <w:rsid w:val="002A08D0"/>
    <w:rsid w:val="002A7DCC"/>
    <w:rsid w:val="002B0640"/>
    <w:rsid w:val="002B2B2C"/>
    <w:rsid w:val="002B47EF"/>
    <w:rsid w:val="002B5E21"/>
    <w:rsid w:val="002C4E6D"/>
    <w:rsid w:val="002C5773"/>
    <w:rsid w:val="002C6175"/>
    <w:rsid w:val="002C688F"/>
    <w:rsid w:val="002D2EF3"/>
    <w:rsid w:val="002D388E"/>
    <w:rsid w:val="002D54B2"/>
    <w:rsid w:val="002E5C00"/>
    <w:rsid w:val="002F0AD9"/>
    <w:rsid w:val="002F0BA9"/>
    <w:rsid w:val="003003CF"/>
    <w:rsid w:val="00302BA4"/>
    <w:rsid w:val="00307FD2"/>
    <w:rsid w:val="0031336D"/>
    <w:rsid w:val="00316C3A"/>
    <w:rsid w:val="003229DD"/>
    <w:rsid w:val="003256DF"/>
    <w:rsid w:val="00325A2F"/>
    <w:rsid w:val="003274AE"/>
    <w:rsid w:val="00334435"/>
    <w:rsid w:val="00334C63"/>
    <w:rsid w:val="00337400"/>
    <w:rsid w:val="003410FD"/>
    <w:rsid w:val="00343535"/>
    <w:rsid w:val="00345A79"/>
    <w:rsid w:val="00352CF7"/>
    <w:rsid w:val="00353D46"/>
    <w:rsid w:val="00355793"/>
    <w:rsid w:val="003568A0"/>
    <w:rsid w:val="00356A3B"/>
    <w:rsid w:val="00356DDF"/>
    <w:rsid w:val="003600B0"/>
    <w:rsid w:val="003644D4"/>
    <w:rsid w:val="00366F6F"/>
    <w:rsid w:val="00373696"/>
    <w:rsid w:val="00373749"/>
    <w:rsid w:val="0037602A"/>
    <w:rsid w:val="00377B6D"/>
    <w:rsid w:val="00381591"/>
    <w:rsid w:val="003857C6"/>
    <w:rsid w:val="00391CB7"/>
    <w:rsid w:val="003A04A6"/>
    <w:rsid w:val="003A1484"/>
    <w:rsid w:val="003A36E4"/>
    <w:rsid w:val="003A7033"/>
    <w:rsid w:val="003B1090"/>
    <w:rsid w:val="003B3A8D"/>
    <w:rsid w:val="003B4A2D"/>
    <w:rsid w:val="003C5D8D"/>
    <w:rsid w:val="003D46CF"/>
    <w:rsid w:val="003D6AA8"/>
    <w:rsid w:val="003E052D"/>
    <w:rsid w:val="003E4AE2"/>
    <w:rsid w:val="003F024C"/>
    <w:rsid w:val="003F3C74"/>
    <w:rsid w:val="004019A7"/>
    <w:rsid w:val="004025C7"/>
    <w:rsid w:val="00413CDB"/>
    <w:rsid w:val="00424C69"/>
    <w:rsid w:val="00426881"/>
    <w:rsid w:val="00427888"/>
    <w:rsid w:val="0043150A"/>
    <w:rsid w:val="00434A01"/>
    <w:rsid w:val="00435895"/>
    <w:rsid w:val="004405EE"/>
    <w:rsid w:val="00454469"/>
    <w:rsid w:val="0045671B"/>
    <w:rsid w:val="004670DB"/>
    <w:rsid w:val="00472D0C"/>
    <w:rsid w:val="004733A7"/>
    <w:rsid w:val="0047469F"/>
    <w:rsid w:val="00474836"/>
    <w:rsid w:val="00476D8F"/>
    <w:rsid w:val="00483A97"/>
    <w:rsid w:val="0048564F"/>
    <w:rsid w:val="00486B75"/>
    <w:rsid w:val="00496E89"/>
    <w:rsid w:val="004A3067"/>
    <w:rsid w:val="004A521C"/>
    <w:rsid w:val="004C15A9"/>
    <w:rsid w:val="004C3ABF"/>
    <w:rsid w:val="004C3D05"/>
    <w:rsid w:val="004C56FD"/>
    <w:rsid w:val="004D0AD1"/>
    <w:rsid w:val="004D3DEA"/>
    <w:rsid w:val="004D45A3"/>
    <w:rsid w:val="004D7F08"/>
    <w:rsid w:val="004E5520"/>
    <w:rsid w:val="004F00FF"/>
    <w:rsid w:val="004F0DB4"/>
    <w:rsid w:val="004F2496"/>
    <w:rsid w:val="004F2524"/>
    <w:rsid w:val="004F3E5E"/>
    <w:rsid w:val="00501B04"/>
    <w:rsid w:val="00510B92"/>
    <w:rsid w:val="005122F1"/>
    <w:rsid w:val="005215B2"/>
    <w:rsid w:val="0052194D"/>
    <w:rsid w:val="00521974"/>
    <w:rsid w:val="00521AF6"/>
    <w:rsid w:val="00535615"/>
    <w:rsid w:val="00542481"/>
    <w:rsid w:val="0054250D"/>
    <w:rsid w:val="005428FB"/>
    <w:rsid w:val="00543ABC"/>
    <w:rsid w:val="005459B9"/>
    <w:rsid w:val="005468A8"/>
    <w:rsid w:val="0055041C"/>
    <w:rsid w:val="00555CAC"/>
    <w:rsid w:val="00561FBB"/>
    <w:rsid w:val="00562BEE"/>
    <w:rsid w:val="005713E4"/>
    <w:rsid w:val="00572048"/>
    <w:rsid w:val="0059025D"/>
    <w:rsid w:val="00591E3E"/>
    <w:rsid w:val="00593BD3"/>
    <w:rsid w:val="0059766C"/>
    <w:rsid w:val="005A3466"/>
    <w:rsid w:val="005A3AC4"/>
    <w:rsid w:val="005B2E8F"/>
    <w:rsid w:val="005B644B"/>
    <w:rsid w:val="005B6612"/>
    <w:rsid w:val="005B7973"/>
    <w:rsid w:val="005C09B9"/>
    <w:rsid w:val="005C0DBC"/>
    <w:rsid w:val="005C278C"/>
    <w:rsid w:val="005C4299"/>
    <w:rsid w:val="005D4E6C"/>
    <w:rsid w:val="005E17BB"/>
    <w:rsid w:val="005E68CE"/>
    <w:rsid w:val="005F7AB9"/>
    <w:rsid w:val="00603951"/>
    <w:rsid w:val="00606AD4"/>
    <w:rsid w:val="00606BF5"/>
    <w:rsid w:val="00607C49"/>
    <w:rsid w:val="006115CB"/>
    <w:rsid w:val="00612326"/>
    <w:rsid w:val="0062098D"/>
    <w:rsid w:val="00630307"/>
    <w:rsid w:val="00631EC6"/>
    <w:rsid w:val="0063620D"/>
    <w:rsid w:val="00643637"/>
    <w:rsid w:val="00644E41"/>
    <w:rsid w:val="00660095"/>
    <w:rsid w:val="00660951"/>
    <w:rsid w:val="006614EC"/>
    <w:rsid w:val="00662EEA"/>
    <w:rsid w:val="00664F62"/>
    <w:rsid w:val="006709A8"/>
    <w:rsid w:val="006740AA"/>
    <w:rsid w:val="006749F8"/>
    <w:rsid w:val="006852D2"/>
    <w:rsid w:val="006865C5"/>
    <w:rsid w:val="00686B46"/>
    <w:rsid w:val="00687DE2"/>
    <w:rsid w:val="00692810"/>
    <w:rsid w:val="00694E51"/>
    <w:rsid w:val="006966BC"/>
    <w:rsid w:val="006972F4"/>
    <w:rsid w:val="006A17FB"/>
    <w:rsid w:val="006A1FA3"/>
    <w:rsid w:val="006A211F"/>
    <w:rsid w:val="006A2B4C"/>
    <w:rsid w:val="006A3B1F"/>
    <w:rsid w:val="006A4859"/>
    <w:rsid w:val="006B0EA5"/>
    <w:rsid w:val="006B64F4"/>
    <w:rsid w:val="006B672C"/>
    <w:rsid w:val="006D039F"/>
    <w:rsid w:val="006D0436"/>
    <w:rsid w:val="006D7ADA"/>
    <w:rsid w:val="006E0528"/>
    <w:rsid w:val="006E1494"/>
    <w:rsid w:val="006E3F47"/>
    <w:rsid w:val="006E73DE"/>
    <w:rsid w:val="006E74D0"/>
    <w:rsid w:val="006F4CE4"/>
    <w:rsid w:val="006F64AF"/>
    <w:rsid w:val="007038E8"/>
    <w:rsid w:val="00706A8F"/>
    <w:rsid w:val="00720115"/>
    <w:rsid w:val="007241DD"/>
    <w:rsid w:val="007267C3"/>
    <w:rsid w:val="00726AC5"/>
    <w:rsid w:val="00726FFB"/>
    <w:rsid w:val="00727E66"/>
    <w:rsid w:val="00730029"/>
    <w:rsid w:val="00733BD7"/>
    <w:rsid w:val="007462F9"/>
    <w:rsid w:val="00746BF1"/>
    <w:rsid w:val="00747A1E"/>
    <w:rsid w:val="007514B3"/>
    <w:rsid w:val="00764A40"/>
    <w:rsid w:val="0077510E"/>
    <w:rsid w:val="00775579"/>
    <w:rsid w:val="0077736A"/>
    <w:rsid w:val="00793A08"/>
    <w:rsid w:val="00794B54"/>
    <w:rsid w:val="007A2A24"/>
    <w:rsid w:val="007A743C"/>
    <w:rsid w:val="007B6479"/>
    <w:rsid w:val="007D15D0"/>
    <w:rsid w:val="007D1B55"/>
    <w:rsid w:val="007D432F"/>
    <w:rsid w:val="007E0EC4"/>
    <w:rsid w:val="007F2D32"/>
    <w:rsid w:val="007F7889"/>
    <w:rsid w:val="008055C9"/>
    <w:rsid w:val="008203F2"/>
    <w:rsid w:val="00821F22"/>
    <w:rsid w:val="0082364C"/>
    <w:rsid w:val="00835D1E"/>
    <w:rsid w:val="0084203F"/>
    <w:rsid w:val="0084220A"/>
    <w:rsid w:val="0084437D"/>
    <w:rsid w:val="00844ACB"/>
    <w:rsid w:val="008467D5"/>
    <w:rsid w:val="00853DAB"/>
    <w:rsid w:val="00871AC6"/>
    <w:rsid w:val="00874053"/>
    <w:rsid w:val="008752C2"/>
    <w:rsid w:val="00877E66"/>
    <w:rsid w:val="00877F9A"/>
    <w:rsid w:val="008853BF"/>
    <w:rsid w:val="00887EEF"/>
    <w:rsid w:val="00892BB7"/>
    <w:rsid w:val="00894C82"/>
    <w:rsid w:val="008A2BBC"/>
    <w:rsid w:val="008A31C6"/>
    <w:rsid w:val="008B4DBE"/>
    <w:rsid w:val="008C3B30"/>
    <w:rsid w:val="008C50B0"/>
    <w:rsid w:val="008C57E2"/>
    <w:rsid w:val="008C7B69"/>
    <w:rsid w:val="008D0380"/>
    <w:rsid w:val="008D5FB8"/>
    <w:rsid w:val="008E28D8"/>
    <w:rsid w:val="008E333A"/>
    <w:rsid w:val="008E5205"/>
    <w:rsid w:val="008F3426"/>
    <w:rsid w:val="008F75DD"/>
    <w:rsid w:val="00901618"/>
    <w:rsid w:val="00905927"/>
    <w:rsid w:val="009158EC"/>
    <w:rsid w:val="00920BC2"/>
    <w:rsid w:val="00923402"/>
    <w:rsid w:val="00927770"/>
    <w:rsid w:val="00930098"/>
    <w:rsid w:val="00934737"/>
    <w:rsid w:val="009349BE"/>
    <w:rsid w:val="00944152"/>
    <w:rsid w:val="00946026"/>
    <w:rsid w:val="00953665"/>
    <w:rsid w:val="00965F58"/>
    <w:rsid w:val="00966945"/>
    <w:rsid w:val="00975A82"/>
    <w:rsid w:val="009770FA"/>
    <w:rsid w:val="00983616"/>
    <w:rsid w:val="00983EAB"/>
    <w:rsid w:val="009842AB"/>
    <w:rsid w:val="009854C5"/>
    <w:rsid w:val="00985E71"/>
    <w:rsid w:val="00986D7B"/>
    <w:rsid w:val="009876D2"/>
    <w:rsid w:val="00987DBC"/>
    <w:rsid w:val="00990EE2"/>
    <w:rsid w:val="0099788E"/>
    <w:rsid w:val="00997D11"/>
    <w:rsid w:val="009A3F40"/>
    <w:rsid w:val="009B137A"/>
    <w:rsid w:val="009B1570"/>
    <w:rsid w:val="009B35EC"/>
    <w:rsid w:val="009B58C2"/>
    <w:rsid w:val="009B615C"/>
    <w:rsid w:val="009B7D0F"/>
    <w:rsid w:val="009C3B6F"/>
    <w:rsid w:val="009C634F"/>
    <w:rsid w:val="009C69D7"/>
    <w:rsid w:val="009C6EB2"/>
    <w:rsid w:val="009C70DB"/>
    <w:rsid w:val="009D299A"/>
    <w:rsid w:val="009D67AF"/>
    <w:rsid w:val="009E0891"/>
    <w:rsid w:val="009E5DDB"/>
    <w:rsid w:val="009F4FB1"/>
    <w:rsid w:val="00A01047"/>
    <w:rsid w:val="00A041DB"/>
    <w:rsid w:val="00A06240"/>
    <w:rsid w:val="00A13C23"/>
    <w:rsid w:val="00A203A3"/>
    <w:rsid w:val="00A226E0"/>
    <w:rsid w:val="00A268FE"/>
    <w:rsid w:val="00A30A5C"/>
    <w:rsid w:val="00A30BDB"/>
    <w:rsid w:val="00A32C9E"/>
    <w:rsid w:val="00A36485"/>
    <w:rsid w:val="00A36AB2"/>
    <w:rsid w:val="00A451A4"/>
    <w:rsid w:val="00A50357"/>
    <w:rsid w:val="00A56D36"/>
    <w:rsid w:val="00A617B5"/>
    <w:rsid w:val="00A654F6"/>
    <w:rsid w:val="00A716C7"/>
    <w:rsid w:val="00A7247E"/>
    <w:rsid w:val="00A73C16"/>
    <w:rsid w:val="00A74757"/>
    <w:rsid w:val="00A766A2"/>
    <w:rsid w:val="00A76A5B"/>
    <w:rsid w:val="00A84F44"/>
    <w:rsid w:val="00A8752C"/>
    <w:rsid w:val="00A90966"/>
    <w:rsid w:val="00A97288"/>
    <w:rsid w:val="00AB0002"/>
    <w:rsid w:val="00AB180C"/>
    <w:rsid w:val="00AB2107"/>
    <w:rsid w:val="00AB76F6"/>
    <w:rsid w:val="00AB78CF"/>
    <w:rsid w:val="00AC1EF3"/>
    <w:rsid w:val="00AC289C"/>
    <w:rsid w:val="00AC3ABA"/>
    <w:rsid w:val="00AC7ED2"/>
    <w:rsid w:val="00AD1640"/>
    <w:rsid w:val="00AE0E96"/>
    <w:rsid w:val="00AE5566"/>
    <w:rsid w:val="00AE7105"/>
    <w:rsid w:val="00AE7362"/>
    <w:rsid w:val="00AF56F9"/>
    <w:rsid w:val="00B00A48"/>
    <w:rsid w:val="00B0346F"/>
    <w:rsid w:val="00B131FF"/>
    <w:rsid w:val="00B16E94"/>
    <w:rsid w:val="00B23001"/>
    <w:rsid w:val="00B24A38"/>
    <w:rsid w:val="00B30E75"/>
    <w:rsid w:val="00B34FC3"/>
    <w:rsid w:val="00B354BD"/>
    <w:rsid w:val="00B35EF7"/>
    <w:rsid w:val="00B43343"/>
    <w:rsid w:val="00B43F87"/>
    <w:rsid w:val="00B536F8"/>
    <w:rsid w:val="00B613C5"/>
    <w:rsid w:val="00B6167D"/>
    <w:rsid w:val="00B711E1"/>
    <w:rsid w:val="00B81812"/>
    <w:rsid w:val="00B833D3"/>
    <w:rsid w:val="00B836B8"/>
    <w:rsid w:val="00B83CC2"/>
    <w:rsid w:val="00B90FAB"/>
    <w:rsid w:val="00B926B7"/>
    <w:rsid w:val="00BB1EBC"/>
    <w:rsid w:val="00BB472F"/>
    <w:rsid w:val="00BB5DAB"/>
    <w:rsid w:val="00BD27F2"/>
    <w:rsid w:val="00BD3FBA"/>
    <w:rsid w:val="00BE2BB0"/>
    <w:rsid w:val="00BE37B3"/>
    <w:rsid w:val="00BE7982"/>
    <w:rsid w:val="00BF6F66"/>
    <w:rsid w:val="00BF71B3"/>
    <w:rsid w:val="00C033D4"/>
    <w:rsid w:val="00C10CA0"/>
    <w:rsid w:val="00C1185D"/>
    <w:rsid w:val="00C24B89"/>
    <w:rsid w:val="00C31DD1"/>
    <w:rsid w:val="00C37FBF"/>
    <w:rsid w:val="00C42421"/>
    <w:rsid w:val="00C45118"/>
    <w:rsid w:val="00C4723B"/>
    <w:rsid w:val="00C4770C"/>
    <w:rsid w:val="00C57A14"/>
    <w:rsid w:val="00C60617"/>
    <w:rsid w:val="00C611F6"/>
    <w:rsid w:val="00C61A34"/>
    <w:rsid w:val="00C64BE5"/>
    <w:rsid w:val="00C733DE"/>
    <w:rsid w:val="00C924B3"/>
    <w:rsid w:val="00C9729E"/>
    <w:rsid w:val="00CA2B87"/>
    <w:rsid w:val="00CA65AD"/>
    <w:rsid w:val="00CB103E"/>
    <w:rsid w:val="00CC25AF"/>
    <w:rsid w:val="00CC2A96"/>
    <w:rsid w:val="00CC516E"/>
    <w:rsid w:val="00CC5F89"/>
    <w:rsid w:val="00CC785D"/>
    <w:rsid w:val="00CD2BCB"/>
    <w:rsid w:val="00CD30C0"/>
    <w:rsid w:val="00CD31FF"/>
    <w:rsid w:val="00CD58BB"/>
    <w:rsid w:val="00CD5E3D"/>
    <w:rsid w:val="00CE4CCF"/>
    <w:rsid w:val="00CE5B31"/>
    <w:rsid w:val="00CF56C8"/>
    <w:rsid w:val="00D00C0C"/>
    <w:rsid w:val="00D03157"/>
    <w:rsid w:val="00D06A6C"/>
    <w:rsid w:val="00D106FF"/>
    <w:rsid w:val="00D118D3"/>
    <w:rsid w:val="00D14EF7"/>
    <w:rsid w:val="00D15185"/>
    <w:rsid w:val="00D24956"/>
    <w:rsid w:val="00D25566"/>
    <w:rsid w:val="00D25850"/>
    <w:rsid w:val="00D33E02"/>
    <w:rsid w:val="00D34983"/>
    <w:rsid w:val="00D373F6"/>
    <w:rsid w:val="00D40CCA"/>
    <w:rsid w:val="00D41319"/>
    <w:rsid w:val="00D4525A"/>
    <w:rsid w:val="00D4560E"/>
    <w:rsid w:val="00D4617B"/>
    <w:rsid w:val="00D50398"/>
    <w:rsid w:val="00D634DE"/>
    <w:rsid w:val="00D63B5A"/>
    <w:rsid w:val="00D64693"/>
    <w:rsid w:val="00D67EF7"/>
    <w:rsid w:val="00D72183"/>
    <w:rsid w:val="00D74430"/>
    <w:rsid w:val="00D755B0"/>
    <w:rsid w:val="00D76979"/>
    <w:rsid w:val="00D77941"/>
    <w:rsid w:val="00D87938"/>
    <w:rsid w:val="00D87C0E"/>
    <w:rsid w:val="00D91208"/>
    <w:rsid w:val="00D91E3B"/>
    <w:rsid w:val="00D94C3A"/>
    <w:rsid w:val="00D959AF"/>
    <w:rsid w:val="00DA09DA"/>
    <w:rsid w:val="00DA0E10"/>
    <w:rsid w:val="00DA1466"/>
    <w:rsid w:val="00DA247D"/>
    <w:rsid w:val="00DA7EC0"/>
    <w:rsid w:val="00DB371C"/>
    <w:rsid w:val="00DC2A63"/>
    <w:rsid w:val="00DD3F0C"/>
    <w:rsid w:val="00DD6875"/>
    <w:rsid w:val="00DD7261"/>
    <w:rsid w:val="00DF2BAF"/>
    <w:rsid w:val="00DF7E3C"/>
    <w:rsid w:val="00E0136A"/>
    <w:rsid w:val="00E01D48"/>
    <w:rsid w:val="00E04C08"/>
    <w:rsid w:val="00E0667A"/>
    <w:rsid w:val="00E069ED"/>
    <w:rsid w:val="00E06D3E"/>
    <w:rsid w:val="00E075A6"/>
    <w:rsid w:val="00E156C1"/>
    <w:rsid w:val="00E254AE"/>
    <w:rsid w:val="00E25E5D"/>
    <w:rsid w:val="00E30503"/>
    <w:rsid w:val="00E32EC5"/>
    <w:rsid w:val="00E37138"/>
    <w:rsid w:val="00E44468"/>
    <w:rsid w:val="00E46B44"/>
    <w:rsid w:val="00E5793A"/>
    <w:rsid w:val="00E57FA2"/>
    <w:rsid w:val="00E63792"/>
    <w:rsid w:val="00E8528C"/>
    <w:rsid w:val="00E8568C"/>
    <w:rsid w:val="00E87791"/>
    <w:rsid w:val="00E87A57"/>
    <w:rsid w:val="00E9011D"/>
    <w:rsid w:val="00E90DB3"/>
    <w:rsid w:val="00E96E56"/>
    <w:rsid w:val="00EA48A5"/>
    <w:rsid w:val="00EC2402"/>
    <w:rsid w:val="00EC28B5"/>
    <w:rsid w:val="00EC5055"/>
    <w:rsid w:val="00ED371D"/>
    <w:rsid w:val="00EE2F59"/>
    <w:rsid w:val="00EF1149"/>
    <w:rsid w:val="00EF1FCC"/>
    <w:rsid w:val="00F01D55"/>
    <w:rsid w:val="00F03C54"/>
    <w:rsid w:val="00F05825"/>
    <w:rsid w:val="00F05841"/>
    <w:rsid w:val="00F060C0"/>
    <w:rsid w:val="00F108B5"/>
    <w:rsid w:val="00F16415"/>
    <w:rsid w:val="00F1754B"/>
    <w:rsid w:val="00F2542A"/>
    <w:rsid w:val="00F254D3"/>
    <w:rsid w:val="00F30AF7"/>
    <w:rsid w:val="00F30E02"/>
    <w:rsid w:val="00F35DC4"/>
    <w:rsid w:val="00F36531"/>
    <w:rsid w:val="00F372CB"/>
    <w:rsid w:val="00F42DD7"/>
    <w:rsid w:val="00F45C17"/>
    <w:rsid w:val="00F51CA4"/>
    <w:rsid w:val="00F64966"/>
    <w:rsid w:val="00F67288"/>
    <w:rsid w:val="00F72B9A"/>
    <w:rsid w:val="00F72FDD"/>
    <w:rsid w:val="00F7337E"/>
    <w:rsid w:val="00F75365"/>
    <w:rsid w:val="00F80724"/>
    <w:rsid w:val="00F809F2"/>
    <w:rsid w:val="00F80A8F"/>
    <w:rsid w:val="00F811CB"/>
    <w:rsid w:val="00F9337D"/>
    <w:rsid w:val="00FA1E71"/>
    <w:rsid w:val="00FA7041"/>
    <w:rsid w:val="00FB0820"/>
    <w:rsid w:val="00FB272F"/>
    <w:rsid w:val="00FB3FC8"/>
    <w:rsid w:val="00FB71D7"/>
    <w:rsid w:val="00FC229F"/>
    <w:rsid w:val="00FD4AC0"/>
    <w:rsid w:val="00FE0AF4"/>
    <w:rsid w:val="00FE378D"/>
    <w:rsid w:val="00FE4E40"/>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Normal"/>
    <w:qFormat/>
    <w:pPr>
      <w:keepNext/>
      <w:widowControl w:val="0"/>
      <w:numPr>
        <w:numId w:val="4"/>
      </w:numPr>
      <w:tabs>
        <w:tab w:val="left" w:pos="0"/>
      </w:tabs>
      <w:suppressAutoHyphens/>
      <w:spacing w:after="220"/>
      <w:jc w:val="both"/>
      <w:outlineLvl w:val="0"/>
    </w:pPr>
    <w:rPr>
      <w:b/>
      <w:snapToGrid w:val="0"/>
      <w:kern w:val="28"/>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Normal"/>
    <w:qFormat/>
    <w:pPr>
      <w:keepNext/>
      <w:widowControl w:val="0"/>
      <w:numPr>
        <w:ilvl w:val="1"/>
        <w:numId w:val="1"/>
      </w:numPr>
      <w:spacing w:after="220"/>
      <w:jc w:val="both"/>
      <w:outlineLvl w:val="1"/>
    </w:pPr>
    <w:rPr>
      <w:b/>
      <w:snapToGrid w:val="0"/>
      <w:kern w:val="28"/>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Normal"/>
    <w:qFormat/>
    <w:pPr>
      <w:keepNext/>
      <w:widowControl w:val="0"/>
      <w:numPr>
        <w:ilvl w:val="2"/>
        <w:numId w:val="1"/>
      </w:numPr>
      <w:spacing w:after="220"/>
      <w:jc w:val="both"/>
      <w:outlineLvl w:val="2"/>
    </w:pPr>
    <w:rPr>
      <w:b/>
      <w:snapToGrid w:val="0"/>
      <w:kern w:val="28"/>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Normal"/>
    <w:qFormat/>
    <w:pPr>
      <w:keepNext/>
      <w:widowControl w:val="0"/>
      <w:numPr>
        <w:ilvl w:val="3"/>
        <w:numId w:val="1"/>
      </w:numPr>
      <w:spacing w:after="220"/>
      <w:jc w:val="both"/>
      <w:outlineLvl w:val="3"/>
    </w:pPr>
    <w:rPr>
      <w:b/>
      <w:snapToGrid w:val="0"/>
      <w:kern w:val="28"/>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qFormat/>
    <w:pPr>
      <w:keepNext/>
      <w:widowControl w:val="0"/>
      <w:numPr>
        <w:ilvl w:val="4"/>
        <w:numId w:val="1"/>
      </w:numPr>
      <w:tabs>
        <w:tab w:val="left" w:pos="2880"/>
      </w:tabs>
      <w:suppressAutoHyphens/>
      <w:spacing w:after="220"/>
      <w:jc w:val="both"/>
      <w:outlineLvl w:val="4"/>
    </w:pPr>
    <w:rPr>
      <w:b/>
      <w:snapToGrid w:val="0"/>
      <w:kern w:val="28"/>
    </w:rPr>
  </w:style>
  <w:style w:type="paragraph" w:styleId="Heading6">
    <w:name w:val="heading 6"/>
    <w:aliases w:val="Heading 6 Char2,Heading 6 Char1 Char,Heading 6 Char Char Char,Heading 6 Char Char1,Heading 6 Char1,Heading 6 Char Char,Heading 6 Char,h6"/>
    <w:basedOn w:val="Normal"/>
    <w:next w:val="Normal"/>
    <w:qFormat/>
    <w:pPr>
      <w:widowControl w:val="0"/>
      <w:numPr>
        <w:ilvl w:val="5"/>
        <w:numId w:val="1"/>
      </w:numPr>
      <w:tabs>
        <w:tab w:val="left" w:pos="2880"/>
      </w:tabs>
      <w:spacing w:after="220"/>
      <w:jc w:val="both"/>
      <w:outlineLvl w:val="5"/>
    </w:pPr>
    <w:rPr>
      <w:b/>
      <w:snapToGrid w:val="0"/>
      <w:kern w:val="28"/>
    </w:rPr>
  </w:style>
  <w:style w:type="paragraph" w:styleId="Heading7">
    <w:name w:val="heading 7"/>
    <w:aliases w:val="Heading 7 Char"/>
    <w:basedOn w:val="Normal"/>
    <w:next w:val="Normal"/>
    <w:qFormat/>
    <w:pPr>
      <w:widowControl w:val="0"/>
      <w:numPr>
        <w:ilvl w:val="6"/>
        <w:numId w:val="1"/>
      </w:numPr>
      <w:spacing w:after="240"/>
      <w:jc w:val="both"/>
      <w:outlineLvl w:val="6"/>
    </w:pPr>
    <w:rPr>
      <w:b/>
      <w:snapToGrid w:val="0"/>
      <w:kern w:val="28"/>
    </w:rPr>
  </w:style>
  <w:style w:type="paragraph" w:styleId="Heading8">
    <w:name w:val="heading 8"/>
    <w:basedOn w:val="Normal"/>
    <w:next w:val="Normal"/>
    <w:qFormat/>
    <w:pPr>
      <w:widowControl w:val="0"/>
      <w:numPr>
        <w:ilvl w:val="7"/>
        <w:numId w:val="1"/>
      </w:numPr>
      <w:tabs>
        <w:tab w:val="left" w:pos="5040"/>
      </w:tabs>
      <w:spacing w:after="240"/>
      <w:jc w:val="both"/>
      <w:outlineLvl w:val="7"/>
    </w:pPr>
    <w:rPr>
      <w:b/>
      <w:snapToGrid w:val="0"/>
      <w:kern w:val="28"/>
    </w:rPr>
  </w:style>
  <w:style w:type="paragraph" w:styleId="Heading9">
    <w:name w:val="heading 9"/>
    <w:aliases w:val="Topic,table,t,9,Heading 9.table,Titre 9,Heading 9 Char"/>
    <w:basedOn w:val="Normal"/>
    <w:next w:val="Normal"/>
    <w:qFormat/>
    <w:pPr>
      <w:widowControl w:val="0"/>
      <w:numPr>
        <w:ilvl w:val="8"/>
        <w:numId w:val="1"/>
      </w:numPr>
      <w:tabs>
        <w:tab w:val="left" w:pos="5040"/>
      </w:tabs>
      <w:spacing w:after="240"/>
      <w:jc w:val="both"/>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widowControl w:val="0"/>
      <w:tabs>
        <w:tab w:val="left" w:pos="2160"/>
      </w:tabs>
      <w:spacing w:after="220"/>
      <w:ind w:left="2160" w:hanging="720"/>
      <w:jc w:val="both"/>
    </w:pPr>
    <w:rPr>
      <w:snapToGrid w:val="0"/>
      <w:kern w:val="28"/>
    </w:rPr>
  </w:style>
  <w:style w:type="paragraph" w:customStyle="1" w:styleId="ParaNum">
    <w:name w:val="ParaNum"/>
    <w:basedOn w:val="Normal"/>
    <w:uiPriority w:val="99"/>
    <w:pPr>
      <w:widowControl w:val="0"/>
      <w:numPr>
        <w:numId w:val="2"/>
      </w:numPr>
      <w:tabs>
        <w:tab w:val="clear" w:pos="360"/>
      </w:tabs>
      <w:spacing w:after="220"/>
      <w:ind w:left="0" w:firstLine="720"/>
      <w:jc w:val="both"/>
    </w:pPr>
    <w:rPr>
      <w:snapToGrid w:val="0"/>
      <w:kern w:val="28"/>
    </w:rPr>
  </w:style>
  <w:style w:type="paragraph" w:styleId="BodyText">
    <w:name w:val="Body Text"/>
    <w:basedOn w:val="Normal"/>
    <w:pPr>
      <w:widowControl w:val="0"/>
      <w:suppressAutoHyphens/>
    </w:pPr>
    <w:rPr>
      <w:snapToGrid w:val="0"/>
    </w:rPr>
  </w:style>
  <w:style w:type="paragraph" w:styleId="EndnoteText">
    <w:name w:val="endnote text"/>
    <w:basedOn w:val="Normal"/>
    <w:semiHidden/>
    <w:pPr>
      <w:widowControl w:val="0"/>
      <w:numPr>
        <w:numId w:val="3"/>
      </w:numPr>
      <w:tabs>
        <w:tab w:val="clear" w:pos="1080"/>
      </w:tabs>
      <w:ind w:firstLine="0"/>
      <w:jc w:val="both"/>
    </w:pPr>
    <w:rPr>
      <w:snapToGrid w:val="0"/>
      <w:kern w:val="28"/>
      <w:sz w:val="20"/>
    </w:rPr>
  </w:style>
  <w:style w:type="paragraph" w:styleId="BodyTextIndent">
    <w:name w:val="Body Text Indent"/>
    <w:basedOn w:val="Normal"/>
    <w:pPr>
      <w:widowControl w:val="0"/>
      <w:ind w:left="1440" w:hanging="720"/>
    </w:pPr>
    <w:rPr>
      <w:snapToGrid w:val="0"/>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basedOn w:val="Normal"/>
    <w:link w:val="FootnoteTextChar"/>
    <w:uiPriority w:val="99"/>
    <w:pPr>
      <w:widowControl w:val="0"/>
    </w:pPr>
    <w:rPr>
      <w:snapToGrid w:val="0"/>
    </w:rPr>
  </w:style>
  <w:style w:type="character" w:styleId="FootnoteReference">
    <w:name w:val="footnote reference"/>
    <w:aliases w:val="Appel note de bas de p,Style 12,(NECG) Footnote Reference,Style 124,o,fr,Style 3,Style 17,FR,Style 13,Footnote Reference/,Style 6"/>
    <w:rPr>
      <w:vertAlign w:val="superscript"/>
    </w:rPr>
  </w:style>
  <w:style w:type="paragraph" w:styleId="BodyText2">
    <w:name w:val="Body Text 2"/>
    <w:basedOn w:val="Normal"/>
    <w:pPr>
      <w:tabs>
        <w:tab w:val="left" w:pos="-720"/>
      </w:tabs>
      <w:suppressAutoHyphens/>
      <w:jc w:val="both"/>
    </w:pPr>
    <w:rPr>
      <w:b/>
    </w:rPr>
  </w:style>
  <w:style w:type="paragraph" w:styleId="BodyText3">
    <w:name w:val="Body Text 3"/>
    <w:basedOn w:val="Normal"/>
    <w:pPr>
      <w:tabs>
        <w:tab w:val="left" w:pos="0"/>
        <w:tab w:val="left" w:pos="360"/>
        <w:tab w:val="left" w:pos="720"/>
      </w:tabs>
      <w:suppressAutoHyphens/>
      <w:jc w:val="both"/>
    </w:pPr>
    <w:rPr>
      <w:color w:val="000000"/>
    </w:rPr>
  </w:style>
  <w:style w:type="paragraph" w:styleId="BodyTextIndent2">
    <w:name w:val="Body Text Indent 2"/>
    <w:basedOn w:val="Normal"/>
    <w:pPr>
      <w:widowControl w:val="0"/>
      <w:ind w:firstLine="360"/>
      <w:jc w:val="both"/>
    </w:pPr>
    <w:rPr>
      <w:snapToGrid w:val="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3">
    <w:name w:val="Body Text Indent 3"/>
    <w:basedOn w:val="Normal"/>
    <w:pPr>
      <w:tabs>
        <w:tab w:val="left" w:pos="0"/>
        <w:tab w:val="left" w:pos="720"/>
      </w:tabs>
      <w:suppressAutoHyphens/>
      <w:ind w:left="360"/>
      <w:jc w:val="both"/>
    </w:pPr>
  </w:style>
  <w:style w:type="paragraph" w:styleId="Title">
    <w:name w:val="Title"/>
    <w:basedOn w:val="Normal"/>
    <w:qFormat/>
    <w:pPr>
      <w:spacing w:before="240" w:after="60"/>
      <w:jc w:val="center"/>
      <w:outlineLvl w:val="0"/>
    </w:pPr>
    <w:rPr>
      <w:b/>
      <w:smallCaps/>
      <w:kern w:val="28"/>
    </w:rPr>
  </w:style>
  <w:style w:type="character" w:customStyle="1" w:styleId="h3">
    <w:name w:val="h3"/>
    <w:basedOn w:val="DefaultParagraphFont"/>
  </w:style>
  <w:style w:type="character" w:customStyle="1" w:styleId="h2">
    <w:name w:val="h2"/>
    <w:basedOn w:val="DefaultParagraphFont"/>
  </w:style>
  <w:style w:type="paragraph" w:styleId="NormalWeb">
    <w:name w:val="Normal (Web)"/>
    <w:basedOn w:val="Normal"/>
    <w:pPr>
      <w:spacing w:before="100" w:beforeAutospacing="1" w:after="100" w:afterAutospacing="1"/>
    </w:pPr>
    <w:rPr>
      <w:color w:val="000000"/>
      <w:sz w:val="24"/>
      <w:szCs w:val="24"/>
    </w:rPr>
  </w:style>
  <w:style w:type="paragraph" w:styleId="BalloonText">
    <w:name w:val="Balloon Text"/>
    <w:basedOn w:val="Normal"/>
    <w:semiHidden/>
    <w:rPr>
      <w:rFonts w:ascii="Tahoma" w:hAnsi="Tahoma" w:cs="Tahoma"/>
      <w:sz w:val="16"/>
      <w:szCs w:val="16"/>
    </w:rPr>
  </w:style>
  <w:style w:type="character" w:customStyle="1" w:styleId="text-gray-small1">
    <w:name w:val="text-gray-small1"/>
    <w:rPr>
      <w:rFonts w:ascii="Verdana" w:hAnsi="Verdana" w:hint="default"/>
      <w:color w:val="666666"/>
      <w:sz w:val="17"/>
      <w:szCs w:val="17"/>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Pr>
      <w:snapToGrid w:val="0"/>
      <w:sz w:val="22"/>
      <w:lang w:val="en-US" w:eastAsia="en-US" w:bidi="ar-SA"/>
    </w:rPr>
  </w:style>
  <w:style w:type="character" w:customStyle="1" w:styleId="FootnoteTextChar1CharCharChar">
    <w:name w:val="Footnote Text Char1 Char Char Char"/>
    <w:aliases w:val="Footnote Text Char1 Char Char Char1 Char Char,Footnote Text Char Char Char Char Char,Footnote Text Char1 Char1 Char Char Char,ALTS FOOTNOTE Char Char Char"/>
    <w:rPr>
      <w:lang w:val="en-US" w:eastAsia="en-US" w:bidi="ar-SA"/>
    </w:rPr>
  </w:style>
  <w:style w:type="paragraph" w:styleId="PlainText">
    <w:name w:val="Plain Text"/>
    <w:basedOn w:val="Normal"/>
    <w:link w:val="PlainTextChar"/>
    <w:uiPriority w:val="99"/>
    <w:unhideWhenUsed/>
    <w:rsid w:val="00887EEF"/>
    <w:rPr>
      <w:rFonts w:ascii="Calibri" w:eastAsia="Calibri" w:hAnsi="Calibri" w:cs="Calibri"/>
      <w:szCs w:val="22"/>
    </w:rPr>
  </w:style>
  <w:style w:type="character" w:customStyle="1" w:styleId="PlainTextChar">
    <w:name w:val="Plain Text Char"/>
    <w:link w:val="PlainText"/>
    <w:uiPriority w:val="99"/>
    <w:rsid w:val="00887EEF"/>
    <w:rPr>
      <w:rFonts w:ascii="Calibri" w:eastAsia="Calibri" w:hAnsi="Calibri" w:cs="Calibri"/>
      <w:sz w:val="22"/>
      <w:szCs w:val="22"/>
    </w:rPr>
  </w:style>
  <w:style w:type="paragraph" w:styleId="ListParagraph">
    <w:name w:val="List Paragraph"/>
    <w:basedOn w:val="Normal"/>
    <w:uiPriority w:val="34"/>
    <w:qFormat/>
    <w:rsid w:val="00821F22"/>
    <w:pPr>
      <w:ind w:left="720"/>
    </w:pPr>
  </w:style>
  <w:style w:type="character" w:customStyle="1" w:styleId="HeaderChar">
    <w:name w:val="Header Char"/>
    <w:link w:val="Header"/>
    <w:rsid w:val="00E305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Normal"/>
    <w:qFormat/>
    <w:pPr>
      <w:keepNext/>
      <w:widowControl w:val="0"/>
      <w:numPr>
        <w:numId w:val="4"/>
      </w:numPr>
      <w:tabs>
        <w:tab w:val="left" w:pos="0"/>
      </w:tabs>
      <w:suppressAutoHyphens/>
      <w:spacing w:after="220"/>
      <w:jc w:val="both"/>
      <w:outlineLvl w:val="0"/>
    </w:pPr>
    <w:rPr>
      <w:b/>
      <w:snapToGrid w:val="0"/>
      <w:kern w:val="28"/>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Normal"/>
    <w:qFormat/>
    <w:pPr>
      <w:keepNext/>
      <w:widowControl w:val="0"/>
      <w:numPr>
        <w:ilvl w:val="1"/>
        <w:numId w:val="1"/>
      </w:numPr>
      <w:spacing w:after="220"/>
      <w:jc w:val="both"/>
      <w:outlineLvl w:val="1"/>
    </w:pPr>
    <w:rPr>
      <w:b/>
      <w:snapToGrid w:val="0"/>
      <w:kern w:val="28"/>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Normal"/>
    <w:qFormat/>
    <w:pPr>
      <w:keepNext/>
      <w:widowControl w:val="0"/>
      <w:numPr>
        <w:ilvl w:val="2"/>
        <w:numId w:val="1"/>
      </w:numPr>
      <w:spacing w:after="220"/>
      <w:jc w:val="both"/>
      <w:outlineLvl w:val="2"/>
    </w:pPr>
    <w:rPr>
      <w:b/>
      <w:snapToGrid w:val="0"/>
      <w:kern w:val="28"/>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Normal"/>
    <w:qFormat/>
    <w:pPr>
      <w:keepNext/>
      <w:widowControl w:val="0"/>
      <w:numPr>
        <w:ilvl w:val="3"/>
        <w:numId w:val="1"/>
      </w:numPr>
      <w:spacing w:after="220"/>
      <w:jc w:val="both"/>
      <w:outlineLvl w:val="3"/>
    </w:pPr>
    <w:rPr>
      <w:b/>
      <w:snapToGrid w:val="0"/>
      <w:kern w:val="28"/>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qFormat/>
    <w:pPr>
      <w:keepNext/>
      <w:widowControl w:val="0"/>
      <w:numPr>
        <w:ilvl w:val="4"/>
        <w:numId w:val="1"/>
      </w:numPr>
      <w:tabs>
        <w:tab w:val="left" w:pos="2880"/>
      </w:tabs>
      <w:suppressAutoHyphens/>
      <w:spacing w:after="220"/>
      <w:jc w:val="both"/>
      <w:outlineLvl w:val="4"/>
    </w:pPr>
    <w:rPr>
      <w:b/>
      <w:snapToGrid w:val="0"/>
      <w:kern w:val="28"/>
    </w:rPr>
  </w:style>
  <w:style w:type="paragraph" w:styleId="Heading6">
    <w:name w:val="heading 6"/>
    <w:aliases w:val="Heading 6 Char2,Heading 6 Char1 Char,Heading 6 Char Char Char,Heading 6 Char Char1,Heading 6 Char1,Heading 6 Char Char,Heading 6 Char,h6"/>
    <w:basedOn w:val="Normal"/>
    <w:next w:val="Normal"/>
    <w:qFormat/>
    <w:pPr>
      <w:widowControl w:val="0"/>
      <w:numPr>
        <w:ilvl w:val="5"/>
        <w:numId w:val="1"/>
      </w:numPr>
      <w:tabs>
        <w:tab w:val="left" w:pos="2880"/>
      </w:tabs>
      <w:spacing w:after="220"/>
      <w:jc w:val="both"/>
      <w:outlineLvl w:val="5"/>
    </w:pPr>
    <w:rPr>
      <w:b/>
      <w:snapToGrid w:val="0"/>
      <w:kern w:val="28"/>
    </w:rPr>
  </w:style>
  <w:style w:type="paragraph" w:styleId="Heading7">
    <w:name w:val="heading 7"/>
    <w:aliases w:val="Heading 7 Char"/>
    <w:basedOn w:val="Normal"/>
    <w:next w:val="Normal"/>
    <w:qFormat/>
    <w:pPr>
      <w:widowControl w:val="0"/>
      <w:numPr>
        <w:ilvl w:val="6"/>
        <w:numId w:val="1"/>
      </w:numPr>
      <w:spacing w:after="240"/>
      <w:jc w:val="both"/>
      <w:outlineLvl w:val="6"/>
    </w:pPr>
    <w:rPr>
      <w:b/>
      <w:snapToGrid w:val="0"/>
      <w:kern w:val="28"/>
    </w:rPr>
  </w:style>
  <w:style w:type="paragraph" w:styleId="Heading8">
    <w:name w:val="heading 8"/>
    <w:basedOn w:val="Normal"/>
    <w:next w:val="Normal"/>
    <w:qFormat/>
    <w:pPr>
      <w:widowControl w:val="0"/>
      <w:numPr>
        <w:ilvl w:val="7"/>
        <w:numId w:val="1"/>
      </w:numPr>
      <w:tabs>
        <w:tab w:val="left" w:pos="5040"/>
      </w:tabs>
      <w:spacing w:after="240"/>
      <w:jc w:val="both"/>
      <w:outlineLvl w:val="7"/>
    </w:pPr>
    <w:rPr>
      <w:b/>
      <w:snapToGrid w:val="0"/>
      <w:kern w:val="28"/>
    </w:rPr>
  </w:style>
  <w:style w:type="paragraph" w:styleId="Heading9">
    <w:name w:val="heading 9"/>
    <w:aliases w:val="Topic,table,t,9,Heading 9.table,Titre 9,Heading 9 Char"/>
    <w:basedOn w:val="Normal"/>
    <w:next w:val="Normal"/>
    <w:qFormat/>
    <w:pPr>
      <w:widowControl w:val="0"/>
      <w:numPr>
        <w:ilvl w:val="8"/>
        <w:numId w:val="1"/>
      </w:numPr>
      <w:tabs>
        <w:tab w:val="left" w:pos="5040"/>
      </w:tabs>
      <w:spacing w:after="240"/>
      <w:jc w:val="both"/>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widowControl w:val="0"/>
      <w:tabs>
        <w:tab w:val="left" w:pos="2160"/>
      </w:tabs>
      <w:spacing w:after="220"/>
      <w:ind w:left="2160" w:hanging="720"/>
      <w:jc w:val="both"/>
    </w:pPr>
    <w:rPr>
      <w:snapToGrid w:val="0"/>
      <w:kern w:val="28"/>
    </w:rPr>
  </w:style>
  <w:style w:type="paragraph" w:customStyle="1" w:styleId="ParaNum">
    <w:name w:val="ParaNum"/>
    <w:basedOn w:val="Normal"/>
    <w:uiPriority w:val="99"/>
    <w:pPr>
      <w:widowControl w:val="0"/>
      <w:numPr>
        <w:numId w:val="2"/>
      </w:numPr>
      <w:tabs>
        <w:tab w:val="clear" w:pos="360"/>
      </w:tabs>
      <w:spacing w:after="220"/>
      <w:ind w:left="0" w:firstLine="720"/>
      <w:jc w:val="both"/>
    </w:pPr>
    <w:rPr>
      <w:snapToGrid w:val="0"/>
      <w:kern w:val="28"/>
    </w:rPr>
  </w:style>
  <w:style w:type="paragraph" w:styleId="BodyText">
    <w:name w:val="Body Text"/>
    <w:basedOn w:val="Normal"/>
    <w:pPr>
      <w:widowControl w:val="0"/>
      <w:suppressAutoHyphens/>
    </w:pPr>
    <w:rPr>
      <w:snapToGrid w:val="0"/>
    </w:rPr>
  </w:style>
  <w:style w:type="paragraph" w:styleId="EndnoteText">
    <w:name w:val="endnote text"/>
    <w:basedOn w:val="Normal"/>
    <w:semiHidden/>
    <w:pPr>
      <w:widowControl w:val="0"/>
      <w:numPr>
        <w:numId w:val="3"/>
      </w:numPr>
      <w:tabs>
        <w:tab w:val="clear" w:pos="1080"/>
      </w:tabs>
      <w:ind w:firstLine="0"/>
      <w:jc w:val="both"/>
    </w:pPr>
    <w:rPr>
      <w:snapToGrid w:val="0"/>
      <w:kern w:val="28"/>
      <w:sz w:val="20"/>
    </w:rPr>
  </w:style>
  <w:style w:type="paragraph" w:styleId="BodyTextIndent">
    <w:name w:val="Body Text Indent"/>
    <w:basedOn w:val="Normal"/>
    <w:pPr>
      <w:widowControl w:val="0"/>
      <w:ind w:left="1440" w:hanging="720"/>
    </w:pPr>
    <w:rPr>
      <w:snapToGrid w:val="0"/>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basedOn w:val="Normal"/>
    <w:link w:val="FootnoteTextChar"/>
    <w:uiPriority w:val="99"/>
    <w:pPr>
      <w:widowControl w:val="0"/>
    </w:pPr>
    <w:rPr>
      <w:snapToGrid w:val="0"/>
    </w:rPr>
  </w:style>
  <w:style w:type="character" w:styleId="FootnoteReference">
    <w:name w:val="footnote reference"/>
    <w:aliases w:val="Appel note de bas de p,Style 12,(NECG) Footnote Reference,Style 124,o,fr,Style 3,Style 17,FR,Style 13,Footnote Reference/,Style 6"/>
    <w:rPr>
      <w:vertAlign w:val="superscript"/>
    </w:rPr>
  </w:style>
  <w:style w:type="paragraph" w:styleId="BodyText2">
    <w:name w:val="Body Text 2"/>
    <w:basedOn w:val="Normal"/>
    <w:pPr>
      <w:tabs>
        <w:tab w:val="left" w:pos="-720"/>
      </w:tabs>
      <w:suppressAutoHyphens/>
      <w:jc w:val="both"/>
    </w:pPr>
    <w:rPr>
      <w:b/>
    </w:rPr>
  </w:style>
  <w:style w:type="paragraph" w:styleId="BodyText3">
    <w:name w:val="Body Text 3"/>
    <w:basedOn w:val="Normal"/>
    <w:pPr>
      <w:tabs>
        <w:tab w:val="left" w:pos="0"/>
        <w:tab w:val="left" w:pos="360"/>
        <w:tab w:val="left" w:pos="720"/>
      </w:tabs>
      <w:suppressAutoHyphens/>
      <w:jc w:val="both"/>
    </w:pPr>
    <w:rPr>
      <w:color w:val="000000"/>
    </w:rPr>
  </w:style>
  <w:style w:type="paragraph" w:styleId="BodyTextIndent2">
    <w:name w:val="Body Text Indent 2"/>
    <w:basedOn w:val="Normal"/>
    <w:pPr>
      <w:widowControl w:val="0"/>
      <w:ind w:firstLine="360"/>
      <w:jc w:val="both"/>
    </w:pPr>
    <w:rPr>
      <w:snapToGrid w:val="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3">
    <w:name w:val="Body Text Indent 3"/>
    <w:basedOn w:val="Normal"/>
    <w:pPr>
      <w:tabs>
        <w:tab w:val="left" w:pos="0"/>
        <w:tab w:val="left" w:pos="720"/>
      </w:tabs>
      <w:suppressAutoHyphens/>
      <w:ind w:left="360"/>
      <w:jc w:val="both"/>
    </w:pPr>
  </w:style>
  <w:style w:type="paragraph" w:styleId="Title">
    <w:name w:val="Title"/>
    <w:basedOn w:val="Normal"/>
    <w:qFormat/>
    <w:pPr>
      <w:spacing w:before="240" w:after="60"/>
      <w:jc w:val="center"/>
      <w:outlineLvl w:val="0"/>
    </w:pPr>
    <w:rPr>
      <w:b/>
      <w:smallCaps/>
      <w:kern w:val="28"/>
    </w:rPr>
  </w:style>
  <w:style w:type="character" w:customStyle="1" w:styleId="h3">
    <w:name w:val="h3"/>
    <w:basedOn w:val="DefaultParagraphFont"/>
  </w:style>
  <w:style w:type="character" w:customStyle="1" w:styleId="h2">
    <w:name w:val="h2"/>
    <w:basedOn w:val="DefaultParagraphFont"/>
  </w:style>
  <w:style w:type="paragraph" w:styleId="NormalWeb">
    <w:name w:val="Normal (Web)"/>
    <w:basedOn w:val="Normal"/>
    <w:pPr>
      <w:spacing w:before="100" w:beforeAutospacing="1" w:after="100" w:afterAutospacing="1"/>
    </w:pPr>
    <w:rPr>
      <w:color w:val="000000"/>
      <w:sz w:val="24"/>
      <w:szCs w:val="24"/>
    </w:rPr>
  </w:style>
  <w:style w:type="paragraph" w:styleId="BalloonText">
    <w:name w:val="Balloon Text"/>
    <w:basedOn w:val="Normal"/>
    <w:semiHidden/>
    <w:rPr>
      <w:rFonts w:ascii="Tahoma" w:hAnsi="Tahoma" w:cs="Tahoma"/>
      <w:sz w:val="16"/>
      <w:szCs w:val="16"/>
    </w:rPr>
  </w:style>
  <w:style w:type="character" w:customStyle="1" w:styleId="text-gray-small1">
    <w:name w:val="text-gray-small1"/>
    <w:rPr>
      <w:rFonts w:ascii="Verdana" w:hAnsi="Verdana" w:hint="default"/>
      <w:color w:val="666666"/>
      <w:sz w:val="17"/>
      <w:szCs w:val="17"/>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Pr>
      <w:snapToGrid w:val="0"/>
      <w:sz w:val="22"/>
      <w:lang w:val="en-US" w:eastAsia="en-US" w:bidi="ar-SA"/>
    </w:rPr>
  </w:style>
  <w:style w:type="character" w:customStyle="1" w:styleId="FootnoteTextChar1CharCharChar">
    <w:name w:val="Footnote Text Char1 Char Char Char"/>
    <w:aliases w:val="Footnote Text Char1 Char Char Char1 Char Char,Footnote Text Char Char Char Char Char,Footnote Text Char1 Char1 Char Char Char,ALTS FOOTNOTE Char Char Char"/>
    <w:rPr>
      <w:lang w:val="en-US" w:eastAsia="en-US" w:bidi="ar-SA"/>
    </w:rPr>
  </w:style>
  <w:style w:type="paragraph" w:styleId="PlainText">
    <w:name w:val="Plain Text"/>
    <w:basedOn w:val="Normal"/>
    <w:link w:val="PlainTextChar"/>
    <w:uiPriority w:val="99"/>
    <w:unhideWhenUsed/>
    <w:rsid w:val="00887EEF"/>
    <w:rPr>
      <w:rFonts w:ascii="Calibri" w:eastAsia="Calibri" w:hAnsi="Calibri" w:cs="Calibri"/>
      <w:szCs w:val="22"/>
    </w:rPr>
  </w:style>
  <w:style w:type="character" w:customStyle="1" w:styleId="PlainTextChar">
    <w:name w:val="Plain Text Char"/>
    <w:link w:val="PlainText"/>
    <w:uiPriority w:val="99"/>
    <w:rsid w:val="00887EEF"/>
    <w:rPr>
      <w:rFonts w:ascii="Calibri" w:eastAsia="Calibri" w:hAnsi="Calibri" w:cs="Calibri"/>
      <w:sz w:val="22"/>
      <w:szCs w:val="22"/>
    </w:rPr>
  </w:style>
  <w:style w:type="paragraph" w:styleId="ListParagraph">
    <w:name w:val="List Paragraph"/>
    <w:basedOn w:val="Normal"/>
    <w:uiPriority w:val="34"/>
    <w:qFormat/>
    <w:rsid w:val="00821F22"/>
    <w:pPr>
      <w:ind w:left="720"/>
    </w:pPr>
  </w:style>
  <w:style w:type="character" w:customStyle="1" w:styleId="HeaderChar">
    <w:name w:val="Header Char"/>
    <w:link w:val="Header"/>
    <w:rsid w:val="00E305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2293">
      <w:bodyDiv w:val="1"/>
      <w:marLeft w:val="0"/>
      <w:marRight w:val="0"/>
      <w:marTop w:val="0"/>
      <w:marBottom w:val="0"/>
      <w:divBdr>
        <w:top w:val="none" w:sz="0" w:space="0" w:color="auto"/>
        <w:left w:val="none" w:sz="0" w:space="0" w:color="auto"/>
        <w:bottom w:val="none" w:sz="0" w:space="0" w:color="auto"/>
        <w:right w:val="none" w:sz="0" w:space="0" w:color="auto"/>
      </w:divBdr>
    </w:div>
    <w:div w:id="861212943">
      <w:bodyDiv w:val="1"/>
      <w:marLeft w:val="0"/>
      <w:marRight w:val="0"/>
      <w:marTop w:val="0"/>
      <w:marBottom w:val="0"/>
      <w:divBdr>
        <w:top w:val="none" w:sz="0" w:space="0" w:color="auto"/>
        <w:left w:val="none" w:sz="0" w:space="0" w:color="auto"/>
        <w:bottom w:val="none" w:sz="0" w:space="0" w:color="auto"/>
        <w:right w:val="none" w:sz="0" w:space="0" w:color="auto"/>
      </w:divBdr>
      <w:divsChild>
        <w:div w:id="1546478277">
          <w:marLeft w:val="0"/>
          <w:marRight w:val="0"/>
          <w:marTop w:val="0"/>
          <w:marBottom w:val="0"/>
          <w:divBdr>
            <w:top w:val="none" w:sz="0" w:space="0" w:color="auto"/>
            <w:left w:val="none" w:sz="0" w:space="0" w:color="auto"/>
            <w:bottom w:val="none" w:sz="0" w:space="0" w:color="auto"/>
            <w:right w:val="none" w:sz="0" w:space="0" w:color="auto"/>
          </w:divBdr>
        </w:div>
        <w:div w:id="2103993617">
          <w:marLeft w:val="0"/>
          <w:marRight w:val="0"/>
          <w:marTop w:val="0"/>
          <w:marBottom w:val="0"/>
          <w:divBdr>
            <w:top w:val="none" w:sz="0" w:space="0" w:color="auto"/>
            <w:left w:val="none" w:sz="0" w:space="0" w:color="auto"/>
            <w:bottom w:val="none" w:sz="0" w:space="0" w:color="auto"/>
            <w:right w:val="none" w:sz="0" w:space="0" w:color="auto"/>
          </w:divBdr>
        </w:div>
      </w:divsChild>
    </w:div>
    <w:div w:id="1186673197">
      <w:bodyDiv w:val="1"/>
      <w:marLeft w:val="0"/>
      <w:marRight w:val="0"/>
      <w:marTop w:val="0"/>
      <w:marBottom w:val="0"/>
      <w:divBdr>
        <w:top w:val="none" w:sz="0" w:space="0" w:color="auto"/>
        <w:left w:val="none" w:sz="0" w:space="0" w:color="auto"/>
        <w:bottom w:val="none" w:sz="0" w:space="0" w:color="auto"/>
        <w:right w:val="none" w:sz="0" w:space="0" w:color="auto"/>
      </w:divBdr>
      <w:divsChild>
        <w:div w:id="709842948">
          <w:marLeft w:val="0"/>
          <w:marRight w:val="0"/>
          <w:marTop w:val="0"/>
          <w:marBottom w:val="0"/>
          <w:divBdr>
            <w:top w:val="none" w:sz="0" w:space="0" w:color="auto"/>
            <w:left w:val="none" w:sz="0" w:space="0" w:color="auto"/>
            <w:bottom w:val="none" w:sz="0" w:space="0" w:color="auto"/>
            <w:right w:val="none" w:sz="0" w:space="0" w:color="auto"/>
          </w:divBdr>
          <w:divsChild>
            <w:div w:id="274141068">
              <w:marLeft w:val="0"/>
              <w:marRight w:val="0"/>
              <w:marTop w:val="0"/>
              <w:marBottom w:val="0"/>
              <w:divBdr>
                <w:top w:val="none" w:sz="0" w:space="0" w:color="auto"/>
                <w:left w:val="none" w:sz="0" w:space="0" w:color="auto"/>
                <w:bottom w:val="none" w:sz="0" w:space="0" w:color="auto"/>
                <w:right w:val="none" w:sz="0" w:space="0" w:color="auto"/>
              </w:divBdr>
            </w:div>
            <w:div w:id="318996301">
              <w:marLeft w:val="0"/>
              <w:marRight w:val="0"/>
              <w:marTop w:val="0"/>
              <w:marBottom w:val="0"/>
              <w:divBdr>
                <w:top w:val="none" w:sz="0" w:space="0" w:color="auto"/>
                <w:left w:val="none" w:sz="0" w:space="0" w:color="auto"/>
                <w:bottom w:val="none" w:sz="0" w:space="0" w:color="auto"/>
                <w:right w:val="none" w:sz="0" w:space="0" w:color="auto"/>
              </w:divBdr>
            </w:div>
            <w:div w:id="611589986">
              <w:marLeft w:val="0"/>
              <w:marRight w:val="0"/>
              <w:marTop w:val="0"/>
              <w:marBottom w:val="0"/>
              <w:divBdr>
                <w:top w:val="none" w:sz="0" w:space="0" w:color="auto"/>
                <w:left w:val="none" w:sz="0" w:space="0" w:color="auto"/>
                <w:bottom w:val="none" w:sz="0" w:space="0" w:color="auto"/>
                <w:right w:val="none" w:sz="0" w:space="0" w:color="auto"/>
              </w:divBdr>
            </w:div>
            <w:div w:id="633483835">
              <w:marLeft w:val="0"/>
              <w:marRight w:val="0"/>
              <w:marTop w:val="0"/>
              <w:marBottom w:val="0"/>
              <w:divBdr>
                <w:top w:val="none" w:sz="0" w:space="0" w:color="auto"/>
                <w:left w:val="none" w:sz="0" w:space="0" w:color="auto"/>
                <w:bottom w:val="none" w:sz="0" w:space="0" w:color="auto"/>
                <w:right w:val="none" w:sz="0" w:space="0" w:color="auto"/>
              </w:divBdr>
            </w:div>
            <w:div w:id="918058180">
              <w:marLeft w:val="0"/>
              <w:marRight w:val="0"/>
              <w:marTop w:val="0"/>
              <w:marBottom w:val="0"/>
              <w:divBdr>
                <w:top w:val="none" w:sz="0" w:space="0" w:color="auto"/>
                <w:left w:val="none" w:sz="0" w:space="0" w:color="auto"/>
                <w:bottom w:val="none" w:sz="0" w:space="0" w:color="auto"/>
                <w:right w:val="none" w:sz="0" w:space="0" w:color="auto"/>
              </w:divBdr>
            </w:div>
            <w:div w:id="1776094709">
              <w:marLeft w:val="0"/>
              <w:marRight w:val="0"/>
              <w:marTop w:val="0"/>
              <w:marBottom w:val="0"/>
              <w:divBdr>
                <w:top w:val="none" w:sz="0" w:space="0" w:color="auto"/>
                <w:left w:val="none" w:sz="0" w:space="0" w:color="auto"/>
                <w:bottom w:val="none" w:sz="0" w:space="0" w:color="auto"/>
                <w:right w:val="none" w:sz="0" w:space="0" w:color="auto"/>
              </w:divBdr>
            </w:div>
            <w:div w:id="1842086606">
              <w:marLeft w:val="0"/>
              <w:marRight w:val="0"/>
              <w:marTop w:val="0"/>
              <w:marBottom w:val="0"/>
              <w:divBdr>
                <w:top w:val="none" w:sz="0" w:space="0" w:color="auto"/>
                <w:left w:val="none" w:sz="0" w:space="0" w:color="auto"/>
                <w:bottom w:val="none" w:sz="0" w:space="0" w:color="auto"/>
                <w:right w:val="none" w:sz="0" w:space="0" w:color="auto"/>
              </w:divBdr>
            </w:div>
            <w:div w:id="1881474326">
              <w:marLeft w:val="0"/>
              <w:marRight w:val="0"/>
              <w:marTop w:val="0"/>
              <w:marBottom w:val="0"/>
              <w:divBdr>
                <w:top w:val="none" w:sz="0" w:space="0" w:color="auto"/>
                <w:left w:val="none" w:sz="0" w:space="0" w:color="auto"/>
                <w:bottom w:val="none" w:sz="0" w:space="0" w:color="auto"/>
                <w:right w:val="none" w:sz="0" w:space="0" w:color="auto"/>
              </w:divBdr>
            </w:div>
            <w:div w:id="2050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yperlink" Target="http://wireless.fcc.gov/ul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reless.fcc.gov/au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upport.fcc.gov/index.htm?job=attach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reless.fcc.gov/uls/releases/da012452.tx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support.fcc.gov/index.htm?job=getting_connected" TargetMode="External"/><Relationship Id="rId14" Type="http://schemas.openxmlformats.org/officeDocument/2006/relationships/hyperlink" Target="http://wireless.fcc.gov/u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8895</Words>
  <Characters>48042</Characters>
  <Application>Microsoft Office Word</Application>
  <DocSecurity>0</DocSecurity>
  <Lines>803</Lines>
  <Paragraphs>194</Paragraphs>
  <ScaleCrop>false</ScaleCrop>
  <HeadingPairs>
    <vt:vector size="2" baseType="variant">
      <vt:variant>
        <vt:lpstr>Title</vt:lpstr>
      </vt:variant>
      <vt:variant>
        <vt:i4>1</vt:i4>
      </vt:variant>
    </vt:vector>
  </HeadingPairs>
  <TitlesOfParts>
    <vt:vector size="1" baseType="lpstr">
      <vt:lpstr>ATTACHMENT D</vt:lpstr>
    </vt:vector>
  </TitlesOfParts>
  <Manager/>
  <Company/>
  <LinksUpToDate>false</LinksUpToDate>
  <CharactersWithSpaces>57184</CharactersWithSpaces>
  <SharedDoc>false</SharedDoc>
  <HyperlinkBase> </HyperlinkBase>
  <HLinks>
    <vt:vector size="48" baseType="variant">
      <vt:variant>
        <vt:i4>8257650</vt:i4>
      </vt:variant>
      <vt:variant>
        <vt:i4>21</vt:i4>
      </vt:variant>
      <vt:variant>
        <vt:i4>0</vt:i4>
      </vt:variant>
      <vt:variant>
        <vt:i4>5</vt:i4>
      </vt:variant>
      <vt:variant>
        <vt:lpwstr>http://wireless.fcc.gov/uls</vt:lpwstr>
      </vt:variant>
      <vt:variant>
        <vt:lpwstr/>
      </vt:variant>
      <vt:variant>
        <vt:i4>8257650</vt:i4>
      </vt:variant>
      <vt:variant>
        <vt:i4>18</vt:i4>
      </vt:variant>
      <vt:variant>
        <vt:i4>0</vt:i4>
      </vt:variant>
      <vt:variant>
        <vt:i4>5</vt:i4>
      </vt:variant>
      <vt:variant>
        <vt:lpwstr>http://wireless.fcc.gov/uls</vt:lpwstr>
      </vt:variant>
      <vt:variant>
        <vt:lpwstr/>
      </vt:variant>
      <vt:variant>
        <vt:i4>983042</vt:i4>
      </vt:variant>
      <vt:variant>
        <vt:i4>15</vt:i4>
      </vt:variant>
      <vt:variant>
        <vt:i4>0</vt:i4>
      </vt:variant>
      <vt:variant>
        <vt:i4>5</vt:i4>
      </vt:variant>
      <vt:variant>
        <vt:lpwstr>http://wireless.fcc.gov/auctions</vt:lpwstr>
      </vt:variant>
      <vt:variant>
        <vt:lpwstr/>
      </vt:variant>
      <vt:variant>
        <vt:i4>3145839</vt:i4>
      </vt:variant>
      <vt:variant>
        <vt:i4>11</vt:i4>
      </vt:variant>
      <vt:variant>
        <vt:i4>0</vt:i4>
      </vt:variant>
      <vt:variant>
        <vt:i4>5</vt:i4>
      </vt:variant>
      <vt:variant>
        <vt:lpwstr>http://esupport.fcc.gov/attachments.htm</vt:lpwstr>
      </vt:variant>
      <vt:variant>
        <vt:lpwstr>types</vt:lpwstr>
      </vt:variant>
      <vt:variant>
        <vt:i4>4128779</vt:i4>
      </vt:variant>
      <vt:variant>
        <vt:i4>9</vt:i4>
      </vt:variant>
      <vt:variant>
        <vt:i4>0</vt:i4>
      </vt:variant>
      <vt:variant>
        <vt:i4>5</vt:i4>
      </vt:variant>
      <vt:variant>
        <vt:lpwstr>http://wireless.fcc.gov/uls/support/help/help_attach.html</vt:lpwstr>
      </vt:variant>
      <vt:variant>
        <vt:lpwstr/>
      </vt:variant>
      <vt:variant>
        <vt:i4>5505046</vt:i4>
      </vt:variant>
      <vt:variant>
        <vt:i4>6</vt:i4>
      </vt:variant>
      <vt:variant>
        <vt:i4>0</vt:i4>
      </vt:variant>
      <vt:variant>
        <vt:i4>5</vt:i4>
      </vt:variant>
      <vt:variant>
        <vt:lpwstr>http://wireless.fcc.gov/uls/releases/da012452.txt</vt:lpwstr>
      </vt:variant>
      <vt:variant>
        <vt:lpwstr/>
      </vt:variant>
      <vt:variant>
        <vt:i4>65660</vt:i4>
      </vt:variant>
      <vt:variant>
        <vt:i4>3</vt:i4>
      </vt:variant>
      <vt:variant>
        <vt:i4>0</vt:i4>
      </vt:variant>
      <vt:variant>
        <vt:i4>5</vt:i4>
      </vt:variant>
      <vt:variant>
        <vt:lpwstr>http://esupport.fcc.gov/index.htm?job=getting_connected</vt:lpwstr>
      </vt:variant>
      <vt:variant>
        <vt:lpwstr/>
      </vt:variant>
      <vt:variant>
        <vt:i4>8257650</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2014-11-19T13:07:00Z</cp:lastPrinted>
  <dcterms:created xsi:type="dcterms:W3CDTF">2015-01-30T17:18:00Z</dcterms:created>
  <dcterms:modified xsi:type="dcterms:W3CDTF">2015-01-30T17:18:00Z</dcterms:modified>
  <cp:category> </cp:category>
  <cp:contentStatus> </cp:contentStatus>
</cp:coreProperties>
</file>