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9886" w14:textId="77777777" w:rsidR="00555687" w:rsidRDefault="00555687">
      <w:pPr>
        <w:jc w:val="center"/>
        <w:rPr>
          <w:b/>
        </w:rPr>
      </w:pPr>
      <w:bookmarkStart w:id="0" w:name="_GoBack"/>
      <w:bookmarkEnd w:id="0"/>
      <w:r>
        <w:rPr>
          <w:b/>
        </w:rPr>
        <w:t>Before the</w:t>
      </w:r>
    </w:p>
    <w:p w14:paraId="447F1E0D" w14:textId="77777777" w:rsidR="00555687" w:rsidRDefault="00555687">
      <w:pPr>
        <w:jc w:val="center"/>
        <w:rPr>
          <w:b/>
        </w:rPr>
      </w:pPr>
      <w:r>
        <w:rPr>
          <w:b/>
        </w:rPr>
        <w:t>Federal Communications Commission</w:t>
      </w:r>
    </w:p>
    <w:p w14:paraId="5BB0BC9A" w14:textId="77777777" w:rsidR="00555687" w:rsidRDefault="00555687">
      <w:pPr>
        <w:jc w:val="center"/>
        <w:rPr>
          <w:b/>
        </w:rPr>
      </w:pPr>
      <w:r>
        <w:rPr>
          <w:b/>
        </w:rPr>
        <w:t>Washington, D.C. 20554</w:t>
      </w:r>
    </w:p>
    <w:p w14:paraId="26403EA8" w14:textId="77777777" w:rsidR="00555687" w:rsidRDefault="00555687"/>
    <w:p w14:paraId="09B07D4A" w14:textId="77777777" w:rsidR="00555687" w:rsidRDefault="00555687"/>
    <w:tbl>
      <w:tblPr>
        <w:tblW w:w="0" w:type="auto"/>
        <w:tblLayout w:type="fixed"/>
        <w:tblLook w:val="0000" w:firstRow="0" w:lastRow="0" w:firstColumn="0" w:lastColumn="0" w:noHBand="0" w:noVBand="0"/>
      </w:tblPr>
      <w:tblGrid>
        <w:gridCol w:w="4698"/>
        <w:gridCol w:w="720"/>
        <w:gridCol w:w="4230"/>
      </w:tblGrid>
      <w:tr w:rsidR="00555687" w14:paraId="061B1D0A" w14:textId="77777777">
        <w:tc>
          <w:tcPr>
            <w:tcW w:w="4698" w:type="dxa"/>
          </w:tcPr>
          <w:p w14:paraId="52C33395" w14:textId="77777777" w:rsidR="00555687" w:rsidRDefault="00577B12">
            <w:pPr>
              <w:ind w:right="-18"/>
            </w:pPr>
            <w:r>
              <w:t>In the M</w:t>
            </w:r>
            <w:r w:rsidR="00555687">
              <w:t>atter of</w:t>
            </w:r>
          </w:p>
          <w:p w14:paraId="259EC1B5" w14:textId="77777777" w:rsidR="00555687" w:rsidRDefault="00555687">
            <w:pPr>
              <w:ind w:right="-18"/>
            </w:pPr>
          </w:p>
          <w:p w14:paraId="567A09C7" w14:textId="77777777" w:rsidR="005541C7" w:rsidRDefault="005541C7">
            <w:pPr>
              <w:ind w:right="-18"/>
            </w:pPr>
            <w:r>
              <w:t>Rules and Regulations Implementing the Telephone Consumer Protection Act of 1991</w:t>
            </w:r>
          </w:p>
          <w:p w14:paraId="22D60D02" w14:textId="77777777" w:rsidR="005541C7" w:rsidRDefault="005541C7">
            <w:pPr>
              <w:ind w:right="-18"/>
            </w:pPr>
          </w:p>
          <w:p w14:paraId="08BDC6EB" w14:textId="77777777" w:rsidR="00555687" w:rsidRDefault="00577B12">
            <w:pPr>
              <w:ind w:right="-18"/>
            </w:pPr>
            <w:r>
              <w:t xml:space="preserve">Petition for Expedited Declaratory Ruling </w:t>
            </w:r>
            <w:r w:rsidR="001F5216">
              <w:t>and/or Waiver Filed by</w:t>
            </w:r>
            <w:r>
              <w:t xml:space="preserve"> National Grid USA, Inc.</w:t>
            </w:r>
          </w:p>
        </w:tc>
        <w:tc>
          <w:tcPr>
            <w:tcW w:w="720" w:type="dxa"/>
          </w:tcPr>
          <w:p w14:paraId="7384D9E5" w14:textId="77777777" w:rsidR="00555687" w:rsidRDefault="00555687">
            <w:pPr>
              <w:rPr>
                <w:b/>
              </w:rPr>
            </w:pPr>
            <w:r>
              <w:rPr>
                <w:b/>
              </w:rPr>
              <w:t>)</w:t>
            </w:r>
          </w:p>
          <w:p w14:paraId="4AA80CB1" w14:textId="77777777" w:rsidR="00555687" w:rsidRDefault="00555687">
            <w:pPr>
              <w:rPr>
                <w:b/>
              </w:rPr>
            </w:pPr>
            <w:r>
              <w:rPr>
                <w:b/>
              </w:rPr>
              <w:t>)</w:t>
            </w:r>
          </w:p>
          <w:p w14:paraId="2BFBCEB9" w14:textId="77777777" w:rsidR="00555687" w:rsidRDefault="00555687">
            <w:pPr>
              <w:rPr>
                <w:b/>
              </w:rPr>
            </w:pPr>
            <w:r>
              <w:rPr>
                <w:b/>
              </w:rPr>
              <w:t>)</w:t>
            </w:r>
          </w:p>
          <w:p w14:paraId="763662AD" w14:textId="77777777" w:rsidR="00555687" w:rsidRDefault="00555687">
            <w:pPr>
              <w:rPr>
                <w:b/>
              </w:rPr>
            </w:pPr>
            <w:r>
              <w:rPr>
                <w:b/>
              </w:rPr>
              <w:t>)</w:t>
            </w:r>
          </w:p>
          <w:p w14:paraId="1F746E07" w14:textId="77777777" w:rsidR="005541C7" w:rsidRDefault="005541C7">
            <w:pPr>
              <w:rPr>
                <w:b/>
              </w:rPr>
            </w:pPr>
            <w:r>
              <w:rPr>
                <w:b/>
              </w:rPr>
              <w:t>)</w:t>
            </w:r>
          </w:p>
          <w:p w14:paraId="50ADBAAA" w14:textId="77777777" w:rsidR="005541C7" w:rsidRDefault="005541C7">
            <w:pPr>
              <w:rPr>
                <w:b/>
              </w:rPr>
            </w:pPr>
            <w:r>
              <w:rPr>
                <w:b/>
              </w:rPr>
              <w:t>)</w:t>
            </w:r>
          </w:p>
          <w:p w14:paraId="33DEE779" w14:textId="77777777" w:rsidR="005541C7" w:rsidRDefault="005541C7">
            <w:pPr>
              <w:rPr>
                <w:b/>
              </w:rPr>
            </w:pPr>
            <w:r>
              <w:rPr>
                <w:b/>
              </w:rPr>
              <w:t>)</w:t>
            </w:r>
          </w:p>
          <w:p w14:paraId="0962CD06" w14:textId="77777777" w:rsidR="00555687" w:rsidRDefault="00555687">
            <w:pPr>
              <w:rPr>
                <w:b/>
              </w:rPr>
            </w:pPr>
          </w:p>
          <w:p w14:paraId="2E601E45" w14:textId="77777777" w:rsidR="00555687" w:rsidRDefault="00555687">
            <w:pPr>
              <w:rPr>
                <w:b/>
              </w:rPr>
            </w:pPr>
          </w:p>
          <w:p w14:paraId="387614A9" w14:textId="77777777" w:rsidR="00555687" w:rsidRDefault="00555687">
            <w:pPr>
              <w:rPr>
                <w:b/>
              </w:rPr>
            </w:pPr>
          </w:p>
        </w:tc>
        <w:tc>
          <w:tcPr>
            <w:tcW w:w="4230" w:type="dxa"/>
          </w:tcPr>
          <w:p w14:paraId="250357D6" w14:textId="77777777" w:rsidR="00555687" w:rsidRDefault="00555687"/>
          <w:p w14:paraId="0C4D6850" w14:textId="77777777" w:rsidR="00555687" w:rsidRDefault="00555687"/>
          <w:p w14:paraId="10A7880D" w14:textId="77777777" w:rsidR="00555687" w:rsidRDefault="00577B12">
            <w:r>
              <w:rPr>
                <w:spacing w:val="-2"/>
              </w:rPr>
              <w:t>CG Docket No. 02-278</w:t>
            </w:r>
          </w:p>
        </w:tc>
      </w:tr>
    </w:tbl>
    <w:p w14:paraId="5935B297" w14:textId="77777777" w:rsidR="00555687" w:rsidRDefault="00555687"/>
    <w:p w14:paraId="7C114044" w14:textId="77777777" w:rsidR="00555687" w:rsidRDefault="00577B12">
      <w:pPr>
        <w:spacing w:before="120"/>
        <w:jc w:val="center"/>
        <w:rPr>
          <w:b/>
        </w:rPr>
      </w:pPr>
      <w:r>
        <w:rPr>
          <w:b/>
          <w:spacing w:val="-2"/>
        </w:rPr>
        <w:t>ORDER</w:t>
      </w:r>
    </w:p>
    <w:p w14:paraId="3CDB62BF" w14:textId="77777777" w:rsidR="00555687" w:rsidRDefault="00555687"/>
    <w:p w14:paraId="4767FE8C" w14:textId="68A0B1C6" w:rsidR="00555687" w:rsidRDefault="00555687">
      <w:pPr>
        <w:tabs>
          <w:tab w:val="left" w:pos="5760"/>
        </w:tabs>
        <w:rPr>
          <w:b/>
        </w:rPr>
      </w:pPr>
      <w:r>
        <w:rPr>
          <w:b/>
        </w:rPr>
        <w:t xml:space="preserve">Adopted:  </w:t>
      </w:r>
      <w:r w:rsidR="00781828">
        <w:rPr>
          <w:b/>
        </w:rPr>
        <w:t>November 16,</w:t>
      </w:r>
      <w:r w:rsidR="005541C7">
        <w:rPr>
          <w:b/>
          <w:spacing w:val="-2"/>
        </w:rPr>
        <w:t xml:space="preserve"> 201</w:t>
      </w:r>
      <w:r w:rsidR="009C64CC">
        <w:rPr>
          <w:b/>
          <w:spacing w:val="-2"/>
        </w:rPr>
        <w:t>5</w:t>
      </w:r>
      <w:r>
        <w:rPr>
          <w:b/>
        </w:rPr>
        <w:tab/>
      </w:r>
      <w:r w:rsidR="00876F57">
        <w:rPr>
          <w:b/>
        </w:rPr>
        <w:tab/>
      </w:r>
      <w:r>
        <w:rPr>
          <w:b/>
        </w:rPr>
        <w:t xml:space="preserve">Released:  </w:t>
      </w:r>
      <w:r w:rsidR="00781828">
        <w:rPr>
          <w:b/>
        </w:rPr>
        <w:t>November 16</w:t>
      </w:r>
      <w:r w:rsidR="005541C7">
        <w:rPr>
          <w:b/>
          <w:spacing w:val="-2"/>
        </w:rPr>
        <w:t>, 201</w:t>
      </w:r>
      <w:r w:rsidR="009C64CC">
        <w:rPr>
          <w:b/>
          <w:spacing w:val="-2"/>
        </w:rPr>
        <w:t>5</w:t>
      </w:r>
    </w:p>
    <w:p w14:paraId="7B9D0D6F" w14:textId="77777777" w:rsidR="00555687" w:rsidRDefault="00555687">
      <w:pPr>
        <w:tabs>
          <w:tab w:val="left" w:pos="5760"/>
        </w:tabs>
        <w:rPr>
          <w:b/>
        </w:rPr>
      </w:pPr>
    </w:p>
    <w:p w14:paraId="53194D97" w14:textId="77777777" w:rsidR="00555687" w:rsidRDefault="00555687" w:rsidP="005541C7">
      <w:pPr>
        <w:tabs>
          <w:tab w:val="left" w:pos="5760"/>
        </w:tabs>
      </w:pPr>
      <w:r>
        <w:t xml:space="preserve">By the </w:t>
      </w:r>
      <w:r w:rsidR="00DC7E56">
        <w:t xml:space="preserve">Acting Chief, </w:t>
      </w:r>
      <w:r w:rsidR="00730356">
        <w:rPr>
          <w:spacing w:val="-2"/>
        </w:rPr>
        <w:t>Consumer and Governmental Affairs Bureau</w:t>
      </w:r>
      <w:r>
        <w:rPr>
          <w:spacing w:val="-2"/>
        </w:rPr>
        <w:t>:</w:t>
      </w:r>
    </w:p>
    <w:p w14:paraId="0CC273D9" w14:textId="77777777" w:rsidR="00555687" w:rsidRDefault="00555687"/>
    <w:p w14:paraId="1AE30514" w14:textId="77777777" w:rsidR="00555687" w:rsidRDefault="00577B12">
      <w:pPr>
        <w:pStyle w:val="Heading1"/>
      </w:pPr>
      <w:r>
        <w:t>introduction</w:t>
      </w:r>
    </w:p>
    <w:p w14:paraId="1246A16B" w14:textId="4DDF1FDA" w:rsidR="00B52C6E" w:rsidRDefault="0027635E" w:rsidP="006F6CCD">
      <w:pPr>
        <w:pStyle w:val="ParaNum"/>
        <w:jc w:val="left"/>
      </w:pPr>
      <w:r>
        <w:t>In this Order, we grant a petition filed by National Grid USA, Inc. (National Grid)</w:t>
      </w:r>
      <w:r w:rsidR="00674B2F">
        <w:t xml:space="preserve"> on behalf of itself and its subsidiaries</w:t>
      </w:r>
      <w:r>
        <w:t>,</w:t>
      </w:r>
      <w:r>
        <w:rPr>
          <w:rStyle w:val="FootnoteReference"/>
        </w:rPr>
        <w:footnoteReference w:id="2"/>
      </w:r>
      <w:r w:rsidR="008503C3">
        <w:t xml:space="preserve"> requesting a </w:t>
      </w:r>
      <w:r w:rsidR="00861FBC">
        <w:t xml:space="preserve">limited </w:t>
      </w:r>
      <w:r w:rsidR="008503C3">
        <w:t>waiver of section 64.1200(b)(1) of the</w:t>
      </w:r>
      <w:r w:rsidR="00891275">
        <w:t xml:space="preserve"> Commis</w:t>
      </w:r>
      <w:r w:rsidR="00861FBC">
        <w:t xml:space="preserve">sion’s rules to allow it to satisfy the </w:t>
      </w:r>
      <w:r w:rsidR="00C76264">
        <w:t xml:space="preserve">identification </w:t>
      </w:r>
      <w:r w:rsidR="00861FBC">
        <w:t>requirements of that rule by providing</w:t>
      </w:r>
      <w:r w:rsidR="00641896">
        <w:t xml:space="preserve"> </w:t>
      </w:r>
      <w:r w:rsidR="008503C3">
        <w:t>a “doing business as”</w:t>
      </w:r>
      <w:r w:rsidR="00641896">
        <w:t xml:space="preserve"> (DBA)</w:t>
      </w:r>
      <w:r w:rsidR="008503C3">
        <w:t xml:space="preserve"> name registered with the state corporation commission (or comparable regulatory authority) when placing prerecorded voice calls.</w:t>
      </w:r>
      <w:r w:rsidR="008503C3">
        <w:rPr>
          <w:rStyle w:val="FootnoteReference"/>
        </w:rPr>
        <w:footnoteReference w:id="3"/>
      </w:r>
      <w:r w:rsidR="008503C3">
        <w:t xml:space="preserve">  </w:t>
      </w:r>
      <w:r w:rsidR="00E94157">
        <w:t>W</w:t>
      </w:r>
      <w:r w:rsidR="008503C3">
        <w:t xml:space="preserve">e conclude that granting this </w:t>
      </w:r>
      <w:r w:rsidR="00C8103E">
        <w:t xml:space="preserve">limited waiver </w:t>
      </w:r>
      <w:r w:rsidR="008503C3">
        <w:t xml:space="preserve">will better serve </w:t>
      </w:r>
      <w:r w:rsidR="00891275">
        <w:t xml:space="preserve">the public interest by ensuring that National Grid’s customers </w:t>
      </w:r>
      <w:r w:rsidR="00985CB7">
        <w:t xml:space="preserve">understand the identity of the calling party and </w:t>
      </w:r>
      <w:r w:rsidR="00891275">
        <w:t xml:space="preserve">are not confused by the use </w:t>
      </w:r>
      <w:r w:rsidR="009C64CC">
        <w:t xml:space="preserve">in prerecorded messages </w:t>
      </w:r>
      <w:r w:rsidR="00891275">
        <w:t>of unfamiliar legacy utility name</w:t>
      </w:r>
      <w:r w:rsidR="00C35A00">
        <w:t>s</w:t>
      </w:r>
      <w:r w:rsidR="00891275">
        <w:t xml:space="preserve">.  </w:t>
      </w:r>
      <w:r w:rsidR="00C8103E">
        <w:t xml:space="preserve">We find that limiting this waiver to the use of </w:t>
      </w:r>
      <w:r w:rsidR="00E94157">
        <w:t xml:space="preserve">the </w:t>
      </w:r>
      <w:r w:rsidR="00C8103E">
        <w:t>DBA name</w:t>
      </w:r>
      <w:r w:rsidR="00E94157">
        <w:t xml:space="preserve"> “National Grid”</w:t>
      </w:r>
      <w:r w:rsidR="00C8103E">
        <w:t xml:space="preserve"> is in the public interest</w:t>
      </w:r>
      <w:r w:rsidR="006D4EBC">
        <w:t xml:space="preserve">.  Doing so </w:t>
      </w:r>
      <w:r w:rsidR="00985CB7">
        <w:t>afford</w:t>
      </w:r>
      <w:r w:rsidR="00C35A00">
        <w:t>s</w:t>
      </w:r>
      <w:r w:rsidR="00985CB7">
        <w:t xml:space="preserve"> </w:t>
      </w:r>
      <w:r w:rsidR="00E94157">
        <w:t xml:space="preserve">its customers </w:t>
      </w:r>
      <w:r w:rsidR="00985CB7">
        <w:t>a reasonable opportunity to search for and find the contact information for the calling party</w:t>
      </w:r>
      <w:r w:rsidR="00641896">
        <w:t>.</w:t>
      </w:r>
      <w:r w:rsidR="006C280F">
        <w:rPr>
          <w:rStyle w:val="FootnoteReference"/>
        </w:rPr>
        <w:footnoteReference w:id="4"/>
      </w:r>
    </w:p>
    <w:p w14:paraId="3AAB2E7C" w14:textId="77777777" w:rsidR="00B52C6E" w:rsidRDefault="00B52C6E" w:rsidP="00B52C6E">
      <w:pPr>
        <w:pStyle w:val="Heading1"/>
      </w:pPr>
      <w:r>
        <w:t>Background</w:t>
      </w:r>
    </w:p>
    <w:p w14:paraId="54230FC1" w14:textId="77777777" w:rsidR="00B52C6E" w:rsidRDefault="00D14368" w:rsidP="00CC7BCC">
      <w:pPr>
        <w:pStyle w:val="Heading2"/>
      </w:pPr>
      <w:r>
        <w:t>Artificial and Prerecorded Messages</w:t>
      </w:r>
      <w:r w:rsidR="0072273F">
        <w:t xml:space="preserve"> – Identification Requirements</w:t>
      </w:r>
    </w:p>
    <w:p w14:paraId="60204E9B" w14:textId="319BF051" w:rsidR="00407940" w:rsidRDefault="00407940" w:rsidP="000B6CC8">
      <w:pPr>
        <w:pStyle w:val="ParaNum"/>
        <w:jc w:val="left"/>
      </w:pPr>
      <w:r>
        <w:t xml:space="preserve">Section 227(d)(3)(A) </w:t>
      </w:r>
      <w:r w:rsidR="00D232CB">
        <w:t xml:space="preserve">of the Communications Act </w:t>
      </w:r>
      <w:r>
        <w:t>req</w:t>
      </w:r>
      <w:r w:rsidR="00451210">
        <w:t xml:space="preserve">uires </w:t>
      </w:r>
      <w:r>
        <w:t>that “all artificial or prerecorded telephone messages (i) shall, at the beginning of</w:t>
      </w:r>
      <w:r w:rsidR="0000625B">
        <w:t xml:space="preserve"> the message, state clearly the</w:t>
      </w:r>
      <w:r>
        <w:t xml:space="preserve"> identity of the </w:t>
      </w:r>
      <w:r>
        <w:lastRenderedPageBreak/>
        <w:t>business, individual, or other entity</w:t>
      </w:r>
      <w:r w:rsidR="00985CB7">
        <w:t xml:space="preserve"> initiating the call.</w:t>
      </w:r>
      <w:r>
        <w:t>”</w:t>
      </w:r>
      <w:r>
        <w:rPr>
          <w:rStyle w:val="FootnoteReference"/>
        </w:rPr>
        <w:footnoteReference w:id="5"/>
      </w:r>
    </w:p>
    <w:p w14:paraId="527474F0" w14:textId="59ACEC70" w:rsidR="00D232CB" w:rsidRDefault="00D232CB" w:rsidP="000B6CC8">
      <w:pPr>
        <w:pStyle w:val="ParaNum"/>
        <w:jc w:val="left"/>
      </w:pPr>
      <w:r>
        <w:t xml:space="preserve">Consistent with the TCPA’s mandate, </w:t>
      </w:r>
      <w:r w:rsidR="0072273F">
        <w:t xml:space="preserve">section 64.1200(b)(1) of </w:t>
      </w:r>
      <w:r w:rsidR="00783606">
        <w:t>the Commission’s rules require</w:t>
      </w:r>
      <w:r w:rsidR="009C64CC">
        <w:t>s</w:t>
      </w:r>
      <w:r w:rsidR="00783606">
        <w:t xml:space="preserve"> </w:t>
      </w:r>
      <w:r>
        <w:t xml:space="preserve">that all artificial or prerecorded voice telephone messages shall “[a]t the beginning of the message, state clearly the identity of the business, individual, or other entity that is responsible for initiating the call. </w:t>
      </w:r>
      <w:r w:rsidR="0072273F">
        <w:t xml:space="preserve"> </w:t>
      </w:r>
      <w:r>
        <w:t xml:space="preserve">If a business is responsible for initiating the call, </w:t>
      </w:r>
      <w:r w:rsidRPr="0072273F">
        <w:rPr>
          <w:i/>
        </w:rPr>
        <w:t>the name under which the entity is registered to conduct business with the State Corporation Commission (or comparable regulatory authority) must be stated</w:t>
      </w:r>
      <w:r w:rsidRPr="00DE5A7E">
        <w:t>.”</w:t>
      </w:r>
      <w:r>
        <w:rPr>
          <w:rStyle w:val="FootnoteReference"/>
        </w:rPr>
        <w:footnoteReference w:id="6"/>
      </w:r>
      <w:r w:rsidR="00CC6909">
        <w:t xml:space="preserve">  </w:t>
      </w:r>
      <w:r w:rsidR="00AD3EF4">
        <w:t xml:space="preserve">In adopting this requirement, the Commission clarified that “[w]ith respect to the caller’s name, the prerecorded message must contain, at a minimum, the </w:t>
      </w:r>
      <w:r w:rsidR="00AD3EF4" w:rsidRPr="00AD3EF4">
        <w:rPr>
          <w:i/>
        </w:rPr>
        <w:t>legal name</w:t>
      </w:r>
      <w:r w:rsidR="00AD3EF4">
        <w:t xml:space="preserve"> under which the business, individual or entity calling is registered to operate.”</w:t>
      </w:r>
      <w:r w:rsidR="00AD3EF4">
        <w:rPr>
          <w:rStyle w:val="FootnoteReference"/>
        </w:rPr>
        <w:footnoteReference w:id="7"/>
      </w:r>
      <w:r w:rsidR="00AD3EF4">
        <w:t xml:space="preserve">  The Commission recognized that some businesses use a DBA name in prerecorded messages.</w:t>
      </w:r>
      <w:r w:rsidR="00AD3EF4">
        <w:rPr>
          <w:rStyle w:val="FootnoteReference"/>
        </w:rPr>
        <w:footnoteReference w:id="8"/>
      </w:r>
      <w:r w:rsidR="00AD3EF4">
        <w:t xml:space="preserve">  In that regard, the Commission clarified that the rule “does not prohibit the us</w:t>
      </w:r>
      <w:r w:rsidR="006F6CCD">
        <w:t>e of such [DBA</w:t>
      </w:r>
      <w:r w:rsidR="00BC6483">
        <w:t xml:space="preserve"> name</w:t>
      </w:r>
      <w:r w:rsidR="00C35A00">
        <w:t>s</w:t>
      </w:r>
      <w:r w:rsidR="006F6CCD">
        <w:t>]</w:t>
      </w:r>
      <w:r w:rsidR="00AD3EF4">
        <w:t xml:space="preserve">, </w:t>
      </w:r>
      <w:r w:rsidR="00AD3EF4" w:rsidRPr="00C35A00">
        <w:t>provided</w:t>
      </w:r>
      <w:r w:rsidR="00AD3EF4" w:rsidRPr="00440A7D">
        <w:t xml:space="preserve"> the legal name of the business is also stated</w:t>
      </w:r>
      <w:r w:rsidR="00AD3EF4">
        <w:t>.”</w:t>
      </w:r>
      <w:r w:rsidR="00AD3EF4">
        <w:rPr>
          <w:rStyle w:val="FootnoteReference"/>
        </w:rPr>
        <w:footnoteReference w:id="9"/>
      </w:r>
      <w:r w:rsidR="00AD3EF4">
        <w:t xml:space="preserve"> </w:t>
      </w:r>
      <w:r w:rsidR="006F6CCD">
        <w:t xml:space="preserve"> </w:t>
      </w:r>
      <w:r w:rsidR="00AD3EF4">
        <w:t>T</w:t>
      </w:r>
      <w:r w:rsidR="00CC6909">
        <w:t>he Commission noted</w:t>
      </w:r>
      <w:r w:rsidR="00783606">
        <w:t xml:space="preserve"> </w:t>
      </w:r>
      <w:r>
        <w:t>that “adequate identification information is vital so that consumers can determine the purpose of the call, possibly make a do-not-call request, and monitor compliance with TCPA rules.”</w:t>
      </w:r>
      <w:r w:rsidR="00783606">
        <w:rPr>
          <w:rStyle w:val="FootnoteReference"/>
        </w:rPr>
        <w:footnoteReference w:id="10"/>
      </w:r>
      <w:r w:rsidR="00783606">
        <w:t xml:space="preserve">  </w:t>
      </w:r>
    </w:p>
    <w:p w14:paraId="58B6F2DA" w14:textId="59F757C8" w:rsidR="00DA4C8D" w:rsidRDefault="0072273F" w:rsidP="000B6CC8">
      <w:pPr>
        <w:pStyle w:val="ParaNum"/>
        <w:jc w:val="left"/>
      </w:pPr>
      <w:r>
        <w:t xml:space="preserve">In 2005, the Commission </w:t>
      </w:r>
      <w:r w:rsidR="00AC7E0E">
        <w:t>declined t</w:t>
      </w:r>
      <w:r w:rsidR="00DA4C8D">
        <w:t>o reconsider the requirement for businesses</w:t>
      </w:r>
      <w:r w:rsidR="00AC7E0E">
        <w:t xml:space="preserve"> to use their registered legal</w:t>
      </w:r>
      <w:r w:rsidR="00DA4C8D">
        <w:t xml:space="preserve"> names to identify themselves when they use prerecorded messages</w:t>
      </w:r>
      <w:r w:rsidR="00DE5A7E">
        <w:t xml:space="preserve"> concluding</w:t>
      </w:r>
      <w:r w:rsidR="00D14368">
        <w:t xml:space="preserve"> that the “use o</w:t>
      </w:r>
      <w:r w:rsidR="006F6CCD">
        <w:t>f [DBA</w:t>
      </w:r>
      <w:r w:rsidR="00BC6483">
        <w:t xml:space="preserve"> name</w:t>
      </w:r>
      <w:r w:rsidR="006F6CCD">
        <w:t>s]</w:t>
      </w:r>
      <w:r w:rsidR="00AC7E0E">
        <w:t xml:space="preserve"> alone in many instances may make it difficult to identify the company calling</w:t>
      </w:r>
      <w:r w:rsidR="00DA4C8D">
        <w:t>.</w:t>
      </w:r>
      <w:r w:rsidR="00AC7E0E">
        <w:t>”</w:t>
      </w:r>
      <w:r w:rsidR="00DA4C8D">
        <w:rPr>
          <w:rStyle w:val="FootnoteReference"/>
        </w:rPr>
        <w:footnoteReference w:id="11"/>
      </w:r>
    </w:p>
    <w:p w14:paraId="7D8F82F6" w14:textId="77777777" w:rsidR="00451210" w:rsidRDefault="00861FBC" w:rsidP="000B6CC8">
      <w:pPr>
        <w:pStyle w:val="Heading2"/>
        <w:jc w:val="left"/>
      </w:pPr>
      <w:r>
        <w:t xml:space="preserve">National Grid </w:t>
      </w:r>
      <w:r w:rsidR="00451210">
        <w:t>Petition</w:t>
      </w:r>
    </w:p>
    <w:p w14:paraId="05A01B8B" w14:textId="27AFAB3D" w:rsidR="00674B2F" w:rsidRDefault="00E77DBB" w:rsidP="000B6CC8">
      <w:pPr>
        <w:pStyle w:val="ParaNum"/>
        <w:jc w:val="left"/>
      </w:pPr>
      <w:r>
        <w:t>On February 18, 2014, National Grid filed a petition for declaratory ruling</w:t>
      </w:r>
      <w:r w:rsidR="00861FBC">
        <w:t xml:space="preserve"> and/or waiver</w:t>
      </w:r>
      <w:r>
        <w:t xml:space="preserve"> requesting that the Commission c</w:t>
      </w:r>
      <w:r w:rsidR="00420919">
        <w:t>onfirm that a DBA</w:t>
      </w:r>
      <w:r>
        <w:t xml:space="preserve"> name r</w:t>
      </w:r>
      <w:r w:rsidR="00D347BE">
        <w:t xml:space="preserve">egistered with </w:t>
      </w:r>
      <w:r>
        <w:t xml:space="preserve">the </w:t>
      </w:r>
      <w:r w:rsidR="00F7225F">
        <w:t>S</w:t>
      </w:r>
      <w:r>
        <w:t xml:space="preserve">tate </w:t>
      </w:r>
      <w:r w:rsidR="00F7225F">
        <w:t>C</w:t>
      </w:r>
      <w:r>
        <w:t xml:space="preserve">orporation </w:t>
      </w:r>
      <w:r w:rsidR="00F7225F">
        <w:t>C</w:t>
      </w:r>
      <w:r>
        <w:t>ommission (or comparable regulatory authority) satisfies the caller identification requirements for artificial or pre</w:t>
      </w:r>
      <w:r w:rsidR="00D14368">
        <w:t>recorded voice calls under</w:t>
      </w:r>
      <w:r>
        <w:t xml:space="preserve"> section 64.1200(b)(1) of the Commission’s rules.</w:t>
      </w:r>
      <w:r w:rsidR="006F6CCD">
        <w:rPr>
          <w:rStyle w:val="FootnoteReference"/>
        </w:rPr>
        <w:footnoteReference w:id="12"/>
      </w:r>
      <w:r>
        <w:t xml:space="preserve"> </w:t>
      </w:r>
      <w:r w:rsidR="00D14368">
        <w:t xml:space="preserve"> </w:t>
      </w:r>
      <w:r w:rsidR="00D347BE">
        <w:t>Although National Grid acknowledges that t</w:t>
      </w:r>
      <w:r w:rsidR="00420919">
        <w:t xml:space="preserve">he Commission has previously </w:t>
      </w:r>
      <w:r w:rsidR="00D347BE">
        <w:t>conc</w:t>
      </w:r>
      <w:r w:rsidR="00067047">
        <w:t>luded that a DBA</w:t>
      </w:r>
      <w:r w:rsidR="00D347BE">
        <w:t xml:space="preserve"> name alone is not sufficient to comply with this rule, it argues that the Commission has not ruled on whether a </w:t>
      </w:r>
      <w:r w:rsidR="00067047">
        <w:t xml:space="preserve">DBA </w:t>
      </w:r>
      <w:r w:rsidR="00D347BE">
        <w:t xml:space="preserve">name </w:t>
      </w:r>
      <w:r w:rsidR="00D347BE">
        <w:rPr>
          <w:i/>
        </w:rPr>
        <w:t>registered</w:t>
      </w:r>
      <w:r w:rsidR="00D347BE">
        <w:t xml:space="preserve"> with the State Corporation Commission or comparable regulatory agency satisfies this rule.</w:t>
      </w:r>
      <w:r w:rsidR="00D347BE">
        <w:rPr>
          <w:rStyle w:val="FootnoteReference"/>
        </w:rPr>
        <w:footnoteReference w:id="13"/>
      </w:r>
      <w:r w:rsidR="001D0E85">
        <w:t xml:space="preserve">  </w:t>
      </w:r>
      <w:r w:rsidR="00D347BE">
        <w:t>National Grid notes that it has regist</w:t>
      </w:r>
      <w:r w:rsidR="0072273F">
        <w:t>ered the name “National Grid” with</w:t>
      </w:r>
      <w:r w:rsidR="00D347BE">
        <w:t xml:space="preserve"> the appropriate regulatory authority in each state </w:t>
      </w:r>
      <w:r w:rsidR="00674B2F">
        <w:t>where</w:t>
      </w:r>
      <w:r w:rsidR="00D347BE">
        <w:t xml:space="preserve"> it operates</w:t>
      </w:r>
      <w:r w:rsidR="0000625B">
        <w:t xml:space="preserve"> and avers that</w:t>
      </w:r>
      <w:r w:rsidR="001D0E85">
        <w:t xml:space="preserve"> this registered </w:t>
      </w:r>
      <w:r w:rsidR="00420919">
        <w:t xml:space="preserve">DBA </w:t>
      </w:r>
      <w:r w:rsidR="001D0E85">
        <w:t xml:space="preserve">name satisfies the intent of the </w:t>
      </w:r>
      <w:r w:rsidR="001D0E85">
        <w:lastRenderedPageBreak/>
        <w:t>Commission’s rules</w:t>
      </w:r>
      <w:r w:rsidR="00D347BE">
        <w:t>.</w:t>
      </w:r>
      <w:r w:rsidR="0000625B">
        <w:rPr>
          <w:rStyle w:val="FootnoteReference"/>
        </w:rPr>
        <w:footnoteReference w:id="14"/>
      </w:r>
      <w:r w:rsidR="001D0E85">
        <w:t xml:space="preserve">  Specifically, National Grid argues that a</w:t>
      </w:r>
      <w:r w:rsidR="00420919">
        <w:t xml:space="preserve"> DBA</w:t>
      </w:r>
      <w:r w:rsidR="001D0E85">
        <w:t xml:space="preserve"> name that is registered with the appropriate regulatory authority allows called parties the same ability to search for and identify the cal</w:t>
      </w:r>
      <w:r w:rsidR="00C71100">
        <w:t xml:space="preserve">ler </w:t>
      </w:r>
      <w:r w:rsidR="00E42717">
        <w:t xml:space="preserve">in the same way that </w:t>
      </w:r>
      <w:r w:rsidR="00DE1634">
        <w:t xml:space="preserve">a registered </w:t>
      </w:r>
      <w:r w:rsidR="001D0E85">
        <w:t xml:space="preserve">legal or </w:t>
      </w:r>
      <w:r w:rsidR="00DE1634">
        <w:t>official business</w:t>
      </w:r>
      <w:r w:rsidR="001D0E85">
        <w:t xml:space="preserve"> name</w:t>
      </w:r>
      <w:r w:rsidR="00E42717">
        <w:t xml:space="preserve"> does</w:t>
      </w:r>
      <w:r w:rsidR="001D0E85">
        <w:t>.</w:t>
      </w:r>
      <w:r w:rsidR="001D0E85">
        <w:rPr>
          <w:rStyle w:val="FootnoteReference"/>
        </w:rPr>
        <w:footnoteReference w:id="15"/>
      </w:r>
    </w:p>
    <w:p w14:paraId="6A4D66DB" w14:textId="4EBB94F4" w:rsidR="00E77DBB" w:rsidRDefault="00674B2F" w:rsidP="000B6CC8">
      <w:pPr>
        <w:pStyle w:val="ParaNum"/>
        <w:jc w:val="left"/>
      </w:pPr>
      <w:r>
        <w:t>National Grid explains that its operating subsidiaries provide gas and electric service in</w:t>
      </w:r>
      <w:r w:rsidR="001D0E85">
        <w:t xml:space="preserve"> </w:t>
      </w:r>
      <w:r w:rsidR="000432CB">
        <w:t>several northeastern states</w:t>
      </w:r>
      <w:r w:rsidR="006A6B0F">
        <w:t xml:space="preserve">.  </w:t>
      </w:r>
      <w:r w:rsidR="00BC27C7">
        <w:t>These subsidiaries are subject to specific regulatory obligations based on the type of utility service provided and the location of the subsidiary.</w:t>
      </w:r>
      <w:r w:rsidR="00BC27C7">
        <w:rPr>
          <w:rStyle w:val="FootnoteReference"/>
        </w:rPr>
        <w:footnoteReference w:id="16"/>
      </w:r>
      <w:r w:rsidR="00BC27C7">
        <w:t xml:space="preserve">  </w:t>
      </w:r>
      <w:r w:rsidR="006A6B0F">
        <w:t xml:space="preserve">For </w:t>
      </w:r>
      <w:r w:rsidR="00BC27C7">
        <w:t xml:space="preserve">both </w:t>
      </w:r>
      <w:r w:rsidR="006A6B0F">
        <w:t xml:space="preserve">internal </w:t>
      </w:r>
      <w:r w:rsidR="00BC27C7">
        <w:t xml:space="preserve">tracking </w:t>
      </w:r>
      <w:r w:rsidR="006A6B0F">
        <w:t xml:space="preserve">and regulatory </w:t>
      </w:r>
      <w:r w:rsidR="00BC27C7">
        <w:t>compliance</w:t>
      </w:r>
      <w:r w:rsidR="006A6B0F">
        <w:t xml:space="preserve">, these operating </w:t>
      </w:r>
      <w:r w:rsidR="00743BF0">
        <w:t>subsidiaries</w:t>
      </w:r>
      <w:r w:rsidR="006A6B0F">
        <w:t xml:space="preserve"> retain </w:t>
      </w:r>
      <w:r w:rsidR="00BC27C7">
        <w:t xml:space="preserve">their specific historic </w:t>
      </w:r>
      <w:r w:rsidR="006A6B0F">
        <w:t>names</w:t>
      </w:r>
      <w:r w:rsidR="00BC27C7">
        <w:t>, e.g., Niagara Mohawk Power Corporation, Nantucket Electric Company, et al.</w:t>
      </w:r>
      <w:r w:rsidR="006A6B0F">
        <w:rPr>
          <w:rStyle w:val="FootnoteReference"/>
        </w:rPr>
        <w:footnoteReference w:id="17"/>
      </w:r>
      <w:r w:rsidR="006A6B0F">
        <w:t xml:space="preserve">  </w:t>
      </w:r>
      <w:r w:rsidR="001F4849">
        <w:t xml:space="preserve">National Grid notes, however, that </w:t>
      </w:r>
      <w:r w:rsidR="00C51441">
        <w:t xml:space="preserve">its </w:t>
      </w:r>
      <w:r w:rsidR="006A6B0F">
        <w:t>operating subsidiaries use</w:t>
      </w:r>
      <w:r w:rsidR="000432CB">
        <w:t xml:space="preserve"> the National Grid name for </w:t>
      </w:r>
      <w:r w:rsidR="001C66BE">
        <w:t xml:space="preserve">all </w:t>
      </w:r>
      <w:r w:rsidR="000432CB">
        <w:t>public-facing purposes, such as marketing, billing, and customer service</w:t>
      </w:r>
      <w:r w:rsidR="001F4849">
        <w:t>,</w:t>
      </w:r>
      <w:r w:rsidR="006A6B0F">
        <w:t xml:space="preserve"> </w:t>
      </w:r>
      <w:r w:rsidR="001F4849">
        <w:t>and</w:t>
      </w:r>
      <w:r w:rsidR="006A6B0F">
        <w:t xml:space="preserve"> that </w:t>
      </w:r>
      <w:r w:rsidR="001F4849">
        <w:t>its customers</w:t>
      </w:r>
      <w:r w:rsidR="006A6B0F">
        <w:t xml:space="preserve"> identify “National Grid” as the provider of their utility services.</w:t>
      </w:r>
      <w:r w:rsidR="006A6B0F">
        <w:rPr>
          <w:rStyle w:val="FootnoteReference"/>
        </w:rPr>
        <w:footnoteReference w:id="18"/>
      </w:r>
      <w:r w:rsidR="00C51441">
        <w:t xml:space="preserve">  </w:t>
      </w:r>
      <w:r w:rsidR="001D0E85">
        <w:t xml:space="preserve">National Grid </w:t>
      </w:r>
      <w:r w:rsidR="001F4849">
        <w:t>asserts</w:t>
      </w:r>
      <w:r w:rsidR="001D0E85">
        <w:t xml:space="preserve"> that</w:t>
      </w:r>
      <w:r w:rsidR="00D57E57">
        <w:t xml:space="preserve"> its customers will be able to </w:t>
      </w:r>
      <w:r w:rsidR="001D0E85">
        <w:t>identify the caller more easily if the caller is id</w:t>
      </w:r>
      <w:r w:rsidR="00067047">
        <w:t>entified by its registered DBA</w:t>
      </w:r>
      <w:r w:rsidR="001D0E85">
        <w:t xml:space="preserve"> name b</w:t>
      </w:r>
      <w:r w:rsidR="00C35A00">
        <w:t>ecause that is the name used</w:t>
      </w:r>
      <w:r w:rsidR="001D0E85">
        <w:t xml:space="preserve"> for customer service</w:t>
      </w:r>
      <w:r w:rsidR="00C35A00">
        <w:t xml:space="preserve"> purposes</w:t>
      </w:r>
      <w:r w:rsidR="001D0E85">
        <w:t>.</w:t>
      </w:r>
      <w:r w:rsidR="001D0E85">
        <w:rPr>
          <w:rStyle w:val="FootnoteReference"/>
        </w:rPr>
        <w:footnoteReference w:id="19"/>
      </w:r>
      <w:r w:rsidR="00B26887">
        <w:t xml:space="preserve">  National Grid indicates that it uses prerecorded calls for various customer service purposes</w:t>
      </w:r>
      <w:r w:rsidR="001F4849">
        <w:t>,</w:t>
      </w:r>
      <w:r w:rsidR="00B26887">
        <w:t xml:space="preserve"> including alerting customers who require medical care equipment of anticipated bad weather and possible power outages, so that they can make preparations for their medical care.</w:t>
      </w:r>
      <w:r w:rsidR="00B26887">
        <w:rPr>
          <w:rStyle w:val="FootnoteReference"/>
        </w:rPr>
        <w:footnoteReference w:id="20"/>
      </w:r>
    </w:p>
    <w:p w14:paraId="366FC4B6" w14:textId="77777777" w:rsidR="00DE45C5" w:rsidRDefault="00DE45C5" w:rsidP="000B6CC8">
      <w:pPr>
        <w:pStyle w:val="ParaNum"/>
        <w:jc w:val="left"/>
      </w:pPr>
      <w:r>
        <w:t>In the alternative</w:t>
      </w:r>
      <w:r w:rsidR="00420919">
        <w:t xml:space="preserve"> to a declaratory ruling</w:t>
      </w:r>
      <w:r>
        <w:t xml:space="preserve">, National Grid requests a waiver that would allow it to use </w:t>
      </w:r>
      <w:r w:rsidR="00D57E57">
        <w:t xml:space="preserve">only </w:t>
      </w:r>
      <w:r w:rsidR="00420919">
        <w:t>the registered DBA</w:t>
      </w:r>
      <w:r>
        <w:t xml:space="preserve"> name when placing prerecorded calls to customers.</w:t>
      </w:r>
      <w:r w:rsidR="00D57E57">
        <w:rPr>
          <w:rStyle w:val="FootnoteReference"/>
        </w:rPr>
        <w:footnoteReference w:id="21"/>
      </w:r>
      <w:r>
        <w:t xml:space="preserve"> </w:t>
      </w:r>
      <w:r w:rsidR="00D57E57">
        <w:t xml:space="preserve"> </w:t>
      </w:r>
      <w:r>
        <w:t>National Grid suggests “good</w:t>
      </w:r>
      <w:r w:rsidR="00067047">
        <w:t xml:space="preserve"> cause” exists because its DBA</w:t>
      </w:r>
      <w:r>
        <w:t xml:space="preserve"> name is registered with the State Corporation Commission </w:t>
      </w:r>
      <w:r w:rsidR="005567C6">
        <w:t xml:space="preserve">(or comparable regulatory authority) </w:t>
      </w:r>
      <w:r>
        <w:t>allowing customers receiving calls to search for corporation contact information in the same way they would for a “legal” or “official” name.</w:t>
      </w:r>
      <w:r w:rsidR="00A44A42">
        <w:rPr>
          <w:rStyle w:val="FootnoteReference"/>
        </w:rPr>
        <w:footnoteReference w:id="22"/>
      </w:r>
      <w:r w:rsidR="00A44A42">
        <w:t xml:space="preserve">  In addition, National Grid contends that good cause exists because its customers are only fa</w:t>
      </w:r>
      <w:r w:rsidR="00067047">
        <w:t>miliar with the registered DBA</w:t>
      </w:r>
      <w:r w:rsidR="00A44A42">
        <w:t xml:space="preserve"> name of “National Grid,” and likely have never heard of the</w:t>
      </w:r>
      <w:r w:rsidR="00D57E57">
        <w:t xml:space="preserve"> official legacy utility names.</w:t>
      </w:r>
      <w:r w:rsidR="00D57E57">
        <w:rPr>
          <w:rStyle w:val="FootnoteReference"/>
        </w:rPr>
        <w:footnoteReference w:id="23"/>
      </w:r>
      <w:r w:rsidR="00D57E57">
        <w:t xml:space="preserve">  Lastly, National Grid contends that use of</w:t>
      </w:r>
      <w:r w:rsidR="007F520D">
        <w:t xml:space="preserve"> </w:t>
      </w:r>
      <w:r w:rsidR="005567C6">
        <w:t>both the official and DBA</w:t>
      </w:r>
      <w:r w:rsidR="00D57E57">
        <w:t xml:space="preserve"> name</w:t>
      </w:r>
      <w:r w:rsidR="007C3FCB">
        <w:t>s</w:t>
      </w:r>
      <w:r w:rsidR="00D57E57">
        <w:t xml:space="preserve"> unnecessarily prolong the prerecorded calls.</w:t>
      </w:r>
      <w:r w:rsidR="00D57E57">
        <w:rPr>
          <w:rStyle w:val="FootnoteReference"/>
        </w:rPr>
        <w:footnoteReference w:id="24"/>
      </w:r>
    </w:p>
    <w:p w14:paraId="78DA5C32" w14:textId="77777777" w:rsidR="007C3FCB" w:rsidRDefault="007C3FCB" w:rsidP="006F6CCD">
      <w:pPr>
        <w:pStyle w:val="ParaNum"/>
        <w:jc w:val="left"/>
      </w:pPr>
      <w:r>
        <w:t>On February 28, 2014, the Commission released a Public Notice seeking comment on the issues raised in the Petition.</w:t>
      </w:r>
      <w:r>
        <w:rPr>
          <w:rStyle w:val="FootnoteReference"/>
        </w:rPr>
        <w:footnoteReference w:id="25"/>
      </w:r>
      <w:r>
        <w:t xml:space="preserve">  </w:t>
      </w:r>
      <w:r w:rsidR="00C76264">
        <w:t>No comments were filed in response to this Public Notice.</w:t>
      </w:r>
    </w:p>
    <w:p w14:paraId="6C0FE173" w14:textId="77777777" w:rsidR="00C76264" w:rsidRDefault="00C76264" w:rsidP="006F6CCD">
      <w:pPr>
        <w:pStyle w:val="Heading2"/>
        <w:jc w:val="left"/>
      </w:pPr>
      <w:r>
        <w:t>Waiver Standard</w:t>
      </w:r>
    </w:p>
    <w:p w14:paraId="3848D936" w14:textId="00F7B734" w:rsidR="00C76264" w:rsidRPr="00C76264" w:rsidRDefault="00C76264" w:rsidP="006F6CCD">
      <w:pPr>
        <w:pStyle w:val="ParaNum"/>
        <w:jc w:val="left"/>
      </w:pPr>
      <w:r>
        <w:t>The Commission may waive its rules for good cause shown.</w:t>
      </w:r>
      <w:r>
        <w:rPr>
          <w:rStyle w:val="FootnoteReference"/>
        </w:rPr>
        <w:footnoteReference w:id="26"/>
      </w:r>
      <w:r>
        <w:t xml:space="preserve">  A waiver may be granted if: </w:t>
      </w:r>
      <w:r w:rsidR="00C35A00">
        <w:t xml:space="preserve"> </w:t>
      </w:r>
      <w:r>
        <w:t>(1) the waiver would better serve the public interest than would application of the rule; and (2) special circumstances warrant a deviation from the general rule.</w:t>
      </w:r>
      <w:r>
        <w:rPr>
          <w:rStyle w:val="FootnoteReference"/>
        </w:rPr>
        <w:footnoteReference w:id="27"/>
      </w:r>
      <w:r>
        <w:t xml:space="preserve">  Generally, the Commission may grant a waiver of its own rules if the relief requested would not undermine the policy objectives of the rule in question, and would otherwise serve the public interest.</w:t>
      </w:r>
      <w:r>
        <w:rPr>
          <w:rStyle w:val="FootnoteReference"/>
        </w:rPr>
        <w:footnoteReference w:id="28"/>
      </w:r>
    </w:p>
    <w:p w14:paraId="5DC1BDC3" w14:textId="77777777" w:rsidR="00B52C6E" w:rsidRDefault="00B52C6E" w:rsidP="00B52C6E">
      <w:pPr>
        <w:pStyle w:val="Heading1"/>
      </w:pPr>
      <w:r>
        <w:t>Discussion</w:t>
      </w:r>
    </w:p>
    <w:p w14:paraId="6C99D72D" w14:textId="0B1AB934" w:rsidR="00B52C6E" w:rsidRDefault="00067047" w:rsidP="00276665">
      <w:pPr>
        <w:pStyle w:val="ParaNum"/>
      </w:pPr>
      <w:r>
        <w:t xml:space="preserve">We conclude that National Grid’s petition meets the standard for granting a limited waiver of section 64.1200(b)(1), and </w:t>
      </w:r>
      <w:r w:rsidR="00D1487F">
        <w:t xml:space="preserve">that </w:t>
      </w:r>
      <w:r>
        <w:t>such waiver would not undermine the policy objectives of that rule.  Specifically, we find that National Grid has demons</w:t>
      </w:r>
      <w:r w:rsidR="008E603C">
        <w:t xml:space="preserve">trated </w:t>
      </w:r>
      <w:r w:rsidR="007B5B26">
        <w:t xml:space="preserve">that </w:t>
      </w:r>
      <w:r w:rsidR="008E603C">
        <w:t xml:space="preserve">good cause exists to waive the requirement to provide </w:t>
      </w:r>
      <w:r w:rsidR="00276665" w:rsidRPr="00276665">
        <w:t>the name under which the entity is registered to conduct business with the State Corporation Commission</w:t>
      </w:r>
      <w:r w:rsidR="00276665">
        <w:t xml:space="preserve"> </w:t>
      </w:r>
      <w:r w:rsidR="008E603C">
        <w:t xml:space="preserve">when making prerecorded voice calls and allow it to use </w:t>
      </w:r>
      <w:r w:rsidR="00551D0C">
        <w:t xml:space="preserve">the name “National Grid” </w:t>
      </w:r>
      <w:r w:rsidR="008E603C">
        <w:t xml:space="preserve">when making </w:t>
      </w:r>
      <w:r w:rsidR="00420919">
        <w:t xml:space="preserve">artificial or </w:t>
      </w:r>
      <w:r w:rsidR="008E603C">
        <w:t>prerecorded voice me</w:t>
      </w:r>
      <w:r w:rsidR="00420919">
        <w:t>ssage calls</w:t>
      </w:r>
      <w:r w:rsidR="00D4180C">
        <w:t xml:space="preserve">.  As discussed below, we believe the relief </w:t>
      </w:r>
      <w:r w:rsidR="006944AA">
        <w:t xml:space="preserve">granted </w:t>
      </w:r>
      <w:r w:rsidR="00186BCD">
        <w:t>in this instance does</w:t>
      </w:r>
      <w:r w:rsidR="00D4180C">
        <w:t xml:space="preserve"> not undermine the pol</w:t>
      </w:r>
      <w:r w:rsidR="00420919">
        <w:t xml:space="preserve">icy objectives of the rule </w:t>
      </w:r>
      <w:r w:rsidR="00D1487F">
        <w:t xml:space="preserve">because </w:t>
      </w:r>
      <w:r w:rsidR="0072273F">
        <w:t xml:space="preserve">consumers </w:t>
      </w:r>
      <w:r w:rsidR="00D1487F">
        <w:t xml:space="preserve">will </w:t>
      </w:r>
      <w:r w:rsidR="006944AA">
        <w:t xml:space="preserve">continue to </w:t>
      </w:r>
      <w:r w:rsidR="00D1487F">
        <w:t xml:space="preserve">have </w:t>
      </w:r>
      <w:r w:rsidR="0072273F">
        <w:t>the ability t</w:t>
      </w:r>
      <w:r w:rsidR="005567C6">
        <w:t>o</w:t>
      </w:r>
      <w:r w:rsidR="00420919">
        <w:t xml:space="preserve"> search for</w:t>
      </w:r>
      <w:r w:rsidR="00D4180C">
        <w:t xml:space="preserve"> the </w:t>
      </w:r>
      <w:r w:rsidR="00420919">
        <w:t>identity and contact information of the c</w:t>
      </w:r>
      <w:r w:rsidR="00186BCD">
        <w:t>alling party via the appropriate</w:t>
      </w:r>
      <w:r w:rsidR="00420919">
        <w:t xml:space="preserve"> state or local databases for registered DBA names</w:t>
      </w:r>
      <w:r w:rsidR="00D4180C">
        <w:t>.</w:t>
      </w:r>
    </w:p>
    <w:p w14:paraId="64E0C46B" w14:textId="1B3FC0DB" w:rsidR="000416D8" w:rsidRDefault="008E603C" w:rsidP="006F6CCD">
      <w:pPr>
        <w:pStyle w:val="ParaNum"/>
        <w:jc w:val="left"/>
      </w:pPr>
      <w:r>
        <w:t xml:space="preserve">First, we conclude that National Grid’s request for waiver </w:t>
      </w:r>
      <w:r w:rsidR="0072273F">
        <w:t>to use</w:t>
      </w:r>
      <w:r w:rsidR="00B92268">
        <w:t xml:space="preserve"> only</w:t>
      </w:r>
      <w:r w:rsidR="0072273F">
        <w:t xml:space="preserve"> </w:t>
      </w:r>
      <w:r w:rsidR="00B93751">
        <w:t>its registered DBA name</w:t>
      </w:r>
      <w:r w:rsidR="0072273F">
        <w:t xml:space="preserve"> rather than </w:t>
      </w:r>
      <w:r w:rsidR="00B92268">
        <w:t xml:space="preserve">the </w:t>
      </w:r>
      <w:r w:rsidR="0072273F">
        <w:t>legal or official name</w:t>
      </w:r>
      <w:r w:rsidR="00B93751">
        <w:t xml:space="preserve"> in prerecorded messages </w:t>
      </w:r>
      <w:r>
        <w:t xml:space="preserve">serves the public interest in this instance because </w:t>
      </w:r>
      <w:r w:rsidR="00186BCD">
        <w:t>National Grid</w:t>
      </w:r>
      <w:r w:rsidR="00D4180C">
        <w:t xml:space="preserve"> has demonstrated </w:t>
      </w:r>
      <w:r>
        <w:t xml:space="preserve">that its customers </w:t>
      </w:r>
      <w:r w:rsidR="00B93751">
        <w:t xml:space="preserve">are unfamiliar with the legacy </w:t>
      </w:r>
      <w:r w:rsidR="00D4180C">
        <w:t>names that constitute its</w:t>
      </w:r>
      <w:r w:rsidR="001F4849">
        <w:t xml:space="preserve"> subsidiaries</w:t>
      </w:r>
      <w:r w:rsidR="00D1487F">
        <w:t>’</w:t>
      </w:r>
      <w:r>
        <w:t xml:space="preserve"> legal or official business names </w:t>
      </w:r>
      <w:r w:rsidR="00D4180C">
        <w:t xml:space="preserve">in the states in which </w:t>
      </w:r>
      <w:r w:rsidR="001F4849">
        <w:t>they</w:t>
      </w:r>
      <w:r w:rsidR="00D4180C">
        <w:t xml:space="preserve"> conduct business.</w:t>
      </w:r>
      <w:r w:rsidR="00B93751">
        <w:rPr>
          <w:rStyle w:val="FootnoteReference"/>
        </w:rPr>
        <w:footnoteReference w:id="29"/>
      </w:r>
      <w:r w:rsidR="00D4180C">
        <w:t xml:space="preserve"> </w:t>
      </w:r>
      <w:r w:rsidR="00B92268">
        <w:t xml:space="preserve"> </w:t>
      </w:r>
      <w:r w:rsidR="002F6908">
        <w:t xml:space="preserve">For example, </w:t>
      </w:r>
      <w:r w:rsidR="00876F57">
        <w:t xml:space="preserve">National Grid </w:t>
      </w:r>
      <w:r w:rsidR="002F6908">
        <w:t xml:space="preserve">notes that its operating subsidiaries use the </w:t>
      </w:r>
      <w:r w:rsidR="00876F57">
        <w:t>“</w:t>
      </w:r>
      <w:r w:rsidR="002F6908">
        <w:t>National Grid</w:t>
      </w:r>
      <w:r w:rsidR="00876F57">
        <w:t>”</w:t>
      </w:r>
      <w:r w:rsidR="002F6908">
        <w:t xml:space="preserve"> name for all public</w:t>
      </w:r>
      <w:r w:rsidR="00876F57">
        <w:t>-facing purposes</w:t>
      </w:r>
      <w:r w:rsidR="00F2544A">
        <w:t xml:space="preserve"> including its service trucks</w:t>
      </w:r>
      <w:r w:rsidR="002F6908">
        <w:t>.</w:t>
      </w:r>
      <w:r w:rsidR="002F6908">
        <w:rPr>
          <w:rStyle w:val="FootnoteReference"/>
        </w:rPr>
        <w:footnoteReference w:id="30"/>
      </w:r>
      <w:r w:rsidR="002F6908">
        <w:t xml:space="preserve"> </w:t>
      </w:r>
      <w:r w:rsidR="00D4180C">
        <w:t xml:space="preserve"> </w:t>
      </w:r>
      <w:r w:rsidR="00B93751">
        <w:t xml:space="preserve">As a result, the use of such </w:t>
      </w:r>
      <w:r w:rsidR="005A3603">
        <w:t xml:space="preserve">legacy </w:t>
      </w:r>
      <w:r w:rsidR="00B93751">
        <w:t xml:space="preserve">names in its prerecorded messages may confuse some customers as to the identity of the calling party.  </w:t>
      </w:r>
      <w:r w:rsidR="00E24486">
        <w:t xml:space="preserve">In addition, </w:t>
      </w:r>
      <w:r w:rsidR="00D4180C">
        <w:t>National Grid has demonstrated that the</w:t>
      </w:r>
      <w:r>
        <w:t xml:space="preserve"> use of a more familiar DBA name will reduce the risk of potential confusion regarding the identity of the calling party</w:t>
      </w:r>
      <w:r w:rsidR="00D4180C">
        <w:t xml:space="preserve"> because it uses only the </w:t>
      </w:r>
      <w:r w:rsidR="000416D8">
        <w:t xml:space="preserve">“National Grid” </w:t>
      </w:r>
      <w:r w:rsidR="00E24486">
        <w:t>registered DBA</w:t>
      </w:r>
      <w:r w:rsidR="000416D8">
        <w:t xml:space="preserve"> name</w:t>
      </w:r>
      <w:r w:rsidR="00420919">
        <w:t xml:space="preserve"> </w:t>
      </w:r>
      <w:r w:rsidR="00C71100">
        <w:t xml:space="preserve">on </w:t>
      </w:r>
      <w:r w:rsidR="00420919">
        <w:t>billing, website</w:t>
      </w:r>
      <w:r w:rsidR="00C71100">
        <w:t>s</w:t>
      </w:r>
      <w:r w:rsidR="00420919">
        <w:t xml:space="preserve">, </w:t>
      </w:r>
      <w:r w:rsidR="000416D8">
        <w:t xml:space="preserve">and  </w:t>
      </w:r>
      <w:r w:rsidR="00420919">
        <w:t>service equipment</w:t>
      </w:r>
      <w:r>
        <w:t>.</w:t>
      </w:r>
      <w:r w:rsidR="00D4180C">
        <w:rPr>
          <w:rStyle w:val="FootnoteReference"/>
        </w:rPr>
        <w:footnoteReference w:id="31"/>
      </w:r>
      <w:r w:rsidR="00B93751">
        <w:t xml:space="preserve">  </w:t>
      </w:r>
      <w:r w:rsidR="00186BCD">
        <w:t xml:space="preserve">Any such confusion </w:t>
      </w:r>
      <w:r w:rsidR="005A3603">
        <w:t xml:space="preserve">regarding the identity of the caller </w:t>
      </w:r>
      <w:r w:rsidR="00186BCD">
        <w:t>would be particularly detrimental to those consumers with medical or life support needs who rely upon National Grid for prerecorded notifications of potential power outages so that they may take appropriate measures.</w:t>
      </w:r>
      <w:r w:rsidR="000416D8">
        <w:t xml:space="preserve"> </w:t>
      </w:r>
      <w:r w:rsidR="00F2544A">
        <w:t xml:space="preserve"> There is no record evidence to dispute National Grid’s assertions.</w:t>
      </w:r>
    </w:p>
    <w:p w14:paraId="1DDC2C71" w14:textId="7DB6124E" w:rsidR="005567C6" w:rsidRDefault="000416D8" w:rsidP="006F6CCD">
      <w:pPr>
        <w:pStyle w:val="ParaNum"/>
        <w:jc w:val="left"/>
      </w:pPr>
      <w:r>
        <w:t xml:space="preserve">Second, </w:t>
      </w:r>
      <w:r w:rsidR="00E94157">
        <w:t xml:space="preserve">to the extent that the rule </w:t>
      </w:r>
      <w:r w:rsidR="00B92268">
        <w:t xml:space="preserve">would otherwise require using the names of its operating subsidiaries, </w:t>
      </w:r>
      <w:r>
        <w:t xml:space="preserve">we find </w:t>
      </w:r>
      <w:r w:rsidR="00E94157">
        <w:t xml:space="preserve">that </w:t>
      </w:r>
      <w:r>
        <w:t>special circ</w:t>
      </w:r>
      <w:r w:rsidR="002E60E9">
        <w:t>umstances warrant a deviation f</w:t>
      </w:r>
      <w:r>
        <w:t>r</w:t>
      </w:r>
      <w:r w:rsidR="002E60E9">
        <w:t>om</w:t>
      </w:r>
      <w:r>
        <w:t xml:space="preserve"> the general rule</w:t>
      </w:r>
      <w:r w:rsidR="00BC27C7">
        <w:t>.</w:t>
      </w:r>
      <w:r>
        <w:t xml:space="preserve">  Specifically, Nat</w:t>
      </w:r>
      <w:r w:rsidR="00E15D98">
        <w:t xml:space="preserve">ional Grid has </w:t>
      </w:r>
      <w:r w:rsidR="005567C6">
        <w:t>demonstrated</w:t>
      </w:r>
      <w:r>
        <w:t xml:space="preserve"> that:  1) its customers are familiar with its registered DBA name because all customer service</w:t>
      </w:r>
      <w:r w:rsidR="00D751E2">
        <w:t>s</w:t>
      </w:r>
      <w:r>
        <w:t xml:space="preserve"> are provided in that name;</w:t>
      </w:r>
      <w:r w:rsidR="00F6007A">
        <w:rPr>
          <w:rStyle w:val="FootnoteReference"/>
        </w:rPr>
        <w:footnoteReference w:id="32"/>
      </w:r>
      <w:r>
        <w:t xml:space="preserve"> 2) its customers are unfamiliar with the official or legal names</w:t>
      </w:r>
      <w:r w:rsidR="00FA1831">
        <w:t>,</w:t>
      </w:r>
      <w:r>
        <w:t xml:space="preserve"> which can cause confusion regarding the identity of the calling party</w:t>
      </w:r>
      <w:r w:rsidR="00186BCD">
        <w:t xml:space="preserve"> when using</w:t>
      </w:r>
      <w:r w:rsidR="00D751E2">
        <w:t xml:space="preserve"> </w:t>
      </w:r>
      <w:r w:rsidR="00E15D98">
        <w:t>prerecorded messages</w:t>
      </w:r>
      <w:r>
        <w:t>;</w:t>
      </w:r>
      <w:r w:rsidR="00F6007A">
        <w:rPr>
          <w:rStyle w:val="FootnoteReference"/>
        </w:rPr>
        <w:footnoteReference w:id="33"/>
      </w:r>
      <w:r>
        <w:t xml:space="preserve"> 3) </w:t>
      </w:r>
      <w:r w:rsidR="005567C6">
        <w:t>it h</w:t>
      </w:r>
      <w:r w:rsidR="00F6007A">
        <w:t>as registered the “National Grid” DBA name</w:t>
      </w:r>
      <w:r w:rsidR="00186BCD">
        <w:t xml:space="preserve"> </w:t>
      </w:r>
      <w:r w:rsidR="005567C6">
        <w:t xml:space="preserve">with </w:t>
      </w:r>
      <w:r w:rsidR="00E15D98">
        <w:t xml:space="preserve">the </w:t>
      </w:r>
      <w:r w:rsidR="005567C6">
        <w:t xml:space="preserve">appropriate regulatory body </w:t>
      </w:r>
      <w:r w:rsidR="00186BCD">
        <w:t>in each state in which it conducts business</w:t>
      </w:r>
      <w:r w:rsidR="00F6007A">
        <w:t>;</w:t>
      </w:r>
      <w:r w:rsidR="00F6007A">
        <w:rPr>
          <w:rStyle w:val="FootnoteReference"/>
        </w:rPr>
        <w:footnoteReference w:id="34"/>
      </w:r>
      <w:r w:rsidR="00F6007A">
        <w:t xml:space="preserve"> 4) it uses prerecord</w:t>
      </w:r>
      <w:r w:rsidR="00D751E2">
        <w:t>ed</w:t>
      </w:r>
      <w:r w:rsidR="00F6007A">
        <w:t xml:space="preserve"> call</w:t>
      </w:r>
      <w:r w:rsidR="00D751E2">
        <w:t>s</w:t>
      </w:r>
      <w:r w:rsidR="00F6007A">
        <w:t xml:space="preserve"> for emergency-related purposes to notify customers who require medical care or life support equipment of possible power outages;</w:t>
      </w:r>
      <w:r w:rsidR="00D751E2">
        <w:rPr>
          <w:rStyle w:val="FootnoteReference"/>
        </w:rPr>
        <w:footnoteReference w:id="35"/>
      </w:r>
      <w:r w:rsidR="00F6007A">
        <w:t xml:space="preserve"> </w:t>
      </w:r>
      <w:r w:rsidR="00186BCD">
        <w:t xml:space="preserve">and </w:t>
      </w:r>
      <w:r w:rsidR="00F6007A">
        <w:t>5) customers can access the relevant corporate contac</w:t>
      </w:r>
      <w:r w:rsidR="005567C6">
        <w:t xml:space="preserve">t information via the </w:t>
      </w:r>
      <w:r w:rsidR="00F6007A">
        <w:t xml:space="preserve">state </w:t>
      </w:r>
      <w:r w:rsidR="005A3603">
        <w:t>or</w:t>
      </w:r>
      <w:r w:rsidR="00F6007A">
        <w:t xml:space="preserve"> local databases for registered DBAs</w:t>
      </w:r>
      <w:r w:rsidR="005567C6">
        <w:t xml:space="preserve"> in a way similar to </w:t>
      </w:r>
      <w:r w:rsidR="00FA132A">
        <w:t xml:space="preserve">researching </w:t>
      </w:r>
      <w:r w:rsidR="005567C6">
        <w:t>registered legal or official names</w:t>
      </w:r>
      <w:r>
        <w:t>.</w:t>
      </w:r>
      <w:r w:rsidR="00D751E2">
        <w:rPr>
          <w:rStyle w:val="FootnoteReference"/>
        </w:rPr>
        <w:footnoteReference w:id="36"/>
      </w:r>
      <w:r>
        <w:t xml:space="preserve"> </w:t>
      </w:r>
      <w:r w:rsidR="003446DE">
        <w:t xml:space="preserve"> No party </w:t>
      </w:r>
      <w:r w:rsidR="00D751E2">
        <w:t>disputes these points</w:t>
      </w:r>
      <w:r w:rsidR="00290818">
        <w:t xml:space="preserve"> in the record before us</w:t>
      </w:r>
      <w:r w:rsidR="00D751E2">
        <w:t xml:space="preserve">. </w:t>
      </w:r>
      <w:r>
        <w:t xml:space="preserve"> </w:t>
      </w:r>
    </w:p>
    <w:p w14:paraId="22A1B049" w14:textId="254656EC" w:rsidR="008E603C" w:rsidRDefault="000416D8" w:rsidP="006F6CCD">
      <w:pPr>
        <w:pStyle w:val="ParaNum"/>
        <w:jc w:val="left"/>
      </w:pPr>
      <w:r>
        <w:t>Although the Commission has previously rejected requests to allow the use of a DBA name in lieu of an official or leg</w:t>
      </w:r>
      <w:r w:rsidR="005567C6">
        <w:t>al name to satisfy the requirements of section 64.1200(b)(1) of our rules</w:t>
      </w:r>
      <w:r>
        <w:t xml:space="preserve"> </w:t>
      </w:r>
      <w:r w:rsidR="00290818">
        <w:t xml:space="preserve">because of </w:t>
      </w:r>
      <w:r>
        <w:t>concerns regarding the adequacy of such names in identifying the call</w:t>
      </w:r>
      <w:r w:rsidR="00C61BEA">
        <w:t>ing</w:t>
      </w:r>
      <w:r>
        <w:t xml:space="preserve"> party, we believe that </w:t>
      </w:r>
      <w:r w:rsidR="00D751E2">
        <w:t>the</w:t>
      </w:r>
      <w:r w:rsidR="004D474B">
        <w:t xml:space="preserve"> totality of</w:t>
      </w:r>
      <w:r w:rsidR="00F6007A">
        <w:t xml:space="preserve"> </w:t>
      </w:r>
      <w:r>
        <w:t xml:space="preserve">special circumstances </w:t>
      </w:r>
      <w:r w:rsidR="00D751E2">
        <w:t>presented</w:t>
      </w:r>
      <w:r w:rsidR="00F6007A">
        <w:t xml:space="preserve"> in this case </w:t>
      </w:r>
      <w:r>
        <w:t>alleviate</w:t>
      </w:r>
      <w:r w:rsidR="00270489">
        <w:t>s</w:t>
      </w:r>
      <w:r w:rsidR="00186BCD">
        <w:t xml:space="preserve"> these concerns</w:t>
      </w:r>
      <w:r>
        <w:t>.</w:t>
      </w:r>
      <w:r w:rsidR="00F6007A">
        <w:t xml:space="preserve">  In particular, we note that the basic policy objective of the rule is maintai</w:t>
      </w:r>
      <w:r w:rsidR="00C71100">
        <w:t xml:space="preserve">ned by limiting the waiver </w:t>
      </w:r>
      <w:r w:rsidR="00F6007A">
        <w:t>to the use of a registered DBA name.</w:t>
      </w:r>
      <w:r w:rsidR="00C61BEA">
        <w:t xml:space="preserve">  </w:t>
      </w:r>
      <w:r w:rsidR="00E15D98">
        <w:t>National Grid has demonstrated t</w:t>
      </w:r>
      <w:r w:rsidR="00C61BEA">
        <w:t xml:space="preserve">hat </w:t>
      </w:r>
      <w:r w:rsidR="007B5B26">
        <w:t xml:space="preserve">its DBA </w:t>
      </w:r>
      <w:r w:rsidR="00C61BEA">
        <w:t>name is commonly known to its customers.</w:t>
      </w:r>
      <w:r w:rsidR="00F6007A">
        <w:t xml:space="preserve">  </w:t>
      </w:r>
      <w:r w:rsidR="00C61BEA">
        <w:t xml:space="preserve">In addition, </w:t>
      </w:r>
      <w:r w:rsidR="00270489">
        <w:t xml:space="preserve">because National Grid has registered the DBA names covered by this waiver, </w:t>
      </w:r>
      <w:r w:rsidR="00C61BEA">
        <w:t>t</w:t>
      </w:r>
      <w:r w:rsidR="00F6007A">
        <w:t>he recipients of prerecorded calls from National Grid can obtain the relevant corporate contact information</w:t>
      </w:r>
      <w:r w:rsidR="00186BCD">
        <w:t xml:space="preserve"> from the </w:t>
      </w:r>
      <w:r w:rsidR="00F6007A">
        <w:t>state or local government regulatory body responsible for registering DBA names</w:t>
      </w:r>
      <w:r w:rsidR="00C61BEA">
        <w:t xml:space="preserve"> in a way that is similar to that of registered “legal” or “official” names</w:t>
      </w:r>
      <w:r w:rsidR="00F6007A">
        <w:t>.</w:t>
      </w:r>
      <w:r w:rsidR="00C61BEA">
        <w:t xml:space="preserve">  As a result, consumers will</w:t>
      </w:r>
      <w:r w:rsidR="004D474B">
        <w:t xml:space="preserve"> incur</w:t>
      </w:r>
      <w:r w:rsidR="00C71100">
        <w:t xml:space="preserve"> little or no </w:t>
      </w:r>
      <w:r w:rsidR="004D474B">
        <w:t>additional difficulty</w:t>
      </w:r>
      <w:r w:rsidR="00C61BEA">
        <w:t xml:space="preserve"> in gaining access to this</w:t>
      </w:r>
      <w:r w:rsidR="00E15D98">
        <w:t xml:space="preserve"> contact</w:t>
      </w:r>
      <w:r w:rsidR="00C61BEA">
        <w:t xml:space="preserve"> information</w:t>
      </w:r>
      <w:r w:rsidR="00E15D98">
        <w:t xml:space="preserve"> due to the granting of this </w:t>
      </w:r>
      <w:r w:rsidR="003446DE">
        <w:t xml:space="preserve">limited </w:t>
      </w:r>
      <w:r w:rsidR="00E15D98">
        <w:t>waiver</w:t>
      </w:r>
      <w:r w:rsidR="00C61BEA">
        <w:t>.</w:t>
      </w:r>
      <w:r w:rsidR="005A3603">
        <w:t xml:space="preserve"> </w:t>
      </w:r>
      <w:r w:rsidR="005A3603" w:rsidRPr="005A3603">
        <w:t xml:space="preserve"> Because we grant Nati</w:t>
      </w:r>
      <w:r w:rsidR="00FB127F">
        <w:t>onal Grid’s waiver request, we dismiss</w:t>
      </w:r>
      <w:r w:rsidR="005A3603">
        <w:t xml:space="preserve"> its request for declaratory ruling</w:t>
      </w:r>
      <w:r w:rsidR="005A3603" w:rsidRPr="005A3603">
        <w:t xml:space="preserve"> which would yield a similar practical result for National Grid.</w:t>
      </w:r>
    </w:p>
    <w:p w14:paraId="2FF4B411" w14:textId="77777777" w:rsidR="00B52C6E" w:rsidRDefault="00B52C6E" w:rsidP="006F6CCD">
      <w:pPr>
        <w:pStyle w:val="Heading1"/>
        <w:jc w:val="left"/>
      </w:pPr>
      <w:r>
        <w:t>Ordering clauses</w:t>
      </w:r>
    </w:p>
    <w:p w14:paraId="59ACB7F5" w14:textId="77D6578A" w:rsidR="00B52C6E" w:rsidRPr="00067047" w:rsidRDefault="00067047" w:rsidP="006F6CCD">
      <w:pPr>
        <w:pStyle w:val="ParaNum"/>
        <w:jc w:val="left"/>
      </w:pPr>
      <w:r>
        <w:t>Accordingly, IT IS ORDERED that, pursuant to sections 4(i)</w:t>
      </w:r>
      <w:r w:rsidR="00397170">
        <w:t>,</w:t>
      </w:r>
      <w:r>
        <w:t xml:space="preserve"> 4(j)</w:t>
      </w:r>
      <w:r w:rsidR="00397170">
        <w:t>, and 227</w:t>
      </w:r>
      <w:r>
        <w:t xml:space="preserve"> of the Communications Act of 1934, as amended, 47 U.S.C. </w:t>
      </w:r>
      <w:r w:rsidRPr="0024744A">
        <w:rPr>
          <w:iCs/>
        </w:rPr>
        <w:t>§§</w:t>
      </w:r>
      <w:r>
        <w:rPr>
          <w:iCs/>
        </w:rPr>
        <w:t xml:space="preserve"> 154(i),</w:t>
      </w:r>
      <w:r w:rsidR="00397170">
        <w:rPr>
          <w:iCs/>
        </w:rPr>
        <w:t xml:space="preserve"> </w:t>
      </w:r>
      <w:r>
        <w:rPr>
          <w:iCs/>
        </w:rPr>
        <w:t>(j)</w:t>
      </w:r>
      <w:r w:rsidR="00397170">
        <w:rPr>
          <w:iCs/>
        </w:rPr>
        <w:t>, 227,</w:t>
      </w:r>
      <w:r>
        <w:rPr>
          <w:iCs/>
        </w:rPr>
        <w:t xml:space="preserve"> and section 1.3 of the Commission’s rules, 47 C.F.R. </w:t>
      </w:r>
      <w:r w:rsidR="002E60E9" w:rsidRPr="0024744A">
        <w:rPr>
          <w:iCs/>
        </w:rPr>
        <w:t>§</w:t>
      </w:r>
      <w:r w:rsidR="002E60E9">
        <w:rPr>
          <w:iCs/>
        </w:rPr>
        <w:t xml:space="preserve"> </w:t>
      </w:r>
      <w:r>
        <w:rPr>
          <w:iCs/>
        </w:rPr>
        <w:t xml:space="preserve">1.3, and the authority delegated in sections 0.141 and 0.361 of the rules, 47 C.F.R. </w:t>
      </w:r>
      <w:r w:rsidRPr="0024744A">
        <w:rPr>
          <w:iCs/>
        </w:rPr>
        <w:t>§§</w:t>
      </w:r>
      <w:r>
        <w:rPr>
          <w:iCs/>
        </w:rPr>
        <w:t xml:space="preserve"> 0.141, 0.361, that the petition for waiver of section 64.1200(b)(1) of the Commission’s rules, 47 C.F.R. </w:t>
      </w:r>
      <w:r w:rsidRPr="0024744A">
        <w:rPr>
          <w:iCs/>
        </w:rPr>
        <w:t>§</w:t>
      </w:r>
      <w:r>
        <w:rPr>
          <w:iCs/>
        </w:rPr>
        <w:t xml:space="preserve"> 64.1200(b)(1), filed by National Grid USA, Inc., in CG Docket No. 02-278 IS GRANTED to the extent set forth herein.</w:t>
      </w:r>
    </w:p>
    <w:p w14:paraId="521A0C4B" w14:textId="77777777" w:rsidR="00067047" w:rsidRDefault="00067047" w:rsidP="006F6CCD">
      <w:pPr>
        <w:pStyle w:val="ParaNum"/>
        <w:jc w:val="left"/>
      </w:pPr>
      <w:r>
        <w:rPr>
          <w:iCs/>
        </w:rPr>
        <w:t>IT IS FURTHER ORDERED that the request for declaratory ruling filed by National Grid USA, Inc., in CG Docket No. 02-278 IS DISMISSED WITHOUT PREJUDICE.</w:t>
      </w:r>
    </w:p>
    <w:p w14:paraId="4C566E5D" w14:textId="77777777" w:rsidR="001F5216" w:rsidRDefault="001F5216" w:rsidP="006F6CCD">
      <w:pPr>
        <w:pStyle w:val="ParaNum"/>
        <w:numPr>
          <w:ilvl w:val="0"/>
          <w:numId w:val="0"/>
        </w:numPr>
        <w:ind w:left="720"/>
        <w:jc w:val="left"/>
      </w:pPr>
    </w:p>
    <w:p w14:paraId="2AD4CCD0" w14:textId="77777777" w:rsidR="00B52C6E" w:rsidRDefault="001F5216" w:rsidP="00555687">
      <w:pPr>
        <w:pStyle w:val="ParaNum"/>
        <w:numPr>
          <w:ilvl w:val="0"/>
          <w:numId w:val="0"/>
        </w:numPr>
      </w:pPr>
      <w:r>
        <w:tab/>
      </w:r>
      <w:r>
        <w:tab/>
      </w:r>
      <w:r>
        <w:tab/>
      </w:r>
      <w:r>
        <w:tab/>
      </w:r>
      <w:r>
        <w:tab/>
        <w:t>FEDERAL COMMUNICATIONS COMMISSION</w:t>
      </w:r>
    </w:p>
    <w:p w14:paraId="40C21809" w14:textId="77777777" w:rsidR="001F5216" w:rsidRDefault="001F5216" w:rsidP="00555687">
      <w:pPr>
        <w:pStyle w:val="ParaNum"/>
        <w:numPr>
          <w:ilvl w:val="0"/>
          <w:numId w:val="0"/>
        </w:numPr>
      </w:pPr>
    </w:p>
    <w:p w14:paraId="7120EE41" w14:textId="7C59B203" w:rsidR="001F5216" w:rsidRDefault="001F5216" w:rsidP="001F5216">
      <w:pPr>
        <w:pStyle w:val="ParaNum"/>
        <w:numPr>
          <w:ilvl w:val="0"/>
          <w:numId w:val="0"/>
        </w:numPr>
        <w:spacing w:after="0"/>
      </w:pPr>
      <w:r>
        <w:tab/>
      </w:r>
      <w:r>
        <w:tab/>
      </w:r>
      <w:r>
        <w:tab/>
      </w:r>
      <w:r>
        <w:tab/>
      </w:r>
      <w:r>
        <w:tab/>
      </w:r>
      <w:r w:rsidR="00270489">
        <w:t>Alison Kutler</w:t>
      </w:r>
    </w:p>
    <w:p w14:paraId="17611D6A" w14:textId="77777777" w:rsidR="001F5216" w:rsidRDefault="001F5216" w:rsidP="001F5216">
      <w:pPr>
        <w:pStyle w:val="ParaNum"/>
        <w:numPr>
          <w:ilvl w:val="0"/>
          <w:numId w:val="0"/>
        </w:numPr>
        <w:spacing w:after="0"/>
      </w:pPr>
      <w:r>
        <w:tab/>
      </w:r>
      <w:r>
        <w:tab/>
      </w:r>
      <w:r>
        <w:tab/>
      </w:r>
      <w:r>
        <w:tab/>
      </w:r>
      <w:r>
        <w:tab/>
      </w:r>
      <w:r w:rsidR="00730356">
        <w:t>Acting Chief</w:t>
      </w:r>
    </w:p>
    <w:p w14:paraId="03B23145" w14:textId="77777777" w:rsidR="00730356" w:rsidRPr="00B52C6E" w:rsidRDefault="00730356" w:rsidP="001F5216">
      <w:pPr>
        <w:pStyle w:val="ParaNum"/>
        <w:numPr>
          <w:ilvl w:val="0"/>
          <w:numId w:val="0"/>
        </w:numPr>
        <w:spacing w:after="0"/>
      </w:pPr>
      <w:r>
        <w:tab/>
      </w:r>
      <w:r>
        <w:tab/>
      </w:r>
      <w:r>
        <w:tab/>
      </w:r>
      <w:r>
        <w:tab/>
      </w:r>
      <w:r>
        <w:tab/>
        <w:t>Consumer and Governmental Affairs Bureau</w:t>
      </w:r>
    </w:p>
    <w:p w14:paraId="6618DBA9" w14:textId="77777777" w:rsidR="00577B12" w:rsidRPr="00577B12" w:rsidRDefault="00577B12" w:rsidP="00B52C6E">
      <w:pPr>
        <w:pStyle w:val="ParaNum"/>
        <w:numPr>
          <w:ilvl w:val="0"/>
          <w:numId w:val="0"/>
        </w:numPr>
        <w:ind w:firstLine="720"/>
      </w:pPr>
    </w:p>
    <w:sectPr w:rsidR="00577B12" w:rsidRPr="00577B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E50FA" w14:textId="77777777" w:rsidR="00DA074E" w:rsidRDefault="00DA074E">
      <w:r>
        <w:separator/>
      </w:r>
    </w:p>
  </w:endnote>
  <w:endnote w:type="continuationSeparator" w:id="0">
    <w:p w14:paraId="2BAA0F9F" w14:textId="77777777" w:rsidR="00DA074E" w:rsidRDefault="00DA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254F" w14:textId="77777777" w:rsidR="00C573F9" w:rsidRDefault="00C57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95C5" w14:textId="77777777" w:rsidR="00FA132A" w:rsidRDefault="00FA132A">
    <w:pPr>
      <w:pStyle w:val="Footer"/>
      <w:jc w:val="center"/>
    </w:pPr>
    <w:r>
      <w:rPr>
        <w:rStyle w:val="PageNumber"/>
      </w:rPr>
      <w:fldChar w:fldCharType="begin"/>
    </w:r>
    <w:r>
      <w:rPr>
        <w:rStyle w:val="PageNumber"/>
      </w:rPr>
      <w:instrText xml:space="preserve"> PAGE </w:instrText>
    </w:r>
    <w:r>
      <w:rPr>
        <w:rStyle w:val="PageNumber"/>
      </w:rPr>
      <w:fldChar w:fldCharType="separate"/>
    </w:r>
    <w:r w:rsidR="000D27C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890A1" w14:textId="77777777" w:rsidR="00C573F9" w:rsidRDefault="00C57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B3E79" w14:textId="77777777" w:rsidR="00DA074E" w:rsidRDefault="00DA074E">
      <w:pPr>
        <w:rPr>
          <w:sz w:val="20"/>
        </w:rPr>
      </w:pPr>
      <w:r>
        <w:rPr>
          <w:sz w:val="20"/>
        </w:rPr>
        <w:separator/>
      </w:r>
    </w:p>
  </w:footnote>
  <w:footnote w:type="continuationSeparator" w:id="0">
    <w:p w14:paraId="170F645E" w14:textId="77777777" w:rsidR="00DA074E" w:rsidRDefault="00DA074E">
      <w:pPr>
        <w:rPr>
          <w:sz w:val="20"/>
        </w:rPr>
      </w:pPr>
      <w:r>
        <w:rPr>
          <w:sz w:val="20"/>
        </w:rPr>
        <w:separator/>
      </w:r>
    </w:p>
    <w:p w14:paraId="448A2E68" w14:textId="77777777" w:rsidR="00DA074E" w:rsidRDefault="00DA074E">
      <w:pPr>
        <w:rPr>
          <w:sz w:val="20"/>
        </w:rPr>
      </w:pPr>
      <w:r>
        <w:rPr>
          <w:sz w:val="20"/>
        </w:rPr>
        <w:t>(...continued from previous page)</w:t>
      </w:r>
    </w:p>
  </w:footnote>
  <w:footnote w:type="continuationNotice" w:id="1">
    <w:p w14:paraId="56219702" w14:textId="77777777" w:rsidR="00DA074E" w:rsidRDefault="00DA074E">
      <w:pPr>
        <w:jc w:val="right"/>
        <w:rPr>
          <w:sz w:val="20"/>
        </w:rPr>
      </w:pPr>
      <w:r>
        <w:rPr>
          <w:sz w:val="20"/>
        </w:rPr>
        <w:t>(continued....)</w:t>
      </w:r>
    </w:p>
  </w:footnote>
  <w:footnote w:id="2">
    <w:p w14:paraId="56082D9B" w14:textId="77777777" w:rsidR="00FA132A" w:rsidRPr="008503C3" w:rsidRDefault="00FA132A" w:rsidP="006F6CCD">
      <w:pPr>
        <w:pStyle w:val="FootnoteText"/>
        <w:jc w:val="left"/>
      </w:pPr>
      <w:r>
        <w:rPr>
          <w:rStyle w:val="FootnoteReference"/>
        </w:rPr>
        <w:footnoteRef/>
      </w:r>
      <w:r>
        <w:t xml:space="preserve"> </w:t>
      </w:r>
      <w:r>
        <w:rPr>
          <w:i/>
        </w:rPr>
        <w:t>See</w:t>
      </w:r>
      <w:r>
        <w:t xml:space="preserve"> </w:t>
      </w:r>
      <w:r>
        <w:rPr>
          <w:i/>
        </w:rPr>
        <w:t>Petition of National Grid USA, Inc. for Expedited Declaratory Ruling and/or Waiver</w:t>
      </w:r>
      <w:r>
        <w:t>, CG Docket No. 02-278, filed on Feb. 18, 2014 (Petition).</w:t>
      </w:r>
    </w:p>
  </w:footnote>
  <w:footnote w:id="3">
    <w:p w14:paraId="12CA78B1" w14:textId="32AF9103" w:rsidR="00FA132A" w:rsidRPr="008503C3" w:rsidRDefault="00FA132A" w:rsidP="006F6CCD">
      <w:pPr>
        <w:pStyle w:val="FootnoteText"/>
        <w:jc w:val="left"/>
      </w:pPr>
      <w:r>
        <w:rPr>
          <w:rStyle w:val="FootnoteReference"/>
        </w:rPr>
        <w:footnoteRef/>
      </w:r>
      <w:r>
        <w:t xml:space="preserve"> </w:t>
      </w:r>
      <w:r>
        <w:rPr>
          <w:i/>
        </w:rPr>
        <w:t xml:space="preserve">See </w:t>
      </w:r>
      <w:r>
        <w:t xml:space="preserve">47 C.F.R. </w:t>
      </w:r>
      <w:r w:rsidRPr="0024744A">
        <w:rPr>
          <w:iCs/>
        </w:rPr>
        <w:t>§</w:t>
      </w:r>
      <w:r>
        <w:rPr>
          <w:iCs/>
        </w:rPr>
        <w:t xml:space="preserve"> 64.1200(b)(1).  Specifically, this rule requires that all artificial or prerecorded calls from a business must include “the name under which the entity is registered to conduct business with the State Corporation Commission (or comparable regulatory authority).”</w:t>
      </w:r>
    </w:p>
  </w:footnote>
  <w:footnote w:id="4">
    <w:p w14:paraId="7C84C88F" w14:textId="77777777" w:rsidR="00FA132A" w:rsidRPr="006C280F" w:rsidRDefault="00FA132A" w:rsidP="006F6CCD">
      <w:pPr>
        <w:pStyle w:val="FootnoteText"/>
        <w:jc w:val="left"/>
      </w:pPr>
      <w:r>
        <w:rPr>
          <w:rStyle w:val="FootnoteReference"/>
        </w:rPr>
        <w:footnoteRef/>
      </w:r>
      <w:r>
        <w:t xml:space="preserve"> </w:t>
      </w:r>
      <w:r>
        <w:rPr>
          <w:i/>
        </w:rPr>
        <w:t>See, e.g.</w:t>
      </w:r>
      <w:r>
        <w:t xml:space="preserve">, Petition at 6 (noting that “National Grid has registered the name ‘National Grid’ in the appropriate regulatory authority in each state that it operates”). </w:t>
      </w:r>
    </w:p>
  </w:footnote>
  <w:footnote w:id="5">
    <w:p w14:paraId="0D0F00E0" w14:textId="77777777" w:rsidR="00FA132A" w:rsidRPr="00407940" w:rsidRDefault="00FA132A" w:rsidP="006F6CCD">
      <w:pPr>
        <w:pStyle w:val="FootnoteText"/>
        <w:jc w:val="left"/>
      </w:pPr>
      <w:r>
        <w:rPr>
          <w:rStyle w:val="FootnoteReference"/>
        </w:rPr>
        <w:footnoteRef/>
      </w:r>
      <w:r>
        <w:t xml:space="preserve"> </w:t>
      </w:r>
      <w:r>
        <w:rPr>
          <w:i/>
        </w:rPr>
        <w:t>See</w:t>
      </w:r>
      <w:r>
        <w:t xml:space="preserve"> 47 U.S.C. </w:t>
      </w:r>
      <w:r w:rsidRPr="0024744A">
        <w:rPr>
          <w:iCs/>
        </w:rPr>
        <w:t>§</w:t>
      </w:r>
      <w:r>
        <w:rPr>
          <w:iCs/>
        </w:rPr>
        <w:t xml:space="preserve"> 227(d)(3)(A).</w:t>
      </w:r>
    </w:p>
  </w:footnote>
  <w:footnote w:id="6">
    <w:p w14:paraId="13A14CA5" w14:textId="77777777" w:rsidR="00FA132A" w:rsidRPr="00D232CB" w:rsidRDefault="00FA132A" w:rsidP="006F6CCD">
      <w:pPr>
        <w:pStyle w:val="FootnoteText"/>
        <w:jc w:val="left"/>
      </w:pPr>
      <w:r>
        <w:rPr>
          <w:rStyle w:val="FootnoteReference"/>
        </w:rPr>
        <w:footnoteRef/>
      </w:r>
      <w:r>
        <w:t xml:space="preserve"> </w:t>
      </w:r>
      <w:r>
        <w:rPr>
          <w:i/>
        </w:rPr>
        <w:t>See</w:t>
      </w:r>
      <w:r>
        <w:t xml:space="preserve"> 47 C.F.R. </w:t>
      </w:r>
      <w:r w:rsidRPr="0024744A">
        <w:rPr>
          <w:iCs/>
        </w:rPr>
        <w:t>§</w:t>
      </w:r>
      <w:r>
        <w:rPr>
          <w:iCs/>
        </w:rPr>
        <w:t xml:space="preserve"> 64.1200(b)(1) (emphasis added).</w:t>
      </w:r>
    </w:p>
  </w:footnote>
  <w:footnote w:id="7">
    <w:p w14:paraId="2E06236B" w14:textId="15768858" w:rsidR="00FA132A" w:rsidRDefault="00FA132A" w:rsidP="006F6CCD">
      <w:pPr>
        <w:pStyle w:val="FootnoteText"/>
        <w:jc w:val="left"/>
      </w:pPr>
      <w:r>
        <w:rPr>
          <w:rStyle w:val="FootnoteReference"/>
        </w:rPr>
        <w:footnoteRef/>
      </w:r>
      <w:r>
        <w:t xml:space="preserve"> </w:t>
      </w:r>
      <w:r>
        <w:rPr>
          <w:i/>
        </w:rPr>
        <w:t>See Rules and Regulations Implementing the Telephone Consumer Protection Act of 1991</w:t>
      </w:r>
      <w:r>
        <w:t>, CG Docket No. 02-278, Report and Order, 18 FCC Rcd 14014, 14099-100, para. 144 (2003) (emphasis added).</w:t>
      </w:r>
    </w:p>
  </w:footnote>
  <w:footnote w:id="8">
    <w:p w14:paraId="3C8992AB" w14:textId="77777777" w:rsidR="00FA132A" w:rsidRPr="00451210" w:rsidRDefault="00FA132A" w:rsidP="006F6CCD">
      <w:pPr>
        <w:pStyle w:val="FootnoteText"/>
        <w:jc w:val="left"/>
      </w:pPr>
      <w:r>
        <w:rPr>
          <w:rStyle w:val="FootnoteReference"/>
        </w:rPr>
        <w:footnoteRef/>
      </w:r>
      <w:r>
        <w:t xml:space="preserve"> </w:t>
      </w:r>
      <w:r>
        <w:rPr>
          <w:i/>
        </w:rPr>
        <w:t>Id</w:t>
      </w:r>
      <w:r>
        <w:t>.</w:t>
      </w:r>
    </w:p>
  </w:footnote>
  <w:footnote w:id="9">
    <w:p w14:paraId="04CC78F3" w14:textId="77777777" w:rsidR="00FA132A" w:rsidRPr="00783606" w:rsidRDefault="00FA132A" w:rsidP="006F6CCD">
      <w:pPr>
        <w:pStyle w:val="FootnoteText"/>
        <w:jc w:val="left"/>
      </w:pPr>
      <w:r>
        <w:rPr>
          <w:rStyle w:val="FootnoteReference"/>
        </w:rPr>
        <w:footnoteRef/>
      </w:r>
      <w:r>
        <w:t xml:space="preserve"> </w:t>
      </w:r>
      <w:r>
        <w:rPr>
          <w:i/>
        </w:rPr>
        <w:t>Id.</w:t>
      </w:r>
    </w:p>
  </w:footnote>
  <w:footnote w:id="10">
    <w:p w14:paraId="3348B90D" w14:textId="77777777" w:rsidR="00FA132A" w:rsidRPr="00AD3EF4" w:rsidRDefault="00FA132A" w:rsidP="006F6CCD">
      <w:pPr>
        <w:pStyle w:val="FootnoteText"/>
        <w:jc w:val="left"/>
      </w:pPr>
      <w:r>
        <w:rPr>
          <w:rStyle w:val="FootnoteReference"/>
        </w:rPr>
        <w:footnoteRef/>
      </w:r>
      <w:r>
        <w:t xml:space="preserve"> </w:t>
      </w:r>
      <w:r>
        <w:rPr>
          <w:i/>
        </w:rPr>
        <w:t>Id.</w:t>
      </w:r>
    </w:p>
  </w:footnote>
  <w:footnote w:id="11">
    <w:p w14:paraId="07EFF919" w14:textId="280BEAD9" w:rsidR="00FA132A" w:rsidRPr="00AC7E0E" w:rsidRDefault="00FA132A" w:rsidP="006F6CCD">
      <w:pPr>
        <w:pStyle w:val="FootnoteText"/>
        <w:jc w:val="left"/>
      </w:pPr>
      <w:r>
        <w:rPr>
          <w:rStyle w:val="FootnoteReference"/>
        </w:rPr>
        <w:footnoteRef/>
      </w:r>
      <w:r>
        <w:t xml:space="preserve"> </w:t>
      </w:r>
      <w:r>
        <w:rPr>
          <w:i/>
        </w:rPr>
        <w:t>See Rules and Regulations Implementing the Telephone Consumer Protection Act of 1991</w:t>
      </w:r>
      <w:r>
        <w:t>, CG Docket No. 02-278, Second Order on Reconsideration, 20 FCC Rcd 3788, 3805, para. 41 (2005) (</w:t>
      </w:r>
      <w:r>
        <w:rPr>
          <w:i/>
        </w:rPr>
        <w:t>Second Reconsideration Order</w:t>
      </w:r>
      <w:r>
        <w:t>) (reiterating that the “rule does not prohibit the use of ‘d/b/a’ information, provided that the legal name of the business is also provided”).</w:t>
      </w:r>
    </w:p>
  </w:footnote>
  <w:footnote w:id="12">
    <w:p w14:paraId="1C33F19A" w14:textId="77777777" w:rsidR="00FA132A" w:rsidRPr="006F6CCD" w:rsidRDefault="00FA132A" w:rsidP="006F6CCD">
      <w:pPr>
        <w:pStyle w:val="FootnoteText"/>
        <w:jc w:val="left"/>
      </w:pPr>
      <w:r>
        <w:rPr>
          <w:rStyle w:val="FootnoteReference"/>
        </w:rPr>
        <w:footnoteRef/>
      </w:r>
      <w:r>
        <w:t xml:space="preserve"> </w:t>
      </w:r>
      <w:r>
        <w:rPr>
          <w:i/>
        </w:rPr>
        <w:t>See generally</w:t>
      </w:r>
      <w:r>
        <w:t xml:space="preserve"> Petition.</w:t>
      </w:r>
    </w:p>
  </w:footnote>
  <w:footnote w:id="13">
    <w:p w14:paraId="0FC8594B" w14:textId="3C3E7B97" w:rsidR="00FA132A" w:rsidRPr="00D347BE" w:rsidRDefault="00FA132A" w:rsidP="006F6CCD">
      <w:pPr>
        <w:pStyle w:val="FootnoteText"/>
        <w:jc w:val="left"/>
      </w:pPr>
      <w:r>
        <w:rPr>
          <w:rStyle w:val="FootnoteReference"/>
        </w:rPr>
        <w:footnoteRef/>
      </w:r>
      <w:r>
        <w:t xml:space="preserve"> Petition at 5; </w:t>
      </w:r>
      <w:r>
        <w:rPr>
          <w:i/>
        </w:rPr>
        <w:t>see also</w:t>
      </w:r>
      <w:r>
        <w:t xml:space="preserve"> Letter from Marianne R. Casserly, Counsel for National Grid, to Marlene H. Dortch, FCC filed in CG Docket No. 02-278 (dated June 25, 2014) at 1 (</w:t>
      </w:r>
      <w:r w:rsidR="00876F57">
        <w:t xml:space="preserve">explaining that </w:t>
      </w:r>
      <w:r>
        <w:t xml:space="preserve">“[u]nder the National Grid umbrella are various operating companies with historical legacy names that are retained for background utility regulation purposes and cost allocation purposes, but are not used for any customer-facing purpose”) (National Grid </w:t>
      </w:r>
      <w:r>
        <w:rPr>
          <w:i/>
        </w:rPr>
        <w:t>ex parte</w:t>
      </w:r>
      <w:r>
        <w:t>).</w:t>
      </w:r>
    </w:p>
  </w:footnote>
  <w:footnote w:id="14">
    <w:p w14:paraId="14165C81" w14:textId="77777777" w:rsidR="00FA132A" w:rsidRPr="0000625B" w:rsidRDefault="00FA132A" w:rsidP="006F6CCD">
      <w:pPr>
        <w:pStyle w:val="FootnoteText"/>
        <w:jc w:val="left"/>
      </w:pPr>
      <w:r>
        <w:rPr>
          <w:rStyle w:val="FootnoteReference"/>
        </w:rPr>
        <w:footnoteRef/>
      </w:r>
      <w:r>
        <w:t xml:space="preserve"> Petition at 6.</w:t>
      </w:r>
    </w:p>
  </w:footnote>
  <w:footnote w:id="15">
    <w:p w14:paraId="38E77491" w14:textId="77777777" w:rsidR="00FA132A" w:rsidRPr="001D0E85" w:rsidRDefault="00FA132A" w:rsidP="006F6CCD">
      <w:pPr>
        <w:pStyle w:val="FootnoteText"/>
        <w:jc w:val="left"/>
      </w:pPr>
      <w:r>
        <w:rPr>
          <w:rStyle w:val="FootnoteReference"/>
        </w:rPr>
        <w:footnoteRef/>
      </w:r>
      <w:r>
        <w:t xml:space="preserve"> </w:t>
      </w:r>
      <w:r>
        <w:rPr>
          <w:i/>
        </w:rPr>
        <w:t>Id</w:t>
      </w:r>
      <w:r>
        <w:t>.</w:t>
      </w:r>
    </w:p>
  </w:footnote>
  <w:footnote w:id="16">
    <w:p w14:paraId="6CD8234A" w14:textId="0A0B8FAB" w:rsidR="00BC27C7" w:rsidRDefault="00BC27C7">
      <w:pPr>
        <w:pStyle w:val="FootnoteText"/>
      </w:pPr>
      <w:r>
        <w:rPr>
          <w:rStyle w:val="FootnoteReference"/>
        </w:rPr>
        <w:footnoteRef/>
      </w:r>
      <w:r>
        <w:t xml:space="preserve"> </w:t>
      </w:r>
      <w:r w:rsidRPr="002F6908">
        <w:rPr>
          <w:i/>
        </w:rPr>
        <w:t>Id.</w:t>
      </w:r>
      <w:r>
        <w:t xml:space="preserve"> at 3. </w:t>
      </w:r>
    </w:p>
  </w:footnote>
  <w:footnote w:id="17">
    <w:p w14:paraId="226F9EE4" w14:textId="77777777" w:rsidR="00FA132A" w:rsidRPr="000432CB" w:rsidRDefault="00FA132A" w:rsidP="006A6B0F">
      <w:pPr>
        <w:pStyle w:val="FootnoteText"/>
      </w:pPr>
      <w:r>
        <w:rPr>
          <w:rStyle w:val="FootnoteReference"/>
        </w:rPr>
        <w:footnoteRef/>
      </w:r>
      <w:r>
        <w:t xml:space="preserve"> </w:t>
      </w:r>
      <w:r>
        <w:rPr>
          <w:i/>
        </w:rPr>
        <w:t>Id.</w:t>
      </w:r>
      <w:r>
        <w:t xml:space="preserve"> at 2-3.</w:t>
      </w:r>
    </w:p>
  </w:footnote>
  <w:footnote w:id="18">
    <w:p w14:paraId="2F2F5DDB" w14:textId="77777777" w:rsidR="00FA132A" w:rsidRPr="006A6B0F" w:rsidRDefault="00FA132A" w:rsidP="006A6B0F">
      <w:pPr>
        <w:pStyle w:val="FootnoteText"/>
      </w:pPr>
      <w:r>
        <w:rPr>
          <w:rStyle w:val="FootnoteReference"/>
        </w:rPr>
        <w:footnoteRef/>
      </w:r>
      <w:r>
        <w:t xml:space="preserve"> </w:t>
      </w:r>
      <w:r>
        <w:rPr>
          <w:i/>
        </w:rPr>
        <w:t>Id</w:t>
      </w:r>
      <w:r>
        <w:t>.</w:t>
      </w:r>
    </w:p>
  </w:footnote>
  <w:footnote w:id="19">
    <w:p w14:paraId="473069E8" w14:textId="1DCAF7D9" w:rsidR="00FA132A" w:rsidRPr="001D0E85" w:rsidRDefault="00FA132A" w:rsidP="006F6CCD">
      <w:pPr>
        <w:pStyle w:val="FootnoteText"/>
        <w:jc w:val="left"/>
      </w:pPr>
      <w:r>
        <w:rPr>
          <w:rStyle w:val="FootnoteReference"/>
        </w:rPr>
        <w:footnoteRef/>
      </w:r>
      <w:r>
        <w:t xml:space="preserve"> </w:t>
      </w:r>
      <w:r>
        <w:rPr>
          <w:i/>
        </w:rPr>
        <w:t>Id.</w:t>
      </w:r>
      <w:r>
        <w:t xml:space="preserve"> at 6-7;</w:t>
      </w:r>
      <w:r w:rsidRPr="00B26887">
        <w:rPr>
          <w:i/>
        </w:rPr>
        <w:t xml:space="preserve"> </w:t>
      </w:r>
      <w:r>
        <w:rPr>
          <w:i/>
        </w:rPr>
        <w:t>see also</w:t>
      </w:r>
      <w:r>
        <w:t xml:space="preserve"> National Grid </w:t>
      </w:r>
      <w:r>
        <w:rPr>
          <w:i/>
        </w:rPr>
        <w:t>ex parte</w:t>
      </w:r>
      <w:r>
        <w:t xml:space="preserve"> (providing examples of customer bills, bill inserts, and service equipment in which the National Grid name is prominently displayed). </w:t>
      </w:r>
    </w:p>
  </w:footnote>
  <w:footnote w:id="20">
    <w:p w14:paraId="275BD0D5" w14:textId="77777777" w:rsidR="00FA132A" w:rsidRPr="00B26887" w:rsidRDefault="00FA132A" w:rsidP="006F6CCD">
      <w:pPr>
        <w:pStyle w:val="FootnoteText"/>
        <w:jc w:val="left"/>
      </w:pPr>
      <w:r>
        <w:rPr>
          <w:rStyle w:val="FootnoteReference"/>
        </w:rPr>
        <w:footnoteRef/>
      </w:r>
      <w:r>
        <w:t xml:space="preserve"> </w:t>
      </w:r>
      <w:r>
        <w:rPr>
          <w:i/>
        </w:rPr>
        <w:t xml:space="preserve">See </w:t>
      </w:r>
      <w:r>
        <w:t xml:space="preserve">National Grid </w:t>
      </w:r>
      <w:r>
        <w:rPr>
          <w:i/>
        </w:rPr>
        <w:t>ex parte</w:t>
      </w:r>
      <w:r>
        <w:t xml:space="preserve"> at 2.</w:t>
      </w:r>
    </w:p>
  </w:footnote>
  <w:footnote w:id="21">
    <w:p w14:paraId="08675645" w14:textId="77777777" w:rsidR="00FA132A" w:rsidRPr="00D57E57" w:rsidRDefault="00FA132A" w:rsidP="006F6CCD">
      <w:pPr>
        <w:pStyle w:val="FootnoteText"/>
        <w:jc w:val="left"/>
      </w:pPr>
      <w:r>
        <w:rPr>
          <w:rStyle w:val="FootnoteReference"/>
        </w:rPr>
        <w:footnoteRef/>
      </w:r>
      <w:r>
        <w:t xml:space="preserve"> Petition</w:t>
      </w:r>
      <w:r>
        <w:rPr>
          <w:i/>
        </w:rPr>
        <w:t xml:space="preserve"> </w:t>
      </w:r>
      <w:r>
        <w:t>at 7-8.</w:t>
      </w:r>
    </w:p>
  </w:footnote>
  <w:footnote w:id="22">
    <w:p w14:paraId="7F655534" w14:textId="77777777" w:rsidR="00FA132A" w:rsidRPr="00A44A42" w:rsidRDefault="00FA132A" w:rsidP="006F6CCD">
      <w:pPr>
        <w:pStyle w:val="FootnoteText"/>
        <w:jc w:val="left"/>
      </w:pPr>
      <w:r>
        <w:rPr>
          <w:rStyle w:val="FootnoteReference"/>
        </w:rPr>
        <w:footnoteRef/>
      </w:r>
      <w:r>
        <w:t xml:space="preserve"> </w:t>
      </w:r>
      <w:r>
        <w:rPr>
          <w:i/>
        </w:rPr>
        <w:t>Id.</w:t>
      </w:r>
      <w:r>
        <w:t xml:space="preserve"> at 7.</w:t>
      </w:r>
    </w:p>
  </w:footnote>
  <w:footnote w:id="23">
    <w:p w14:paraId="6D82984F" w14:textId="08555524" w:rsidR="00FA132A" w:rsidRPr="007F520D" w:rsidRDefault="00FA132A" w:rsidP="006F6CCD">
      <w:pPr>
        <w:pStyle w:val="FootnoteText"/>
        <w:jc w:val="left"/>
      </w:pPr>
      <w:r>
        <w:rPr>
          <w:rStyle w:val="FootnoteReference"/>
        </w:rPr>
        <w:footnoteRef/>
      </w:r>
      <w:r>
        <w:t xml:space="preserve"> </w:t>
      </w:r>
      <w:r>
        <w:rPr>
          <w:i/>
        </w:rPr>
        <w:t>Id.</w:t>
      </w:r>
      <w:r w:rsidR="00A82339">
        <w:t xml:space="preserve"> at 7.</w:t>
      </w:r>
      <w:r>
        <w:rPr>
          <w:i/>
        </w:rPr>
        <w:t xml:space="preserve"> </w:t>
      </w:r>
    </w:p>
  </w:footnote>
  <w:footnote w:id="24">
    <w:p w14:paraId="461A089C" w14:textId="77777777" w:rsidR="00FA132A" w:rsidRPr="00D57E57" w:rsidRDefault="00FA132A" w:rsidP="006F6CCD">
      <w:pPr>
        <w:pStyle w:val="FootnoteText"/>
        <w:jc w:val="left"/>
      </w:pPr>
      <w:r>
        <w:rPr>
          <w:rStyle w:val="FootnoteReference"/>
        </w:rPr>
        <w:footnoteRef/>
      </w:r>
      <w:r>
        <w:t xml:space="preserve"> </w:t>
      </w:r>
      <w:r>
        <w:rPr>
          <w:i/>
        </w:rPr>
        <w:t xml:space="preserve">Id. </w:t>
      </w:r>
      <w:r>
        <w:t>at 8.</w:t>
      </w:r>
    </w:p>
  </w:footnote>
  <w:footnote w:id="25">
    <w:p w14:paraId="6FC91087" w14:textId="77777777" w:rsidR="00FA132A" w:rsidRPr="007C3FCB" w:rsidRDefault="00FA132A" w:rsidP="006F6CCD">
      <w:pPr>
        <w:pStyle w:val="FootnoteText"/>
        <w:jc w:val="left"/>
      </w:pPr>
      <w:r>
        <w:rPr>
          <w:rStyle w:val="FootnoteReference"/>
        </w:rPr>
        <w:footnoteRef/>
      </w:r>
      <w:r>
        <w:t xml:space="preserve"> </w:t>
      </w:r>
      <w:r>
        <w:rPr>
          <w:i/>
        </w:rPr>
        <w:t>See Consumer and Governmental Affairs Bureau Seeks Comment on Petition for Expedited Declaratory Ruling and/or Waiver filed by National Grid USA, Inc.</w:t>
      </w:r>
      <w:r>
        <w:t>, CG Docket No. 02-278, 29 FCC Rcd 2011 (2014).</w:t>
      </w:r>
    </w:p>
  </w:footnote>
  <w:footnote w:id="26">
    <w:p w14:paraId="0F8BEC4E" w14:textId="77777777" w:rsidR="00FA132A" w:rsidRDefault="00FA132A" w:rsidP="006F6CCD">
      <w:pPr>
        <w:pStyle w:val="FootnoteText"/>
        <w:jc w:val="left"/>
      </w:pPr>
      <w:r>
        <w:rPr>
          <w:rStyle w:val="FootnoteReference"/>
        </w:rPr>
        <w:footnoteRef/>
      </w:r>
      <w:r>
        <w:t xml:space="preserve"> 47 C.F.R.</w:t>
      </w:r>
      <w:r w:rsidRPr="00C76264">
        <w:rPr>
          <w:iCs/>
        </w:rPr>
        <w:t xml:space="preserve"> </w:t>
      </w:r>
      <w:r w:rsidRPr="0024744A">
        <w:rPr>
          <w:iCs/>
        </w:rPr>
        <w:t>§</w:t>
      </w:r>
      <w:r>
        <w:rPr>
          <w:iCs/>
        </w:rPr>
        <w:t xml:space="preserve"> 1.3; </w:t>
      </w:r>
      <w:r>
        <w:rPr>
          <w:i/>
          <w:iCs/>
        </w:rPr>
        <w:t>WAIT Radio v. FCC</w:t>
      </w:r>
      <w:r>
        <w:rPr>
          <w:iCs/>
        </w:rPr>
        <w:t xml:space="preserve">, 418 F.2d 1153 (D.C. Cir. 1969); </w:t>
      </w:r>
      <w:r>
        <w:rPr>
          <w:i/>
          <w:iCs/>
        </w:rPr>
        <w:t>appeal after remand</w:t>
      </w:r>
      <w:r>
        <w:rPr>
          <w:iCs/>
        </w:rPr>
        <w:t xml:space="preserve">, 459 F.2d 1203 (D.C. Cir. 1972), </w:t>
      </w:r>
      <w:r>
        <w:rPr>
          <w:i/>
          <w:iCs/>
        </w:rPr>
        <w:t>cert. denied</w:t>
      </w:r>
      <w:r>
        <w:rPr>
          <w:iCs/>
        </w:rPr>
        <w:t xml:space="preserve">, 409 U.S. 1027 (1972); </w:t>
      </w:r>
      <w:r>
        <w:rPr>
          <w:i/>
          <w:iCs/>
        </w:rPr>
        <w:t>Northeast Cellular Tel. Co. v. FCC</w:t>
      </w:r>
      <w:r>
        <w:rPr>
          <w:iCs/>
        </w:rPr>
        <w:t>, 897 F.2d 1164 (D.C. Cir. 1990).</w:t>
      </w:r>
      <w:r>
        <w:t xml:space="preserve"> </w:t>
      </w:r>
    </w:p>
  </w:footnote>
  <w:footnote w:id="27">
    <w:p w14:paraId="05F51720" w14:textId="77777777" w:rsidR="00FA132A" w:rsidRPr="00C76264" w:rsidRDefault="00FA132A" w:rsidP="006F6CCD">
      <w:pPr>
        <w:pStyle w:val="FootnoteText"/>
        <w:jc w:val="left"/>
      </w:pPr>
      <w:r>
        <w:rPr>
          <w:rStyle w:val="FootnoteReference"/>
        </w:rPr>
        <w:footnoteRef/>
      </w:r>
      <w:r>
        <w:t xml:space="preserve"> </w:t>
      </w:r>
      <w:r>
        <w:rPr>
          <w:i/>
        </w:rPr>
        <w:t>Northeast Cellular</w:t>
      </w:r>
      <w:r>
        <w:t>, 897 F.2d at 1166.</w:t>
      </w:r>
    </w:p>
  </w:footnote>
  <w:footnote w:id="28">
    <w:p w14:paraId="2684CF3D" w14:textId="77777777" w:rsidR="00FA132A" w:rsidRPr="00067047" w:rsidRDefault="00FA132A" w:rsidP="006F6CCD">
      <w:pPr>
        <w:pStyle w:val="FootnoteText"/>
        <w:jc w:val="left"/>
      </w:pPr>
      <w:r>
        <w:rPr>
          <w:rStyle w:val="FootnoteReference"/>
        </w:rPr>
        <w:footnoteRef/>
      </w:r>
      <w:r>
        <w:t xml:space="preserve"> </w:t>
      </w:r>
      <w:r>
        <w:rPr>
          <w:i/>
        </w:rPr>
        <w:t>Id.</w:t>
      </w:r>
      <w:r>
        <w:t xml:space="preserve"> at 1157.</w:t>
      </w:r>
    </w:p>
  </w:footnote>
  <w:footnote w:id="29">
    <w:p w14:paraId="500F1BDE" w14:textId="77777777" w:rsidR="00FA132A" w:rsidRPr="00D4180C" w:rsidRDefault="00FA132A" w:rsidP="006F6CCD">
      <w:pPr>
        <w:pStyle w:val="FootnoteText"/>
        <w:jc w:val="left"/>
      </w:pPr>
      <w:r>
        <w:rPr>
          <w:rStyle w:val="FootnoteReference"/>
        </w:rPr>
        <w:footnoteRef/>
      </w:r>
      <w:r>
        <w:t xml:space="preserve"> </w:t>
      </w:r>
      <w:r>
        <w:rPr>
          <w:i/>
        </w:rPr>
        <w:t>See</w:t>
      </w:r>
      <w:r>
        <w:t xml:space="preserve"> Petition at 3 (explaining that it “has retained certain historical legacy corporate names that are specific to those utility services and geographic regions they serve.  Retaining these names is important as it facilitates the company’s compliance with regulatory obligations specific to gas and electric utilities regulated by different state and federal governmental authorities”).</w:t>
      </w:r>
    </w:p>
  </w:footnote>
  <w:footnote w:id="30">
    <w:p w14:paraId="75E99B05" w14:textId="57817129" w:rsidR="002F6908" w:rsidRPr="002F6908" w:rsidRDefault="002F6908">
      <w:pPr>
        <w:pStyle w:val="FootnoteText"/>
      </w:pPr>
      <w:r>
        <w:rPr>
          <w:rStyle w:val="FootnoteReference"/>
        </w:rPr>
        <w:footnoteRef/>
      </w:r>
      <w:r>
        <w:t xml:space="preserve"> </w:t>
      </w:r>
      <w:r>
        <w:rPr>
          <w:i/>
        </w:rPr>
        <w:t>Id.</w:t>
      </w:r>
      <w:r>
        <w:t xml:space="preserve"> at 2-3</w:t>
      </w:r>
      <w:r w:rsidR="00F2544A">
        <w:t>, 7</w:t>
      </w:r>
      <w:r>
        <w:t>.</w:t>
      </w:r>
    </w:p>
  </w:footnote>
  <w:footnote w:id="31">
    <w:p w14:paraId="6EAD0324" w14:textId="77777777" w:rsidR="00FA132A" w:rsidRPr="00D4180C" w:rsidRDefault="00FA132A" w:rsidP="006F6CCD">
      <w:pPr>
        <w:pStyle w:val="FootnoteText"/>
        <w:jc w:val="left"/>
      </w:pPr>
      <w:r>
        <w:rPr>
          <w:rStyle w:val="FootnoteReference"/>
        </w:rPr>
        <w:footnoteRef/>
      </w:r>
      <w:r>
        <w:t xml:space="preserve"> </w:t>
      </w:r>
      <w:r>
        <w:rPr>
          <w:i/>
        </w:rPr>
        <w:t>Id.</w:t>
      </w:r>
      <w:r>
        <w:t xml:space="preserve"> at 7.</w:t>
      </w:r>
    </w:p>
  </w:footnote>
  <w:footnote w:id="32">
    <w:p w14:paraId="7E5E60B4" w14:textId="77777777" w:rsidR="00FA132A" w:rsidRPr="00F6007A" w:rsidRDefault="00FA132A" w:rsidP="006F6CCD">
      <w:pPr>
        <w:pStyle w:val="FootnoteText"/>
        <w:jc w:val="left"/>
      </w:pPr>
      <w:r>
        <w:rPr>
          <w:rStyle w:val="FootnoteReference"/>
        </w:rPr>
        <w:footnoteRef/>
      </w:r>
      <w:r>
        <w:t xml:space="preserve"> </w:t>
      </w:r>
      <w:r>
        <w:rPr>
          <w:i/>
        </w:rPr>
        <w:t>Id.</w:t>
      </w:r>
      <w:r>
        <w:t xml:space="preserve"> at 3.</w:t>
      </w:r>
    </w:p>
  </w:footnote>
  <w:footnote w:id="33">
    <w:p w14:paraId="05B0D780" w14:textId="77777777" w:rsidR="00FA132A" w:rsidRPr="00E15D98" w:rsidRDefault="00FA132A" w:rsidP="006F6CCD">
      <w:pPr>
        <w:pStyle w:val="FootnoteText"/>
        <w:jc w:val="left"/>
      </w:pPr>
      <w:r>
        <w:rPr>
          <w:rStyle w:val="FootnoteReference"/>
        </w:rPr>
        <w:footnoteRef/>
      </w:r>
      <w:r>
        <w:t xml:space="preserve"> </w:t>
      </w:r>
      <w:r>
        <w:rPr>
          <w:i/>
        </w:rPr>
        <w:t>Id.</w:t>
      </w:r>
      <w:r>
        <w:t xml:space="preserve"> at 7.</w:t>
      </w:r>
    </w:p>
  </w:footnote>
  <w:footnote w:id="34">
    <w:p w14:paraId="6C47F196" w14:textId="77777777" w:rsidR="00FA132A" w:rsidRPr="00D751E2" w:rsidRDefault="00FA132A" w:rsidP="006F6CCD">
      <w:pPr>
        <w:pStyle w:val="FootnoteText"/>
        <w:jc w:val="left"/>
      </w:pPr>
      <w:r>
        <w:rPr>
          <w:rStyle w:val="FootnoteReference"/>
        </w:rPr>
        <w:footnoteRef/>
      </w:r>
      <w:r>
        <w:t xml:space="preserve"> </w:t>
      </w:r>
      <w:r>
        <w:rPr>
          <w:i/>
        </w:rPr>
        <w:t>Id.</w:t>
      </w:r>
      <w:r>
        <w:t xml:space="preserve"> at 3-4.</w:t>
      </w:r>
    </w:p>
  </w:footnote>
  <w:footnote w:id="35">
    <w:p w14:paraId="1F0BE827" w14:textId="77777777" w:rsidR="00FA132A" w:rsidRPr="00D751E2" w:rsidRDefault="00FA132A" w:rsidP="006F6CCD">
      <w:pPr>
        <w:pStyle w:val="FootnoteText"/>
        <w:jc w:val="left"/>
      </w:pPr>
      <w:r>
        <w:rPr>
          <w:rStyle w:val="FootnoteReference"/>
        </w:rPr>
        <w:footnoteRef/>
      </w:r>
      <w:r>
        <w:t xml:space="preserve"> </w:t>
      </w:r>
      <w:r>
        <w:rPr>
          <w:i/>
        </w:rPr>
        <w:t xml:space="preserve">Id. </w:t>
      </w:r>
      <w:r>
        <w:t>at 4.</w:t>
      </w:r>
    </w:p>
  </w:footnote>
  <w:footnote w:id="36">
    <w:p w14:paraId="26D5DFEF" w14:textId="77777777" w:rsidR="00FA132A" w:rsidRPr="00D751E2" w:rsidRDefault="00FA132A" w:rsidP="006F6CCD">
      <w:pPr>
        <w:pStyle w:val="FootnoteText"/>
        <w:jc w:val="left"/>
      </w:pPr>
      <w:r>
        <w:rPr>
          <w:rStyle w:val="FootnoteReference"/>
        </w:rPr>
        <w:footnoteRef/>
      </w:r>
      <w:r>
        <w:t xml:space="preserve"> </w:t>
      </w:r>
      <w:r>
        <w:rPr>
          <w:i/>
        </w:rPr>
        <w:t>Id.</w:t>
      </w:r>
      <w:r>
        <w:t xml:space="preserve">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8017" w14:textId="77777777" w:rsidR="00C573F9" w:rsidRDefault="00C57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DCC5D" w14:textId="37159B30" w:rsidR="00FA132A" w:rsidRDefault="00FA132A">
    <w:pPr>
      <w:pStyle w:val="Header"/>
      <w:tabs>
        <w:tab w:val="clear" w:pos="4320"/>
        <w:tab w:val="clear" w:pos="8640"/>
        <w:tab w:val="center" w:pos="4680"/>
        <w:tab w:val="right" w:pos="9360"/>
      </w:tabs>
      <w:rPr>
        <w:b/>
      </w:rPr>
    </w:pPr>
    <w:r>
      <w:rPr>
        <w:b/>
      </w:rPr>
      <w:tab/>
      <w:t>Federal Communications Commission</w:t>
    </w:r>
    <w:r>
      <w:rPr>
        <w:b/>
      </w:rPr>
      <w:tab/>
      <w:t>DA 1</w:t>
    </w:r>
    <w:r w:rsidR="00BC6483">
      <w:rPr>
        <w:b/>
      </w:rPr>
      <w:t>5</w:t>
    </w:r>
    <w:r w:rsidR="00E93A10">
      <w:rPr>
        <w:b/>
      </w:rPr>
      <w:t>-1321</w:t>
    </w:r>
    <w:r>
      <w:rPr>
        <w:b/>
      </w:rPr>
      <w:t xml:space="preserve"> </w:t>
    </w:r>
  </w:p>
  <w:p w14:paraId="5AC5E4E0" w14:textId="77777777" w:rsidR="00FA132A" w:rsidRDefault="00FA132A">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B753733" wp14:editId="6AD38C52">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ED2E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HQ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j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CrVtHQ8gEAALQDAAAOAAAAAAAAAAAAAAAAAC4CAABkcnMvZTJvRG9j&#10;LnhtbFBLAQItABQABgAIAAAAIQDuKSiu2AAAAAQBAAAPAAAAAAAAAAAAAAAAAEwEAABkcnMvZG93&#10;bnJldi54bWxQSwUGAAAAAAQABADzAAAAUQUAAAAA&#10;" o:allowincell="f" strokeweight="1.5pt"/>
          </w:pict>
        </mc:Fallback>
      </mc:AlternateContent>
    </w:r>
  </w:p>
  <w:p w14:paraId="74EA3E16" w14:textId="77777777" w:rsidR="00FA132A" w:rsidRDefault="00FA1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D6F6" w14:textId="3BEB0445" w:rsidR="00FA132A" w:rsidRDefault="00FA132A">
    <w:pPr>
      <w:pStyle w:val="Header"/>
      <w:tabs>
        <w:tab w:val="clear" w:pos="4320"/>
        <w:tab w:val="clear" w:pos="8640"/>
        <w:tab w:val="center" w:pos="4680"/>
        <w:tab w:val="right" w:pos="9360"/>
      </w:tabs>
      <w:rPr>
        <w:b/>
      </w:rPr>
    </w:pPr>
    <w:r>
      <w:rPr>
        <w:b/>
      </w:rPr>
      <w:tab/>
      <w:t xml:space="preserve">Federal </w:t>
    </w:r>
    <w:r w:rsidR="00246898">
      <w:rPr>
        <w:b/>
      </w:rPr>
      <w:t>Communications Commission</w:t>
    </w:r>
    <w:r w:rsidR="00246898">
      <w:rPr>
        <w:b/>
      </w:rPr>
      <w:tab/>
      <w:t>DA 15</w:t>
    </w:r>
    <w:r w:rsidR="00E93A10">
      <w:rPr>
        <w:b/>
      </w:rPr>
      <w:t>-1321</w:t>
    </w:r>
    <w:r>
      <w:rPr>
        <w:b/>
      </w:rPr>
      <w:t xml:space="preserve"> </w:t>
    </w:r>
  </w:p>
  <w:p w14:paraId="54554387" w14:textId="77777777" w:rsidR="00FA132A" w:rsidRDefault="00FA132A">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0BB1C1A" wp14:editId="01A3BF53">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25E9D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DvqzNi8gEAALQDAAAOAAAAAAAAAAAAAAAAAC4CAABkcnMvZTJvRG9j&#10;LnhtbFBLAQItABQABgAIAAAAIQDuKSiu2AAAAAQBAAAPAAAAAAAAAAAAAAAAAEwEAABkcnMvZG93&#10;bnJldi54bWxQSwUGAAAAAAQABADzAAAAUQ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7E3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75"/>
    <w:rsid w:val="0000625B"/>
    <w:rsid w:val="000161F5"/>
    <w:rsid w:val="00026A66"/>
    <w:rsid w:val="000416D8"/>
    <w:rsid w:val="000432CB"/>
    <w:rsid w:val="00046780"/>
    <w:rsid w:val="00067047"/>
    <w:rsid w:val="000B6CC8"/>
    <w:rsid w:val="000D27C1"/>
    <w:rsid w:val="001133F1"/>
    <w:rsid w:val="001631B2"/>
    <w:rsid w:val="00186BCD"/>
    <w:rsid w:val="001C66BE"/>
    <w:rsid w:val="001D0E85"/>
    <w:rsid w:val="001E75FC"/>
    <w:rsid w:val="001F4849"/>
    <w:rsid w:val="001F5216"/>
    <w:rsid w:val="002331AA"/>
    <w:rsid w:val="00246898"/>
    <w:rsid w:val="00254475"/>
    <w:rsid w:val="00270489"/>
    <w:rsid w:val="0027635E"/>
    <w:rsid w:val="00276665"/>
    <w:rsid w:val="00290818"/>
    <w:rsid w:val="0029526E"/>
    <w:rsid w:val="002961BB"/>
    <w:rsid w:val="00297F66"/>
    <w:rsid w:val="002B61B6"/>
    <w:rsid w:val="002D151F"/>
    <w:rsid w:val="002E60E9"/>
    <w:rsid w:val="002F6908"/>
    <w:rsid w:val="003446DE"/>
    <w:rsid w:val="00367B95"/>
    <w:rsid w:val="00397170"/>
    <w:rsid w:val="003B1452"/>
    <w:rsid w:val="003D70AD"/>
    <w:rsid w:val="00407940"/>
    <w:rsid w:val="00407F0C"/>
    <w:rsid w:val="00420919"/>
    <w:rsid w:val="00440A7D"/>
    <w:rsid w:val="004468E5"/>
    <w:rsid w:val="00451210"/>
    <w:rsid w:val="004D474B"/>
    <w:rsid w:val="00551D0C"/>
    <w:rsid w:val="005541C7"/>
    <w:rsid w:val="00555687"/>
    <w:rsid w:val="005567C6"/>
    <w:rsid w:val="00577B12"/>
    <w:rsid w:val="005A3603"/>
    <w:rsid w:val="005F25CD"/>
    <w:rsid w:val="00625242"/>
    <w:rsid w:val="00641896"/>
    <w:rsid w:val="00674B2F"/>
    <w:rsid w:val="006944AA"/>
    <w:rsid w:val="006A3FEF"/>
    <w:rsid w:val="006A6B0F"/>
    <w:rsid w:val="006C280F"/>
    <w:rsid w:val="006D4EBC"/>
    <w:rsid w:val="006E0860"/>
    <w:rsid w:val="006F6CCD"/>
    <w:rsid w:val="0072273F"/>
    <w:rsid w:val="00730356"/>
    <w:rsid w:val="00743BF0"/>
    <w:rsid w:val="007530FF"/>
    <w:rsid w:val="00770CD7"/>
    <w:rsid w:val="00781828"/>
    <w:rsid w:val="00783606"/>
    <w:rsid w:val="007B5B26"/>
    <w:rsid w:val="007C3FCB"/>
    <w:rsid w:val="007F520D"/>
    <w:rsid w:val="008503C3"/>
    <w:rsid w:val="00861FBC"/>
    <w:rsid w:val="00876F57"/>
    <w:rsid w:val="00891275"/>
    <w:rsid w:val="00894361"/>
    <w:rsid w:val="008E603C"/>
    <w:rsid w:val="00947863"/>
    <w:rsid w:val="00985CB7"/>
    <w:rsid w:val="009C64CC"/>
    <w:rsid w:val="009E4E46"/>
    <w:rsid w:val="00A44A42"/>
    <w:rsid w:val="00A82339"/>
    <w:rsid w:val="00AB4214"/>
    <w:rsid w:val="00AC7E0E"/>
    <w:rsid w:val="00AD3EF4"/>
    <w:rsid w:val="00AF3B7E"/>
    <w:rsid w:val="00B26887"/>
    <w:rsid w:val="00B52C6E"/>
    <w:rsid w:val="00B92268"/>
    <w:rsid w:val="00B93751"/>
    <w:rsid w:val="00BC27C7"/>
    <w:rsid w:val="00BC5F57"/>
    <w:rsid w:val="00BC6483"/>
    <w:rsid w:val="00BD5182"/>
    <w:rsid w:val="00C35A00"/>
    <w:rsid w:val="00C51441"/>
    <w:rsid w:val="00C51F14"/>
    <w:rsid w:val="00C5626D"/>
    <w:rsid w:val="00C573F9"/>
    <w:rsid w:val="00C61BEA"/>
    <w:rsid w:val="00C71100"/>
    <w:rsid w:val="00C76264"/>
    <w:rsid w:val="00C8103E"/>
    <w:rsid w:val="00CC6909"/>
    <w:rsid w:val="00CC7BCC"/>
    <w:rsid w:val="00D14368"/>
    <w:rsid w:val="00D1487F"/>
    <w:rsid w:val="00D232CB"/>
    <w:rsid w:val="00D347BE"/>
    <w:rsid w:val="00D4180C"/>
    <w:rsid w:val="00D57E57"/>
    <w:rsid w:val="00D751E2"/>
    <w:rsid w:val="00DA074E"/>
    <w:rsid w:val="00DA4C8D"/>
    <w:rsid w:val="00DC7E56"/>
    <w:rsid w:val="00DE1634"/>
    <w:rsid w:val="00DE45C5"/>
    <w:rsid w:val="00DE5A7E"/>
    <w:rsid w:val="00DE70CB"/>
    <w:rsid w:val="00E15D98"/>
    <w:rsid w:val="00E17C5D"/>
    <w:rsid w:val="00E24486"/>
    <w:rsid w:val="00E42717"/>
    <w:rsid w:val="00E50756"/>
    <w:rsid w:val="00E77DBB"/>
    <w:rsid w:val="00E93A10"/>
    <w:rsid w:val="00E94157"/>
    <w:rsid w:val="00ED2D8E"/>
    <w:rsid w:val="00F066D7"/>
    <w:rsid w:val="00F2544A"/>
    <w:rsid w:val="00F37FB7"/>
    <w:rsid w:val="00F405A0"/>
    <w:rsid w:val="00F6007A"/>
    <w:rsid w:val="00F63757"/>
    <w:rsid w:val="00F7225F"/>
    <w:rsid w:val="00F803D3"/>
    <w:rsid w:val="00FA132A"/>
    <w:rsid w:val="00FA1831"/>
    <w:rsid w:val="00FB127F"/>
    <w:rsid w:val="00FE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95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730356"/>
    <w:rPr>
      <w:rFonts w:ascii="Tahoma" w:hAnsi="Tahoma" w:cs="Tahoma"/>
      <w:sz w:val="16"/>
      <w:szCs w:val="16"/>
    </w:rPr>
  </w:style>
  <w:style w:type="character" w:customStyle="1" w:styleId="BalloonTextChar">
    <w:name w:val="Balloon Text Char"/>
    <w:link w:val="BalloonText"/>
    <w:uiPriority w:val="99"/>
    <w:semiHidden/>
    <w:rsid w:val="00730356"/>
    <w:rPr>
      <w:rFonts w:ascii="Tahoma" w:hAnsi="Tahoma" w:cs="Tahoma"/>
      <w:sz w:val="16"/>
      <w:szCs w:val="16"/>
    </w:rPr>
  </w:style>
  <w:style w:type="character" w:styleId="CommentReference">
    <w:name w:val="annotation reference"/>
    <w:basedOn w:val="DefaultParagraphFont"/>
    <w:uiPriority w:val="99"/>
    <w:semiHidden/>
    <w:unhideWhenUsed/>
    <w:rsid w:val="009C64CC"/>
    <w:rPr>
      <w:sz w:val="18"/>
      <w:szCs w:val="18"/>
    </w:rPr>
  </w:style>
  <w:style w:type="paragraph" w:styleId="CommentText">
    <w:name w:val="annotation text"/>
    <w:basedOn w:val="Normal"/>
    <w:link w:val="CommentTextChar"/>
    <w:uiPriority w:val="99"/>
    <w:semiHidden/>
    <w:unhideWhenUsed/>
    <w:rsid w:val="009C64CC"/>
    <w:rPr>
      <w:sz w:val="24"/>
      <w:szCs w:val="24"/>
    </w:rPr>
  </w:style>
  <w:style w:type="character" w:customStyle="1" w:styleId="CommentTextChar">
    <w:name w:val="Comment Text Char"/>
    <w:basedOn w:val="DefaultParagraphFont"/>
    <w:link w:val="CommentText"/>
    <w:uiPriority w:val="99"/>
    <w:semiHidden/>
    <w:rsid w:val="009C64CC"/>
    <w:rPr>
      <w:sz w:val="24"/>
      <w:szCs w:val="24"/>
    </w:rPr>
  </w:style>
  <w:style w:type="paragraph" w:styleId="CommentSubject">
    <w:name w:val="annotation subject"/>
    <w:basedOn w:val="CommentText"/>
    <w:next w:val="CommentText"/>
    <w:link w:val="CommentSubjectChar"/>
    <w:uiPriority w:val="99"/>
    <w:semiHidden/>
    <w:unhideWhenUsed/>
    <w:rsid w:val="009C64CC"/>
    <w:rPr>
      <w:b/>
      <w:bCs/>
      <w:sz w:val="20"/>
      <w:szCs w:val="20"/>
    </w:rPr>
  </w:style>
  <w:style w:type="character" w:customStyle="1" w:styleId="CommentSubjectChar">
    <w:name w:val="Comment Subject Char"/>
    <w:basedOn w:val="CommentTextChar"/>
    <w:link w:val="CommentSubject"/>
    <w:uiPriority w:val="99"/>
    <w:semiHidden/>
    <w:rsid w:val="009C64C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730356"/>
    <w:rPr>
      <w:rFonts w:ascii="Tahoma" w:hAnsi="Tahoma" w:cs="Tahoma"/>
      <w:sz w:val="16"/>
      <w:szCs w:val="16"/>
    </w:rPr>
  </w:style>
  <w:style w:type="character" w:customStyle="1" w:styleId="BalloonTextChar">
    <w:name w:val="Balloon Text Char"/>
    <w:link w:val="BalloonText"/>
    <w:uiPriority w:val="99"/>
    <w:semiHidden/>
    <w:rsid w:val="00730356"/>
    <w:rPr>
      <w:rFonts w:ascii="Tahoma" w:hAnsi="Tahoma" w:cs="Tahoma"/>
      <w:sz w:val="16"/>
      <w:szCs w:val="16"/>
    </w:rPr>
  </w:style>
  <w:style w:type="character" w:styleId="CommentReference">
    <w:name w:val="annotation reference"/>
    <w:basedOn w:val="DefaultParagraphFont"/>
    <w:uiPriority w:val="99"/>
    <w:semiHidden/>
    <w:unhideWhenUsed/>
    <w:rsid w:val="009C64CC"/>
    <w:rPr>
      <w:sz w:val="18"/>
      <w:szCs w:val="18"/>
    </w:rPr>
  </w:style>
  <w:style w:type="paragraph" w:styleId="CommentText">
    <w:name w:val="annotation text"/>
    <w:basedOn w:val="Normal"/>
    <w:link w:val="CommentTextChar"/>
    <w:uiPriority w:val="99"/>
    <w:semiHidden/>
    <w:unhideWhenUsed/>
    <w:rsid w:val="009C64CC"/>
    <w:rPr>
      <w:sz w:val="24"/>
      <w:szCs w:val="24"/>
    </w:rPr>
  </w:style>
  <w:style w:type="character" w:customStyle="1" w:styleId="CommentTextChar">
    <w:name w:val="Comment Text Char"/>
    <w:basedOn w:val="DefaultParagraphFont"/>
    <w:link w:val="CommentText"/>
    <w:uiPriority w:val="99"/>
    <w:semiHidden/>
    <w:rsid w:val="009C64CC"/>
    <w:rPr>
      <w:sz w:val="24"/>
      <w:szCs w:val="24"/>
    </w:rPr>
  </w:style>
  <w:style w:type="paragraph" w:styleId="CommentSubject">
    <w:name w:val="annotation subject"/>
    <w:basedOn w:val="CommentText"/>
    <w:next w:val="CommentText"/>
    <w:link w:val="CommentSubjectChar"/>
    <w:uiPriority w:val="99"/>
    <w:semiHidden/>
    <w:unhideWhenUsed/>
    <w:rsid w:val="009C64CC"/>
    <w:rPr>
      <w:b/>
      <w:bCs/>
      <w:sz w:val="20"/>
      <w:szCs w:val="20"/>
    </w:rPr>
  </w:style>
  <w:style w:type="character" w:customStyle="1" w:styleId="CommentSubjectChar">
    <w:name w:val="Comment Subject Char"/>
    <w:basedOn w:val="CommentTextChar"/>
    <w:link w:val="CommentSubject"/>
    <w:uiPriority w:val="99"/>
    <w:semiHidden/>
    <w:rsid w:val="009C64C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1941</Words>
  <Characters>10572</Characters>
  <Application>Microsoft Office Word</Application>
  <DocSecurity>0</DocSecurity>
  <Lines>169</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2015-11-16T20:04:00Z</cp:lastPrinted>
  <dcterms:created xsi:type="dcterms:W3CDTF">2015-11-16T20:16:00Z</dcterms:created>
  <dcterms:modified xsi:type="dcterms:W3CDTF">2015-11-16T20:16:00Z</dcterms:modified>
  <cp:category> </cp:category>
  <cp:contentStatus> </cp:contentStatus>
</cp:coreProperties>
</file>