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B5" w:rsidRPr="00D77A78" w:rsidRDefault="00F65FB5" w:rsidP="00F65FB5">
      <w:pPr>
        <w:suppressAutoHyphens/>
        <w:ind w:left="7920"/>
        <w:jc w:val="right"/>
        <w:rPr>
          <w:b/>
          <w:szCs w:val="22"/>
        </w:rPr>
      </w:pPr>
      <w:bookmarkStart w:id="0" w:name="_GoBack"/>
      <w:bookmarkEnd w:id="0"/>
      <w:r w:rsidRPr="00D77A78">
        <w:rPr>
          <w:b/>
          <w:szCs w:val="22"/>
        </w:rPr>
        <w:t>DA 15-</w:t>
      </w:r>
      <w:r w:rsidR="00121A66">
        <w:rPr>
          <w:b/>
          <w:szCs w:val="22"/>
        </w:rPr>
        <w:t>1332</w:t>
      </w:r>
    </w:p>
    <w:p w:rsidR="00F65FB5" w:rsidRPr="00D77A78" w:rsidRDefault="00F65FB5" w:rsidP="00F65FB5">
      <w:pPr>
        <w:suppressAutoHyphens/>
        <w:spacing w:after="240"/>
        <w:ind w:left="720"/>
        <w:jc w:val="right"/>
        <w:rPr>
          <w:b/>
          <w:szCs w:val="22"/>
        </w:rPr>
      </w:pPr>
      <w:r w:rsidRPr="00D77A78">
        <w:rPr>
          <w:b/>
          <w:szCs w:val="22"/>
        </w:rPr>
        <w:t xml:space="preserve">Released:  </w:t>
      </w:r>
      <w:r w:rsidR="00274546">
        <w:rPr>
          <w:b/>
          <w:szCs w:val="22"/>
        </w:rPr>
        <w:t>November 19</w:t>
      </w:r>
      <w:r w:rsidRPr="00D77A78">
        <w:rPr>
          <w:b/>
          <w:szCs w:val="22"/>
        </w:rPr>
        <w:t>, 2015</w:t>
      </w:r>
    </w:p>
    <w:p w:rsidR="00F65FB5" w:rsidRDefault="00F65FB5" w:rsidP="00F65FB5">
      <w:pPr>
        <w:autoSpaceDE w:val="0"/>
        <w:autoSpaceDN w:val="0"/>
        <w:adjustRightInd w:val="0"/>
        <w:jc w:val="center"/>
        <w:rPr>
          <w:b/>
          <w:szCs w:val="22"/>
        </w:rPr>
      </w:pPr>
      <w:r w:rsidRPr="00D77A78">
        <w:rPr>
          <w:b/>
          <w:szCs w:val="22"/>
        </w:rPr>
        <w:t xml:space="preserve">APPLICATIONS FILED FOR THE TRANSFER OF CONTROL OF </w:t>
      </w:r>
    </w:p>
    <w:p w:rsidR="00F65FB5" w:rsidRDefault="00F65FB5" w:rsidP="00F65FB5">
      <w:pPr>
        <w:autoSpaceDE w:val="0"/>
        <w:autoSpaceDN w:val="0"/>
        <w:adjustRightInd w:val="0"/>
        <w:jc w:val="center"/>
        <w:rPr>
          <w:b/>
          <w:szCs w:val="22"/>
        </w:rPr>
      </w:pPr>
      <w:r>
        <w:rPr>
          <w:b/>
          <w:szCs w:val="22"/>
        </w:rPr>
        <w:t xml:space="preserve">THE INNOVATIVE COMPANIES TO ATLANTIC TELE-NETWORK, INC. </w:t>
      </w:r>
    </w:p>
    <w:p w:rsidR="00F65FB5" w:rsidRPr="00D77A78" w:rsidRDefault="00F65FB5" w:rsidP="00F65FB5">
      <w:pPr>
        <w:autoSpaceDE w:val="0"/>
        <w:autoSpaceDN w:val="0"/>
        <w:adjustRightInd w:val="0"/>
        <w:jc w:val="center"/>
        <w:rPr>
          <w:b/>
          <w:szCs w:val="22"/>
        </w:rPr>
      </w:pPr>
    </w:p>
    <w:p w:rsidR="00F65FB5" w:rsidRPr="00D77A78" w:rsidRDefault="00F65FB5" w:rsidP="00F65FB5">
      <w:pPr>
        <w:suppressAutoHyphens/>
        <w:spacing w:after="240"/>
        <w:jc w:val="center"/>
        <w:rPr>
          <w:b/>
          <w:caps/>
          <w:szCs w:val="22"/>
        </w:rPr>
      </w:pPr>
      <w:r>
        <w:rPr>
          <w:b/>
          <w:caps/>
          <w:szCs w:val="22"/>
        </w:rPr>
        <w:t xml:space="preserve"> </w:t>
      </w:r>
      <w:r w:rsidRPr="00D77A78">
        <w:rPr>
          <w:b/>
          <w:caps/>
          <w:szCs w:val="22"/>
        </w:rPr>
        <w:t>Pleading Cycle Established</w:t>
      </w:r>
    </w:p>
    <w:p w:rsidR="00F65FB5" w:rsidRPr="00D77A78" w:rsidRDefault="00F65FB5" w:rsidP="00F65FB5">
      <w:pPr>
        <w:suppressAutoHyphens/>
        <w:spacing w:after="240"/>
        <w:jc w:val="center"/>
        <w:rPr>
          <w:b/>
          <w:szCs w:val="22"/>
        </w:rPr>
      </w:pPr>
      <w:r w:rsidRPr="00D77A78">
        <w:rPr>
          <w:b/>
          <w:szCs w:val="22"/>
        </w:rPr>
        <w:t>WC Docket No. 15-</w:t>
      </w:r>
      <w:r>
        <w:rPr>
          <w:b/>
          <w:szCs w:val="22"/>
        </w:rPr>
        <w:t>264</w:t>
      </w:r>
    </w:p>
    <w:p w:rsidR="00F65FB5" w:rsidRPr="00D77A78" w:rsidRDefault="00F65FB5" w:rsidP="00F65FB5">
      <w:pPr>
        <w:suppressAutoHyphens/>
        <w:rPr>
          <w:b/>
          <w:szCs w:val="22"/>
        </w:rPr>
      </w:pPr>
      <w:r w:rsidRPr="00D77A78">
        <w:rPr>
          <w:b/>
          <w:szCs w:val="22"/>
        </w:rPr>
        <w:t xml:space="preserve">Comments/Petitions Due: </w:t>
      </w:r>
      <w:r>
        <w:rPr>
          <w:b/>
          <w:szCs w:val="22"/>
        </w:rPr>
        <w:t xml:space="preserve">  December</w:t>
      </w:r>
      <w:r w:rsidRPr="00D77A78">
        <w:rPr>
          <w:b/>
          <w:szCs w:val="22"/>
        </w:rPr>
        <w:t xml:space="preserve"> </w:t>
      </w:r>
      <w:r w:rsidR="00274546">
        <w:rPr>
          <w:b/>
          <w:szCs w:val="22"/>
        </w:rPr>
        <w:t>21</w:t>
      </w:r>
      <w:r w:rsidRPr="00D77A78">
        <w:rPr>
          <w:b/>
          <w:szCs w:val="22"/>
        </w:rPr>
        <w:t xml:space="preserve">, 2015 </w:t>
      </w:r>
    </w:p>
    <w:p w:rsidR="00F65FB5" w:rsidRPr="00D77A78" w:rsidRDefault="00F65FB5" w:rsidP="00F65FB5">
      <w:pPr>
        <w:suppressAutoHyphens/>
        <w:rPr>
          <w:b/>
          <w:szCs w:val="22"/>
        </w:rPr>
      </w:pPr>
      <w:r w:rsidRPr="00D77A78">
        <w:rPr>
          <w:b/>
          <w:szCs w:val="22"/>
        </w:rPr>
        <w:t xml:space="preserve">Reply Comments/Oppositions to Petitions Due:  </w:t>
      </w:r>
      <w:r w:rsidR="005C729E">
        <w:rPr>
          <w:b/>
          <w:szCs w:val="22"/>
        </w:rPr>
        <w:t xml:space="preserve">January </w:t>
      </w:r>
      <w:r w:rsidR="00FB46E6">
        <w:rPr>
          <w:b/>
          <w:szCs w:val="22"/>
        </w:rPr>
        <w:t>5</w:t>
      </w:r>
      <w:r w:rsidR="00274546">
        <w:rPr>
          <w:b/>
          <w:szCs w:val="22"/>
        </w:rPr>
        <w:t>, 2016</w:t>
      </w:r>
    </w:p>
    <w:p w:rsidR="00F65FB5" w:rsidRPr="00D77A78" w:rsidRDefault="00F65FB5" w:rsidP="00F65FB5">
      <w:pPr>
        <w:autoSpaceDE w:val="0"/>
        <w:autoSpaceDN w:val="0"/>
        <w:adjustRightInd w:val="0"/>
        <w:rPr>
          <w:rFonts w:ascii="Arial" w:hAnsi="Arial" w:cs="Arial"/>
          <w:szCs w:val="22"/>
        </w:rPr>
      </w:pPr>
    </w:p>
    <w:p w:rsidR="00F65FB5" w:rsidRDefault="00F65FB5" w:rsidP="00F65FB5">
      <w:pPr>
        <w:autoSpaceDE w:val="0"/>
        <w:autoSpaceDN w:val="0"/>
        <w:adjustRightInd w:val="0"/>
        <w:ind w:firstLine="720"/>
        <w:rPr>
          <w:szCs w:val="22"/>
        </w:rPr>
      </w:pPr>
      <w:r>
        <w:t xml:space="preserve">National Rural Utilities Cooperative Finance Corporation (CFC) and Atlantic Tele-Network, Inc. (ATN) </w:t>
      </w:r>
      <w:r w:rsidRPr="00056005">
        <w:t xml:space="preserve">filed a series of </w:t>
      </w:r>
      <w:r w:rsidRPr="00056005">
        <w:rPr>
          <w:szCs w:val="22"/>
        </w:rPr>
        <w:t>applications, pursuant to sections 214 and 310(d) of the Communications Act of 1934, as amended (Act), seeking approval to transfer control</w:t>
      </w:r>
      <w:r>
        <w:rPr>
          <w:szCs w:val="22"/>
        </w:rPr>
        <w:t xml:space="preserve"> of DTR Holdings, LLC (DTR), Vitelcom Cellular, Inc. d/b/a Innovative Wireless, Innovative Long Distance, Inc., Virgin Islands Telephone Corporation d/b/a Innovative Telephone, Caribbean Communications Corporation d/b/a Innovative Cable TV St. Thomas-St. John, and ICC TV, Inc. d/b/a CBS-TV2 (collectively Innovative Companies, together with CFC and ATN, Applicants) from CFC to ATN.</w:t>
      </w:r>
      <w:r w:rsidRPr="00056005">
        <w:rPr>
          <w:vertAlign w:val="superscript"/>
        </w:rPr>
        <w:footnoteReference w:id="2"/>
      </w:r>
      <w:r>
        <w:rPr>
          <w:szCs w:val="22"/>
        </w:rPr>
        <w:t xml:space="preserve">  </w:t>
      </w:r>
    </w:p>
    <w:p w:rsidR="00F65FB5" w:rsidRDefault="00F65FB5" w:rsidP="00F65FB5">
      <w:pPr>
        <w:autoSpaceDE w:val="0"/>
        <w:autoSpaceDN w:val="0"/>
        <w:adjustRightInd w:val="0"/>
        <w:ind w:firstLine="720"/>
        <w:rPr>
          <w:szCs w:val="22"/>
        </w:rPr>
      </w:pPr>
    </w:p>
    <w:p w:rsidR="00F65FB5" w:rsidRPr="00AC4BB3" w:rsidRDefault="00F65FB5" w:rsidP="00F65FB5">
      <w:pPr>
        <w:autoSpaceDE w:val="0"/>
        <w:autoSpaceDN w:val="0"/>
        <w:adjustRightInd w:val="0"/>
        <w:ind w:firstLine="720"/>
        <w:rPr>
          <w:szCs w:val="22"/>
        </w:rPr>
      </w:pPr>
      <w:r>
        <w:rPr>
          <w:szCs w:val="22"/>
        </w:rPr>
        <w:t>Applicants state that CFC owns and controls Caribbean Asset Holdings, LLC (CAH), which owns and controls DTR, which in turn owns and controls each of the Innovative Companies and their operating affiliates.</w:t>
      </w:r>
      <w:r w:rsidR="00FB46E6">
        <w:rPr>
          <w:szCs w:val="22"/>
        </w:rPr>
        <w:t xml:space="preserve"> </w:t>
      </w:r>
      <w:r>
        <w:rPr>
          <w:szCs w:val="22"/>
        </w:rPr>
        <w:t xml:space="preserve"> CFC, CAH, and DTR do not, themselves, provide telecommunications services.  All the Innovative Companies are U.S. based and provide incumbent local exchange, intrastate and interstate interexchange, international, commercial mobile radio, broadband, and cable TV services in the U.S. Virgin Islands.</w:t>
      </w:r>
      <w:r>
        <w:rPr>
          <w:rStyle w:val="FootnoteReference"/>
          <w:szCs w:val="22"/>
        </w:rPr>
        <w:footnoteReference w:id="3"/>
      </w:r>
      <w:r>
        <w:rPr>
          <w:szCs w:val="22"/>
        </w:rPr>
        <w:t xml:space="preserve">  </w:t>
      </w:r>
      <w:r w:rsidRPr="00AC4BB3">
        <w:rPr>
          <w:szCs w:val="22"/>
        </w:rPr>
        <w:t>Applicants state that CFC, a non-governmental cooperative financial institution that is owned by and provides financing to its members, acquired control of the Innovative Companies and their U</w:t>
      </w:r>
      <w:r>
        <w:rPr>
          <w:szCs w:val="22"/>
        </w:rPr>
        <w:t>.</w:t>
      </w:r>
      <w:r w:rsidRPr="00AC4BB3">
        <w:rPr>
          <w:szCs w:val="22"/>
        </w:rPr>
        <w:t>S</w:t>
      </w:r>
      <w:r>
        <w:rPr>
          <w:szCs w:val="22"/>
        </w:rPr>
        <w:t xml:space="preserve">. </w:t>
      </w:r>
      <w:r w:rsidRPr="00AC4BB3">
        <w:rPr>
          <w:szCs w:val="22"/>
        </w:rPr>
        <w:t>V</w:t>
      </w:r>
      <w:r>
        <w:rPr>
          <w:szCs w:val="22"/>
        </w:rPr>
        <w:t xml:space="preserve">irgin Islands </w:t>
      </w:r>
      <w:r w:rsidRPr="00AC4BB3">
        <w:rPr>
          <w:szCs w:val="22"/>
        </w:rPr>
        <w:t>operating affiliates in 2010 as part of a credit bid in bankruptcy court to satisfy, in part, the debts of the Innovative Companies’ bankrupt former paren</w:t>
      </w:r>
      <w:r>
        <w:rPr>
          <w:szCs w:val="22"/>
        </w:rPr>
        <w:t>t companies and ultimate owner.</w:t>
      </w:r>
      <w:r>
        <w:rPr>
          <w:rStyle w:val="FootnoteReference"/>
          <w:szCs w:val="22"/>
        </w:rPr>
        <w:footnoteReference w:id="4"/>
      </w:r>
      <w:r>
        <w:rPr>
          <w:szCs w:val="22"/>
        </w:rPr>
        <w:t xml:space="preserve"> </w:t>
      </w:r>
      <w:r w:rsidRPr="00AC4BB3">
        <w:rPr>
          <w:szCs w:val="22"/>
        </w:rPr>
        <w:t xml:space="preserve">  </w:t>
      </w:r>
    </w:p>
    <w:p w:rsidR="00F65FB5" w:rsidRDefault="00F65FB5" w:rsidP="00F65FB5">
      <w:pPr>
        <w:autoSpaceDE w:val="0"/>
        <w:autoSpaceDN w:val="0"/>
        <w:adjustRightInd w:val="0"/>
        <w:ind w:firstLine="720"/>
        <w:rPr>
          <w:szCs w:val="22"/>
        </w:rPr>
      </w:pPr>
    </w:p>
    <w:p w:rsidR="00F65FB5" w:rsidRDefault="00F65FB5" w:rsidP="00F65FB5">
      <w:pPr>
        <w:autoSpaceDE w:val="0"/>
        <w:autoSpaceDN w:val="0"/>
        <w:adjustRightInd w:val="0"/>
        <w:ind w:firstLine="720"/>
        <w:rPr>
          <w:szCs w:val="22"/>
        </w:rPr>
      </w:pPr>
      <w:r>
        <w:rPr>
          <w:szCs w:val="22"/>
        </w:rPr>
        <w:t xml:space="preserve">ATN, a publicly traded Delaware corporation, provides </w:t>
      </w:r>
      <w:r w:rsidR="004A034F">
        <w:rPr>
          <w:szCs w:val="22"/>
        </w:rPr>
        <w:t xml:space="preserve">mobile </w:t>
      </w:r>
      <w:r>
        <w:rPr>
          <w:szCs w:val="22"/>
        </w:rPr>
        <w:t xml:space="preserve">wireless services in the U.S. Virgin Islands through its subsidiary, Choice Communications, LLC.  Applicants state that ATN and its subsidiaries provide no other services in the U.S. Virgin Islands.  ATN’s other affiliates provide </w:t>
      </w:r>
      <w:r w:rsidR="004A034F">
        <w:rPr>
          <w:szCs w:val="22"/>
        </w:rPr>
        <w:t xml:space="preserve">mobile </w:t>
      </w:r>
      <w:r>
        <w:rPr>
          <w:szCs w:val="22"/>
        </w:rPr>
        <w:t xml:space="preserve">wireless services in Arizona, California, Colorado, Montana, Nebraska, Nevada, New Mexico, Texas, </w:t>
      </w:r>
      <w:r>
        <w:rPr>
          <w:szCs w:val="22"/>
        </w:rPr>
        <w:lastRenderedPageBreak/>
        <w:t>Utah, and Wyoming and competitive LEC services in New Hampshire, New York, and Vermont.</w:t>
      </w:r>
      <w:r>
        <w:rPr>
          <w:rStyle w:val="FootnoteReference"/>
          <w:szCs w:val="22"/>
        </w:rPr>
        <w:footnoteReference w:id="5"/>
      </w:r>
      <w:r>
        <w:rPr>
          <w:szCs w:val="22"/>
        </w:rPr>
        <w:t xml:space="preserve">  Applicants further state that Cornelius B. Prior, Jr., a U.S. citizen, owns approximately 28 percent of ATN’s shares and that ATN has no controlling owner.  ATN has no other ten percent or greater equity interest holders.</w:t>
      </w:r>
    </w:p>
    <w:p w:rsidR="00F65FB5" w:rsidRPr="00056005" w:rsidRDefault="00F65FB5" w:rsidP="00F65FB5">
      <w:pPr>
        <w:autoSpaceDE w:val="0"/>
        <w:autoSpaceDN w:val="0"/>
        <w:adjustRightInd w:val="0"/>
        <w:ind w:firstLine="720"/>
      </w:pPr>
    </w:p>
    <w:p w:rsidR="00F65FB5" w:rsidRPr="00056005" w:rsidRDefault="00F65FB5" w:rsidP="00F65FB5">
      <w:pPr>
        <w:ind w:firstLine="720"/>
        <w:rPr>
          <w:szCs w:val="22"/>
        </w:rPr>
      </w:pPr>
      <w:r>
        <w:rPr>
          <w:szCs w:val="22"/>
        </w:rPr>
        <w:t>ATN is the parent company of ATN VI Holdings, LLC (ATN Holdings), a Delaware limited liability company created to acquire CFC’s interest in CAH.  ATN owns all of ATN Holdings’ member interests.  Applicants state that ATN Holdings will acquire all of CFC’s member interests in CAH.  They explain that the proposed transaction is equity-based, rather than an assignment of assets.  They state that “ATN will pay CFC approximately $145 million, subject to potential adjustments, with $85 million payable in cash and the option for ATN to finance up to $60 million of the purchase price with a loan from CFC’s affiliate, Rural Telephone Finance Cooperative.”</w:t>
      </w:r>
      <w:r>
        <w:rPr>
          <w:rStyle w:val="FootnoteReference"/>
          <w:szCs w:val="22"/>
        </w:rPr>
        <w:footnoteReference w:id="6"/>
      </w:r>
      <w:r>
        <w:rPr>
          <w:szCs w:val="22"/>
        </w:rPr>
        <w:t xml:space="preserve">   </w:t>
      </w:r>
      <w:r w:rsidRPr="00056005">
        <w:rPr>
          <w:szCs w:val="22"/>
        </w:rPr>
        <w:t xml:space="preserve">  </w:t>
      </w:r>
    </w:p>
    <w:p w:rsidR="00F65FB5" w:rsidRPr="00056005" w:rsidRDefault="00F65FB5" w:rsidP="00F65FB5">
      <w:pPr>
        <w:autoSpaceDE w:val="0"/>
        <w:autoSpaceDN w:val="0"/>
        <w:adjustRightInd w:val="0"/>
        <w:ind w:firstLine="720"/>
        <w:rPr>
          <w:szCs w:val="24"/>
        </w:rPr>
      </w:pPr>
      <w:r w:rsidRPr="00056005">
        <w:rPr>
          <w:szCs w:val="22"/>
        </w:rPr>
        <w:t xml:space="preserve">  </w:t>
      </w:r>
    </w:p>
    <w:p w:rsidR="00F65FB5" w:rsidRPr="00056005" w:rsidRDefault="00F65FB5" w:rsidP="00F65FB5">
      <w:pPr>
        <w:autoSpaceDE w:val="0"/>
        <w:autoSpaceDN w:val="0"/>
        <w:adjustRightInd w:val="0"/>
        <w:rPr>
          <w:szCs w:val="22"/>
        </w:rPr>
      </w:pPr>
      <w:r w:rsidRPr="00056005">
        <w:rPr>
          <w:szCs w:val="22"/>
        </w:rPr>
        <w:tab/>
        <w:t xml:space="preserve">Applicants assert that grant of the </w:t>
      </w:r>
      <w:r>
        <w:rPr>
          <w:szCs w:val="22"/>
        </w:rPr>
        <w:t>a</w:t>
      </w:r>
      <w:r w:rsidRPr="00056005">
        <w:rPr>
          <w:szCs w:val="22"/>
        </w:rPr>
        <w:t>pplications will serve the public interest, convenience, and necessity</w:t>
      </w:r>
      <w:r>
        <w:rPr>
          <w:szCs w:val="22"/>
        </w:rPr>
        <w:t>.  They state that ATN is an experienced telecommunications provider, including in rural and underserved areas, and is financially well-qualified to serve the U.S. Virgin Islands.</w:t>
      </w:r>
      <w:r>
        <w:rPr>
          <w:rStyle w:val="FootnoteReference"/>
          <w:szCs w:val="22"/>
        </w:rPr>
        <w:footnoteReference w:id="7"/>
      </w:r>
      <w:r>
        <w:rPr>
          <w:szCs w:val="22"/>
        </w:rPr>
        <w:t xml:space="preserve">  They further state that ATN, which will have greater purchasing power and economies of scale after consummation of the transaction, will improve broadband coverage in the U.S. Virgin Islands by combining high-speed broadband offered by the Innovative Companies’ network with ATN’s mobile Long Term Evolution (LTE) services that it will deploy post-closing.</w:t>
      </w:r>
      <w:r>
        <w:rPr>
          <w:rStyle w:val="FootnoteReference"/>
          <w:szCs w:val="22"/>
        </w:rPr>
        <w:footnoteReference w:id="8"/>
      </w:r>
      <w:r>
        <w:rPr>
          <w:szCs w:val="22"/>
        </w:rPr>
        <w:t xml:space="preserve">  They affirm that ATN will build upon CFC’s existing efforts to minimize service disruptions due to hurricanes and other natural disasters.</w:t>
      </w:r>
      <w:r>
        <w:rPr>
          <w:rStyle w:val="FootnoteReference"/>
          <w:szCs w:val="22"/>
        </w:rPr>
        <w:footnoteReference w:id="9"/>
      </w:r>
      <w:r>
        <w:rPr>
          <w:szCs w:val="22"/>
        </w:rPr>
        <w:t xml:space="preserve">  According to Applicants, the proposed transaction will enhance competition in the mobile voice and data market by making ATN a more viable competitor to the larger companies serving the U.S. Virgin Islands.</w:t>
      </w:r>
      <w:r>
        <w:rPr>
          <w:rStyle w:val="FootnoteReference"/>
          <w:szCs w:val="22"/>
        </w:rPr>
        <w:footnoteReference w:id="10"/>
      </w:r>
      <w:r w:rsidR="00C00091">
        <w:rPr>
          <w:szCs w:val="22"/>
        </w:rPr>
        <w:t xml:space="preserve">  Finally, A</w:t>
      </w:r>
      <w:r>
        <w:rPr>
          <w:szCs w:val="22"/>
        </w:rPr>
        <w:t>pplicants maintain that the transaction will not impede competition in the local exchange, interexchange, wireline broadband, fixed wireless broadband, and Multichannel Video Programming Distribution (MPVD) markets.</w:t>
      </w:r>
      <w:r>
        <w:rPr>
          <w:rStyle w:val="FootnoteReference"/>
          <w:szCs w:val="22"/>
        </w:rPr>
        <w:footnoteReference w:id="11"/>
      </w:r>
      <w:r>
        <w:rPr>
          <w:szCs w:val="22"/>
        </w:rPr>
        <w:t xml:space="preserve">   </w:t>
      </w:r>
      <w:r w:rsidRPr="00056005">
        <w:rPr>
          <w:szCs w:val="22"/>
        </w:rPr>
        <w:t xml:space="preserve">  </w:t>
      </w:r>
    </w:p>
    <w:p w:rsidR="00F65FB5" w:rsidRDefault="00F65FB5" w:rsidP="00F65FB5">
      <w:pPr>
        <w:spacing w:after="240"/>
        <w:ind w:firstLine="720"/>
        <w:rPr>
          <w:szCs w:val="22"/>
        </w:rPr>
      </w:pPr>
    </w:p>
    <w:p w:rsidR="00F65FB5" w:rsidRDefault="00F65FB5" w:rsidP="00F65FB5">
      <w:pPr>
        <w:spacing w:after="240"/>
        <w:ind w:firstLine="720"/>
        <w:rPr>
          <w:szCs w:val="22"/>
        </w:rPr>
      </w:pPr>
    </w:p>
    <w:p w:rsidR="00F65FB5" w:rsidRDefault="00F65FB5" w:rsidP="00F65FB5">
      <w:pPr>
        <w:spacing w:after="240"/>
        <w:ind w:firstLine="720"/>
        <w:rPr>
          <w:szCs w:val="22"/>
        </w:rPr>
      </w:pPr>
    </w:p>
    <w:p w:rsidR="00F65FB5" w:rsidRDefault="00F65FB5" w:rsidP="00F65FB5">
      <w:pPr>
        <w:spacing w:after="240"/>
        <w:ind w:firstLine="720"/>
        <w:rPr>
          <w:szCs w:val="22"/>
        </w:rPr>
      </w:pPr>
    </w:p>
    <w:p w:rsidR="00F65FB5" w:rsidRDefault="00F65FB5" w:rsidP="00F65FB5">
      <w:pPr>
        <w:spacing w:after="240"/>
        <w:ind w:firstLine="720"/>
        <w:rPr>
          <w:szCs w:val="22"/>
        </w:rPr>
      </w:pPr>
    </w:p>
    <w:p w:rsidR="00F65FB5" w:rsidRPr="00D77A78" w:rsidRDefault="00F65FB5" w:rsidP="00F65FB5">
      <w:pPr>
        <w:keepNext/>
        <w:rPr>
          <w:color w:val="000000"/>
          <w:szCs w:val="22"/>
        </w:rPr>
      </w:pPr>
      <w:r w:rsidRPr="00D77A78">
        <w:rPr>
          <w:b/>
          <w:color w:val="000000"/>
          <w:szCs w:val="22"/>
        </w:rPr>
        <w:lastRenderedPageBreak/>
        <w:t>SECTION 214 AUTHORIZATIONS</w:t>
      </w:r>
    </w:p>
    <w:p w:rsidR="00F65FB5" w:rsidRPr="00D77A78" w:rsidRDefault="00F65FB5" w:rsidP="00F65FB5">
      <w:pPr>
        <w:keepNext/>
        <w:rPr>
          <w:color w:val="000000"/>
          <w:szCs w:val="22"/>
        </w:rPr>
      </w:pPr>
    </w:p>
    <w:p w:rsidR="00F65FB5" w:rsidRPr="00D77A78" w:rsidRDefault="00F65FB5" w:rsidP="00F65FB5">
      <w:pPr>
        <w:keepNext/>
        <w:ind w:firstLine="720"/>
        <w:rPr>
          <w:b/>
          <w:color w:val="000000"/>
          <w:szCs w:val="22"/>
        </w:rPr>
      </w:pPr>
      <w:r w:rsidRPr="00D77A78">
        <w:rPr>
          <w:b/>
          <w:color w:val="000000"/>
          <w:szCs w:val="22"/>
        </w:rPr>
        <w:t>A.</w:t>
      </w:r>
      <w:r w:rsidRPr="00D77A78">
        <w:rPr>
          <w:b/>
          <w:color w:val="000000"/>
          <w:szCs w:val="22"/>
        </w:rPr>
        <w:tab/>
        <w:t>International</w:t>
      </w:r>
    </w:p>
    <w:p w:rsidR="00F65FB5" w:rsidRPr="00D77A78" w:rsidRDefault="00F65FB5" w:rsidP="00F65FB5">
      <w:pPr>
        <w:keepNext/>
        <w:rPr>
          <w:color w:val="000000"/>
          <w:szCs w:val="22"/>
        </w:rPr>
      </w:pPr>
    </w:p>
    <w:p w:rsidR="00F65FB5" w:rsidRPr="00D77A78" w:rsidRDefault="00F65FB5" w:rsidP="00F65FB5">
      <w:pPr>
        <w:spacing w:after="240"/>
        <w:ind w:firstLine="720"/>
        <w:rPr>
          <w:color w:val="000000"/>
          <w:szCs w:val="22"/>
        </w:rPr>
      </w:pPr>
      <w:r w:rsidRPr="00D77A78">
        <w:rPr>
          <w:color w:val="000000"/>
          <w:szCs w:val="22"/>
        </w:rPr>
        <w:t>The application</w:t>
      </w:r>
      <w:r>
        <w:rPr>
          <w:color w:val="000000"/>
          <w:szCs w:val="22"/>
        </w:rPr>
        <w:t>s</w:t>
      </w:r>
      <w:r w:rsidRPr="00D77A78">
        <w:rPr>
          <w:color w:val="000000"/>
          <w:szCs w:val="22"/>
        </w:rPr>
        <w:t xml:space="preserve"> for consent to the transfer of control of certain international section 214 authorizations from </w:t>
      </w:r>
      <w:r>
        <w:rPr>
          <w:color w:val="000000"/>
          <w:szCs w:val="22"/>
        </w:rPr>
        <w:t>CFC to ATN</w:t>
      </w:r>
      <w:r w:rsidRPr="00D77A78">
        <w:rPr>
          <w:color w:val="000000"/>
          <w:szCs w:val="22"/>
        </w:rPr>
        <w:t xml:space="preserve"> ha</w:t>
      </w:r>
      <w:r>
        <w:rPr>
          <w:color w:val="000000"/>
          <w:szCs w:val="22"/>
        </w:rPr>
        <w:t xml:space="preserve">ve </w:t>
      </w:r>
      <w:r w:rsidRPr="00D77A78">
        <w:rPr>
          <w:color w:val="000000"/>
          <w:szCs w:val="22"/>
        </w:rPr>
        <w:t>been assigned the file numbers listed below.</w:t>
      </w:r>
    </w:p>
    <w:tbl>
      <w:tblPr>
        <w:tblW w:w="9738" w:type="dxa"/>
        <w:tblLook w:val="01E0" w:firstRow="1" w:lastRow="1" w:firstColumn="1" w:lastColumn="1" w:noHBand="0" w:noVBand="0"/>
      </w:tblPr>
      <w:tblGrid>
        <w:gridCol w:w="2880"/>
        <w:gridCol w:w="3888"/>
        <w:gridCol w:w="2970"/>
      </w:tblGrid>
      <w:tr w:rsidR="00F65FB5" w:rsidRPr="00D77A78" w:rsidTr="002F6730">
        <w:tc>
          <w:tcPr>
            <w:tcW w:w="2880" w:type="dxa"/>
          </w:tcPr>
          <w:p w:rsidR="00F65FB5" w:rsidRPr="00D77A78" w:rsidRDefault="00F65FB5" w:rsidP="002F6730">
            <w:pPr>
              <w:rPr>
                <w:b/>
                <w:color w:val="000000"/>
                <w:szCs w:val="22"/>
              </w:rPr>
            </w:pPr>
            <w:r w:rsidRPr="00D77A78">
              <w:rPr>
                <w:b/>
                <w:color w:val="000000"/>
                <w:szCs w:val="22"/>
                <w:u w:val="single"/>
              </w:rPr>
              <w:t>File Number</w:t>
            </w:r>
          </w:p>
        </w:tc>
        <w:tc>
          <w:tcPr>
            <w:tcW w:w="3888" w:type="dxa"/>
          </w:tcPr>
          <w:p w:rsidR="00F65FB5" w:rsidRPr="00D77A78" w:rsidRDefault="00F65FB5" w:rsidP="002F6730">
            <w:pPr>
              <w:rPr>
                <w:b/>
                <w:color w:val="000000"/>
                <w:szCs w:val="22"/>
              </w:rPr>
            </w:pPr>
            <w:r w:rsidRPr="00D77A78">
              <w:rPr>
                <w:b/>
                <w:color w:val="000000"/>
                <w:szCs w:val="22"/>
                <w:u w:val="single"/>
              </w:rPr>
              <w:t>Authorization Holder</w:t>
            </w:r>
          </w:p>
        </w:tc>
        <w:tc>
          <w:tcPr>
            <w:tcW w:w="2970" w:type="dxa"/>
          </w:tcPr>
          <w:p w:rsidR="00F65FB5" w:rsidRPr="00D77A78" w:rsidRDefault="00F65FB5" w:rsidP="002F6730">
            <w:pPr>
              <w:rPr>
                <w:b/>
                <w:color w:val="000000"/>
                <w:szCs w:val="22"/>
                <w:u w:val="single"/>
              </w:rPr>
            </w:pPr>
            <w:r w:rsidRPr="00D77A78">
              <w:rPr>
                <w:b/>
                <w:color w:val="000000"/>
                <w:szCs w:val="22"/>
                <w:u w:val="single"/>
              </w:rPr>
              <w:t>Authorization Number</w:t>
            </w:r>
          </w:p>
          <w:p w:rsidR="00F65FB5" w:rsidRPr="00D77A78" w:rsidRDefault="00F65FB5" w:rsidP="002F6730">
            <w:pPr>
              <w:rPr>
                <w:b/>
                <w:color w:val="000000"/>
                <w:szCs w:val="22"/>
                <w:u w:val="single"/>
              </w:rPr>
            </w:pPr>
          </w:p>
        </w:tc>
      </w:tr>
      <w:tr w:rsidR="00F65FB5" w:rsidRPr="00D77A78" w:rsidTr="002F6730">
        <w:tc>
          <w:tcPr>
            <w:tcW w:w="2880" w:type="dxa"/>
          </w:tcPr>
          <w:p w:rsidR="00F65FB5" w:rsidRDefault="00F65FB5" w:rsidP="002F6730">
            <w:pPr>
              <w:rPr>
                <w:color w:val="000000"/>
                <w:szCs w:val="22"/>
              </w:rPr>
            </w:pPr>
            <w:r>
              <w:rPr>
                <w:color w:val="000000"/>
                <w:szCs w:val="22"/>
              </w:rPr>
              <w:t>ITC-T/C-20151030-00254</w:t>
            </w:r>
          </w:p>
          <w:p w:rsidR="00F65FB5" w:rsidRDefault="00F65FB5" w:rsidP="002F6730">
            <w:pPr>
              <w:rPr>
                <w:color w:val="000000"/>
                <w:szCs w:val="22"/>
              </w:rPr>
            </w:pPr>
          </w:p>
          <w:p w:rsidR="00F65FB5" w:rsidRPr="00D77A78" w:rsidRDefault="00F65FB5" w:rsidP="002F6730">
            <w:pPr>
              <w:rPr>
                <w:color w:val="000000"/>
                <w:szCs w:val="22"/>
              </w:rPr>
            </w:pPr>
            <w:r>
              <w:rPr>
                <w:color w:val="000000"/>
                <w:szCs w:val="22"/>
              </w:rPr>
              <w:t>ITC-T/C-20151030-00255</w:t>
            </w:r>
          </w:p>
        </w:tc>
        <w:tc>
          <w:tcPr>
            <w:tcW w:w="3888" w:type="dxa"/>
          </w:tcPr>
          <w:p w:rsidR="00F65FB5" w:rsidRDefault="00F65FB5" w:rsidP="002F6730">
            <w:pPr>
              <w:rPr>
                <w:szCs w:val="22"/>
              </w:rPr>
            </w:pPr>
            <w:r>
              <w:rPr>
                <w:szCs w:val="22"/>
              </w:rPr>
              <w:t>DTR Holdings LLC</w:t>
            </w:r>
          </w:p>
          <w:p w:rsidR="00F65FB5" w:rsidRDefault="00F65FB5" w:rsidP="002F6730">
            <w:pPr>
              <w:rPr>
                <w:szCs w:val="22"/>
              </w:rPr>
            </w:pPr>
          </w:p>
          <w:p w:rsidR="00F65FB5" w:rsidRPr="00060D6A" w:rsidRDefault="00F65FB5" w:rsidP="002F6730">
            <w:pPr>
              <w:rPr>
                <w:szCs w:val="22"/>
              </w:rPr>
            </w:pPr>
            <w:r>
              <w:rPr>
                <w:szCs w:val="22"/>
              </w:rPr>
              <w:t>Vitelcom Cellular, Inc. d/b/a Innovative Wireless</w:t>
            </w:r>
          </w:p>
        </w:tc>
        <w:tc>
          <w:tcPr>
            <w:tcW w:w="2970" w:type="dxa"/>
          </w:tcPr>
          <w:p w:rsidR="00F65FB5" w:rsidRDefault="00F65FB5" w:rsidP="002F6730">
            <w:pPr>
              <w:rPr>
                <w:szCs w:val="22"/>
              </w:rPr>
            </w:pPr>
            <w:r>
              <w:rPr>
                <w:szCs w:val="22"/>
              </w:rPr>
              <w:t>ITC-214-19990330-00206</w:t>
            </w:r>
            <w:r>
              <w:rPr>
                <w:rStyle w:val="FootnoteReference"/>
                <w:szCs w:val="22"/>
              </w:rPr>
              <w:footnoteReference w:id="12"/>
            </w:r>
          </w:p>
          <w:p w:rsidR="00F65FB5" w:rsidRDefault="00F65FB5" w:rsidP="002F6730">
            <w:pPr>
              <w:rPr>
                <w:szCs w:val="22"/>
              </w:rPr>
            </w:pPr>
          </w:p>
          <w:p w:rsidR="00F65FB5" w:rsidRDefault="00F65FB5" w:rsidP="002F6730">
            <w:pPr>
              <w:rPr>
                <w:szCs w:val="22"/>
              </w:rPr>
            </w:pPr>
            <w:r>
              <w:rPr>
                <w:szCs w:val="22"/>
              </w:rPr>
              <w:t>ITC-214-19930312-00048</w:t>
            </w:r>
          </w:p>
          <w:p w:rsidR="00F65FB5" w:rsidRDefault="00F65FB5" w:rsidP="002F6730">
            <w:pPr>
              <w:rPr>
                <w:szCs w:val="22"/>
              </w:rPr>
            </w:pPr>
            <w:r>
              <w:rPr>
                <w:szCs w:val="22"/>
              </w:rPr>
              <w:t>ITC-214-19990330-00207</w:t>
            </w:r>
          </w:p>
          <w:p w:rsidR="00F65FB5" w:rsidRPr="00060D6A" w:rsidRDefault="00F65FB5" w:rsidP="002F6730">
            <w:pPr>
              <w:rPr>
                <w:szCs w:val="22"/>
              </w:rPr>
            </w:pPr>
          </w:p>
        </w:tc>
      </w:tr>
    </w:tbl>
    <w:p w:rsidR="00F65FB5" w:rsidRPr="00D77A78" w:rsidRDefault="00F65FB5" w:rsidP="00F65FB5">
      <w:pPr>
        <w:keepNext/>
        <w:ind w:firstLine="720"/>
        <w:rPr>
          <w:b/>
          <w:color w:val="000000"/>
          <w:szCs w:val="22"/>
        </w:rPr>
      </w:pPr>
      <w:r w:rsidRPr="00D77A78">
        <w:rPr>
          <w:b/>
          <w:color w:val="000000"/>
          <w:szCs w:val="22"/>
        </w:rPr>
        <w:t>B.</w:t>
      </w:r>
      <w:r w:rsidRPr="00D77A78">
        <w:rPr>
          <w:b/>
          <w:color w:val="000000"/>
          <w:szCs w:val="22"/>
        </w:rPr>
        <w:tab/>
        <w:t>Domestic</w:t>
      </w:r>
    </w:p>
    <w:p w:rsidR="00F65FB5" w:rsidRPr="00D77A78" w:rsidRDefault="00F65FB5" w:rsidP="00F65FB5">
      <w:pPr>
        <w:keepNext/>
        <w:rPr>
          <w:color w:val="000000"/>
          <w:szCs w:val="22"/>
        </w:rPr>
      </w:pPr>
    </w:p>
    <w:p w:rsidR="00F65FB5" w:rsidRPr="00D77A78" w:rsidRDefault="00F65FB5" w:rsidP="00F65FB5">
      <w:pPr>
        <w:ind w:firstLine="720"/>
        <w:rPr>
          <w:szCs w:val="22"/>
        </w:rPr>
      </w:pPr>
      <w:r w:rsidRPr="00D77A78">
        <w:rPr>
          <w:color w:val="000000"/>
          <w:szCs w:val="22"/>
        </w:rPr>
        <w:t>The Applicants filed an application to transfer control of domestic section 214 authority in connection with the proposed transaction.  In light of the multiple applications pending before the Commission with respect to this transaction and the public interest review associated with them, the domestic transfer of control application is not subject to streamlined treatment.</w:t>
      </w:r>
      <w:r w:rsidRPr="00D77A78">
        <w:rPr>
          <w:rStyle w:val="FootnoteReference"/>
          <w:color w:val="000000"/>
          <w:szCs w:val="22"/>
        </w:rPr>
        <w:footnoteReference w:id="13"/>
      </w:r>
      <w:bookmarkStart w:id="1" w:name="sp_999_4"/>
      <w:bookmarkStart w:id="2" w:name="SDU_4"/>
      <w:bookmarkStart w:id="3" w:name="citeas((Cite_as:_26_F.C.C.R._13372,_*133"/>
      <w:bookmarkEnd w:id="1"/>
      <w:bookmarkEnd w:id="2"/>
      <w:bookmarkEnd w:id="3"/>
    </w:p>
    <w:tbl>
      <w:tblPr>
        <w:tblW w:w="9744" w:type="dxa"/>
        <w:tblLook w:val="01E0" w:firstRow="1" w:lastRow="1" w:firstColumn="1" w:lastColumn="1" w:noHBand="0" w:noVBand="0"/>
      </w:tblPr>
      <w:tblGrid>
        <w:gridCol w:w="2882"/>
        <w:gridCol w:w="3890"/>
        <w:gridCol w:w="2972"/>
      </w:tblGrid>
      <w:tr w:rsidR="00F65FB5" w:rsidRPr="00D77A78" w:rsidTr="002F6730">
        <w:trPr>
          <w:trHeight w:val="297"/>
        </w:trPr>
        <w:tc>
          <w:tcPr>
            <w:tcW w:w="2882" w:type="dxa"/>
          </w:tcPr>
          <w:p w:rsidR="00F65FB5" w:rsidRPr="00D77A78" w:rsidRDefault="00F65FB5" w:rsidP="002F6730">
            <w:pPr>
              <w:rPr>
                <w:color w:val="000000"/>
                <w:szCs w:val="22"/>
              </w:rPr>
            </w:pPr>
          </w:p>
        </w:tc>
        <w:tc>
          <w:tcPr>
            <w:tcW w:w="3890" w:type="dxa"/>
          </w:tcPr>
          <w:p w:rsidR="00F65FB5" w:rsidRPr="00D77A78" w:rsidRDefault="00F65FB5" w:rsidP="002F6730">
            <w:pPr>
              <w:rPr>
                <w:color w:val="000000"/>
                <w:szCs w:val="22"/>
              </w:rPr>
            </w:pPr>
          </w:p>
        </w:tc>
        <w:tc>
          <w:tcPr>
            <w:tcW w:w="2972" w:type="dxa"/>
          </w:tcPr>
          <w:p w:rsidR="00F65FB5" w:rsidRPr="00D77A78" w:rsidRDefault="00F65FB5" w:rsidP="002F6730">
            <w:pPr>
              <w:rPr>
                <w:color w:val="000000"/>
                <w:szCs w:val="22"/>
              </w:rPr>
            </w:pPr>
          </w:p>
        </w:tc>
      </w:tr>
    </w:tbl>
    <w:p w:rsidR="00F65FB5" w:rsidRPr="00D77A78" w:rsidRDefault="00F65FB5" w:rsidP="00F65FB5">
      <w:pPr>
        <w:keepNext/>
        <w:rPr>
          <w:b/>
          <w:color w:val="000000"/>
          <w:szCs w:val="22"/>
        </w:rPr>
      </w:pPr>
      <w:r w:rsidRPr="00D77A78">
        <w:rPr>
          <w:b/>
          <w:color w:val="000000"/>
          <w:szCs w:val="22"/>
        </w:rPr>
        <w:t>SECTION 310(d) APPLICATIONS</w:t>
      </w:r>
    </w:p>
    <w:p w:rsidR="00F65FB5" w:rsidRPr="00D77A78" w:rsidRDefault="00F65FB5" w:rsidP="00F65FB5">
      <w:pPr>
        <w:keepNext/>
        <w:rPr>
          <w:color w:val="000000"/>
          <w:szCs w:val="22"/>
        </w:rPr>
      </w:pPr>
    </w:p>
    <w:p w:rsidR="00F65FB5" w:rsidRPr="00D77A78" w:rsidRDefault="00F65FB5" w:rsidP="00F65FB5">
      <w:pPr>
        <w:spacing w:after="240"/>
        <w:ind w:firstLine="720"/>
        <w:rPr>
          <w:color w:val="000000"/>
          <w:szCs w:val="22"/>
        </w:rPr>
      </w:pPr>
      <w:r w:rsidRPr="00D77A78">
        <w:rPr>
          <w:color w:val="000000"/>
          <w:szCs w:val="22"/>
        </w:rPr>
        <w:t>The applications for consent to the transfer of control of a license under section 310(d) have been assigned the file numbers listed below.</w:t>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r w:rsidRPr="00D77A78">
        <w:rPr>
          <w:color w:val="000000"/>
          <w:szCs w:val="22"/>
        </w:rPr>
        <w:tab/>
      </w:r>
    </w:p>
    <w:p w:rsidR="00F65FB5" w:rsidRPr="00D77A78" w:rsidRDefault="00F65FB5" w:rsidP="00F65FB5">
      <w:pPr>
        <w:widowControl/>
        <w:numPr>
          <w:ilvl w:val="0"/>
          <w:numId w:val="9"/>
        </w:numPr>
        <w:spacing w:after="240"/>
        <w:rPr>
          <w:b/>
          <w:color w:val="000000"/>
          <w:szCs w:val="22"/>
        </w:rPr>
      </w:pPr>
      <w:r w:rsidRPr="00D77A78">
        <w:rPr>
          <w:b/>
          <w:color w:val="000000"/>
          <w:szCs w:val="22"/>
        </w:rPr>
        <w:t>Wireless Authorizations</w:t>
      </w:r>
    </w:p>
    <w:tbl>
      <w:tblPr>
        <w:tblW w:w="0" w:type="auto"/>
        <w:tblInd w:w="93" w:type="dxa"/>
        <w:tblLayout w:type="fixed"/>
        <w:tblLook w:val="04A0" w:firstRow="1" w:lastRow="0" w:firstColumn="1" w:lastColumn="0" w:noHBand="0" w:noVBand="1"/>
      </w:tblPr>
      <w:tblGrid>
        <w:gridCol w:w="1995"/>
        <w:gridCol w:w="4680"/>
        <w:gridCol w:w="360"/>
        <w:gridCol w:w="1995"/>
        <w:gridCol w:w="360"/>
      </w:tblGrid>
      <w:tr w:rsidR="00F65FB5" w:rsidRPr="00D77A78" w:rsidTr="002F6730">
        <w:trPr>
          <w:gridAfter w:val="1"/>
          <w:wAfter w:w="360" w:type="dxa"/>
          <w:trHeight w:val="300"/>
        </w:trPr>
        <w:tc>
          <w:tcPr>
            <w:tcW w:w="1995" w:type="dxa"/>
            <w:tcBorders>
              <w:top w:val="nil"/>
              <w:left w:val="nil"/>
              <w:bottom w:val="nil"/>
              <w:right w:val="nil"/>
            </w:tcBorders>
            <w:shd w:val="clear" w:color="auto" w:fill="auto"/>
            <w:noWrap/>
            <w:vAlign w:val="bottom"/>
          </w:tcPr>
          <w:p w:rsidR="00F65FB5" w:rsidRPr="00D77A78" w:rsidRDefault="00F65FB5" w:rsidP="002F6730">
            <w:pPr>
              <w:ind w:hanging="93"/>
              <w:rPr>
                <w:b/>
                <w:bCs/>
                <w:color w:val="000000"/>
                <w:szCs w:val="22"/>
                <w:u w:val="single"/>
              </w:rPr>
            </w:pPr>
            <w:r w:rsidRPr="00D77A78">
              <w:rPr>
                <w:b/>
                <w:bCs/>
                <w:color w:val="000000"/>
                <w:szCs w:val="22"/>
                <w:u w:val="single"/>
              </w:rPr>
              <w:t>File Number</w:t>
            </w:r>
          </w:p>
          <w:p w:rsidR="00F65FB5" w:rsidRDefault="00F65FB5" w:rsidP="002F6730">
            <w:pPr>
              <w:ind w:hanging="93"/>
              <w:rPr>
                <w:bCs/>
                <w:color w:val="000000"/>
                <w:szCs w:val="22"/>
              </w:rPr>
            </w:pPr>
          </w:p>
          <w:p w:rsidR="00F65FB5" w:rsidRPr="00D77A78" w:rsidRDefault="00F65FB5" w:rsidP="002F6730">
            <w:pPr>
              <w:ind w:hanging="93"/>
              <w:rPr>
                <w:bCs/>
                <w:color w:val="000000"/>
                <w:szCs w:val="22"/>
              </w:rPr>
            </w:pPr>
            <w:r w:rsidRPr="00D267FC">
              <w:rPr>
                <w:bCs/>
                <w:color w:val="000000"/>
                <w:szCs w:val="22"/>
              </w:rPr>
              <w:t>0007004175</w:t>
            </w:r>
          </w:p>
        </w:tc>
        <w:tc>
          <w:tcPr>
            <w:tcW w:w="4680" w:type="dxa"/>
            <w:tcBorders>
              <w:top w:val="nil"/>
              <w:left w:val="nil"/>
              <w:bottom w:val="nil"/>
              <w:right w:val="nil"/>
            </w:tcBorders>
            <w:shd w:val="clear" w:color="auto" w:fill="auto"/>
            <w:noWrap/>
            <w:vAlign w:val="bottom"/>
          </w:tcPr>
          <w:p w:rsidR="00F65FB5" w:rsidRPr="00D77A78" w:rsidRDefault="00F65FB5" w:rsidP="002F6730">
            <w:pPr>
              <w:ind w:left="882"/>
              <w:rPr>
                <w:b/>
                <w:bCs/>
                <w:color w:val="000000"/>
                <w:szCs w:val="22"/>
                <w:u w:val="single"/>
              </w:rPr>
            </w:pPr>
            <w:r w:rsidRPr="00D77A78">
              <w:rPr>
                <w:b/>
                <w:bCs/>
                <w:color w:val="000000"/>
                <w:szCs w:val="22"/>
                <w:u w:val="single"/>
              </w:rPr>
              <w:t>Licensee</w:t>
            </w:r>
          </w:p>
          <w:p w:rsidR="00F65FB5" w:rsidRDefault="00F65FB5" w:rsidP="002F6730">
            <w:pPr>
              <w:ind w:left="882"/>
              <w:rPr>
                <w:bCs/>
                <w:color w:val="000000"/>
                <w:szCs w:val="22"/>
              </w:rPr>
            </w:pPr>
          </w:p>
          <w:p w:rsidR="00F65FB5" w:rsidRPr="002E71AF" w:rsidRDefault="00F65FB5" w:rsidP="002F6730">
            <w:pPr>
              <w:ind w:left="882"/>
              <w:rPr>
                <w:bCs/>
                <w:color w:val="000000"/>
                <w:szCs w:val="22"/>
              </w:rPr>
            </w:pPr>
            <w:r w:rsidRPr="002E71AF">
              <w:rPr>
                <w:bCs/>
                <w:color w:val="000000"/>
                <w:szCs w:val="22"/>
              </w:rPr>
              <w:t>Virgin Islands Telephone Corporation</w:t>
            </w:r>
          </w:p>
        </w:tc>
        <w:tc>
          <w:tcPr>
            <w:tcW w:w="2355" w:type="dxa"/>
            <w:gridSpan w:val="2"/>
            <w:tcBorders>
              <w:top w:val="nil"/>
              <w:left w:val="nil"/>
              <w:bottom w:val="nil"/>
              <w:right w:val="nil"/>
            </w:tcBorders>
            <w:shd w:val="clear" w:color="auto" w:fill="auto"/>
            <w:noWrap/>
            <w:vAlign w:val="bottom"/>
          </w:tcPr>
          <w:p w:rsidR="00F65FB5" w:rsidRPr="00D77A78" w:rsidRDefault="00F65FB5" w:rsidP="002F6730">
            <w:pPr>
              <w:ind w:left="72" w:hanging="72"/>
              <w:rPr>
                <w:b/>
                <w:bCs/>
                <w:color w:val="000000"/>
                <w:szCs w:val="22"/>
                <w:u w:val="single"/>
              </w:rPr>
            </w:pPr>
            <w:r w:rsidRPr="00D77A78">
              <w:rPr>
                <w:b/>
                <w:bCs/>
                <w:color w:val="000000"/>
                <w:szCs w:val="22"/>
                <w:u w:val="single"/>
              </w:rPr>
              <w:t>Lead Call Sign</w:t>
            </w:r>
          </w:p>
          <w:p w:rsidR="00F65FB5" w:rsidRDefault="00F65FB5" w:rsidP="002F6730">
            <w:pPr>
              <w:ind w:left="72" w:hanging="72"/>
              <w:rPr>
                <w:bCs/>
                <w:color w:val="000000"/>
                <w:szCs w:val="22"/>
              </w:rPr>
            </w:pPr>
          </w:p>
          <w:p w:rsidR="00F65FB5" w:rsidRPr="002E71AF" w:rsidRDefault="00F65FB5" w:rsidP="002F6730">
            <w:pPr>
              <w:ind w:left="72" w:hanging="72"/>
              <w:rPr>
                <w:bCs/>
                <w:color w:val="000000"/>
                <w:szCs w:val="22"/>
              </w:rPr>
            </w:pPr>
            <w:r w:rsidRPr="002E71AF">
              <w:rPr>
                <w:bCs/>
                <w:color w:val="000000"/>
                <w:szCs w:val="22"/>
              </w:rPr>
              <w:t>KNKI943</w:t>
            </w:r>
          </w:p>
        </w:tc>
      </w:tr>
      <w:tr w:rsidR="00F65FB5" w:rsidRPr="00D77A78" w:rsidTr="002F6730">
        <w:trPr>
          <w:gridAfter w:val="1"/>
          <w:wAfter w:w="360" w:type="dxa"/>
          <w:trHeight w:val="159"/>
        </w:trPr>
        <w:tc>
          <w:tcPr>
            <w:tcW w:w="1995" w:type="dxa"/>
            <w:vMerge w:val="restart"/>
            <w:tcBorders>
              <w:top w:val="nil"/>
              <w:left w:val="nil"/>
              <w:right w:val="nil"/>
            </w:tcBorders>
            <w:shd w:val="clear" w:color="auto" w:fill="auto"/>
            <w:noWrap/>
          </w:tcPr>
          <w:p w:rsidR="00F65FB5" w:rsidRDefault="00F65FB5" w:rsidP="002F6730">
            <w:pPr>
              <w:ind w:hanging="93"/>
              <w:rPr>
                <w:bCs/>
                <w:color w:val="000000"/>
                <w:szCs w:val="22"/>
              </w:rPr>
            </w:pPr>
          </w:p>
          <w:p w:rsidR="00F65FB5" w:rsidRPr="00D77A78" w:rsidRDefault="00F65FB5" w:rsidP="002F6730">
            <w:pPr>
              <w:ind w:hanging="93"/>
              <w:rPr>
                <w:bCs/>
                <w:color w:val="000000"/>
                <w:szCs w:val="22"/>
              </w:rPr>
            </w:pPr>
            <w:r w:rsidRPr="00D267FC">
              <w:rPr>
                <w:bCs/>
                <w:color w:val="000000"/>
                <w:szCs w:val="22"/>
              </w:rPr>
              <w:t>0007004176</w:t>
            </w:r>
          </w:p>
        </w:tc>
        <w:tc>
          <w:tcPr>
            <w:tcW w:w="4680" w:type="dxa"/>
            <w:vMerge w:val="restart"/>
            <w:tcBorders>
              <w:top w:val="nil"/>
              <w:left w:val="nil"/>
              <w:right w:val="nil"/>
            </w:tcBorders>
            <w:shd w:val="clear" w:color="auto" w:fill="auto"/>
            <w:noWrap/>
            <w:vAlign w:val="bottom"/>
          </w:tcPr>
          <w:p w:rsidR="00F65FB5" w:rsidRPr="00D77A78" w:rsidRDefault="00F65FB5" w:rsidP="002F6730">
            <w:pPr>
              <w:ind w:left="882"/>
              <w:rPr>
                <w:bCs/>
                <w:color w:val="000000"/>
                <w:szCs w:val="22"/>
              </w:rPr>
            </w:pPr>
            <w:r w:rsidRPr="00D267FC">
              <w:rPr>
                <w:bCs/>
                <w:color w:val="000000"/>
                <w:szCs w:val="22"/>
              </w:rPr>
              <w:t>Vitelcom Cellular, Inc.</w:t>
            </w:r>
          </w:p>
        </w:tc>
        <w:tc>
          <w:tcPr>
            <w:tcW w:w="2355" w:type="dxa"/>
            <w:gridSpan w:val="2"/>
            <w:tcBorders>
              <w:top w:val="nil"/>
              <w:left w:val="nil"/>
              <w:bottom w:val="nil"/>
              <w:right w:val="nil"/>
            </w:tcBorders>
            <w:shd w:val="clear" w:color="auto" w:fill="auto"/>
            <w:noWrap/>
            <w:vAlign w:val="bottom"/>
          </w:tcPr>
          <w:p w:rsidR="00F65FB5" w:rsidRPr="00D77A78" w:rsidRDefault="00F65FB5" w:rsidP="002F6730">
            <w:pPr>
              <w:ind w:left="72" w:hanging="72"/>
              <w:rPr>
                <w:bCs/>
                <w:color w:val="000000"/>
                <w:szCs w:val="22"/>
              </w:rPr>
            </w:pPr>
          </w:p>
        </w:tc>
      </w:tr>
      <w:tr w:rsidR="00F65FB5" w:rsidRPr="00D77A78" w:rsidTr="002F6730">
        <w:trPr>
          <w:gridAfter w:val="1"/>
          <w:wAfter w:w="360" w:type="dxa"/>
          <w:trHeight w:val="159"/>
        </w:trPr>
        <w:tc>
          <w:tcPr>
            <w:tcW w:w="1995" w:type="dxa"/>
            <w:vMerge/>
            <w:tcBorders>
              <w:left w:val="nil"/>
              <w:bottom w:val="nil"/>
              <w:right w:val="nil"/>
            </w:tcBorders>
            <w:shd w:val="clear" w:color="auto" w:fill="auto"/>
            <w:noWrap/>
            <w:vAlign w:val="bottom"/>
          </w:tcPr>
          <w:p w:rsidR="00F65FB5" w:rsidRPr="00D77A78" w:rsidRDefault="00F65FB5" w:rsidP="002F6730">
            <w:pPr>
              <w:ind w:hanging="93"/>
              <w:rPr>
                <w:bCs/>
                <w:color w:val="000000"/>
                <w:szCs w:val="22"/>
              </w:rPr>
            </w:pPr>
          </w:p>
        </w:tc>
        <w:tc>
          <w:tcPr>
            <w:tcW w:w="4680" w:type="dxa"/>
            <w:vMerge/>
            <w:tcBorders>
              <w:left w:val="nil"/>
              <w:bottom w:val="nil"/>
              <w:right w:val="nil"/>
            </w:tcBorders>
            <w:shd w:val="clear" w:color="auto" w:fill="auto"/>
            <w:noWrap/>
            <w:vAlign w:val="bottom"/>
          </w:tcPr>
          <w:p w:rsidR="00F65FB5" w:rsidRPr="00D77A78" w:rsidRDefault="00F65FB5" w:rsidP="002F6730">
            <w:pPr>
              <w:ind w:left="882"/>
              <w:rPr>
                <w:bCs/>
                <w:color w:val="000000"/>
                <w:szCs w:val="22"/>
              </w:rPr>
            </w:pPr>
          </w:p>
        </w:tc>
        <w:tc>
          <w:tcPr>
            <w:tcW w:w="2355" w:type="dxa"/>
            <w:gridSpan w:val="2"/>
            <w:tcBorders>
              <w:top w:val="nil"/>
              <w:left w:val="nil"/>
              <w:bottom w:val="nil"/>
              <w:right w:val="nil"/>
            </w:tcBorders>
            <w:shd w:val="clear" w:color="auto" w:fill="auto"/>
            <w:noWrap/>
            <w:vAlign w:val="bottom"/>
          </w:tcPr>
          <w:p w:rsidR="00F65FB5" w:rsidRPr="00D77A78" w:rsidRDefault="00F65FB5" w:rsidP="002F6730">
            <w:pPr>
              <w:ind w:left="72" w:hanging="72"/>
              <w:rPr>
                <w:bCs/>
                <w:color w:val="000000"/>
                <w:szCs w:val="22"/>
              </w:rPr>
            </w:pPr>
            <w:r w:rsidRPr="00D267FC">
              <w:rPr>
                <w:bCs/>
                <w:color w:val="000000"/>
                <w:szCs w:val="22"/>
              </w:rPr>
              <w:t>KNKN845</w:t>
            </w:r>
          </w:p>
        </w:tc>
      </w:tr>
      <w:tr w:rsidR="00F65FB5" w:rsidRPr="00D77A78" w:rsidTr="002F6730">
        <w:trPr>
          <w:trHeight w:val="159"/>
        </w:trPr>
        <w:tc>
          <w:tcPr>
            <w:tcW w:w="1995" w:type="dxa"/>
            <w:tcBorders>
              <w:left w:val="nil"/>
              <w:bottom w:val="nil"/>
              <w:right w:val="nil"/>
            </w:tcBorders>
            <w:shd w:val="clear" w:color="auto" w:fill="auto"/>
            <w:noWrap/>
            <w:vAlign w:val="bottom"/>
          </w:tcPr>
          <w:p w:rsidR="00F65FB5" w:rsidRPr="00D77A78" w:rsidRDefault="00F65FB5" w:rsidP="002F6730">
            <w:pPr>
              <w:ind w:hanging="93"/>
              <w:rPr>
                <w:bCs/>
                <w:color w:val="000000"/>
                <w:szCs w:val="22"/>
              </w:rPr>
            </w:pPr>
          </w:p>
        </w:tc>
        <w:tc>
          <w:tcPr>
            <w:tcW w:w="5040" w:type="dxa"/>
            <w:gridSpan w:val="2"/>
            <w:tcBorders>
              <w:left w:val="nil"/>
              <w:bottom w:val="nil"/>
              <w:right w:val="nil"/>
            </w:tcBorders>
            <w:shd w:val="clear" w:color="auto" w:fill="auto"/>
            <w:noWrap/>
            <w:vAlign w:val="bottom"/>
          </w:tcPr>
          <w:p w:rsidR="00F65FB5" w:rsidRPr="00D77A78" w:rsidRDefault="00F65FB5" w:rsidP="002F6730">
            <w:pPr>
              <w:ind w:left="882"/>
              <w:rPr>
                <w:bCs/>
                <w:color w:val="000000"/>
                <w:szCs w:val="22"/>
              </w:rPr>
            </w:pPr>
          </w:p>
        </w:tc>
        <w:tc>
          <w:tcPr>
            <w:tcW w:w="2355" w:type="dxa"/>
            <w:gridSpan w:val="2"/>
            <w:tcBorders>
              <w:top w:val="nil"/>
              <w:left w:val="nil"/>
              <w:bottom w:val="nil"/>
              <w:right w:val="nil"/>
            </w:tcBorders>
            <w:shd w:val="clear" w:color="auto" w:fill="auto"/>
            <w:noWrap/>
            <w:vAlign w:val="bottom"/>
          </w:tcPr>
          <w:p w:rsidR="00F65FB5" w:rsidRPr="00D77A78" w:rsidDel="00AD4C0E" w:rsidRDefault="00F65FB5" w:rsidP="002F6730">
            <w:pPr>
              <w:rPr>
                <w:bCs/>
                <w:color w:val="000000"/>
                <w:szCs w:val="22"/>
              </w:rPr>
            </w:pPr>
          </w:p>
        </w:tc>
      </w:tr>
      <w:tr w:rsidR="00F65FB5" w:rsidRPr="00D77A78" w:rsidTr="002F6730">
        <w:trPr>
          <w:trHeight w:val="159"/>
        </w:trPr>
        <w:tc>
          <w:tcPr>
            <w:tcW w:w="1995" w:type="dxa"/>
            <w:vMerge w:val="restart"/>
            <w:tcBorders>
              <w:left w:val="nil"/>
              <w:right w:val="nil"/>
            </w:tcBorders>
            <w:shd w:val="clear" w:color="auto" w:fill="auto"/>
            <w:noWrap/>
            <w:vAlign w:val="bottom"/>
          </w:tcPr>
          <w:p w:rsidR="00F65FB5" w:rsidRPr="00D77A78" w:rsidRDefault="00F65FB5" w:rsidP="002F6730">
            <w:pPr>
              <w:ind w:hanging="93"/>
              <w:rPr>
                <w:bCs/>
                <w:color w:val="000000"/>
                <w:szCs w:val="22"/>
              </w:rPr>
            </w:pPr>
          </w:p>
        </w:tc>
        <w:tc>
          <w:tcPr>
            <w:tcW w:w="5040" w:type="dxa"/>
            <w:gridSpan w:val="2"/>
            <w:vMerge w:val="restart"/>
            <w:tcBorders>
              <w:left w:val="nil"/>
              <w:right w:val="nil"/>
            </w:tcBorders>
            <w:shd w:val="clear" w:color="auto" w:fill="auto"/>
            <w:noWrap/>
            <w:vAlign w:val="bottom"/>
          </w:tcPr>
          <w:p w:rsidR="00F65FB5" w:rsidRPr="00D77A78" w:rsidRDefault="00F65FB5" w:rsidP="002F6730">
            <w:pPr>
              <w:rPr>
                <w:bCs/>
                <w:color w:val="000000"/>
                <w:szCs w:val="22"/>
              </w:rPr>
            </w:pPr>
          </w:p>
        </w:tc>
        <w:tc>
          <w:tcPr>
            <w:tcW w:w="2355" w:type="dxa"/>
            <w:gridSpan w:val="2"/>
            <w:tcBorders>
              <w:top w:val="nil"/>
              <w:left w:val="nil"/>
              <w:bottom w:val="nil"/>
              <w:right w:val="nil"/>
            </w:tcBorders>
            <w:shd w:val="clear" w:color="auto" w:fill="auto"/>
            <w:noWrap/>
            <w:vAlign w:val="bottom"/>
          </w:tcPr>
          <w:p w:rsidR="00F65FB5" w:rsidRPr="00D77A78" w:rsidRDefault="00F65FB5" w:rsidP="002F6730">
            <w:pPr>
              <w:rPr>
                <w:bCs/>
                <w:color w:val="000000"/>
                <w:szCs w:val="22"/>
              </w:rPr>
            </w:pPr>
          </w:p>
        </w:tc>
      </w:tr>
      <w:tr w:rsidR="00F65FB5" w:rsidRPr="00D77A78" w:rsidTr="002F6730">
        <w:trPr>
          <w:trHeight w:val="159"/>
        </w:trPr>
        <w:tc>
          <w:tcPr>
            <w:tcW w:w="1995" w:type="dxa"/>
            <w:vMerge/>
            <w:tcBorders>
              <w:left w:val="nil"/>
              <w:right w:val="nil"/>
            </w:tcBorders>
            <w:shd w:val="clear" w:color="auto" w:fill="auto"/>
            <w:noWrap/>
            <w:vAlign w:val="bottom"/>
          </w:tcPr>
          <w:p w:rsidR="00F65FB5" w:rsidRPr="00D77A78" w:rsidRDefault="00F65FB5" w:rsidP="002F6730">
            <w:pPr>
              <w:ind w:hanging="93"/>
              <w:rPr>
                <w:bCs/>
                <w:color w:val="000000"/>
                <w:szCs w:val="22"/>
              </w:rPr>
            </w:pPr>
          </w:p>
        </w:tc>
        <w:tc>
          <w:tcPr>
            <w:tcW w:w="5040" w:type="dxa"/>
            <w:gridSpan w:val="2"/>
            <w:vMerge/>
            <w:tcBorders>
              <w:left w:val="nil"/>
              <w:right w:val="nil"/>
            </w:tcBorders>
            <w:shd w:val="clear" w:color="auto" w:fill="auto"/>
            <w:noWrap/>
            <w:vAlign w:val="bottom"/>
          </w:tcPr>
          <w:p w:rsidR="00F65FB5" w:rsidRPr="00D77A78" w:rsidRDefault="00F65FB5" w:rsidP="002F6730">
            <w:pPr>
              <w:rPr>
                <w:bCs/>
                <w:color w:val="000000"/>
                <w:szCs w:val="22"/>
              </w:rPr>
            </w:pPr>
          </w:p>
        </w:tc>
        <w:tc>
          <w:tcPr>
            <w:tcW w:w="2355" w:type="dxa"/>
            <w:gridSpan w:val="2"/>
            <w:tcBorders>
              <w:top w:val="nil"/>
              <w:left w:val="nil"/>
              <w:bottom w:val="nil"/>
              <w:right w:val="nil"/>
            </w:tcBorders>
            <w:shd w:val="clear" w:color="auto" w:fill="auto"/>
            <w:noWrap/>
            <w:vAlign w:val="bottom"/>
          </w:tcPr>
          <w:p w:rsidR="00F65FB5" w:rsidRPr="00D77A78" w:rsidRDefault="00F65FB5" w:rsidP="002F6730">
            <w:pPr>
              <w:rPr>
                <w:bCs/>
                <w:color w:val="000000"/>
                <w:szCs w:val="22"/>
              </w:rPr>
            </w:pPr>
          </w:p>
        </w:tc>
      </w:tr>
    </w:tbl>
    <w:p w:rsidR="00F65FB5" w:rsidRDefault="00F65FB5" w:rsidP="00F65FB5">
      <w:pPr>
        <w:rPr>
          <w:b/>
          <w:color w:val="000000"/>
          <w:szCs w:val="22"/>
        </w:rPr>
      </w:pPr>
    </w:p>
    <w:p w:rsidR="00F65FB5" w:rsidRDefault="00F65FB5" w:rsidP="00F65FB5">
      <w:pPr>
        <w:rPr>
          <w:b/>
          <w:color w:val="000000"/>
          <w:szCs w:val="22"/>
        </w:rPr>
      </w:pPr>
      <w:r>
        <w:rPr>
          <w:b/>
          <w:color w:val="000000"/>
          <w:szCs w:val="22"/>
        </w:rPr>
        <w:br w:type="page"/>
      </w:r>
    </w:p>
    <w:p w:rsidR="00F65FB5" w:rsidRPr="00D77A78" w:rsidRDefault="00F65FB5" w:rsidP="00F65FB5">
      <w:pPr>
        <w:rPr>
          <w:b/>
          <w:color w:val="000000"/>
          <w:szCs w:val="22"/>
        </w:rPr>
      </w:pPr>
      <w:r w:rsidRPr="00D77A78">
        <w:rPr>
          <w:b/>
          <w:color w:val="000000"/>
          <w:szCs w:val="22"/>
        </w:rPr>
        <w:t>PART 78 -- CABLE TELEVISION RELAY SERVICES (CARS)</w:t>
      </w:r>
    </w:p>
    <w:p w:rsidR="00F65FB5" w:rsidRPr="00D77A78" w:rsidRDefault="00F65FB5" w:rsidP="00F65FB5">
      <w:pPr>
        <w:rPr>
          <w:color w:val="000000"/>
          <w:szCs w:val="22"/>
        </w:rPr>
      </w:pPr>
    </w:p>
    <w:tbl>
      <w:tblPr>
        <w:tblW w:w="0" w:type="auto"/>
        <w:tblLayout w:type="fixed"/>
        <w:tblLook w:val="04A0" w:firstRow="1" w:lastRow="0" w:firstColumn="1" w:lastColumn="0" w:noHBand="0" w:noVBand="1"/>
      </w:tblPr>
      <w:tblGrid>
        <w:gridCol w:w="2963"/>
        <w:gridCol w:w="3895"/>
        <w:gridCol w:w="425"/>
        <w:gridCol w:w="1566"/>
        <w:gridCol w:w="425"/>
      </w:tblGrid>
      <w:tr w:rsidR="00F65FB5" w:rsidRPr="00FB126F" w:rsidTr="002F6730">
        <w:trPr>
          <w:gridAfter w:val="1"/>
          <w:wAfter w:w="425" w:type="dxa"/>
          <w:trHeight w:val="310"/>
        </w:trPr>
        <w:tc>
          <w:tcPr>
            <w:tcW w:w="2963" w:type="dxa"/>
            <w:shd w:val="clear" w:color="auto" w:fill="auto"/>
            <w:noWrap/>
          </w:tcPr>
          <w:p w:rsidR="00F65FB5" w:rsidRPr="00FB126F" w:rsidRDefault="00F65FB5" w:rsidP="002F6730">
            <w:pPr>
              <w:ind w:hanging="93"/>
              <w:rPr>
                <w:b/>
                <w:bCs/>
                <w:color w:val="000000"/>
                <w:szCs w:val="22"/>
                <w:u w:val="single"/>
              </w:rPr>
            </w:pPr>
            <w:r w:rsidRPr="00FB126F">
              <w:rPr>
                <w:b/>
                <w:bCs/>
                <w:color w:val="000000"/>
                <w:szCs w:val="22"/>
                <w:u w:val="single"/>
              </w:rPr>
              <w:t>File Number</w:t>
            </w:r>
          </w:p>
          <w:p w:rsidR="00F65FB5" w:rsidRPr="00FB126F" w:rsidRDefault="00F65FB5" w:rsidP="002F6730">
            <w:pPr>
              <w:ind w:hanging="93"/>
              <w:rPr>
                <w:bCs/>
                <w:color w:val="000000"/>
                <w:szCs w:val="22"/>
              </w:rPr>
            </w:pPr>
          </w:p>
        </w:tc>
        <w:tc>
          <w:tcPr>
            <w:tcW w:w="3895" w:type="dxa"/>
            <w:shd w:val="clear" w:color="auto" w:fill="auto"/>
            <w:noWrap/>
          </w:tcPr>
          <w:p w:rsidR="00F65FB5" w:rsidRPr="00FB126F" w:rsidRDefault="00F65FB5" w:rsidP="002F6730">
            <w:pPr>
              <w:rPr>
                <w:b/>
                <w:bCs/>
                <w:color w:val="000000"/>
                <w:szCs w:val="22"/>
                <w:u w:val="single"/>
              </w:rPr>
            </w:pPr>
            <w:r w:rsidRPr="00FB126F">
              <w:rPr>
                <w:b/>
                <w:bCs/>
                <w:color w:val="000000"/>
                <w:szCs w:val="22"/>
                <w:u w:val="single"/>
              </w:rPr>
              <w:t>Licensee</w:t>
            </w:r>
          </w:p>
          <w:p w:rsidR="00F65FB5" w:rsidRPr="00FB126F" w:rsidRDefault="00F65FB5" w:rsidP="002F6730">
            <w:pPr>
              <w:rPr>
                <w:b/>
                <w:bCs/>
                <w:color w:val="000000"/>
                <w:szCs w:val="22"/>
                <w:u w:val="single"/>
              </w:rPr>
            </w:pPr>
          </w:p>
        </w:tc>
        <w:tc>
          <w:tcPr>
            <w:tcW w:w="1991" w:type="dxa"/>
            <w:gridSpan w:val="2"/>
            <w:shd w:val="clear" w:color="auto" w:fill="auto"/>
            <w:noWrap/>
          </w:tcPr>
          <w:p w:rsidR="00F65FB5" w:rsidRPr="00FB126F" w:rsidRDefault="00F65FB5" w:rsidP="002F6730">
            <w:pPr>
              <w:rPr>
                <w:b/>
                <w:bCs/>
                <w:color w:val="000000"/>
                <w:szCs w:val="22"/>
                <w:u w:val="single"/>
              </w:rPr>
            </w:pPr>
            <w:r w:rsidRPr="00FB126F">
              <w:rPr>
                <w:b/>
                <w:bCs/>
                <w:color w:val="000000"/>
                <w:szCs w:val="22"/>
                <w:u w:val="single"/>
              </w:rPr>
              <w:t>Lead Call Sign</w:t>
            </w:r>
          </w:p>
          <w:p w:rsidR="00F65FB5" w:rsidRPr="00FB126F" w:rsidRDefault="00F65FB5" w:rsidP="002F6730">
            <w:pPr>
              <w:rPr>
                <w:b/>
                <w:bCs/>
                <w:color w:val="000000"/>
                <w:szCs w:val="22"/>
                <w:u w:val="single"/>
              </w:rPr>
            </w:pP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20151110AB-09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Innovative Cable TV St. Thomas</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WHZ-442</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20151110AC-09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Innovative Cable TV St. Thomas</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WLY-863</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20151110AD-09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Innovative Cable TV St. Thomas</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WLY-864</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20151110AE-09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Innovative Cable TV St. Thomas</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WLY-865</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20151110AF-09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Innovative Cable TV St. Thomas</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WLY-866</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p>
        </w:tc>
        <w:tc>
          <w:tcPr>
            <w:tcW w:w="3895" w:type="dxa"/>
            <w:shd w:val="clear" w:color="auto" w:fill="auto"/>
            <w:noWrap/>
          </w:tcPr>
          <w:p w:rsidR="00F65FB5" w:rsidRPr="00681B6F" w:rsidRDefault="00F65FB5" w:rsidP="002F6730">
            <w:pPr>
              <w:rPr>
                <w:bCs/>
                <w:color w:val="000000"/>
                <w:szCs w:val="22"/>
              </w:rPr>
            </w:pPr>
          </w:p>
        </w:tc>
        <w:tc>
          <w:tcPr>
            <w:tcW w:w="1991" w:type="dxa"/>
            <w:gridSpan w:val="2"/>
            <w:shd w:val="clear" w:color="auto" w:fill="auto"/>
            <w:noWrap/>
          </w:tcPr>
          <w:p w:rsidR="00F65FB5" w:rsidRPr="00681B6F" w:rsidRDefault="00F65FB5" w:rsidP="002F6730">
            <w:pPr>
              <w:rPr>
                <w:bCs/>
                <w:color w:val="000000"/>
                <w:szCs w:val="22"/>
              </w:rPr>
            </w:pP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20151110AG-09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ICC TV, Inc.</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WLY-875</w:t>
            </w:r>
          </w:p>
        </w:tc>
      </w:tr>
      <w:tr w:rsidR="00F65FB5" w:rsidRPr="00681B6F" w:rsidTr="002F6730">
        <w:trPr>
          <w:gridAfter w:val="1"/>
          <w:wAfter w:w="425" w:type="dxa"/>
          <w:trHeight w:val="164"/>
        </w:trPr>
        <w:tc>
          <w:tcPr>
            <w:tcW w:w="2963" w:type="dxa"/>
            <w:shd w:val="clear" w:color="auto" w:fill="auto"/>
            <w:noWrap/>
          </w:tcPr>
          <w:p w:rsidR="00F65FB5" w:rsidRPr="00681B6F" w:rsidRDefault="00F65FB5" w:rsidP="002F6730">
            <w:pPr>
              <w:ind w:hanging="93"/>
              <w:rPr>
                <w:bCs/>
                <w:color w:val="000000"/>
                <w:szCs w:val="22"/>
              </w:rPr>
            </w:pPr>
            <w:r w:rsidRPr="00681B6F">
              <w:rPr>
                <w:bCs/>
                <w:color w:val="000000"/>
                <w:szCs w:val="22"/>
              </w:rPr>
              <w:t>20151110AH-09</w:t>
            </w:r>
          </w:p>
        </w:tc>
        <w:tc>
          <w:tcPr>
            <w:tcW w:w="3895" w:type="dxa"/>
            <w:shd w:val="clear" w:color="auto" w:fill="auto"/>
            <w:noWrap/>
          </w:tcPr>
          <w:p w:rsidR="00F65FB5" w:rsidRPr="00681B6F" w:rsidRDefault="00F65FB5" w:rsidP="002F6730">
            <w:pPr>
              <w:rPr>
                <w:bCs/>
                <w:color w:val="000000"/>
                <w:szCs w:val="22"/>
              </w:rPr>
            </w:pPr>
            <w:r w:rsidRPr="00681B6F">
              <w:rPr>
                <w:bCs/>
                <w:color w:val="000000"/>
                <w:szCs w:val="22"/>
              </w:rPr>
              <w:t>ICC TV, Inc.</w:t>
            </w:r>
          </w:p>
        </w:tc>
        <w:tc>
          <w:tcPr>
            <w:tcW w:w="1991" w:type="dxa"/>
            <w:gridSpan w:val="2"/>
            <w:shd w:val="clear" w:color="auto" w:fill="auto"/>
            <w:noWrap/>
          </w:tcPr>
          <w:p w:rsidR="00F65FB5" w:rsidRPr="00681B6F" w:rsidRDefault="00F65FB5" w:rsidP="002F6730">
            <w:pPr>
              <w:rPr>
                <w:bCs/>
                <w:color w:val="000000"/>
                <w:szCs w:val="22"/>
              </w:rPr>
            </w:pPr>
            <w:r w:rsidRPr="00681B6F">
              <w:rPr>
                <w:bCs/>
                <w:color w:val="000000"/>
                <w:szCs w:val="22"/>
              </w:rPr>
              <w:t>WLY-876</w:t>
            </w:r>
          </w:p>
        </w:tc>
      </w:tr>
      <w:tr w:rsidR="00F65FB5" w:rsidRPr="00FB126F" w:rsidTr="002F6730">
        <w:trPr>
          <w:trHeight w:val="164"/>
        </w:trPr>
        <w:tc>
          <w:tcPr>
            <w:tcW w:w="2963" w:type="dxa"/>
            <w:shd w:val="clear" w:color="auto" w:fill="auto"/>
            <w:noWrap/>
          </w:tcPr>
          <w:p w:rsidR="00F65FB5" w:rsidRPr="00FB126F" w:rsidRDefault="00F65FB5" w:rsidP="002F6730">
            <w:pPr>
              <w:ind w:hanging="93"/>
              <w:rPr>
                <w:bCs/>
                <w:color w:val="000000"/>
                <w:szCs w:val="22"/>
              </w:rPr>
            </w:pPr>
          </w:p>
        </w:tc>
        <w:tc>
          <w:tcPr>
            <w:tcW w:w="4320" w:type="dxa"/>
            <w:gridSpan w:val="2"/>
            <w:shd w:val="clear" w:color="auto" w:fill="auto"/>
            <w:noWrap/>
          </w:tcPr>
          <w:p w:rsidR="00F65FB5" w:rsidRPr="00FB126F" w:rsidRDefault="00F65FB5" w:rsidP="002F6730">
            <w:pPr>
              <w:rPr>
                <w:bCs/>
                <w:color w:val="000000"/>
                <w:szCs w:val="22"/>
              </w:rPr>
            </w:pPr>
          </w:p>
        </w:tc>
        <w:tc>
          <w:tcPr>
            <w:tcW w:w="1991" w:type="dxa"/>
            <w:gridSpan w:val="2"/>
            <w:shd w:val="clear" w:color="auto" w:fill="auto"/>
            <w:noWrap/>
          </w:tcPr>
          <w:p w:rsidR="00F65FB5" w:rsidRPr="00FB126F" w:rsidRDefault="00F65FB5" w:rsidP="002F6730">
            <w:pPr>
              <w:rPr>
                <w:bCs/>
                <w:color w:val="000000"/>
                <w:szCs w:val="22"/>
              </w:rPr>
            </w:pPr>
          </w:p>
        </w:tc>
      </w:tr>
      <w:tr w:rsidR="00F65FB5" w:rsidRPr="00FB126F" w:rsidTr="002F6730">
        <w:trPr>
          <w:trHeight w:val="164"/>
        </w:trPr>
        <w:tc>
          <w:tcPr>
            <w:tcW w:w="2963" w:type="dxa"/>
            <w:shd w:val="clear" w:color="auto" w:fill="auto"/>
            <w:noWrap/>
          </w:tcPr>
          <w:p w:rsidR="00F65FB5" w:rsidRPr="00FB126F" w:rsidRDefault="00F65FB5" w:rsidP="002F6730">
            <w:pPr>
              <w:ind w:hanging="93"/>
              <w:rPr>
                <w:bCs/>
                <w:color w:val="000000"/>
                <w:szCs w:val="22"/>
              </w:rPr>
            </w:pPr>
          </w:p>
        </w:tc>
        <w:tc>
          <w:tcPr>
            <w:tcW w:w="4320" w:type="dxa"/>
            <w:gridSpan w:val="2"/>
            <w:shd w:val="clear" w:color="auto" w:fill="auto"/>
            <w:noWrap/>
          </w:tcPr>
          <w:p w:rsidR="00F65FB5" w:rsidRPr="00FB126F" w:rsidRDefault="00F65FB5" w:rsidP="002F6730">
            <w:pPr>
              <w:rPr>
                <w:bCs/>
                <w:color w:val="000000"/>
                <w:szCs w:val="22"/>
              </w:rPr>
            </w:pPr>
          </w:p>
        </w:tc>
        <w:tc>
          <w:tcPr>
            <w:tcW w:w="1991" w:type="dxa"/>
            <w:gridSpan w:val="2"/>
            <w:shd w:val="clear" w:color="auto" w:fill="auto"/>
            <w:noWrap/>
          </w:tcPr>
          <w:p w:rsidR="00F65FB5" w:rsidRPr="00FB126F" w:rsidRDefault="00F65FB5" w:rsidP="002F6730">
            <w:pPr>
              <w:rPr>
                <w:bCs/>
                <w:color w:val="000000"/>
                <w:szCs w:val="22"/>
              </w:rPr>
            </w:pPr>
          </w:p>
        </w:tc>
      </w:tr>
    </w:tbl>
    <w:p w:rsidR="00F65FB5" w:rsidRPr="00D77A78" w:rsidRDefault="00F65FB5" w:rsidP="00F65FB5">
      <w:pPr>
        <w:ind w:right="720"/>
        <w:rPr>
          <w:szCs w:val="22"/>
        </w:rPr>
      </w:pPr>
      <w:r>
        <w:rPr>
          <w:b/>
          <w:szCs w:val="22"/>
          <w:u w:val="single"/>
        </w:rPr>
        <w:t>G</w:t>
      </w:r>
      <w:r w:rsidRPr="00D77A78">
        <w:rPr>
          <w:b/>
          <w:szCs w:val="22"/>
          <w:u w:val="single"/>
        </w:rPr>
        <w:t>ENERAL INFORMATION</w:t>
      </w:r>
    </w:p>
    <w:p w:rsidR="00F65FB5" w:rsidRPr="00D77A78" w:rsidRDefault="00F65FB5" w:rsidP="00F65FB5">
      <w:pPr>
        <w:ind w:right="720"/>
        <w:rPr>
          <w:szCs w:val="22"/>
        </w:rPr>
      </w:pPr>
    </w:p>
    <w:p w:rsidR="00F65FB5" w:rsidRPr="00D77A78" w:rsidRDefault="00F65FB5" w:rsidP="00F65FB5">
      <w:pPr>
        <w:autoSpaceDE w:val="0"/>
        <w:autoSpaceDN w:val="0"/>
        <w:adjustRightInd w:val="0"/>
        <w:ind w:firstLine="720"/>
        <w:rPr>
          <w:szCs w:val="22"/>
        </w:rPr>
      </w:pPr>
      <w:r w:rsidRPr="00D77A78">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p>
    <w:p w:rsidR="00F65FB5" w:rsidRPr="00D77A78" w:rsidRDefault="00F65FB5" w:rsidP="00F65FB5">
      <w:pPr>
        <w:rPr>
          <w:szCs w:val="22"/>
        </w:rPr>
      </w:pPr>
    </w:p>
    <w:p w:rsidR="00F65FB5" w:rsidRPr="00DD0965" w:rsidRDefault="00F65FB5" w:rsidP="00F65FB5">
      <w:pPr>
        <w:autoSpaceDE w:val="0"/>
        <w:autoSpaceDN w:val="0"/>
        <w:adjustRightInd w:val="0"/>
        <w:ind w:firstLine="720"/>
        <w:rPr>
          <w:szCs w:val="22"/>
        </w:rPr>
      </w:pPr>
      <w:r w:rsidRPr="00DD0965">
        <w:rPr>
          <w:szCs w:val="22"/>
        </w:rPr>
        <w:t xml:space="preserve">Pursuant to sections 1.415 and 1.419 of the Commission’s rules, 47 CFR §§ 1.415, 1.419, interested parties may file comments and </w:t>
      </w:r>
      <w:r w:rsidR="005B110A">
        <w:rPr>
          <w:szCs w:val="22"/>
        </w:rPr>
        <w:t>petitions</w:t>
      </w:r>
      <w:r w:rsidRPr="00DD0965">
        <w:rPr>
          <w:szCs w:val="22"/>
        </w:rPr>
        <w:t xml:space="preserve"> </w:t>
      </w:r>
      <w:r w:rsidRPr="005B110A">
        <w:rPr>
          <w:b/>
          <w:szCs w:val="22"/>
        </w:rPr>
        <w:t>on or</w:t>
      </w:r>
      <w:r w:rsidRPr="00DD0965">
        <w:rPr>
          <w:szCs w:val="22"/>
        </w:rPr>
        <w:t xml:space="preserve"> </w:t>
      </w:r>
      <w:r w:rsidRPr="00D77A78">
        <w:rPr>
          <w:b/>
          <w:szCs w:val="22"/>
        </w:rPr>
        <w:t>before</w:t>
      </w:r>
      <w:r w:rsidRPr="00D77A78">
        <w:rPr>
          <w:szCs w:val="22"/>
        </w:rPr>
        <w:t xml:space="preserve"> </w:t>
      </w:r>
      <w:r w:rsidR="00274546">
        <w:rPr>
          <w:b/>
          <w:szCs w:val="22"/>
        </w:rPr>
        <w:t>December 21</w:t>
      </w:r>
      <w:r w:rsidR="005B110A">
        <w:rPr>
          <w:b/>
          <w:szCs w:val="22"/>
        </w:rPr>
        <w:t>,</w:t>
      </w:r>
      <w:r w:rsidRPr="000334EF">
        <w:rPr>
          <w:b/>
          <w:szCs w:val="22"/>
        </w:rPr>
        <w:t xml:space="preserve"> 2015</w:t>
      </w:r>
      <w:r w:rsidRPr="00D77A78">
        <w:rPr>
          <w:b/>
          <w:szCs w:val="22"/>
        </w:rPr>
        <w:t>,</w:t>
      </w:r>
      <w:r w:rsidRPr="00D77A78">
        <w:rPr>
          <w:szCs w:val="22"/>
        </w:rPr>
        <w:t xml:space="preserve"> and reply comments</w:t>
      </w:r>
      <w:r w:rsidR="005B110A">
        <w:rPr>
          <w:szCs w:val="22"/>
        </w:rPr>
        <w:t xml:space="preserve"> or oppositions</w:t>
      </w:r>
      <w:r w:rsidRPr="00D77A78">
        <w:rPr>
          <w:szCs w:val="22"/>
        </w:rPr>
        <w:t xml:space="preserve"> </w:t>
      </w:r>
      <w:r w:rsidR="005B110A">
        <w:rPr>
          <w:szCs w:val="22"/>
        </w:rPr>
        <w:t xml:space="preserve">to petitions </w:t>
      </w:r>
      <w:r w:rsidRPr="00D77A78">
        <w:rPr>
          <w:b/>
          <w:szCs w:val="22"/>
        </w:rPr>
        <w:t xml:space="preserve">on or before </w:t>
      </w:r>
      <w:r w:rsidR="005C729E">
        <w:rPr>
          <w:b/>
          <w:szCs w:val="22"/>
        </w:rPr>
        <w:t>January</w:t>
      </w:r>
      <w:r w:rsidR="00076CDC">
        <w:rPr>
          <w:b/>
          <w:szCs w:val="22"/>
        </w:rPr>
        <w:t xml:space="preserve"> 5</w:t>
      </w:r>
      <w:r w:rsidR="00274546">
        <w:rPr>
          <w:b/>
          <w:szCs w:val="22"/>
        </w:rPr>
        <w:t>, 2016</w:t>
      </w:r>
      <w:r w:rsidRPr="00D77A78">
        <w:rPr>
          <w:b/>
          <w:szCs w:val="22"/>
        </w:rPr>
        <w:t>.</w:t>
      </w:r>
      <w:r w:rsidRPr="00D77A78">
        <w:rPr>
          <w:szCs w:val="22"/>
        </w:rPr>
        <w:t xml:space="preserve">  </w:t>
      </w:r>
      <w:r w:rsidRPr="00DD0965">
        <w:rPr>
          <w:szCs w:val="22"/>
        </w:rPr>
        <w:t xml:space="preserve"> Comments may be filed using the Commission’s Electronic Comment Filing System (ECFS).  </w:t>
      </w:r>
      <w:r w:rsidRPr="00DD0965">
        <w:rPr>
          <w:i/>
          <w:iCs/>
          <w:szCs w:val="22"/>
        </w:rPr>
        <w:t>See Electronic Filing of Documents in Rulemaking Proceedings</w:t>
      </w:r>
      <w:r w:rsidRPr="00DD0965">
        <w:rPr>
          <w:szCs w:val="22"/>
        </w:rPr>
        <w:t>, 63 FR 24121 (1998).</w:t>
      </w:r>
    </w:p>
    <w:p w:rsidR="00F65FB5" w:rsidRPr="00DD0965" w:rsidRDefault="00F65FB5" w:rsidP="00F65FB5">
      <w:pPr>
        <w:rPr>
          <w:szCs w:val="22"/>
        </w:rPr>
      </w:pPr>
      <w:r w:rsidRPr="00DD0965">
        <w:rPr>
          <w:szCs w:val="22"/>
        </w:rPr>
        <w:t> </w:t>
      </w:r>
    </w:p>
    <w:p w:rsidR="00F65FB5" w:rsidRPr="00DD0965" w:rsidRDefault="00F65FB5" w:rsidP="00F65FB5">
      <w:pPr>
        <w:widowControl/>
        <w:numPr>
          <w:ilvl w:val="0"/>
          <w:numId w:val="10"/>
        </w:numPr>
        <w:rPr>
          <w:szCs w:val="22"/>
        </w:rPr>
      </w:pPr>
      <w:r w:rsidRPr="00DD0965">
        <w:rPr>
          <w:szCs w:val="22"/>
        </w:rPr>
        <w:t>Electronic Filers:  Comments may be filed electronically using the Internet by accessing the ECFS:  </w:t>
      </w:r>
      <w:r w:rsidRPr="00C67CB5">
        <w:rPr>
          <w:szCs w:val="22"/>
        </w:rPr>
        <w:t>http://apps.fcc.gov/ecfs/</w:t>
      </w:r>
      <w:r w:rsidRPr="00DD0965">
        <w:rPr>
          <w:szCs w:val="22"/>
        </w:rPr>
        <w:t>. </w:t>
      </w:r>
    </w:p>
    <w:p w:rsidR="00F65FB5" w:rsidRPr="00DD0965" w:rsidRDefault="00F65FB5" w:rsidP="00F65FB5">
      <w:pPr>
        <w:rPr>
          <w:szCs w:val="22"/>
        </w:rPr>
      </w:pPr>
      <w:r w:rsidRPr="00DD0965">
        <w:rPr>
          <w:szCs w:val="22"/>
        </w:rPr>
        <w:t> </w:t>
      </w:r>
    </w:p>
    <w:p w:rsidR="00F65FB5" w:rsidRPr="00DD0965" w:rsidRDefault="00F65FB5" w:rsidP="00F65FB5">
      <w:pPr>
        <w:widowControl/>
        <w:numPr>
          <w:ilvl w:val="0"/>
          <w:numId w:val="11"/>
        </w:numPr>
        <w:rPr>
          <w:szCs w:val="22"/>
        </w:rPr>
      </w:pPr>
      <w:r w:rsidRPr="00DD096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65FB5" w:rsidRPr="00DD0965" w:rsidRDefault="00F65FB5" w:rsidP="00F65FB5">
      <w:pPr>
        <w:rPr>
          <w:szCs w:val="22"/>
        </w:rPr>
      </w:pPr>
      <w:r w:rsidRPr="00DD0965">
        <w:rPr>
          <w:szCs w:val="22"/>
        </w:rPr>
        <w:t> </w:t>
      </w:r>
    </w:p>
    <w:p w:rsidR="00F65FB5" w:rsidRPr="00DD0965" w:rsidRDefault="00F65FB5" w:rsidP="00F65FB5">
      <w:pPr>
        <w:ind w:firstLine="720"/>
        <w:rPr>
          <w:szCs w:val="22"/>
        </w:rPr>
      </w:pPr>
      <w:r w:rsidRPr="00DD096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65FB5" w:rsidRPr="00DD0965" w:rsidRDefault="00F65FB5" w:rsidP="00F65FB5">
      <w:pPr>
        <w:rPr>
          <w:szCs w:val="22"/>
        </w:rPr>
      </w:pPr>
      <w:r w:rsidRPr="00DD0965">
        <w:rPr>
          <w:szCs w:val="22"/>
        </w:rPr>
        <w:t> </w:t>
      </w:r>
    </w:p>
    <w:p w:rsidR="00F65FB5" w:rsidRPr="00DD0965" w:rsidRDefault="00F65FB5" w:rsidP="00F65FB5">
      <w:pPr>
        <w:widowControl/>
        <w:numPr>
          <w:ilvl w:val="0"/>
          <w:numId w:val="12"/>
        </w:numPr>
        <w:rPr>
          <w:szCs w:val="22"/>
        </w:rPr>
      </w:pPr>
      <w:r w:rsidRPr="00DD0965">
        <w:rPr>
          <w:szCs w:val="22"/>
        </w:rPr>
        <w:t>All hand-delivered or messenger-delivered paper filings for the Commission’s Secretary must be delivered to FCC Headquarters at 445 12</w:t>
      </w:r>
      <w:r w:rsidRPr="00DD0965">
        <w:rPr>
          <w:szCs w:val="22"/>
          <w:vertAlign w:val="superscript"/>
        </w:rPr>
        <w:t>th</w:t>
      </w:r>
      <w:r w:rsidRPr="00DD0965">
        <w:rPr>
          <w:szCs w:val="22"/>
        </w:rPr>
        <w:t> St., SW, Room TW-A325, Washington, DC 20554.  The filing hours are 8:00 a.m. to 7:00 p.m.   All hand deliveries must be held together with rubber bands or fasteners.  Any envelopes and boxes must be disposed of before entering the building. </w:t>
      </w:r>
    </w:p>
    <w:p w:rsidR="00F65FB5" w:rsidRPr="00DD0965" w:rsidRDefault="00F65FB5" w:rsidP="00F65FB5">
      <w:pPr>
        <w:rPr>
          <w:szCs w:val="22"/>
        </w:rPr>
      </w:pPr>
      <w:r w:rsidRPr="00DD0965">
        <w:rPr>
          <w:szCs w:val="22"/>
        </w:rPr>
        <w:t> </w:t>
      </w:r>
    </w:p>
    <w:p w:rsidR="00F65FB5" w:rsidRPr="00DD0965" w:rsidRDefault="00F65FB5" w:rsidP="00F65FB5">
      <w:pPr>
        <w:widowControl/>
        <w:numPr>
          <w:ilvl w:val="0"/>
          <w:numId w:val="12"/>
        </w:numPr>
        <w:rPr>
          <w:szCs w:val="22"/>
        </w:rPr>
      </w:pPr>
      <w:r w:rsidRPr="00DD0965">
        <w:rPr>
          <w:szCs w:val="22"/>
        </w:rPr>
        <w:t>Commercial overnight mail (other than U.S. Postal Service Express Mail and Priority Mail) must be sent to 9300 East Hampton Drive, Capitol Heights, MD  20743.</w:t>
      </w:r>
    </w:p>
    <w:p w:rsidR="00F65FB5" w:rsidRDefault="00F65FB5" w:rsidP="00F65FB5">
      <w:pPr>
        <w:rPr>
          <w:szCs w:val="22"/>
        </w:rPr>
      </w:pPr>
      <w:r w:rsidRPr="00DD0965">
        <w:rPr>
          <w:szCs w:val="22"/>
        </w:rPr>
        <w:t> </w:t>
      </w:r>
    </w:p>
    <w:p w:rsidR="00F65FB5" w:rsidRPr="00DD0965" w:rsidRDefault="00F65FB5" w:rsidP="00F65FB5">
      <w:pPr>
        <w:widowControl/>
        <w:numPr>
          <w:ilvl w:val="0"/>
          <w:numId w:val="12"/>
        </w:numPr>
        <w:rPr>
          <w:szCs w:val="22"/>
        </w:rPr>
      </w:pPr>
      <w:r w:rsidRPr="00DD0965">
        <w:rPr>
          <w:szCs w:val="22"/>
        </w:rPr>
        <w:t>U.S. Postal Service first-class, Express, and Priority mail must be addressed to 445 12</w:t>
      </w:r>
      <w:r w:rsidRPr="00DD0965">
        <w:rPr>
          <w:szCs w:val="22"/>
          <w:vertAlign w:val="superscript"/>
        </w:rPr>
        <w:t>th</w:t>
      </w:r>
      <w:r w:rsidRPr="00DD0965">
        <w:rPr>
          <w:szCs w:val="22"/>
        </w:rPr>
        <w:t> Street, SW, Washington DC  20554.</w:t>
      </w:r>
    </w:p>
    <w:p w:rsidR="00F65FB5" w:rsidRPr="00D77A78" w:rsidRDefault="00F65FB5" w:rsidP="00F65FB5">
      <w:pPr>
        <w:rPr>
          <w:szCs w:val="22"/>
        </w:rPr>
      </w:pPr>
      <w:r w:rsidRPr="00DD0965">
        <w:rPr>
          <w:szCs w:val="22"/>
        </w:rPr>
        <w:t> </w:t>
      </w:r>
    </w:p>
    <w:p w:rsidR="00F65FB5" w:rsidRPr="00D77A78" w:rsidRDefault="00F65FB5" w:rsidP="00F65FB5">
      <w:pPr>
        <w:ind w:firstLine="720"/>
        <w:rPr>
          <w:szCs w:val="22"/>
        </w:rPr>
      </w:pPr>
      <w:r w:rsidRPr="00D77A78">
        <w:rPr>
          <w:szCs w:val="22"/>
        </w:rPr>
        <w:t xml:space="preserve">People with Disabilities:  To request materials in accessible formats for people with disabilities (braille, large print, electronic files, audio format), send an e-mail to </w:t>
      </w:r>
      <w:r w:rsidRPr="00334E38">
        <w:rPr>
          <w:color w:val="000000"/>
          <w:szCs w:val="22"/>
          <w:u w:val="single"/>
        </w:rPr>
        <w:t>fcc504@fcc.gov</w:t>
      </w:r>
      <w:r w:rsidRPr="00D77A78">
        <w:rPr>
          <w:szCs w:val="22"/>
        </w:rPr>
        <w:t xml:space="preserve"> or call the Consumer &amp; Governmental Affairs Bureau at 202-418-0530 (voice), 1-888-835-5322 (tty).</w:t>
      </w:r>
    </w:p>
    <w:p w:rsidR="00F65FB5" w:rsidRPr="00D77A78" w:rsidRDefault="00F65FB5" w:rsidP="00F65FB5">
      <w:pPr>
        <w:rPr>
          <w:b/>
          <w:szCs w:val="22"/>
        </w:rPr>
      </w:pPr>
    </w:p>
    <w:p w:rsidR="00F65FB5" w:rsidRPr="00D77A78" w:rsidRDefault="00F65FB5" w:rsidP="00F65FB5">
      <w:pPr>
        <w:rPr>
          <w:szCs w:val="22"/>
        </w:rPr>
      </w:pPr>
      <w:r w:rsidRPr="00D77A78">
        <w:rPr>
          <w:b/>
          <w:szCs w:val="22"/>
        </w:rPr>
        <w:t>In addition, provide one copy of each pleading to each of the following</w:t>
      </w:r>
      <w:r w:rsidRPr="00D77A78">
        <w:rPr>
          <w:szCs w:val="22"/>
        </w:rPr>
        <w:t>:</w:t>
      </w:r>
    </w:p>
    <w:p w:rsidR="00F65FB5" w:rsidRPr="00D77A78" w:rsidRDefault="00F65FB5" w:rsidP="00F65FB5">
      <w:pPr>
        <w:rPr>
          <w:szCs w:val="22"/>
        </w:rPr>
      </w:pPr>
    </w:p>
    <w:p w:rsidR="00F65FB5" w:rsidRPr="00661CD5" w:rsidRDefault="00F65FB5" w:rsidP="00F65FB5">
      <w:pPr>
        <w:widowControl/>
        <w:numPr>
          <w:ilvl w:val="0"/>
          <w:numId w:val="8"/>
        </w:numPr>
        <w:spacing w:after="120"/>
        <w:rPr>
          <w:color w:val="000000"/>
          <w:szCs w:val="22"/>
        </w:rPr>
      </w:pPr>
      <w:r w:rsidRPr="00D77A78">
        <w:rPr>
          <w:szCs w:val="22"/>
        </w:rPr>
        <w:t>Neil Dellar, Office of General Counsel</w:t>
      </w:r>
      <w:r w:rsidRPr="00661CD5">
        <w:rPr>
          <w:color w:val="000000"/>
          <w:szCs w:val="22"/>
        </w:rPr>
        <w:t xml:space="preserve">, </w:t>
      </w:r>
      <w:hyperlink r:id="rId9" w:history="1">
        <w:r w:rsidR="0043552C" w:rsidRPr="001D13A5">
          <w:rPr>
            <w:rStyle w:val="Hyperlink"/>
            <w:szCs w:val="22"/>
          </w:rPr>
          <w:t>transactionteam@fcc.gov</w:t>
        </w:r>
      </w:hyperlink>
      <w:hyperlink r:id="rId10" w:history="1">
        <w:r w:rsidR="00B527ED" w:rsidRPr="00B527ED">
          <w:rPr>
            <w:rStyle w:val="Hyperlink"/>
          </w:rPr>
          <w:t>mailto:</w:t>
        </w:r>
      </w:hyperlink>
      <w:r w:rsidRPr="00661CD5">
        <w:rPr>
          <w:color w:val="000000"/>
          <w:szCs w:val="22"/>
        </w:rPr>
        <w:t>;</w:t>
      </w:r>
    </w:p>
    <w:p w:rsidR="00F65FB5" w:rsidRPr="00661CD5" w:rsidRDefault="00F65FB5" w:rsidP="00F65FB5">
      <w:pPr>
        <w:widowControl/>
        <w:numPr>
          <w:ilvl w:val="0"/>
          <w:numId w:val="8"/>
        </w:numPr>
        <w:spacing w:after="120"/>
        <w:rPr>
          <w:color w:val="000000"/>
          <w:szCs w:val="22"/>
        </w:rPr>
      </w:pPr>
      <w:r w:rsidRPr="00661CD5">
        <w:rPr>
          <w:color w:val="000000"/>
          <w:szCs w:val="22"/>
        </w:rPr>
        <w:t xml:space="preserve">Dennis Johnson, Wireline Competition Bureau, </w:t>
      </w:r>
      <w:hyperlink r:id="rId11" w:history="1">
        <w:r w:rsidR="00AA228D" w:rsidRPr="001D13A5">
          <w:rPr>
            <w:rStyle w:val="Hyperlink"/>
            <w:szCs w:val="22"/>
          </w:rPr>
          <w:t>dennis.johnson@fcc.gov</w:t>
        </w:r>
      </w:hyperlink>
      <w:r w:rsidRPr="00661CD5">
        <w:rPr>
          <w:color w:val="000000"/>
          <w:szCs w:val="22"/>
        </w:rPr>
        <w:t>;</w:t>
      </w:r>
    </w:p>
    <w:p w:rsidR="00F65FB5" w:rsidRDefault="00F65FB5" w:rsidP="00F65FB5">
      <w:pPr>
        <w:widowControl/>
        <w:numPr>
          <w:ilvl w:val="0"/>
          <w:numId w:val="8"/>
        </w:numPr>
        <w:spacing w:after="120"/>
        <w:rPr>
          <w:color w:val="000000"/>
          <w:szCs w:val="22"/>
        </w:rPr>
      </w:pPr>
      <w:r w:rsidRPr="00661CD5">
        <w:rPr>
          <w:color w:val="000000"/>
          <w:szCs w:val="22"/>
        </w:rPr>
        <w:t>David Krech</w:t>
      </w:r>
      <w:r>
        <w:rPr>
          <w:color w:val="000000"/>
          <w:szCs w:val="22"/>
        </w:rPr>
        <w:t xml:space="preserve">, International Bureau, </w:t>
      </w:r>
      <w:hyperlink r:id="rId12" w:history="1">
        <w:r w:rsidRPr="00661CD5">
          <w:rPr>
            <w:rStyle w:val="Hyperlink"/>
            <w:color w:val="000000"/>
            <w:szCs w:val="22"/>
          </w:rPr>
          <w:t>david.krech@fcc.gov</w:t>
        </w:r>
      </w:hyperlink>
      <w:r w:rsidRPr="00661CD5">
        <w:rPr>
          <w:color w:val="000000"/>
          <w:szCs w:val="22"/>
        </w:rPr>
        <w:t xml:space="preserve">; </w:t>
      </w:r>
    </w:p>
    <w:p w:rsidR="00F65FB5" w:rsidRPr="00661CD5" w:rsidRDefault="00F65FB5" w:rsidP="00F65FB5">
      <w:pPr>
        <w:widowControl/>
        <w:numPr>
          <w:ilvl w:val="0"/>
          <w:numId w:val="8"/>
        </w:numPr>
        <w:spacing w:after="120"/>
        <w:rPr>
          <w:color w:val="000000"/>
          <w:szCs w:val="22"/>
        </w:rPr>
      </w:pPr>
      <w:r w:rsidRPr="00661CD5">
        <w:rPr>
          <w:color w:val="000000"/>
          <w:szCs w:val="22"/>
        </w:rPr>
        <w:t xml:space="preserve">Sumita Mukhoty, International Bureau, </w:t>
      </w:r>
      <w:hyperlink r:id="rId13" w:history="1">
        <w:r w:rsidR="00AA228D" w:rsidRPr="001D13A5">
          <w:rPr>
            <w:rStyle w:val="Hyperlink"/>
            <w:szCs w:val="22"/>
          </w:rPr>
          <w:t>sumita.mukhoty@fcc.gov</w:t>
        </w:r>
      </w:hyperlink>
      <w:r w:rsidRPr="00661CD5">
        <w:rPr>
          <w:color w:val="000000"/>
          <w:szCs w:val="22"/>
        </w:rPr>
        <w:t>;</w:t>
      </w:r>
    </w:p>
    <w:p w:rsidR="00F65FB5" w:rsidRPr="00661CD5" w:rsidRDefault="00F65FB5" w:rsidP="00F65FB5">
      <w:pPr>
        <w:widowControl/>
        <w:numPr>
          <w:ilvl w:val="0"/>
          <w:numId w:val="8"/>
        </w:numPr>
        <w:spacing w:after="120"/>
        <w:rPr>
          <w:color w:val="000000"/>
          <w:szCs w:val="22"/>
        </w:rPr>
      </w:pPr>
      <w:r w:rsidRPr="00661CD5">
        <w:rPr>
          <w:color w:val="000000"/>
          <w:szCs w:val="22"/>
        </w:rPr>
        <w:t xml:space="preserve">Brendan Holland, Media Bureau, </w:t>
      </w:r>
      <w:hyperlink r:id="rId14" w:history="1">
        <w:r w:rsidR="00AA228D" w:rsidRPr="001D13A5">
          <w:rPr>
            <w:rStyle w:val="Hyperlink"/>
            <w:szCs w:val="22"/>
          </w:rPr>
          <w:t>brendan.holland@fcc.gov</w:t>
        </w:r>
      </w:hyperlink>
      <w:r w:rsidRPr="00661CD5">
        <w:rPr>
          <w:color w:val="000000"/>
          <w:szCs w:val="22"/>
        </w:rPr>
        <w:t>;</w:t>
      </w:r>
    </w:p>
    <w:p w:rsidR="00F65FB5" w:rsidRPr="00661CD5" w:rsidRDefault="00F65FB5" w:rsidP="00F65FB5">
      <w:pPr>
        <w:widowControl/>
        <w:numPr>
          <w:ilvl w:val="0"/>
          <w:numId w:val="8"/>
        </w:numPr>
        <w:spacing w:after="120"/>
        <w:rPr>
          <w:color w:val="000000"/>
          <w:szCs w:val="22"/>
        </w:rPr>
      </w:pPr>
      <w:r w:rsidRPr="00661CD5">
        <w:rPr>
          <w:color w:val="000000"/>
          <w:szCs w:val="22"/>
        </w:rPr>
        <w:t xml:space="preserve">Jeffrey Neumann, Media Bureau, </w:t>
      </w:r>
      <w:hyperlink r:id="rId15" w:history="1">
        <w:r w:rsidR="00AA228D" w:rsidRPr="001D13A5">
          <w:rPr>
            <w:rStyle w:val="Hyperlink"/>
            <w:szCs w:val="22"/>
          </w:rPr>
          <w:t>jeffrey.neumann@fcc.gov</w:t>
        </w:r>
      </w:hyperlink>
      <w:r w:rsidRPr="00661CD5">
        <w:rPr>
          <w:color w:val="000000"/>
          <w:szCs w:val="22"/>
        </w:rPr>
        <w:t>;</w:t>
      </w:r>
    </w:p>
    <w:p w:rsidR="00F65FB5" w:rsidRPr="00661CD5" w:rsidRDefault="00F65FB5" w:rsidP="00F65FB5">
      <w:pPr>
        <w:widowControl/>
        <w:numPr>
          <w:ilvl w:val="0"/>
          <w:numId w:val="8"/>
        </w:numPr>
        <w:spacing w:after="120"/>
        <w:rPr>
          <w:color w:val="000000"/>
          <w:szCs w:val="22"/>
        </w:rPr>
      </w:pPr>
      <w:r w:rsidRPr="00661CD5">
        <w:rPr>
          <w:color w:val="000000"/>
          <w:szCs w:val="22"/>
        </w:rPr>
        <w:t xml:space="preserve">Linda Ray, Wireless Telecommunications Bureau, </w:t>
      </w:r>
      <w:hyperlink r:id="rId16" w:history="1">
        <w:r w:rsidR="00AA228D" w:rsidRPr="001D13A5">
          <w:rPr>
            <w:rStyle w:val="Hyperlink"/>
            <w:szCs w:val="22"/>
          </w:rPr>
          <w:t>linda.ray@fcc.gov</w:t>
        </w:r>
      </w:hyperlink>
      <w:r w:rsidRPr="00661CD5">
        <w:rPr>
          <w:color w:val="000000"/>
          <w:szCs w:val="22"/>
        </w:rPr>
        <w:t>;</w:t>
      </w:r>
    </w:p>
    <w:p w:rsidR="00F65FB5" w:rsidRPr="00D77A78" w:rsidRDefault="004A034F" w:rsidP="00F65FB5">
      <w:pPr>
        <w:widowControl/>
        <w:numPr>
          <w:ilvl w:val="0"/>
          <w:numId w:val="8"/>
        </w:numPr>
        <w:spacing w:after="120"/>
        <w:rPr>
          <w:color w:val="000000"/>
          <w:szCs w:val="22"/>
        </w:rPr>
      </w:pPr>
      <w:r>
        <w:rPr>
          <w:color w:val="000000"/>
          <w:szCs w:val="22"/>
        </w:rPr>
        <w:t>Kathy Harris</w:t>
      </w:r>
      <w:r w:rsidR="00F65FB5" w:rsidRPr="00D77A78">
        <w:rPr>
          <w:color w:val="000000"/>
          <w:szCs w:val="22"/>
        </w:rPr>
        <w:t xml:space="preserve">, Wireless Telecommunications Bureau, </w:t>
      </w:r>
      <w:hyperlink r:id="rId17" w:history="1">
        <w:r w:rsidR="0043552C" w:rsidRPr="001D13A5">
          <w:rPr>
            <w:rStyle w:val="Hyperlink"/>
            <w:szCs w:val="22"/>
          </w:rPr>
          <w:t>kathy.harris@fcc.gov</w:t>
        </w:r>
      </w:hyperlink>
      <w:r w:rsidR="00AA228D">
        <w:rPr>
          <w:color w:val="000000"/>
          <w:szCs w:val="22"/>
        </w:rPr>
        <w:t>.</w:t>
      </w:r>
    </w:p>
    <w:p w:rsidR="00F65FB5" w:rsidRPr="00D77A78" w:rsidRDefault="00F65FB5" w:rsidP="00F65FB5">
      <w:pPr>
        <w:ind w:firstLine="720"/>
        <w:rPr>
          <w:szCs w:val="22"/>
        </w:rPr>
      </w:pPr>
      <w:bookmarkStart w:id="4" w:name="SR;3162"/>
      <w:bookmarkEnd w:id="4"/>
      <w:r w:rsidRPr="00D77A78">
        <w:rPr>
          <w:szCs w:val="22"/>
        </w:rPr>
        <w:t xml:space="preserve">The proceeding in this Notice shall be treated as a “permit-but-disclose” proceeding in accordance with the Commission’s </w:t>
      </w:r>
      <w:r w:rsidRPr="00D77A78">
        <w:rPr>
          <w:i/>
          <w:iCs/>
          <w:szCs w:val="22"/>
        </w:rPr>
        <w:t xml:space="preserve">ex parte </w:t>
      </w:r>
      <w:r w:rsidRPr="00D77A78">
        <w:rPr>
          <w:szCs w:val="22"/>
        </w:rPr>
        <w:t>rules.</w:t>
      </w:r>
      <w:r w:rsidRPr="00D77A78">
        <w:rPr>
          <w:szCs w:val="22"/>
          <w:vertAlign w:val="superscript"/>
        </w:rPr>
        <w:footnoteReference w:id="14"/>
      </w:r>
      <w:r w:rsidRPr="00D77A78">
        <w:rPr>
          <w:szCs w:val="22"/>
        </w:rPr>
        <w:t xml:space="preserve">  Persons making </w:t>
      </w:r>
      <w:r w:rsidRPr="00D77A78">
        <w:rPr>
          <w:i/>
          <w:szCs w:val="22"/>
        </w:rPr>
        <w:t xml:space="preserve">ex parte </w:t>
      </w:r>
      <w:r w:rsidRPr="00D77A7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77A78">
        <w:rPr>
          <w:i/>
          <w:iCs/>
          <w:szCs w:val="22"/>
        </w:rPr>
        <w:t xml:space="preserve">ex parte </w:t>
      </w:r>
      <w:r w:rsidRPr="00D77A78">
        <w:rPr>
          <w:szCs w:val="22"/>
        </w:rPr>
        <w:t xml:space="preserve">presentations are reminded that memoranda summarizing the presentation must (1) list all persons attending or otherwise participating in the meeting at which the </w:t>
      </w:r>
      <w:r w:rsidRPr="00D77A78">
        <w:rPr>
          <w:i/>
          <w:iCs/>
          <w:szCs w:val="22"/>
        </w:rPr>
        <w:t xml:space="preserve">ex parte </w:t>
      </w:r>
      <w:r w:rsidRPr="00D77A7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77A78">
        <w:rPr>
          <w:i/>
          <w:iCs/>
          <w:szCs w:val="22"/>
        </w:rPr>
        <w:t xml:space="preserve">ex parte </w:t>
      </w:r>
      <w:r w:rsidRPr="00D77A78">
        <w:rPr>
          <w:szCs w:val="22"/>
        </w:rPr>
        <w:t xml:space="preserve">meetings are deemed to be written </w:t>
      </w:r>
      <w:r w:rsidRPr="00D77A78">
        <w:rPr>
          <w:i/>
          <w:iCs/>
          <w:szCs w:val="22"/>
        </w:rPr>
        <w:t>ex parte</w:t>
      </w:r>
      <w:r w:rsidRPr="00D77A78">
        <w:rPr>
          <w:szCs w:val="22"/>
        </w:rPr>
        <w:t xml:space="preserve"> presentations and must be filed consistent with rule 1.1206(b), 47 C.F.R. § 1.1206(b).  Participants in this proceeding should familiarize themselves with the Commission’s </w:t>
      </w:r>
      <w:r w:rsidRPr="00D77A78">
        <w:rPr>
          <w:i/>
          <w:iCs/>
          <w:szCs w:val="22"/>
        </w:rPr>
        <w:t xml:space="preserve">ex parte </w:t>
      </w:r>
      <w:r w:rsidRPr="00D77A78">
        <w:rPr>
          <w:szCs w:val="22"/>
        </w:rPr>
        <w:t>rules.</w:t>
      </w:r>
    </w:p>
    <w:p w:rsidR="00F65FB5" w:rsidRPr="00D77A78" w:rsidRDefault="00F65FB5" w:rsidP="00F65FB5">
      <w:pPr>
        <w:ind w:firstLine="720"/>
        <w:rPr>
          <w:szCs w:val="22"/>
        </w:rPr>
      </w:pPr>
    </w:p>
    <w:p w:rsidR="00F65FB5" w:rsidRPr="00D77A78" w:rsidRDefault="00F65FB5" w:rsidP="00F65FB5">
      <w:pPr>
        <w:spacing w:after="240"/>
        <w:ind w:firstLine="720"/>
        <w:rPr>
          <w:szCs w:val="22"/>
        </w:rPr>
      </w:pPr>
      <w:r w:rsidRPr="00D77A78">
        <w:rPr>
          <w:spacing w:val="-2"/>
          <w:szCs w:val="22"/>
        </w:rPr>
        <w:t xml:space="preserve">To allow the Commission to consider fully all substantive issues regarding the Applications in as timely and efficient a manner as possible, </w:t>
      </w:r>
      <w:r w:rsidRPr="00D77A78">
        <w:rPr>
          <w:szCs w:val="22"/>
        </w:rPr>
        <w:t>petitioners and commenters should raise all issues in their initial filings.  New issues may not be raised in responses or replies.</w:t>
      </w:r>
      <w:r w:rsidRPr="00D77A78">
        <w:rPr>
          <w:szCs w:val="22"/>
          <w:vertAlign w:val="superscript"/>
        </w:rPr>
        <w:footnoteReference w:id="15"/>
      </w:r>
      <w:r w:rsidRPr="00D77A7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65FB5" w:rsidRPr="00D77A78" w:rsidRDefault="00F65FB5" w:rsidP="00F65FB5">
      <w:pPr>
        <w:rPr>
          <w:szCs w:val="22"/>
        </w:rPr>
      </w:pPr>
      <w:r w:rsidRPr="00D77A78">
        <w:rPr>
          <w:szCs w:val="22"/>
        </w:rPr>
        <w:tab/>
        <w:t xml:space="preserve">For further information, please contact Dennis Johnson, Wireline Competition Bureau, (202) 418-0809; </w:t>
      </w:r>
      <w:r>
        <w:rPr>
          <w:szCs w:val="22"/>
        </w:rPr>
        <w:t>D</w:t>
      </w:r>
      <w:r w:rsidRPr="00D77A78">
        <w:rPr>
          <w:szCs w:val="22"/>
        </w:rPr>
        <w:t xml:space="preserve">avid Krech, International </w:t>
      </w:r>
      <w:r>
        <w:rPr>
          <w:szCs w:val="22"/>
        </w:rPr>
        <w:t xml:space="preserve">Bureau, (202) 418-7443; Sumita Mukhoty, International Bureau, (202)-418-7165; </w:t>
      </w:r>
      <w:r w:rsidRPr="00D77A78">
        <w:rPr>
          <w:szCs w:val="22"/>
        </w:rPr>
        <w:t>Jeff</w:t>
      </w:r>
      <w:r>
        <w:rPr>
          <w:szCs w:val="22"/>
        </w:rPr>
        <w:t>rey</w:t>
      </w:r>
      <w:r w:rsidRPr="00D77A78">
        <w:rPr>
          <w:szCs w:val="22"/>
        </w:rPr>
        <w:t xml:space="preserve"> Neumann, Media Bureau, (202) 418-2046; Linda Ray, Wireless Telecommunications Bureau, (202) 418-0257; or </w:t>
      </w:r>
      <w:r w:rsidR="004A034F">
        <w:rPr>
          <w:szCs w:val="22"/>
        </w:rPr>
        <w:t>Kathy Harris</w:t>
      </w:r>
      <w:r w:rsidRPr="00D77A78">
        <w:rPr>
          <w:szCs w:val="22"/>
        </w:rPr>
        <w:t>, Wireless Telecomm</w:t>
      </w:r>
      <w:r w:rsidR="0031431F">
        <w:rPr>
          <w:szCs w:val="22"/>
        </w:rPr>
        <w:t>unications Bureau (202) 418-0609</w:t>
      </w:r>
      <w:r w:rsidRPr="00D77A78">
        <w:rPr>
          <w:szCs w:val="22"/>
        </w:rPr>
        <w:t>.</w:t>
      </w:r>
    </w:p>
    <w:p w:rsidR="00F65FB5" w:rsidRPr="00D77A78" w:rsidRDefault="00F65FB5" w:rsidP="00F65FB5">
      <w:pPr>
        <w:ind w:left="720" w:right="720"/>
        <w:rPr>
          <w:szCs w:val="22"/>
        </w:rPr>
      </w:pPr>
    </w:p>
    <w:p w:rsidR="00F65FB5" w:rsidRPr="00320218" w:rsidRDefault="00F65FB5" w:rsidP="002C5FF6">
      <w:pPr>
        <w:jc w:val="center"/>
      </w:pPr>
      <w:r w:rsidRPr="00D77A78">
        <w:rPr>
          <w:b/>
          <w:szCs w:val="22"/>
        </w:rPr>
        <w:t>- FCC -</w:t>
      </w:r>
    </w:p>
    <w:p w:rsidR="006A1F49" w:rsidRDefault="006A1F49" w:rsidP="00D47505">
      <w:pPr>
        <w:spacing w:before="120" w:after="240"/>
        <w:rPr>
          <w:sz w:val="24"/>
        </w:rPr>
      </w:pPr>
    </w:p>
    <w:sectPr w:rsidR="006A1F49" w:rsidSect="00DF0810">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87EA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F65FB5" w:rsidRPr="00C61438" w:rsidRDefault="00F65FB5" w:rsidP="00F65FB5">
      <w:pPr>
        <w:pStyle w:val="FootnoteText"/>
      </w:pPr>
      <w:r w:rsidRPr="00AA1563">
        <w:rPr>
          <w:rStyle w:val="FootnoteReference"/>
        </w:rPr>
        <w:footnoteRef/>
      </w:r>
      <w:r w:rsidRPr="00AA1563">
        <w:t xml:space="preserve"> </w:t>
      </w:r>
      <w:r w:rsidRPr="00C61438">
        <w:t xml:space="preserve">47 U.S.C. §§ 214, 310(d).  </w:t>
      </w:r>
      <w:r w:rsidRPr="00C61438">
        <w:rPr>
          <w:i/>
        </w:rPr>
        <w:t>National Rural Utilities Cooperative Finance Corporation and Atlantic Tele-Network, Inc. Consol</w:t>
      </w:r>
      <w:r>
        <w:rPr>
          <w:i/>
        </w:rPr>
        <w:t>idated Application for Consent T</w:t>
      </w:r>
      <w:r w:rsidRPr="00C61438">
        <w:rPr>
          <w:i/>
        </w:rPr>
        <w:t>o Transfer Control of Domestic and International Section 214 Authority</w:t>
      </w:r>
      <w:r>
        <w:t>, WC Docket No. 15-264</w:t>
      </w:r>
      <w:r w:rsidRPr="00C61438">
        <w:t xml:space="preserve"> (filed Oct. 30, 2015) (Lead Application).  Applicants state that the Innovative Companies also include St. Croix C</w:t>
      </w:r>
      <w:r>
        <w:t>able TV, Inc. d/b/a Innovative C</w:t>
      </w:r>
      <w:r w:rsidRPr="00C61438">
        <w:t>able TV St. Croix and VI PowerNet, LLC, which do not hold Commission licenses.</w:t>
      </w:r>
    </w:p>
  </w:footnote>
  <w:footnote w:id="3">
    <w:p w:rsidR="00F65FB5" w:rsidRPr="00C61438" w:rsidRDefault="00F65FB5" w:rsidP="00F65FB5">
      <w:pPr>
        <w:pStyle w:val="FootnoteText"/>
      </w:pPr>
      <w:r w:rsidRPr="00C61438">
        <w:rPr>
          <w:rStyle w:val="FootnoteReference"/>
        </w:rPr>
        <w:footnoteRef/>
      </w:r>
      <w:r w:rsidRPr="00C61438">
        <w:t xml:space="preserve"> Applicants submitted a list of licenses and authorizations by licensee/authorization holder.  </w:t>
      </w:r>
      <w:r w:rsidRPr="00C61438">
        <w:rPr>
          <w:i/>
        </w:rPr>
        <w:t>Id.</w:t>
      </w:r>
      <w:r w:rsidRPr="00C61438">
        <w:t xml:space="preserve"> at Att. 2.  The U</w:t>
      </w:r>
      <w:r>
        <w:t>.</w:t>
      </w:r>
      <w:r w:rsidRPr="00C61438">
        <w:t>S</w:t>
      </w:r>
      <w:r>
        <w:t xml:space="preserve">. </w:t>
      </w:r>
      <w:r w:rsidRPr="00C61438">
        <w:t>V</w:t>
      </w:r>
      <w:r>
        <w:t>irgin Islands</w:t>
      </w:r>
      <w:r w:rsidRPr="00C61438">
        <w:t xml:space="preserve"> consists of three discontiguous islands, St. Thomas, St. Croix, and St. John, and other minor islands.</w:t>
      </w:r>
    </w:p>
  </w:footnote>
  <w:footnote w:id="4">
    <w:p w:rsidR="00F65FB5" w:rsidRPr="00C61438" w:rsidRDefault="00F65FB5" w:rsidP="00F65FB5">
      <w:pPr>
        <w:pStyle w:val="FootnoteText"/>
      </w:pPr>
      <w:r w:rsidRPr="00C61438">
        <w:rPr>
          <w:rStyle w:val="FootnoteReference"/>
        </w:rPr>
        <w:footnoteRef/>
      </w:r>
      <w:r w:rsidRPr="00C61438">
        <w:t xml:space="preserve"> Lead Application, Att. 1, Description of Proposed Transaction, Public Interest Statement, and Related Requests and Showings (Public Interest Statement)</w:t>
      </w:r>
      <w:r>
        <w:t>,</w:t>
      </w:r>
      <w:r w:rsidRPr="00C61438">
        <w:t xml:space="preserve"> at 4.</w:t>
      </w:r>
    </w:p>
  </w:footnote>
  <w:footnote w:id="5">
    <w:p w:rsidR="00F65FB5" w:rsidRPr="001B3C54" w:rsidRDefault="00F65FB5" w:rsidP="00F65FB5">
      <w:pPr>
        <w:pStyle w:val="FootnoteText"/>
      </w:pPr>
      <w:r w:rsidRPr="00C61438">
        <w:rPr>
          <w:rStyle w:val="FootnoteReference"/>
        </w:rPr>
        <w:footnoteRef/>
      </w:r>
      <w:r w:rsidRPr="00C61438">
        <w:t xml:space="preserve"> Applicants state that ATN also provides wireless and wireline telecommunications services in Guyana, Aruba, and Bermuda.  </w:t>
      </w:r>
      <w:r w:rsidRPr="00C61438">
        <w:rPr>
          <w:i/>
        </w:rPr>
        <w:t>Id</w:t>
      </w:r>
      <w:r w:rsidRPr="00C61438">
        <w:t>. at 11-12.</w:t>
      </w:r>
      <w:r>
        <w:t xml:space="preserve">  ATN is classified as a dominant carrier on the U.S.-Guyana route pursuant to section 63.10 of the Commission’s rules.  47 C.F.R. § 63.10.  The Innovative Companies agree to be classified as dominant on the U.S.-Guyana route </w:t>
      </w:r>
      <w:r w:rsidRPr="00934A24">
        <w:t xml:space="preserve">pursuant to </w:t>
      </w:r>
      <w:r>
        <w:t xml:space="preserve">section </w:t>
      </w:r>
      <w:r w:rsidRPr="00934A24">
        <w:t>63.10</w:t>
      </w:r>
      <w:r>
        <w:t xml:space="preserve"> of the Commission’s rules following consummation of the proposed transaction.  </w:t>
      </w:r>
      <w:r>
        <w:rPr>
          <w:i/>
        </w:rPr>
        <w:t>Id.</w:t>
      </w:r>
      <w:r>
        <w:t xml:space="preserve"> at 8-9.</w:t>
      </w:r>
    </w:p>
  </w:footnote>
  <w:footnote w:id="6">
    <w:p w:rsidR="00F65FB5" w:rsidRPr="00C61438" w:rsidRDefault="00F65FB5" w:rsidP="00F65FB5">
      <w:pPr>
        <w:pStyle w:val="FootnoteText"/>
      </w:pPr>
      <w:r w:rsidRPr="00C61438">
        <w:rPr>
          <w:rStyle w:val="FootnoteReference"/>
        </w:rPr>
        <w:footnoteRef/>
      </w:r>
      <w:r w:rsidRPr="00C61438">
        <w:t xml:space="preserve"> </w:t>
      </w:r>
      <w:r w:rsidRPr="00C61438">
        <w:rPr>
          <w:i/>
        </w:rPr>
        <w:t>Id</w:t>
      </w:r>
      <w:r w:rsidRPr="00C61438">
        <w:t>. at 12.</w:t>
      </w:r>
    </w:p>
  </w:footnote>
  <w:footnote w:id="7">
    <w:p w:rsidR="00F65FB5" w:rsidRPr="00C61438" w:rsidRDefault="00F65FB5" w:rsidP="00F65FB5">
      <w:pPr>
        <w:pStyle w:val="FootnoteText"/>
      </w:pPr>
      <w:r w:rsidRPr="00C61438">
        <w:rPr>
          <w:rStyle w:val="FootnoteReference"/>
        </w:rPr>
        <w:footnoteRef/>
      </w:r>
      <w:r w:rsidRPr="00C61438">
        <w:t xml:space="preserve"> </w:t>
      </w:r>
      <w:r w:rsidRPr="00C61438">
        <w:rPr>
          <w:i/>
        </w:rPr>
        <w:t>Id</w:t>
      </w:r>
      <w:r w:rsidRPr="00C61438">
        <w:t>. at 16-19.</w:t>
      </w:r>
    </w:p>
  </w:footnote>
  <w:footnote w:id="8">
    <w:p w:rsidR="00F65FB5" w:rsidRPr="00C61438" w:rsidRDefault="00F65FB5" w:rsidP="00F65FB5">
      <w:pPr>
        <w:pStyle w:val="FootnoteText"/>
      </w:pPr>
      <w:r w:rsidRPr="00C61438">
        <w:rPr>
          <w:rStyle w:val="FootnoteReference"/>
        </w:rPr>
        <w:footnoteRef/>
      </w:r>
      <w:r w:rsidRPr="00C61438">
        <w:t xml:space="preserve"> </w:t>
      </w:r>
      <w:r w:rsidRPr="00C61438">
        <w:rPr>
          <w:i/>
        </w:rPr>
        <w:t>Id</w:t>
      </w:r>
      <w:r w:rsidRPr="00C61438">
        <w:t>. at 19-21.</w:t>
      </w:r>
    </w:p>
  </w:footnote>
  <w:footnote w:id="9">
    <w:p w:rsidR="00F65FB5" w:rsidRPr="00C61438" w:rsidRDefault="00F65FB5" w:rsidP="00F65FB5">
      <w:pPr>
        <w:pStyle w:val="FootnoteText"/>
      </w:pPr>
      <w:r w:rsidRPr="00C61438">
        <w:rPr>
          <w:rStyle w:val="FootnoteReference"/>
        </w:rPr>
        <w:footnoteRef/>
      </w:r>
      <w:r w:rsidRPr="00C61438">
        <w:t xml:space="preserve"> </w:t>
      </w:r>
      <w:r w:rsidRPr="00C61438">
        <w:rPr>
          <w:i/>
        </w:rPr>
        <w:t>Id</w:t>
      </w:r>
      <w:r w:rsidRPr="00C61438">
        <w:t>. at 23-24.</w:t>
      </w:r>
    </w:p>
  </w:footnote>
  <w:footnote w:id="10">
    <w:p w:rsidR="00F65FB5" w:rsidRDefault="00F65FB5" w:rsidP="00F65FB5">
      <w:pPr>
        <w:pStyle w:val="FootnoteText"/>
      </w:pPr>
      <w:r>
        <w:rPr>
          <w:rStyle w:val="FootnoteReference"/>
        </w:rPr>
        <w:footnoteRef/>
      </w:r>
      <w:r>
        <w:t xml:space="preserve"> </w:t>
      </w:r>
      <w:r w:rsidRPr="001D430E">
        <w:rPr>
          <w:i/>
        </w:rPr>
        <w:t>Id</w:t>
      </w:r>
      <w:r w:rsidRPr="001D430E">
        <w:t>. at 24-26.</w:t>
      </w:r>
    </w:p>
  </w:footnote>
  <w:footnote w:id="11">
    <w:p w:rsidR="00F65FB5" w:rsidRPr="00C61438" w:rsidRDefault="00F65FB5" w:rsidP="00F65FB5">
      <w:pPr>
        <w:pStyle w:val="FootnoteText"/>
      </w:pPr>
      <w:r w:rsidRPr="00C61438">
        <w:rPr>
          <w:rStyle w:val="FootnoteReference"/>
        </w:rPr>
        <w:footnoteRef/>
      </w:r>
      <w:r w:rsidRPr="00C61438">
        <w:t xml:space="preserve"> </w:t>
      </w:r>
      <w:r w:rsidRPr="00C61438">
        <w:rPr>
          <w:i/>
        </w:rPr>
        <w:t>Id</w:t>
      </w:r>
      <w:r w:rsidRPr="00C61438">
        <w:t>. at 27-41.</w:t>
      </w:r>
    </w:p>
  </w:footnote>
  <w:footnote w:id="12">
    <w:p w:rsidR="00F65FB5" w:rsidRPr="001B3C54" w:rsidRDefault="00F65FB5" w:rsidP="00F65FB5">
      <w:pPr>
        <w:pStyle w:val="FootnoteText"/>
      </w:pPr>
      <w:r>
        <w:rPr>
          <w:rStyle w:val="FootnoteReference"/>
        </w:rPr>
        <w:footnoteRef/>
      </w:r>
      <w:r>
        <w:t xml:space="preserve"> </w:t>
      </w:r>
      <w:r w:rsidRPr="00892161">
        <w:t xml:space="preserve">DTR’s wholly-owned subsidiary, Innovative Long Distance, Inc., provides international services under DTR’s Section 214 authorization, ITC-214-1990330-00206, pursuant to </w:t>
      </w:r>
      <w:r>
        <w:t xml:space="preserve">section </w:t>
      </w:r>
      <w:r w:rsidRPr="00892161">
        <w:t>63.21(h)</w:t>
      </w:r>
      <w:r>
        <w:t xml:space="preserve"> of the Commission’s rules</w:t>
      </w:r>
      <w:r w:rsidRPr="00892161">
        <w:t xml:space="preserve">. </w:t>
      </w:r>
      <w:r>
        <w:t xml:space="preserve"> </w:t>
      </w:r>
      <w:r w:rsidRPr="00892161">
        <w:rPr>
          <w:i/>
        </w:rPr>
        <w:t>Id.</w:t>
      </w:r>
      <w:r w:rsidRPr="00892161">
        <w:t xml:space="preserve"> at 4, n. 1</w:t>
      </w:r>
      <w:r>
        <w:t xml:space="preserve">; 47 </w:t>
      </w:r>
      <w:r>
        <w:rPr>
          <w:color w:val="000000"/>
        </w:rPr>
        <w:t>C.F.R. § 63.21(h).</w:t>
      </w:r>
    </w:p>
  </w:footnote>
  <w:footnote w:id="13">
    <w:p w:rsidR="00F65FB5" w:rsidRPr="00E74FA9" w:rsidRDefault="00F65FB5" w:rsidP="00F65FB5">
      <w:pPr>
        <w:pStyle w:val="FootnoteText"/>
        <w:rPr>
          <w:color w:val="000000"/>
        </w:rPr>
      </w:pPr>
      <w:r w:rsidRPr="00E74FA9">
        <w:rPr>
          <w:rStyle w:val="FootnoteReference"/>
          <w:color w:val="000000"/>
        </w:rPr>
        <w:footnoteRef/>
      </w:r>
      <w:r w:rsidRPr="00E74FA9">
        <w:rPr>
          <w:color w:val="000000"/>
        </w:rPr>
        <w:t xml:space="preserve"> </w:t>
      </w:r>
      <w:r w:rsidRPr="00E74FA9">
        <w:rPr>
          <w:i/>
          <w:color w:val="000000"/>
        </w:rPr>
        <w:t>See</w:t>
      </w:r>
      <w:r w:rsidRPr="00E74FA9">
        <w:rPr>
          <w:color w:val="000000"/>
        </w:rPr>
        <w:t xml:space="preserve"> 47 C.F.R. § 63.03(c)(1).</w:t>
      </w:r>
    </w:p>
  </w:footnote>
  <w:footnote w:id="14">
    <w:p w:rsidR="00F65FB5" w:rsidRPr="00E74FA9" w:rsidRDefault="00F65FB5" w:rsidP="00F65FB5">
      <w:pPr>
        <w:pStyle w:val="FootnoteText"/>
        <w:rPr>
          <w:i/>
          <w:iCs/>
        </w:rPr>
      </w:pPr>
      <w:r w:rsidRPr="00E74FA9">
        <w:rPr>
          <w:rStyle w:val="FootnoteReference"/>
        </w:rPr>
        <w:footnoteRef/>
      </w:r>
      <w:r w:rsidRPr="00E74FA9">
        <w:t xml:space="preserve"> 47 C.F.R. §§ 1.1200 </w:t>
      </w:r>
      <w:r w:rsidRPr="00E74FA9">
        <w:rPr>
          <w:i/>
          <w:iCs/>
        </w:rPr>
        <w:t>et seq.</w:t>
      </w:r>
    </w:p>
  </w:footnote>
  <w:footnote w:id="15">
    <w:p w:rsidR="00F65FB5" w:rsidRPr="00E74FA9" w:rsidRDefault="00F65FB5" w:rsidP="00F65FB5">
      <w:pPr>
        <w:pStyle w:val="FootnoteText"/>
      </w:pPr>
      <w:r w:rsidRPr="00E74FA9">
        <w:rPr>
          <w:rStyle w:val="FootnoteReference"/>
        </w:rPr>
        <w:footnoteRef/>
      </w:r>
      <w:r w:rsidRPr="00E74FA9">
        <w:t xml:space="preserve"> </w:t>
      </w:r>
      <w:r w:rsidRPr="00E74FA9">
        <w:rPr>
          <w:i/>
        </w:rPr>
        <w:t>See</w:t>
      </w:r>
      <w:r w:rsidRPr="00E74FA9">
        <w:t xml:space="preserve"> 47 C.F.R.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ED" w:rsidRDefault="00B52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ED" w:rsidRDefault="00B52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_x0000_s1028"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292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5" w:name="_Hlt233824"/>
                          <w:r w:rsidR="007F413A">
                            <w:rPr>
                              <w:rFonts w:ascii="Arial" w:hAnsi="Arial"/>
                              <w:b/>
                              <w:sz w:val="16"/>
                            </w:rPr>
                            <w:fldChar w:fldCharType="begin"/>
                          </w:r>
                          <w:r w:rsidR="00D87EA5">
                            <w:rPr>
                              <w:rFonts w:ascii="Arial" w:hAnsi="Arial"/>
                              <w:b/>
                              <w:sz w:val="16"/>
                            </w:rPr>
                            <w:instrText>HYPERLINK "https://www.fcc.gov/"</w:instrText>
                          </w:r>
                          <w:r w:rsidR="00D87EA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5"/>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6" w:name="_Hlt233824"/>
                    <w:r w:rsidR="007F413A">
                      <w:rPr>
                        <w:rFonts w:ascii="Arial" w:hAnsi="Arial"/>
                        <w:b/>
                        <w:sz w:val="16"/>
                      </w:rPr>
                      <w:fldChar w:fldCharType="begin"/>
                    </w:r>
                    <w:r w:rsidR="00D87EA5">
                      <w:rPr>
                        <w:rFonts w:ascii="Arial" w:hAnsi="Arial"/>
                        <w:b/>
                        <w:sz w:val="16"/>
                      </w:rPr>
                      <w:instrText>HYPERLINK "https://www.fcc.gov/"</w:instrText>
                    </w:r>
                    <w:r w:rsidR="00D87EA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6"/>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7C970FC"/>
    <w:multiLevelType w:val="hybridMultilevel"/>
    <w:tmpl w:val="79342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BD39A2"/>
    <w:multiLevelType w:val="hybridMultilevel"/>
    <w:tmpl w:val="50BE07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76CDC"/>
    <w:rsid w:val="000875BF"/>
    <w:rsid w:val="00096D8C"/>
    <w:rsid w:val="000C0B65"/>
    <w:rsid w:val="000E05FE"/>
    <w:rsid w:val="000E3D42"/>
    <w:rsid w:val="00121A66"/>
    <w:rsid w:val="00122BD5"/>
    <w:rsid w:val="00133F79"/>
    <w:rsid w:val="00194A66"/>
    <w:rsid w:val="001D6BCF"/>
    <w:rsid w:val="001E01CA"/>
    <w:rsid w:val="00264409"/>
    <w:rsid w:val="00274546"/>
    <w:rsid w:val="00275CF5"/>
    <w:rsid w:val="0028301F"/>
    <w:rsid w:val="00285017"/>
    <w:rsid w:val="002A2D2E"/>
    <w:rsid w:val="002C00E8"/>
    <w:rsid w:val="002C5FF6"/>
    <w:rsid w:val="0031431F"/>
    <w:rsid w:val="00341499"/>
    <w:rsid w:val="00343749"/>
    <w:rsid w:val="003660ED"/>
    <w:rsid w:val="003B0550"/>
    <w:rsid w:val="003B694F"/>
    <w:rsid w:val="003F171C"/>
    <w:rsid w:val="00412FC5"/>
    <w:rsid w:val="00422276"/>
    <w:rsid w:val="004242F1"/>
    <w:rsid w:val="0043552C"/>
    <w:rsid w:val="00445A00"/>
    <w:rsid w:val="00451B0F"/>
    <w:rsid w:val="004A034F"/>
    <w:rsid w:val="004C2EE3"/>
    <w:rsid w:val="004E4A22"/>
    <w:rsid w:val="00511968"/>
    <w:rsid w:val="0055614C"/>
    <w:rsid w:val="005A78E9"/>
    <w:rsid w:val="005B110A"/>
    <w:rsid w:val="005C729E"/>
    <w:rsid w:val="005E14C2"/>
    <w:rsid w:val="00607BA5"/>
    <w:rsid w:val="0061180A"/>
    <w:rsid w:val="00626EB6"/>
    <w:rsid w:val="00655D03"/>
    <w:rsid w:val="00683388"/>
    <w:rsid w:val="00683F84"/>
    <w:rsid w:val="006A1F49"/>
    <w:rsid w:val="006A6A81"/>
    <w:rsid w:val="006B1456"/>
    <w:rsid w:val="006F7393"/>
    <w:rsid w:val="0070224F"/>
    <w:rsid w:val="007115F7"/>
    <w:rsid w:val="00743C7C"/>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228D"/>
    <w:rsid w:val="00AA55B7"/>
    <w:rsid w:val="00AA5B9E"/>
    <w:rsid w:val="00AB2407"/>
    <w:rsid w:val="00AB53DF"/>
    <w:rsid w:val="00AC424B"/>
    <w:rsid w:val="00AF46DC"/>
    <w:rsid w:val="00B07E5C"/>
    <w:rsid w:val="00B20363"/>
    <w:rsid w:val="00B338A9"/>
    <w:rsid w:val="00B527ED"/>
    <w:rsid w:val="00B679AB"/>
    <w:rsid w:val="00B76DB8"/>
    <w:rsid w:val="00B811F7"/>
    <w:rsid w:val="00BA5DC6"/>
    <w:rsid w:val="00BA6196"/>
    <w:rsid w:val="00BC6D8C"/>
    <w:rsid w:val="00C00091"/>
    <w:rsid w:val="00C34006"/>
    <w:rsid w:val="00C426B1"/>
    <w:rsid w:val="00C66160"/>
    <w:rsid w:val="00C721AC"/>
    <w:rsid w:val="00C90D6A"/>
    <w:rsid w:val="00CA247E"/>
    <w:rsid w:val="00CC72B6"/>
    <w:rsid w:val="00CC776F"/>
    <w:rsid w:val="00D0218D"/>
    <w:rsid w:val="00D25FB5"/>
    <w:rsid w:val="00D44223"/>
    <w:rsid w:val="00D47505"/>
    <w:rsid w:val="00D87EA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65FB5"/>
    <w:rsid w:val="00F8591E"/>
    <w:rsid w:val="00F93BF5"/>
    <w:rsid w:val="00FB46E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link w:val="FootnoteTextChar"/>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HeaderChar">
    <w:name w:val="Header Char"/>
    <w:basedOn w:val="DefaultParagraphFont"/>
    <w:link w:val="Header"/>
    <w:rsid w:val="00F65FB5"/>
    <w:rPr>
      <w:rFonts w:ascii="Arial" w:hAnsi="Arial" w:cs="Arial"/>
      <w:b/>
      <w:snapToGrid w:val="0"/>
      <w:kern w:val="28"/>
      <w:sz w:val="9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F65FB5"/>
  </w:style>
  <w:style w:type="character" w:styleId="FollowedHyperlink">
    <w:name w:val="FollowedHyperlink"/>
    <w:basedOn w:val="DefaultParagraphFont"/>
    <w:rsid w:val="00AA22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link w:val="FootnoteTextChar"/>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HeaderChar">
    <w:name w:val="Header Char"/>
    <w:basedOn w:val="DefaultParagraphFont"/>
    <w:link w:val="Header"/>
    <w:rsid w:val="00F65FB5"/>
    <w:rPr>
      <w:rFonts w:ascii="Arial" w:hAnsi="Arial" w:cs="Arial"/>
      <w:b/>
      <w:snapToGrid w:val="0"/>
      <w:kern w:val="28"/>
      <w:sz w:val="9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F65FB5"/>
  </w:style>
  <w:style w:type="character" w:styleId="FollowedHyperlink">
    <w:name w:val="FollowedHyperlink"/>
    <w:basedOn w:val="DefaultParagraphFont"/>
    <w:rsid w:val="00AA2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mita.mukhoty@fc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avid.krech@fcc.gov" TargetMode="External"/><Relationship Id="rId17" Type="http://schemas.openxmlformats.org/officeDocument/2006/relationships/hyperlink" Target="mailto:kathy.harris@fc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nda.ray@fcc.gov"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ennis.johnson@fcc.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ffrey.neumann@fcc.gov" TargetMode="External"/><Relationship Id="rId23" Type="http://schemas.openxmlformats.org/officeDocument/2006/relationships/footer" Target="footer3.xml"/><Relationship Id="rId10" Type="http://schemas.openxmlformats.org/officeDocument/2006/relationships/hyperlink" Target="mailt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ransactionteam@fcc.gov" TargetMode="External"/><Relationship Id="rId14" Type="http://schemas.openxmlformats.org/officeDocument/2006/relationships/hyperlink" Target="mailto:brendan.holland@fcc.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9875</Characters>
  <Application>Microsoft Office Word</Application>
  <DocSecurity>0</DocSecurity>
  <Lines>243</Lines>
  <Paragraphs>88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11548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2015-11-19T14:54:00Z</cp:lastPrinted>
  <dcterms:created xsi:type="dcterms:W3CDTF">2015-11-19T16:34:00Z</dcterms:created>
  <dcterms:modified xsi:type="dcterms:W3CDTF">2015-11-19T16:34:00Z</dcterms:modified>
  <cp:category> </cp:category>
  <cp:contentStatus> </cp:contentStatus>
</cp:coreProperties>
</file>