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5712C" w14:textId="33F9FAC2" w:rsidR="000A1DDD" w:rsidRPr="0013167C" w:rsidRDefault="000A1DDD" w:rsidP="00156D36">
      <w:pPr>
        <w:pStyle w:val="Title"/>
        <w:keepNext/>
        <w:widowControl/>
        <w:outlineLvl w:val="0"/>
        <w:rPr>
          <w:b/>
          <w:sz w:val="22"/>
          <w:szCs w:val="22"/>
        </w:rPr>
      </w:pPr>
      <w:bookmarkStart w:id="0" w:name="_GoBack"/>
      <w:bookmarkEnd w:id="0"/>
      <w:r w:rsidRPr="0013167C">
        <w:rPr>
          <w:b/>
          <w:sz w:val="22"/>
          <w:szCs w:val="22"/>
        </w:rPr>
        <w:t>Before the</w:t>
      </w:r>
    </w:p>
    <w:p w14:paraId="5C2365A5" w14:textId="77777777" w:rsidR="000A1DDD" w:rsidRPr="0013167C" w:rsidRDefault="000A1DDD" w:rsidP="00156D36">
      <w:pPr>
        <w:pStyle w:val="Title"/>
        <w:keepNext/>
        <w:widowControl/>
        <w:outlineLvl w:val="0"/>
        <w:rPr>
          <w:b/>
          <w:sz w:val="22"/>
          <w:szCs w:val="22"/>
        </w:rPr>
      </w:pPr>
      <w:r w:rsidRPr="0013167C">
        <w:rPr>
          <w:b/>
          <w:sz w:val="22"/>
          <w:szCs w:val="22"/>
        </w:rPr>
        <w:t>Federal Communications Commission</w:t>
      </w:r>
    </w:p>
    <w:p w14:paraId="54FF61C7" w14:textId="77777777" w:rsidR="000A1DDD" w:rsidRPr="0013167C" w:rsidRDefault="000A1DDD" w:rsidP="00156D36">
      <w:pPr>
        <w:pStyle w:val="Title"/>
        <w:keepNext/>
        <w:widowControl/>
        <w:outlineLvl w:val="0"/>
        <w:rPr>
          <w:b/>
          <w:sz w:val="22"/>
          <w:szCs w:val="22"/>
        </w:rPr>
      </w:pPr>
      <w:r w:rsidRPr="0013167C">
        <w:rPr>
          <w:b/>
          <w:sz w:val="22"/>
          <w:szCs w:val="22"/>
        </w:rPr>
        <w:t>Washington, D.C. 20554</w:t>
      </w:r>
    </w:p>
    <w:p w14:paraId="6456EC47" w14:textId="77777777" w:rsidR="000A1DDD" w:rsidRDefault="000A1DDD" w:rsidP="00156D36">
      <w:pPr>
        <w:pStyle w:val="Title"/>
        <w:keepNext/>
        <w:widowControl/>
        <w:outlineLvl w:val="0"/>
        <w:rPr>
          <w:b/>
          <w:sz w:val="22"/>
          <w:szCs w:val="22"/>
        </w:rPr>
      </w:pPr>
    </w:p>
    <w:p w14:paraId="59C7AE85" w14:textId="77777777" w:rsidR="00156D36" w:rsidRPr="0013167C" w:rsidRDefault="00156D36" w:rsidP="00156D36">
      <w:pPr>
        <w:pStyle w:val="Title"/>
        <w:keepNext/>
        <w:widowControl/>
        <w:outlineLvl w:val="0"/>
        <w:rPr>
          <w:b/>
          <w:sz w:val="22"/>
          <w:szCs w:val="22"/>
        </w:rPr>
      </w:pPr>
    </w:p>
    <w:tbl>
      <w:tblPr>
        <w:tblW w:w="9576" w:type="dxa"/>
        <w:tblLayout w:type="fixed"/>
        <w:tblLook w:val="0000" w:firstRow="0" w:lastRow="0" w:firstColumn="0" w:lastColumn="0" w:noHBand="0" w:noVBand="0"/>
      </w:tblPr>
      <w:tblGrid>
        <w:gridCol w:w="4698"/>
        <w:gridCol w:w="630"/>
        <w:gridCol w:w="4248"/>
      </w:tblGrid>
      <w:tr w:rsidR="000A1DDD" w:rsidRPr="0013167C" w14:paraId="2803934B" w14:textId="77777777" w:rsidTr="00061846">
        <w:tc>
          <w:tcPr>
            <w:tcW w:w="4698" w:type="dxa"/>
          </w:tcPr>
          <w:p w14:paraId="75B34997" w14:textId="32647B54" w:rsidR="000A1DDD" w:rsidRPr="0013167C" w:rsidRDefault="000A1DDD" w:rsidP="00156D36">
            <w:pPr>
              <w:keepNext/>
              <w:widowControl/>
              <w:tabs>
                <w:tab w:val="center" w:pos="4680"/>
              </w:tabs>
              <w:suppressAutoHyphens/>
              <w:rPr>
                <w:kern w:val="22"/>
                <w:szCs w:val="22"/>
              </w:rPr>
            </w:pPr>
            <w:r w:rsidRPr="0013167C">
              <w:rPr>
                <w:kern w:val="22"/>
                <w:szCs w:val="22"/>
              </w:rPr>
              <w:t xml:space="preserve">In the </w:t>
            </w:r>
            <w:r w:rsidR="00D809BA" w:rsidRPr="0013167C">
              <w:rPr>
                <w:kern w:val="22"/>
                <w:szCs w:val="22"/>
              </w:rPr>
              <w:t>M</w:t>
            </w:r>
            <w:r w:rsidRPr="0013167C">
              <w:rPr>
                <w:kern w:val="22"/>
                <w:szCs w:val="22"/>
              </w:rPr>
              <w:t>atter of</w:t>
            </w:r>
          </w:p>
          <w:p w14:paraId="7A1B11F9" w14:textId="77777777" w:rsidR="000A1DDD" w:rsidRPr="0013167C" w:rsidRDefault="000A1DDD" w:rsidP="00156D36">
            <w:pPr>
              <w:keepNext/>
              <w:widowControl/>
              <w:tabs>
                <w:tab w:val="center" w:pos="4680"/>
              </w:tabs>
              <w:suppressAutoHyphens/>
              <w:rPr>
                <w:kern w:val="22"/>
                <w:szCs w:val="22"/>
              </w:rPr>
            </w:pPr>
          </w:p>
          <w:p w14:paraId="7B8D81DA" w14:textId="15EA7967" w:rsidR="000A1DDD" w:rsidRPr="0013167C" w:rsidRDefault="00A72ADD" w:rsidP="00156D36">
            <w:pPr>
              <w:keepNext/>
              <w:widowControl/>
              <w:rPr>
                <w:szCs w:val="22"/>
              </w:rPr>
            </w:pPr>
            <w:r w:rsidRPr="0013167C">
              <w:rPr>
                <w:szCs w:val="22"/>
              </w:rPr>
              <w:t>Wypoint Telecom, Inc.</w:t>
            </w:r>
            <w:r w:rsidR="005444E9" w:rsidRPr="0013167C">
              <w:rPr>
                <w:szCs w:val="22"/>
              </w:rPr>
              <w:t>, Termination of International Section 214 Authorization</w:t>
            </w:r>
          </w:p>
          <w:p w14:paraId="7333D611" w14:textId="77777777" w:rsidR="00EB0618" w:rsidRPr="0013167C" w:rsidRDefault="00EB0618" w:rsidP="00156D36">
            <w:pPr>
              <w:keepNext/>
              <w:widowControl/>
              <w:rPr>
                <w:b/>
                <w:caps/>
                <w:kern w:val="22"/>
                <w:szCs w:val="22"/>
              </w:rPr>
            </w:pPr>
          </w:p>
          <w:p w14:paraId="32CB9B60" w14:textId="77777777" w:rsidR="000A1DDD" w:rsidRPr="0013167C" w:rsidRDefault="000A1DDD" w:rsidP="00156D36">
            <w:pPr>
              <w:keepNext/>
              <w:widowControl/>
              <w:rPr>
                <w:kern w:val="22"/>
                <w:szCs w:val="22"/>
              </w:rPr>
            </w:pPr>
          </w:p>
        </w:tc>
        <w:tc>
          <w:tcPr>
            <w:tcW w:w="630" w:type="dxa"/>
          </w:tcPr>
          <w:p w14:paraId="48147AA1" w14:textId="77777777" w:rsidR="000A1DDD" w:rsidRPr="0013167C" w:rsidRDefault="000A1DDD" w:rsidP="00156D36">
            <w:pPr>
              <w:keepNext/>
              <w:widowControl/>
              <w:tabs>
                <w:tab w:val="center" w:pos="4680"/>
              </w:tabs>
              <w:suppressAutoHyphens/>
              <w:rPr>
                <w:kern w:val="22"/>
                <w:szCs w:val="22"/>
              </w:rPr>
            </w:pPr>
            <w:r w:rsidRPr="0013167C">
              <w:rPr>
                <w:kern w:val="22"/>
                <w:szCs w:val="22"/>
              </w:rPr>
              <w:t>)</w:t>
            </w:r>
          </w:p>
          <w:p w14:paraId="54B15AA3" w14:textId="77777777" w:rsidR="000A1DDD" w:rsidRPr="0013167C" w:rsidRDefault="000A1DDD" w:rsidP="00156D36">
            <w:pPr>
              <w:keepNext/>
              <w:widowControl/>
              <w:tabs>
                <w:tab w:val="center" w:pos="4680"/>
              </w:tabs>
              <w:suppressAutoHyphens/>
              <w:rPr>
                <w:kern w:val="22"/>
                <w:szCs w:val="22"/>
              </w:rPr>
            </w:pPr>
            <w:r w:rsidRPr="0013167C">
              <w:rPr>
                <w:kern w:val="22"/>
                <w:szCs w:val="22"/>
              </w:rPr>
              <w:t>)</w:t>
            </w:r>
          </w:p>
          <w:p w14:paraId="32EF0B7D" w14:textId="77777777" w:rsidR="000A1DDD" w:rsidRPr="0013167C" w:rsidRDefault="000A1DDD" w:rsidP="00156D36">
            <w:pPr>
              <w:keepNext/>
              <w:widowControl/>
              <w:tabs>
                <w:tab w:val="center" w:pos="4680"/>
              </w:tabs>
              <w:suppressAutoHyphens/>
              <w:rPr>
                <w:kern w:val="22"/>
                <w:szCs w:val="22"/>
              </w:rPr>
            </w:pPr>
            <w:r w:rsidRPr="0013167C">
              <w:rPr>
                <w:kern w:val="22"/>
                <w:szCs w:val="22"/>
              </w:rPr>
              <w:t>)</w:t>
            </w:r>
          </w:p>
          <w:p w14:paraId="26A8412A" w14:textId="1A3E887B" w:rsidR="00EB0618" w:rsidRPr="0013167C" w:rsidRDefault="000A1DDD" w:rsidP="00156D36">
            <w:pPr>
              <w:keepNext/>
              <w:widowControl/>
              <w:tabs>
                <w:tab w:val="center" w:pos="4680"/>
              </w:tabs>
              <w:suppressAutoHyphens/>
              <w:rPr>
                <w:kern w:val="22"/>
                <w:szCs w:val="22"/>
              </w:rPr>
            </w:pPr>
            <w:r w:rsidRPr="0013167C">
              <w:rPr>
                <w:kern w:val="22"/>
                <w:szCs w:val="22"/>
              </w:rPr>
              <w:t>)</w:t>
            </w:r>
          </w:p>
          <w:p w14:paraId="00436157" w14:textId="77777777" w:rsidR="003665F2" w:rsidRDefault="003665F2" w:rsidP="00156D36">
            <w:pPr>
              <w:pStyle w:val="Header"/>
              <w:keepNext/>
              <w:widowControl/>
              <w:suppressAutoHyphens/>
              <w:rPr>
                <w:kern w:val="22"/>
                <w:szCs w:val="22"/>
              </w:rPr>
            </w:pPr>
          </w:p>
          <w:p w14:paraId="32F139E7" w14:textId="691C5DB2" w:rsidR="00156D36" w:rsidRPr="0013167C" w:rsidRDefault="00156D36" w:rsidP="00156D36">
            <w:pPr>
              <w:pStyle w:val="Header"/>
              <w:keepNext/>
              <w:widowControl/>
              <w:suppressAutoHyphens/>
              <w:rPr>
                <w:kern w:val="22"/>
                <w:szCs w:val="22"/>
              </w:rPr>
            </w:pPr>
          </w:p>
        </w:tc>
        <w:tc>
          <w:tcPr>
            <w:tcW w:w="4248" w:type="dxa"/>
          </w:tcPr>
          <w:p w14:paraId="6B4719F3" w14:textId="77777777" w:rsidR="000A1DDD" w:rsidRPr="0013167C" w:rsidRDefault="000A1DDD" w:rsidP="00156D36">
            <w:pPr>
              <w:keepNext/>
              <w:widowControl/>
              <w:tabs>
                <w:tab w:val="center" w:pos="4680"/>
              </w:tabs>
              <w:suppressAutoHyphens/>
              <w:rPr>
                <w:kern w:val="22"/>
                <w:szCs w:val="22"/>
              </w:rPr>
            </w:pPr>
          </w:p>
          <w:p w14:paraId="5C7F0353" w14:textId="77777777" w:rsidR="00156D36" w:rsidRDefault="00156D36" w:rsidP="00156D36">
            <w:pPr>
              <w:keepNext/>
              <w:widowControl/>
              <w:rPr>
                <w:szCs w:val="22"/>
              </w:rPr>
            </w:pPr>
          </w:p>
          <w:p w14:paraId="21BB609D" w14:textId="77777777" w:rsidR="005444E9" w:rsidRPr="0013167C" w:rsidRDefault="005444E9" w:rsidP="00156D36">
            <w:pPr>
              <w:keepNext/>
              <w:widowControl/>
              <w:rPr>
                <w:szCs w:val="22"/>
              </w:rPr>
            </w:pPr>
            <w:r w:rsidRPr="0013167C">
              <w:rPr>
                <w:szCs w:val="22"/>
              </w:rPr>
              <w:t>ITC-214-20070601-00211</w:t>
            </w:r>
          </w:p>
          <w:p w14:paraId="2C7618B7" w14:textId="77777777" w:rsidR="000A1DDD" w:rsidRPr="0013167C" w:rsidRDefault="000A1DDD" w:rsidP="00156D36">
            <w:pPr>
              <w:keepNext/>
              <w:widowControl/>
              <w:tabs>
                <w:tab w:val="center" w:pos="4680"/>
              </w:tabs>
              <w:suppressAutoHyphens/>
              <w:rPr>
                <w:kern w:val="22"/>
                <w:szCs w:val="22"/>
              </w:rPr>
            </w:pPr>
          </w:p>
          <w:p w14:paraId="499EE85E" w14:textId="3B5A43FC" w:rsidR="000A1DDD" w:rsidRPr="0013167C" w:rsidRDefault="000A1DDD" w:rsidP="00156D36">
            <w:pPr>
              <w:keepNext/>
              <w:widowControl/>
              <w:tabs>
                <w:tab w:val="center" w:pos="4680"/>
              </w:tabs>
              <w:suppressAutoHyphens/>
              <w:spacing w:after="120"/>
              <w:rPr>
                <w:kern w:val="22"/>
                <w:szCs w:val="22"/>
              </w:rPr>
            </w:pPr>
          </w:p>
          <w:p w14:paraId="7045275A" w14:textId="77777777" w:rsidR="000A1DDD" w:rsidRPr="0013167C" w:rsidRDefault="000A1DDD" w:rsidP="00156D36">
            <w:pPr>
              <w:keepNext/>
              <w:widowControl/>
              <w:tabs>
                <w:tab w:val="center" w:pos="4680"/>
              </w:tabs>
              <w:suppressAutoHyphens/>
              <w:spacing w:after="120"/>
              <w:rPr>
                <w:kern w:val="22"/>
                <w:szCs w:val="22"/>
              </w:rPr>
            </w:pPr>
          </w:p>
        </w:tc>
      </w:tr>
    </w:tbl>
    <w:p w14:paraId="2C3677CB" w14:textId="7865AA34" w:rsidR="00317490" w:rsidRPr="0013167C" w:rsidRDefault="00181119" w:rsidP="00156D36">
      <w:pPr>
        <w:keepNext/>
        <w:widowControl/>
        <w:jc w:val="center"/>
        <w:rPr>
          <w:b/>
          <w:bCs/>
          <w:kern w:val="22"/>
          <w:szCs w:val="22"/>
        </w:rPr>
      </w:pPr>
      <w:r w:rsidRPr="0013167C">
        <w:rPr>
          <w:b/>
          <w:bCs/>
          <w:kern w:val="22"/>
          <w:szCs w:val="22"/>
        </w:rPr>
        <w:t>ORDER</w:t>
      </w:r>
    </w:p>
    <w:p w14:paraId="409E6E87" w14:textId="77777777" w:rsidR="000A1DDD" w:rsidRPr="0013167C" w:rsidRDefault="000A1DDD" w:rsidP="00156D36">
      <w:pPr>
        <w:keepNext/>
        <w:widowControl/>
        <w:rPr>
          <w:kern w:val="22"/>
          <w:szCs w:val="22"/>
        </w:rPr>
      </w:pPr>
    </w:p>
    <w:p w14:paraId="19030B56" w14:textId="4C9242AF" w:rsidR="000A1DDD" w:rsidRPr="0013167C" w:rsidRDefault="008C578C" w:rsidP="00156D36">
      <w:pPr>
        <w:keepNext/>
        <w:widowControl/>
        <w:rPr>
          <w:kern w:val="22"/>
          <w:szCs w:val="22"/>
        </w:rPr>
      </w:pPr>
      <w:r w:rsidRPr="0013167C">
        <w:rPr>
          <w:kern w:val="22"/>
          <w:szCs w:val="22"/>
        </w:rPr>
        <w:t xml:space="preserve">Adopted: </w:t>
      </w:r>
      <w:r w:rsidR="00C26E45">
        <w:rPr>
          <w:kern w:val="22"/>
          <w:szCs w:val="22"/>
        </w:rPr>
        <w:t xml:space="preserve"> </w:t>
      </w:r>
      <w:r w:rsidR="00986D22">
        <w:rPr>
          <w:kern w:val="22"/>
          <w:szCs w:val="22"/>
        </w:rPr>
        <w:t>November</w:t>
      </w:r>
      <w:r w:rsidRPr="0013167C">
        <w:rPr>
          <w:kern w:val="22"/>
          <w:szCs w:val="22"/>
        </w:rPr>
        <w:t xml:space="preserve"> </w:t>
      </w:r>
      <w:r w:rsidR="0074505A">
        <w:rPr>
          <w:kern w:val="22"/>
          <w:szCs w:val="22"/>
        </w:rPr>
        <w:t>20</w:t>
      </w:r>
      <w:r w:rsidRPr="0013167C">
        <w:rPr>
          <w:kern w:val="22"/>
          <w:szCs w:val="22"/>
        </w:rPr>
        <w:t>, 2015</w:t>
      </w:r>
      <w:r w:rsidR="000A1DDD" w:rsidRPr="0013167C">
        <w:rPr>
          <w:b/>
          <w:kern w:val="22"/>
          <w:szCs w:val="22"/>
        </w:rPr>
        <w:tab/>
      </w:r>
      <w:r w:rsidRPr="0013167C">
        <w:rPr>
          <w:kern w:val="22"/>
          <w:szCs w:val="22"/>
        </w:rPr>
        <w:tab/>
      </w:r>
      <w:r w:rsidRPr="0013167C">
        <w:rPr>
          <w:kern w:val="22"/>
          <w:szCs w:val="22"/>
        </w:rPr>
        <w:tab/>
      </w:r>
      <w:r w:rsidRPr="0013167C">
        <w:rPr>
          <w:kern w:val="22"/>
          <w:szCs w:val="22"/>
        </w:rPr>
        <w:tab/>
      </w:r>
      <w:r w:rsidR="00986D22">
        <w:rPr>
          <w:kern w:val="22"/>
          <w:szCs w:val="22"/>
        </w:rPr>
        <w:tab/>
      </w:r>
      <w:r w:rsidR="00986D22">
        <w:rPr>
          <w:kern w:val="22"/>
          <w:szCs w:val="22"/>
        </w:rPr>
        <w:tab/>
      </w:r>
      <w:r w:rsidRPr="0013167C">
        <w:rPr>
          <w:kern w:val="22"/>
          <w:szCs w:val="22"/>
        </w:rPr>
        <w:t xml:space="preserve">Released: </w:t>
      </w:r>
      <w:r w:rsidR="00986D22">
        <w:rPr>
          <w:kern w:val="22"/>
          <w:szCs w:val="22"/>
        </w:rPr>
        <w:t xml:space="preserve"> November</w:t>
      </w:r>
      <w:r w:rsidRPr="0013167C">
        <w:rPr>
          <w:kern w:val="22"/>
          <w:szCs w:val="22"/>
        </w:rPr>
        <w:t xml:space="preserve"> </w:t>
      </w:r>
      <w:r w:rsidR="0074505A">
        <w:rPr>
          <w:kern w:val="22"/>
          <w:szCs w:val="22"/>
        </w:rPr>
        <w:t>20</w:t>
      </w:r>
      <w:r w:rsidRPr="0013167C">
        <w:rPr>
          <w:kern w:val="22"/>
          <w:szCs w:val="22"/>
        </w:rPr>
        <w:t>, 2015</w:t>
      </w:r>
    </w:p>
    <w:p w14:paraId="24D69100" w14:textId="77777777" w:rsidR="000A1DDD" w:rsidRPr="0013167C" w:rsidRDefault="000A1DDD" w:rsidP="00156D36">
      <w:pPr>
        <w:keepNext/>
        <w:widowControl/>
        <w:rPr>
          <w:kern w:val="22"/>
          <w:szCs w:val="22"/>
        </w:rPr>
      </w:pPr>
    </w:p>
    <w:p w14:paraId="5FF0B5DC" w14:textId="77777777" w:rsidR="001450B1" w:rsidRDefault="001450B1" w:rsidP="00156D36">
      <w:pPr>
        <w:keepNext/>
        <w:widowControl/>
        <w:rPr>
          <w:kern w:val="22"/>
          <w:szCs w:val="22"/>
        </w:rPr>
      </w:pPr>
      <w:r w:rsidRPr="001450B1">
        <w:rPr>
          <w:kern w:val="22"/>
          <w:szCs w:val="22"/>
        </w:rPr>
        <w:t>By the Chief, Policy Division, International Bureau:</w:t>
      </w:r>
    </w:p>
    <w:p w14:paraId="404BE5B1" w14:textId="77777777" w:rsidR="001450B1" w:rsidRPr="001450B1" w:rsidRDefault="001450B1" w:rsidP="00156D36">
      <w:pPr>
        <w:keepNext/>
        <w:widowControl/>
        <w:rPr>
          <w:kern w:val="22"/>
          <w:szCs w:val="22"/>
        </w:rPr>
      </w:pPr>
    </w:p>
    <w:p w14:paraId="5E3A4014" w14:textId="77777777" w:rsidR="001450B1" w:rsidRPr="001450B1" w:rsidRDefault="001450B1" w:rsidP="00156D36">
      <w:pPr>
        <w:pStyle w:val="Heading1"/>
        <w:widowControl/>
        <w:rPr>
          <w:rFonts w:eastAsiaTheme="minorHAnsi"/>
          <w:snapToGrid/>
        </w:rPr>
      </w:pPr>
      <w:r w:rsidRPr="001450B1">
        <w:rPr>
          <w:rFonts w:eastAsiaTheme="minorHAnsi"/>
          <w:snapToGrid/>
        </w:rPr>
        <w:t>INTRODUCTION</w:t>
      </w:r>
    </w:p>
    <w:p w14:paraId="7BB919B3" w14:textId="13410733" w:rsidR="001450B1" w:rsidRPr="001450B1" w:rsidRDefault="001450B1" w:rsidP="00156D36">
      <w:pPr>
        <w:pStyle w:val="ParaNum"/>
        <w:keepNext/>
        <w:widowControl/>
        <w:rPr>
          <w:rFonts w:eastAsiaTheme="minorHAnsi"/>
          <w:snapToGrid/>
        </w:rPr>
      </w:pPr>
      <w:r w:rsidRPr="001450B1">
        <w:rPr>
          <w:rFonts w:eastAsiaTheme="minorHAnsi"/>
          <w:snapToGrid/>
        </w:rPr>
        <w:t xml:space="preserve">By this Order, we declare the international section 214 authorization </w:t>
      </w:r>
      <w:r w:rsidR="00C052BF">
        <w:rPr>
          <w:rFonts w:eastAsiaTheme="minorHAnsi"/>
          <w:snapToGrid/>
        </w:rPr>
        <w:t xml:space="preserve">granted </w:t>
      </w:r>
      <w:r w:rsidR="003501BF">
        <w:rPr>
          <w:rFonts w:eastAsiaTheme="minorHAnsi"/>
          <w:snapToGrid/>
        </w:rPr>
        <w:t xml:space="preserve">to </w:t>
      </w:r>
      <w:r w:rsidRPr="001450B1">
        <w:rPr>
          <w:rFonts w:eastAsiaTheme="minorHAnsi"/>
          <w:snapToGrid/>
        </w:rPr>
        <w:t>Wypoint Telecom, Inc. (formerly known as Sage VOIP Solutions, Inc., and hereafter referred to as Wypoint) terminated given Wypoint’s inability to comply with an express condition for holding the authorization</w:t>
      </w:r>
      <w:r w:rsidR="00C052BF">
        <w:rPr>
          <w:rFonts w:eastAsiaTheme="minorHAnsi"/>
          <w:snapToGrid/>
        </w:rPr>
        <w:t xml:space="preserve">.  </w:t>
      </w:r>
      <w:r w:rsidR="00C33149">
        <w:rPr>
          <w:rFonts w:eastAsiaTheme="minorHAnsi"/>
          <w:snapToGrid/>
        </w:rPr>
        <w:t xml:space="preserve"> </w:t>
      </w:r>
      <w:r w:rsidR="00C052BF">
        <w:rPr>
          <w:rFonts w:eastAsiaTheme="minorHAnsi"/>
          <w:snapToGrid/>
        </w:rPr>
        <w:t xml:space="preserve">We also conclude </w:t>
      </w:r>
      <w:r w:rsidR="00450603">
        <w:rPr>
          <w:rFonts w:eastAsiaTheme="minorHAnsi"/>
          <w:snapToGrid/>
        </w:rPr>
        <w:t xml:space="preserve">that </w:t>
      </w:r>
      <w:r w:rsidR="00C052BF">
        <w:rPr>
          <w:rFonts w:eastAsiaTheme="minorHAnsi"/>
          <w:snapToGrid/>
        </w:rPr>
        <w:t xml:space="preserve">Wypoint </w:t>
      </w:r>
      <w:r w:rsidRPr="001450B1">
        <w:rPr>
          <w:rFonts w:eastAsiaTheme="minorHAnsi"/>
          <w:snapToGrid/>
        </w:rPr>
        <w:t>fail</w:t>
      </w:r>
      <w:r w:rsidR="00C052BF">
        <w:rPr>
          <w:rFonts w:eastAsiaTheme="minorHAnsi"/>
          <w:snapToGrid/>
        </w:rPr>
        <w:t>ed</w:t>
      </w:r>
      <w:r w:rsidRPr="001450B1">
        <w:rPr>
          <w:rFonts w:eastAsiaTheme="minorHAnsi"/>
          <w:snapToGrid/>
        </w:rPr>
        <w:t xml:space="preserve"> to comply with those requirements of the </w:t>
      </w:r>
      <w:r w:rsidR="003501BF">
        <w:rPr>
          <w:rFonts w:eastAsiaTheme="minorHAnsi"/>
          <w:snapToGrid/>
        </w:rPr>
        <w:t xml:space="preserve">Communications </w:t>
      </w:r>
      <w:r w:rsidRPr="001450B1">
        <w:rPr>
          <w:rFonts w:eastAsiaTheme="minorHAnsi"/>
          <w:snapToGrid/>
        </w:rPr>
        <w:t xml:space="preserve">Act </w:t>
      </w:r>
      <w:r w:rsidR="003501BF">
        <w:rPr>
          <w:rFonts w:eastAsiaTheme="minorHAnsi"/>
          <w:snapToGrid/>
        </w:rPr>
        <w:t xml:space="preserve">of 1934 (the Act) </w:t>
      </w:r>
      <w:r w:rsidRPr="001450B1">
        <w:rPr>
          <w:rFonts w:eastAsiaTheme="minorHAnsi"/>
          <w:snapToGrid/>
        </w:rPr>
        <w:t>and the Commission’s rules that ensure that the Commission can contact and communicate with the authorization holder</w:t>
      </w:r>
      <w:r w:rsidR="00450603">
        <w:rPr>
          <w:rFonts w:eastAsiaTheme="minorHAnsi"/>
          <w:snapToGrid/>
        </w:rPr>
        <w:t>, which failures have prevented any way of addressing Wypoint’s inability to comply with the condition of its authorization</w:t>
      </w:r>
      <w:r w:rsidR="00C33149">
        <w:rPr>
          <w:rFonts w:eastAsiaTheme="minorHAnsi"/>
          <w:snapToGrid/>
        </w:rPr>
        <w:t>.</w:t>
      </w:r>
      <w:r w:rsidRPr="001450B1">
        <w:rPr>
          <w:rFonts w:eastAsiaTheme="minorHAnsi"/>
          <w:snapToGrid/>
          <w:sz w:val="20"/>
          <w:vertAlign w:val="superscript"/>
        </w:rPr>
        <w:footnoteReference w:id="2"/>
      </w:r>
      <w:r w:rsidRPr="001450B1">
        <w:rPr>
          <w:rFonts w:eastAsiaTheme="minorHAnsi"/>
          <w:snapToGrid/>
        </w:rPr>
        <w:t xml:space="preserve">    </w:t>
      </w:r>
    </w:p>
    <w:p w14:paraId="071BF173" w14:textId="77777777" w:rsidR="001450B1" w:rsidRPr="001450B1" w:rsidRDefault="001450B1" w:rsidP="00156D36">
      <w:pPr>
        <w:pStyle w:val="Heading1"/>
        <w:widowControl/>
        <w:rPr>
          <w:rFonts w:eastAsiaTheme="minorHAnsi"/>
          <w:snapToGrid/>
        </w:rPr>
      </w:pPr>
      <w:r w:rsidRPr="001450B1">
        <w:rPr>
          <w:rFonts w:eastAsiaTheme="minorHAnsi"/>
          <w:snapToGrid/>
        </w:rPr>
        <w:t>BACKGROUND</w:t>
      </w:r>
    </w:p>
    <w:p w14:paraId="560A8159" w14:textId="176FB99A" w:rsidR="001450B1" w:rsidRPr="001450B1" w:rsidRDefault="001450B1" w:rsidP="00156D36">
      <w:pPr>
        <w:pStyle w:val="ParaNum"/>
        <w:keepNext/>
        <w:widowControl/>
        <w:rPr>
          <w:rFonts w:eastAsiaTheme="minorHAnsi"/>
          <w:snapToGrid/>
        </w:rPr>
      </w:pPr>
      <w:r w:rsidRPr="001450B1">
        <w:rPr>
          <w:rFonts w:eastAsiaTheme="minorHAnsi"/>
          <w:snapToGrid/>
        </w:rPr>
        <w:t xml:space="preserve">Section 214(a) of the </w:t>
      </w:r>
      <w:r w:rsidR="008C1D3C">
        <w:rPr>
          <w:rFonts w:eastAsiaTheme="minorHAnsi"/>
          <w:snapToGrid/>
        </w:rPr>
        <w:t>Act</w:t>
      </w:r>
      <w:r w:rsidRPr="001450B1">
        <w:rPr>
          <w:rFonts w:eastAsiaTheme="minorHAnsi"/>
          <w:snapToGrid/>
        </w:rPr>
        <w:t xml:space="preserve"> prohibits any carrier from constructing, extending, acquiring, or operating any line, and from engaging in transmission through any such line, without first obtaining a certificate of authorization from the Commission.</w:t>
      </w:r>
      <w:r w:rsidRPr="001450B1">
        <w:rPr>
          <w:rFonts w:eastAsiaTheme="minorHAnsi"/>
          <w:snapToGrid/>
          <w:kern w:val="22"/>
          <w:sz w:val="20"/>
          <w:vertAlign w:val="superscript"/>
        </w:rPr>
        <w:footnoteReference w:id="3"/>
      </w:r>
      <w:r w:rsidRPr="001450B1">
        <w:rPr>
          <w:rFonts w:eastAsiaTheme="minorHAnsi"/>
          <w:snapToGrid/>
        </w:rPr>
        <w:t xml:space="preserve">  Under section 214(c) of the Act, the Commission “may attach to the issuance of the certificate such terms and conditions as in its judgment the public convenience and necessity may require.”</w:t>
      </w:r>
      <w:r w:rsidRPr="001450B1">
        <w:rPr>
          <w:rFonts w:eastAsiaTheme="minorHAnsi"/>
          <w:snapToGrid/>
          <w:sz w:val="20"/>
          <w:vertAlign w:val="superscript"/>
        </w:rPr>
        <w:footnoteReference w:id="4"/>
      </w:r>
      <w:r w:rsidRPr="001450B1">
        <w:rPr>
          <w:rFonts w:eastAsiaTheme="minorHAnsi"/>
          <w:snapToGrid/>
        </w:rPr>
        <w:t xml:space="preserve">  On July 27, 2007, the International Bureau granted Wypoint an international section 214 authorization to provide global or limited global facilities-based service and global or limited global resale service in accordance with sections 63.18(e)(1) and 63.18(e)(2) of the </w:t>
      </w:r>
      <w:r w:rsidRPr="001450B1">
        <w:rPr>
          <w:rFonts w:eastAsiaTheme="minorHAnsi"/>
          <w:snapToGrid/>
        </w:rPr>
        <w:lastRenderedPageBreak/>
        <w:t>Commission’s rules.</w:t>
      </w:r>
      <w:r w:rsidRPr="001450B1">
        <w:rPr>
          <w:rFonts w:eastAsiaTheme="minorHAnsi"/>
          <w:snapToGrid/>
          <w:sz w:val="20"/>
          <w:vertAlign w:val="superscript"/>
        </w:rPr>
        <w:footnoteReference w:id="5"/>
      </w:r>
      <w:r w:rsidRPr="001450B1">
        <w:rPr>
          <w:rFonts w:eastAsiaTheme="minorHAnsi"/>
          <w:snapToGrid/>
        </w:rPr>
        <w:t xml:space="preserve">  The International Bureau granted the application on the express condition that Wypoint abide by the commitments and undertakings contained in its Letter of Assurance (LOA) to the </w:t>
      </w:r>
      <w:r w:rsidR="002D34EB">
        <w:rPr>
          <w:rFonts w:eastAsiaTheme="minorHAnsi"/>
          <w:snapToGrid/>
        </w:rPr>
        <w:t xml:space="preserve">U.S. </w:t>
      </w:r>
      <w:r w:rsidRPr="001450B1">
        <w:rPr>
          <w:rFonts w:eastAsiaTheme="minorHAnsi"/>
          <w:snapToGrid/>
        </w:rPr>
        <w:t xml:space="preserve">Department of Justice, </w:t>
      </w:r>
      <w:r w:rsidR="002D34EB">
        <w:rPr>
          <w:rFonts w:eastAsiaTheme="minorHAnsi"/>
          <w:snapToGrid/>
        </w:rPr>
        <w:t xml:space="preserve">U.S. </w:t>
      </w:r>
      <w:r w:rsidRPr="001450B1">
        <w:rPr>
          <w:rFonts w:eastAsiaTheme="minorHAnsi"/>
          <w:snapToGrid/>
        </w:rPr>
        <w:t>Department of Homeland Security, and Federal Bureau of Investigation (collectively, the Agencies) dated July 11, 2007.</w:t>
      </w:r>
      <w:r w:rsidRPr="001450B1" w:rsidDel="008578B6">
        <w:rPr>
          <w:rFonts w:eastAsiaTheme="minorHAnsi"/>
          <w:snapToGrid/>
          <w:sz w:val="20"/>
          <w:vertAlign w:val="superscript"/>
        </w:rPr>
        <w:footnoteReference w:id="6"/>
      </w:r>
      <w:r w:rsidRPr="001450B1">
        <w:rPr>
          <w:rFonts w:eastAsiaTheme="minorHAnsi"/>
          <w:snapToGrid/>
        </w:rPr>
        <w:t xml:space="preserve">  Those included an agreement by Wypoint, with respect to “customer billing records, subscriber information, and any other related information used, processed, or maintained in the ordinary course of business relating to communications services offered in the United States,” to “make such U.S. Records available in the United States in response to lawful U.S. process.”</w:t>
      </w:r>
      <w:r w:rsidRPr="001450B1">
        <w:rPr>
          <w:rFonts w:eastAsiaTheme="minorHAnsi"/>
          <w:snapToGrid/>
          <w:sz w:val="20"/>
          <w:vertAlign w:val="superscript"/>
        </w:rPr>
        <w:footnoteReference w:id="7"/>
      </w:r>
      <w:r w:rsidRPr="001450B1">
        <w:rPr>
          <w:rFonts w:eastAsiaTheme="minorHAnsi"/>
          <w:snapToGrid/>
        </w:rPr>
        <w:t xml:space="preserve">  </w:t>
      </w:r>
    </w:p>
    <w:p w14:paraId="6C11127D" w14:textId="2F4C8C20" w:rsidR="001450B1" w:rsidRPr="001450B1" w:rsidRDefault="001450B1" w:rsidP="00156D36">
      <w:pPr>
        <w:pStyle w:val="ParaNum"/>
        <w:keepNext/>
        <w:widowControl/>
        <w:rPr>
          <w:rFonts w:eastAsiaTheme="minorHAnsi"/>
          <w:snapToGrid/>
        </w:rPr>
      </w:pPr>
      <w:r w:rsidRPr="001450B1">
        <w:rPr>
          <w:rFonts w:eastAsiaTheme="minorHAnsi"/>
          <w:snapToGrid/>
        </w:rPr>
        <w:t>On May 9, 2014, the Agencies filed a letter with the Commission stating that they “have reason to believe that Wypoint is no longer in existence” as they “have been unable to communicate with Wypoint in over a year.”</w:t>
      </w:r>
      <w:r w:rsidRPr="001450B1">
        <w:rPr>
          <w:rFonts w:eastAsiaTheme="minorHAnsi"/>
          <w:snapToGrid/>
          <w:sz w:val="20"/>
          <w:vertAlign w:val="superscript"/>
        </w:rPr>
        <w:footnoteReference w:id="8"/>
      </w:r>
      <w:r w:rsidRPr="001450B1">
        <w:rPr>
          <w:rFonts w:eastAsiaTheme="minorHAnsi"/>
          <w:snapToGrid/>
        </w:rPr>
        <w:t xml:space="preserve">  According to the Agencies, Wypoint’s counsel “has neither been able to locate </w:t>
      </w:r>
      <w:r w:rsidR="00440B7A">
        <w:rPr>
          <w:rFonts w:eastAsiaTheme="minorHAnsi"/>
          <w:snapToGrid/>
        </w:rPr>
        <w:t>his</w:t>
      </w:r>
      <w:r w:rsidRPr="001450B1">
        <w:rPr>
          <w:rFonts w:eastAsiaTheme="minorHAnsi"/>
          <w:snapToGrid/>
        </w:rPr>
        <w:t xml:space="preserve"> former client (as of September 2012) nor been in contact with [it] (as of October 31, 2013).”</w:t>
      </w:r>
      <w:r w:rsidRPr="001450B1">
        <w:rPr>
          <w:rFonts w:eastAsiaTheme="minorHAnsi"/>
          <w:snapToGrid/>
          <w:sz w:val="20"/>
          <w:vertAlign w:val="superscript"/>
        </w:rPr>
        <w:footnoteReference w:id="9"/>
      </w:r>
      <w:r w:rsidRPr="001450B1">
        <w:rPr>
          <w:rFonts w:eastAsiaTheme="minorHAnsi"/>
          <w:snapToGrid/>
        </w:rPr>
        <w:t xml:space="preserve">  The Agencies stated “Wypoint is consequently unable to comply with the terms of the LOA, and thus cannot satisfy the terms upon which the Agencies gave their non-objection to the granting of authorities to Wypoint.”</w:t>
      </w:r>
      <w:r w:rsidRPr="001450B1">
        <w:rPr>
          <w:rFonts w:eastAsiaTheme="minorHAnsi"/>
          <w:snapToGrid/>
          <w:sz w:val="20"/>
          <w:vertAlign w:val="superscript"/>
        </w:rPr>
        <w:footnoteReference w:id="10"/>
      </w:r>
      <w:r w:rsidRPr="001450B1">
        <w:rPr>
          <w:rFonts w:eastAsiaTheme="minorHAnsi"/>
          <w:snapToGrid/>
        </w:rPr>
        <w:t xml:space="preserve">  The Agencies request that the Commission terminate, and declare null and void and no longer in effect, the international section 214 authorization issued to Wypoint.</w:t>
      </w:r>
      <w:r w:rsidRPr="001450B1">
        <w:rPr>
          <w:rFonts w:eastAsiaTheme="minorHAnsi"/>
          <w:snapToGrid/>
          <w:sz w:val="20"/>
          <w:vertAlign w:val="superscript"/>
        </w:rPr>
        <w:footnoteReference w:id="11"/>
      </w:r>
      <w:r w:rsidRPr="001450B1">
        <w:rPr>
          <w:rFonts w:eastAsiaTheme="minorHAnsi"/>
          <w:snapToGrid/>
        </w:rPr>
        <w:t xml:space="preserve">  </w:t>
      </w:r>
    </w:p>
    <w:p w14:paraId="65FF3979" w14:textId="46F07442" w:rsidR="001450B1" w:rsidRPr="001450B1" w:rsidRDefault="001450B1" w:rsidP="00156D36">
      <w:pPr>
        <w:pStyle w:val="ParaNum"/>
        <w:keepNext/>
        <w:widowControl/>
        <w:rPr>
          <w:rFonts w:eastAsiaTheme="minorHAnsi"/>
          <w:snapToGrid/>
        </w:rPr>
      </w:pPr>
      <w:r w:rsidRPr="001450B1">
        <w:rPr>
          <w:rFonts w:eastAsiaTheme="minorHAnsi"/>
          <w:snapToGrid/>
        </w:rPr>
        <w:t>The Commission has since made significant efforts to locate Wypoint, but has also been unable to do so.  On May 14, 2014, the International Bureau sent Wypoint a letter, directed to the Livermore, C</w:t>
      </w:r>
      <w:r w:rsidR="00494EFC">
        <w:rPr>
          <w:rFonts w:eastAsiaTheme="minorHAnsi"/>
          <w:snapToGrid/>
        </w:rPr>
        <w:t>alifornia</w:t>
      </w:r>
      <w:r w:rsidRPr="001450B1">
        <w:rPr>
          <w:rFonts w:eastAsiaTheme="minorHAnsi"/>
          <w:snapToGrid/>
        </w:rPr>
        <w:t xml:space="preserve"> address listed in Wypoint’s 2007 application, requesting that Wypoint respond by June 13, 2014 to the allegations set out in the </w:t>
      </w:r>
      <w:r w:rsidRPr="001450B1">
        <w:rPr>
          <w:rFonts w:eastAsiaTheme="minorHAnsi"/>
          <w:i/>
          <w:snapToGrid/>
        </w:rPr>
        <w:t>May 9, 2014 Executive Branch Letter</w:t>
      </w:r>
      <w:r w:rsidRPr="001450B1">
        <w:rPr>
          <w:rFonts w:eastAsiaTheme="minorHAnsi"/>
          <w:snapToGrid/>
        </w:rPr>
        <w:t>.</w:t>
      </w:r>
      <w:r w:rsidRPr="001450B1">
        <w:rPr>
          <w:rFonts w:eastAsiaTheme="minorHAnsi"/>
          <w:snapToGrid/>
          <w:sz w:val="20"/>
          <w:vertAlign w:val="superscript"/>
        </w:rPr>
        <w:footnoteReference w:id="12"/>
      </w:r>
      <w:r w:rsidRPr="001450B1">
        <w:rPr>
          <w:rFonts w:eastAsiaTheme="minorHAnsi"/>
          <w:snapToGrid/>
        </w:rPr>
        <w:t xml:space="preserve">  Wypoint did not respond.  Since that time, the International Bureau has provided Wypoint with additional opportunities to respond to these allegations.</w:t>
      </w:r>
      <w:r w:rsidRPr="001450B1">
        <w:rPr>
          <w:rFonts w:eastAsiaTheme="minorHAnsi"/>
          <w:snapToGrid/>
          <w:sz w:val="20"/>
          <w:vertAlign w:val="superscript"/>
        </w:rPr>
        <w:footnoteReference w:id="13"/>
      </w:r>
      <w:r w:rsidRPr="001450B1">
        <w:rPr>
          <w:rFonts w:eastAsiaTheme="minorHAnsi"/>
          <w:snapToGrid/>
        </w:rPr>
        <w:t xml:space="preserve">  The International Bureau stated that failure to respond would result in </w:t>
      </w:r>
      <w:r w:rsidRPr="001450B1">
        <w:rPr>
          <w:rFonts w:eastAsiaTheme="minorHAnsi"/>
          <w:snapToGrid/>
        </w:rPr>
        <w:lastRenderedPageBreak/>
        <w:t>termination of Wypoint’s international section 214 authorization for failure to comply with conditions of its authorization.</w:t>
      </w:r>
      <w:r w:rsidRPr="001450B1">
        <w:rPr>
          <w:rFonts w:eastAsiaTheme="minorHAnsi"/>
          <w:snapToGrid/>
          <w:sz w:val="20"/>
          <w:vertAlign w:val="superscript"/>
        </w:rPr>
        <w:footnoteReference w:id="14"/>
      </w:r>
      <w:r w:rsidRPr="001450B1">
        <w:rPr>
          <w:rFonts w:eastAsiaTheme="minorHAnsi"/>
          <w:snapToGrid/>
        </w:rPr>
        <w:t xml:space="preserve">  To date, Wypoint has not responded to any of the International Bureau or the Agencies’ multiple requests to resolve this matter.  </w:t>
      </w:r>
      <w:r w:rsidR="00B32A64">
        <w:rPr>
          <w:rFonts w:eastAsiaTheme="minorHAnsi"/>
          <w:snapToGrid/>
        </w:rPr>
        <w:t xml:space="preserve">On October 8, 2015, </w:t>
      </w:r>
      <w:r w:rsidR="00FB3002">
        <w:rPr>
          <w:rFonts w:eastAsiaTheme="minorHAnsi"/>
          <w:snapToGrid/>
        </w:rPr>
        <w:t>the International Bureau</w:t>
      </w:r>
      <w:r w:rsidR="00B32A64">
        <w:rPr>
          <w:rFonts w:eastAsiaTheme="minorHAnsi"/>
          <w:snapToGrid/>
        </w:rPr>
        <w:t xml:space="preserve"> sent copies of the </w:t>
      </w:r>
      <w:r w:rsidR="00FB3002">
        <w:rPr>
          <w:rFonts w:eastAsiaTheme="minorHAnsi"/>
          <w:snapToGrid/>
        </w:rPr>
        <w:t xml:space="preserve">foregoing </w:t>
      </w:r>
      <w:r w:rsidR="00E6708D">
        <w:rPr>
          <w:rFonts w:eastAsiaTheme="minorHAnsi"/>
          <w:snapToGrid/>
        </w:rPr>
        <w:t xml:space="preserve">Commission </w:t>
      </w:r>
      <w:r w:rsidR="00B32A64">
        <w:rPr>
          <w:rFonts w:eastAsiaTheme="minorHAnsi"/>
          <w:snapToGrid/>
        </w:rPr>
        <w:t xml:space="preserve">notices to Wypoint </w:t>
      </w:r>
      <w:r w:rsidR="00E6708D">
        <w:rPr>
          <w:rFonts w:eastAsiaTheme="minorHAnsi"/>
          <w:snapToGrid/>
        </w:rPr>
        <w:t>at the Livermore, California address</w:t>
      </w:r>
      <w:r w:rsidR="00FB3002">
        <w:rPr>
          <w:rFonts w:eastAsiaTheme="minorHAnsi"/>
          <w:snapToGrid/>
        </w:rPr>
        <w:t xml:space="preserve"> listed in its 2007 application, by registered</w:t>
      </w:r>
      <w:r w:rsidR="00E6698B">
        <w:rPr>
          <w:rFonts w:eastAsiaTheme="minorHAnsi"/>
          <w:snapToGrid/>
        </w:rPr>
        <w:t>, return receipt</w:t>
      </w:r>
      <w:r w:rsidR="00FB3002">
        <w:rPr>
          <w:rFonts w:eastAsiaTheme="minorHAnsi"/>
          <w:snapToGrid/>
        </w:rPr>
        <w:t xml:space="preserve"> mail</w:t>
      </w:r>
      <w:r w:rsidR="00D57AC8">
        <w:rPr>
          <w:rFonts w:eastAsiaTheme="minorHAnsi"/>
          <w:snapToGrid/>
        </w:rPr>
        <w:t>.</w:t>
      </w:r>
      <w:r w:rsidR="00FB3002">
        <w:rPr>
          <w:rFonts w:eastAsiaTheme="minorHAnsi"/>
          <w:snapToGrid/>
        </w:rPr>
        <w:t xml:space="preserve">  On October </w:t>
      </w:r>
      <w:r w:rsidR="00DB6018">
        <w:rPr>
          <w:rFonts w:eastAsiaTheme="minorHAnsi"/>
          <w:snapToGrid/>
        </w:rPr>
        <w:t>13</w:t>
      </w:r>
      <w:r w:rsidR="00FB3002">
        <w:rPr>
          <w:rFonts w:eastAsiaTheme="minorHAnsi"/>
          <w:snapToGrid/>
        </w:rPr>
        <w:t xml:space="preserve">, 2015, </w:t>
      </w:r>
      <w:r w:rsidR="00A33325">
        <w:rPr>
          <w:rFonts w:eastAsiaTheme="minorHAnsi"/>
          <w:snapToGrid/>
        </w:rPr>
        <w:t xml:space="preserve">the U.S. Postal </w:t>
      </w:r>
      <w:r w:rsidR="009D7463">
        <w:rPr>
          <w:rFonts w:eastAsiaTheme="minorHAnsi"/>
          <w:snapToGrid/>
        </w:rPr>
        <w:t>S</w:t>
      </w:r>
      <w:r w:rsidR="00A33325">
        <w:rPr>
          <w:rFonts w:eastAsiaTheme="minorHAnsi"/>
          <w:snapToGrid/>
        </w:rPr>
        <w:t xml:space="preserve">ervice indicated that the </w:t>
      </w:r>
      <w:r w:rsidR="00FB3002">
        <w:rPr>
          <w:rFonts w:eastAsiaTheme="minorHAnsi"/>
          <w:snapToGrid/>
        </w:rPr>
        <w:t>mailing</w:t>
      </w:r>
      <w:r w:rsidR="00B32A64">
        <w:rPr>
          <w:rFonts w:eastAsiaTheme="minorHAnsi"/>
          <w:snapToGrid/>
        </w:rPr>
        <w:t xml:space="preserve"> was undeliverable.  </w:t>
      </w:r>
      <w:r w:rsidR="00494EFC">
        <w:rPr>
          <w:rFonts w:eastAsiaTheme="minorHAnsi"/>
          <w:snapToGrid/>
        </w:rPr>
        <w:t xml:space="preserve">In </w:t>
      </w:r>
      <w:r w:rsidR="007275E4">
        <w:rPr>
          <w:rFonts w:eastAsiaTheme="minorHAnsi"/>
          <w:snapToGrid/>
        </w:rPr>
        <w:t xml:space="preserve">Wypoint’s 2007 </w:t>
      </w:r>
      <w:r w:rsidR="00494EFC" w:rsidRPr="001450B1">
        <w:rPr>
          <w:rFonts w:eastAsiaTheme="minorHAnsi"/>
          <w:snapToGrid/>
        </w:rPr>
        <w:t>application</w:t>
      </w:r>
      <w:r w:rsidR="00494EFC">
        <w:rPr>
          <w:rFonts w:eastAsiaTheme="minorHAnsi"/>
          <w:snapToGrid/>
        </w:rPr>
        <w:t>,</w:t>
      </w:r>
      <w:r w:rsidR="00494EFC" w:rsidRPr="001450B1">
        <w:rPr>
          <w:rFonts w:eastAsiaTheme="minorHAnsi"/>
          <w:snapToGrid/>
        </w:rPr>
        <w:t xml:space="preserve"> Wypoint </w:t>
      </w:r>
      <w:r w:rsidR="00FB3002">
        <w:rPr>
          <w:rFonts w:eastAsiaTheme="minorHAnsi"/>
          <w:snapToGrid/>
        </w:rPr>
        <w:t>stated that</w:t>
      </w:r>
      <w:r w:rsidR="00494EFC">
        <w:rPr>
          <w:rFonts w:eastAsiaTheme="minorHAnsi"/>
          <w:snapToGrid/>
        </w:rPr>
        <w:t xml:space="preserve"> it </w:t>
      </w:r>
      <w:r w:rsidR="00494EFC" w:rsidRPr="001450B1">
        <w:rPr>
          <w:rFonts w:eastAsiaTheme="minorHAnsi"/>
          <w:snapToGrid/>
        </w:rPr>
        <w:t>was incorporated</w:t>
      </w:r>
      <w:r w:rsidR="00494EFC">
        <w:rPr>
          <w:rFonts w:eastAsiaTheme="minorHAnsi"/>
          <w:snapToGrid/>
        </w:rPr>
        <w:t xml:space="preserve"> in California</w:t>
      </w:r>
      <w:r w:rsidR="00494EFC" w:rsidRPr="001450B1">
        <w:rPr>
          <w:rFonts w:eastAsiaTheme="minorHAnsi"/>
          <w:snapToGrid/>
        </w:rPr>
        <w:t>,</w:t>
      </w:r>
      <w:r w:rsidR="00494EFC" w:rsidRPr="001450B1">
        <w:rPr>
          <w:rFonts w:eastAsiaTheme="minorHAnsi"/>
          <w:snapToGrid/>
          <w:sz w:val="20"/>
          <w:vertAlign w:val="superscript"/>
        </w:rPr>
        <w:footnoteReference w:id="15"/>
      </w:r>
      <w:r w:rsidR="00494EFC" w:rsidRPr="001450B1">
        <w:rPr>
          <w:rFonts w:eastAsiaTheme="minorHAnsi"/>
          <w:snapToGrid/>
        </w:rPr>
        <w:t xml:space="preserve"> </w:t>
      </w:r>
      <w:r w:rsidR="00494EFC">
        <w:rPr>
          <w:rFonts w:eastAsiaTheme="minorHAnsi"/>
          <w:snapToGrid/>
        </w:rPr>
        <w:t xml:space="preserve">and </w:t>
      </w:r>
      <w:r w:rsidR="009937F2">
        <w:rPr>
          <w:rFonts w:eastAsiaTheme="minorHAnsi"/>
          <w:snapToGrid/>
        </w:rPr>
        <w:t>a</w:t>
      </w:r>
      <w:r w:rsidRPr="001450B1">
        <w:rPr>
          <w:rFonts w:eastAsiaTheme="minorHAnsi"/>
          <w:snapToGrid/>
        </w:rPr>
        <w:t xml:space="preserve">ccording to the </w:t>
      </w:r>
      <w:r w:rsidR="00D71FEC">
        <w:rPr>
          <w:rFonts w:eastAsiaTheme="minorHAnsi"/>
          <w:snapToGrid/>
        </w:rPr>
        <w:t xml:space="preserve">California </w:t>
      </w:r>
      <w:r w:rsidRPr="001450B1">
        <w:rPr>
          <w:rFonts w:eastAsiaTheme="minorHAnsi"/>
          <w:snapToGrid/>
        </w:rPr>
        <w:t>Secretary of State, the corporation has been “dissolved.”</w:t>
      </w:r>
      <w:r w:rsidRPr="001450B1">
        <w:rPr>
          <w:rFonts w:eastAsiaTheme="minorHAnsi"/>
          <w:snapToGrid/>
          <w:sz w:val="20"/>
          <w:vertAlign w:val="superscript"/>
        </w:rPr>
        <w:footnoteReference w:id="16"/>
      </w:r>
    </w:p>
    <w:p w14:paraId="0B4CBEBC" w14:textId="77777777" w:rsidR="001450B1" w:rsidRPr="001450B1" w:rsidRDefault="001450B1" w:rsidP="00156D36">
      <w:pPr>
        <w:pStyle w:val="Heading1"/>
        <w:widowControl/>
        <w:rPr>
          <w:rFonts w:eastAsiaTheme="minorHAnsi"/>
          <w:snapToGrid/>
        </w:rPr>
      </w:pPr>
      <w:r w:rsidRPr="001450B1">
        <w:rPr>
          <w:rFonts w:eastAsiaTheme="minorHAnsi"/>
          <w:snapToGrid/>
        </w:rPr>
        <w:t>Discussion</w:t>
      </w:r>
    </w:p>
    <w:p w14:paraId="36EE4E5A" w14:textId="11A8EAA9" w:rsidR="005C10E9" w:rsidRDefault="001450B1" w:rsidP="00156D36">
      <w:pPr>
        <w:pStyle w:val="ParaNum"/>
        <w:keepNext/>
        <w:widowControl/>
        <w:rPr>
          <w:rFonts w:eastAsiaTheme="minorHAnsi"/>
          <w:snapToGrid/>
        </w:rPr>
      </w:pPr>
      <w:r w:rsidRPr="001450B1">
        <w:rPr>
          <w:rFonts w:eastAsiaTheme="minorHAnsi"/>
          <w:snapToGrid/>
        </w:rPr>
        <w:t xml:space="preserve">We </w:t>
      </w:r>
      <w:r w:rsidR="00FB3002">
        <w:rPr>
          <w:rFonts w:eastAsiaTheme="minorHAnsi"/>
          <w:snapToGrid/>
        </w:rPr>
        <w:t xml:space="preserve">determine that </w:t>
      </w:r>
      <w:r w:rsidRPr="001450B1">
        <w:rPr>
          <w:rFonts w:eastAsiaTheme="minorHAnsi"/>
          <w:snapToGrid/>
        </w:rPr>
        <w:t xml:space="preserve">Wypoint’s section 214 authorization to provide international services issued under File No. ITC-214-20070601-00211 </w:t>
      </w:r>
      <w:r w:rsidR="00FB3002">
        <w:rPr>
          <w:rFonts w:eastAsiaTheme="minorHAnsi"/>
          <w:snapToGrid/>
        </w:rPr>
        <w:t xml:space="preserve">has terminated </w:t>
      </w:r>
      <w:r w:rsidRPr="001450B1">
        <w:rPr>
          <w:rFonts w:eastAsiaTheme="minorHAnsi"/>
          <w:snapToGrid/>
        </w:rPr>
        <w:t xml:space="preserve">for </w:t>
      </w:r>
      <w:r w:rsidR="00494EFC">
        <w:rPr>
          <w:rFonts w:eastAsiaTheme="minorHAnsi"/>
          <w:snapToGrid/>
        </w:rPr>
        <w:t xml:space="preserve">Wypoint’s </w:t>
      </w:r>
      <w:r w:rsidRPr="001450B1">
        <w:rPr>
          <w:rFonts w:eastAsiaTheme="minorHAnsi"/>
          <w:snapToGrid/>
        </w:rPr>
        <w:t xml:space="preserve">inability to comply with an express condition for holding the section 214 international authorization.  The International Bureau has afforded Wypoint with notice and opportunity to respond to the allegations in the </w:t>
      </w:r>
      <w:r w:rsidRPr="001450B1">
        <w:rPr>
          <w:rFonts w:eastAsiaTheme="minorHAnsi"/>
          <w:i/>
          <w:snapToGrid/>
        </w:rPr>
        <w:t>Executive Branch May 9, 2014 Letter</w:t>
      </w:r>
      <w:r w:rsidRPr="001450B1">
        <w:rPr>
          <w:rFonts w:eastAsiaTheme="minorHAnsi"/>
          <w:snapToGrid/>
        </w:rPr>
        <w:t xml:space="preserve"> concerning Wypoint’s non-compliance with the condition of its grant.  Wypoint has not responded to any of our requests or requests from the Agencies.  We find that Wypoint’s failure to respond to our multiple requests demonstrates that it is unable to satisfy the LOA conditions concerning the availability of U.S. customer records, upon which the Agencies gave their non-objection to the grant of the authorization to Wypoint, and which were a condition of its section 214 authorization.</w:t>
      </w:r>
    </w:p>
    <w:p w14:paraId="1A3DFBBB" w14:textId="26587F3C" w:rsidR="001450B1" w:rsidRPr="0072078F" w:rsidRDefault="003C3749" w:rsidP="00156D36">
      <w:pPr>
        <w:pStyle w:val="ParaNum"/>
        <w:keepNext/>
        <w:widowControl/>
        <w:rPr>
          <w:rFonts w:eastAsiaTheme="minorHAnsi"/>
          <w:snapToGrid/>
        </w:rPr>
      </w:pPr>
      <w:r w:rsidRPr="0072078F">
        <w:rPr>
          <w:rFonts w:eastAsiaTheme="minorHAnsi"/>
          <w:snapToGrid/>
        </w:rPr>
        <w:t xml:space="preserve">Furthermore, after having received an international 214 authorization, a carrier </w:t>
      </w:r>
      <w:r w:rsidR="00D71FEC">
        <w:rPr>
          <w:rFonts w:eastAsiaTheme="minorHAnsi"/>
          <w:snapToGrid/>
        </w:rPr>
        <w:t>“</w:t>
      </w:r>
      <w:r w:rsidRPr="0072078F">
        <w:rPr>
          <w:rFonts w:eastAsiaTheme="minorHAnsi"/>
          <w:snapToGrid/>
        </w:rPr>
        <w:t xml:space="preserve">is responsible for the continuing accuracy of the </w:t>
      </w:r>
      <w:r w:rsidR="00D71FEC">
        <w:rPr>
          <w:rFonts w:eastAsiaTheme="minorHAnsi"/>
          <w:snapToGrid/>
        </w:rPr>
        <w:t xml:space="preserve">certifications made </w:t>
      </w:r>
      <w:r w:rsidRPr="0072078F">
        <w:rPr>
          <w:rFonts w:eastAsiaTheme="minorHAnsi"/>
          <w:snapToGrid/>
        </w:rPr>
        <w:t>in its application</w:t>
      </w:r>
      <w:r w:rsidR="00F65839" w:rsidRPr="0072078F">
        <w:rPr>
          <w:rFonts w:eastAsiaTheme="minorHAnsi"/>
          <w:snapToGrid/>
        </w:rPr>
        <w:t>”</w:t>
      </w:r>
      <w:r w:rsidRPr="0072078F">
        <w:rPr>
          <w:rFonts w:eastAsiaTheme="minorHAnsi"/>
          <w:snapToGrid/>
        </w:rPr>
        <w:t xml:space="preserve"> and must promptly correct information no longer accurate</w:t>
      </w:r>
      <w:r w:rsidR="00F65839" w:rsidRPr="0072078F">
        <w:rPr>
          <w:rFonts w:eastAsiaTheme="minorHAnsi"/>
          <w:snapToGrid/>
        </w:rPr>
        <w:t>, “and in any event, within thirty (30) days</w:t>
      </w:r>
      <w:r w:rsidRPr="0072078F">
        <w:rPr>
          <w:rFonts w:eastAsiaTheme="minorHAnsi"/>
          <w:snapToGrid/>
        </w:rPr>
        <w:t>.</w:t>
      </w:r>
      <w:r w:rsidR="00F65839" w:rsidRPr="0072078F">
        <w:rPr>
          <w:rFonts w:eastAsiaTheme="minorHAnsi"/>
          <w:snapToGrid/>
        </w:rPr>
        <w:t>”</w:t>
      </w:r>
      <w:r>
        <w:rPr>
          <w:rStyle w:val="FootnoteReference"/>
          <w:rFonts w:eastAsiaTheme="minorHAnsi"/>
          <w:snapToGrid/>
        </w:rPr>
        <w:footnoteReference w:id="17"/>
      </w:r>
      <w:r w:rsidRPr="0072078F">
        <w:rPr>
          <w:rFonts w:eastAsiaTheme="minorHAnsi"/>
          <w:snapToGrid/>
        </w:rPr>
        <w:t xml:space="preserve">  </w:t>
      </w:r>
      <w:r w:rsidR="001450B1" w:rsidRPr="0072078F">
        <w:rPr>
          <w:rFonts w:eastAsiaTheme="minorHAnsi"/>
          <w:snapToGrid/>
        </w:rPr>
        <w:t>Wypoint</w:t>
      </w:r>
      <w:r w:rsidR="00F65839" w:rsidRPr="0072078F">
        <w:rPr>
          <w:rFonts w:eastAsiaTheme="minorHAnsi"/>
          <w:snapToGrid/>
        </w:rPr>
        <w:t>’s address is no longer valid and thus Wypoint</w:t>
      </w:r>
      <w:r w:rsidR="001450B1" w:rsidRPr="0072078F">
        <w:rPr>
          <w:rFonts w:eastAsiaTheme="minorHAnsi"/>
          <w:snapToGrid/>
        </w:rPr>
        <w:t xml:space="preserve"> has failed to inform the Commission of any changes in the continuing accuracy of its prior certifications, referencing the FCC file number of the original certification.</w:t>
      </w:r>
      <w:r w:rsidR="001450B1" w:rsidRPr="001450B1">
        <w:rPr>
          <w:rFonts w:eastAsiaTheme="minorHAnsi"/>
          <w:snapToGrid/>
          <w:kern w:val="22"/>
          <w:sz w:val="20"/>
          <w:vertAlign w:val="superscript"/>
        </w:rPr>
        <w:footnoteReference w:id="18"/>
      </w:r>
      <w:r w:rsidR="001450B1" w:rsidRPr="0072078F">
        <w:rPr>
          <w:rFonts w:eastAsiaTheme="minorHAnsi"/>
          <w:snapToGrid/>
        </w:rPr>
        <w:t xml:space="preserve">  Nor is there any record of Wypoint’s having complied with </w:t>
      </w:r>
      <w:r w:rsidRPr="0072078F">
        <w:rPr>
          <w:rFonts w:eastAsiaTheme="minorHAnsi"/>
          <w:snapToGrid/>
        </w:rPr>
        <w:t xml:space="preserve">section 413 </w:t>
      </w:r>
      <w:r w:rsidR="001450B1" w:rsidRPr="0072078F">
        <w:rPr>
          <w:rFonts w:eastAsiaTheme="minorHAnsi"/>
          <w:snapToGrid/>
        </w:rPr>
        <w:t>of the Act and the Commission’s rules requiring it to designate an agent for service</w:t>
      </w:r>
      <w:r w:rsidRPr="0072078F">
        <w:rPr>
          <w:rFonts w:eastAsiaTheme="minorHAnsi"/>
          <w:snapToGrid/>
        </w:rPr>
        <w:t xml:space="preserve"> after receiving its authorization on July 27, 2007</w:t>
      </w:r>
      <w:r w:rsidR="001450B1" w:rsidRPr="0072078F">
        <w:rPr>
          <w:rFonts w:eastAsiaTheme="minorHAnsi"/>
          <w:snapToGrid/>
        </w:rPr>
        <w:t>.</w:t>
      </w:r>
      <w:r w:rsidR="001450B1" w:rsidRPr="001450B1">
        <w:rPr>
          <w:rFonts w:eastAsiaTheme="minorHAnsi"/>
          <w:snapToGrid/>
          <w:sz w:val="20"/>
          <w:vertAlign w:val="superscript"/>
        </w:rPr>
        <w:footnoteReference w:id="19"/>
      </w:r>
      <w:r w:rsidR="001450B1" w:rsidRPr="0072078F">
        <w:rPr>
          <w:rFonts w:eastAsiaTheme="minorHAnsi"/>
          <w:snapToGrid/>
        </w:rPr>
        <w:t xml:space="preserve">  </w:t>
      </w:r>
      <w:r w:rsidR="005C10E9" w:rsidRPr="0072078F">
        <w:rPr>
          <w:rFonts w:eastAsiaTheme="minorHAnsi"/>
          <w:snapToGrid/>
        </w:rPr>
        <w:t xml:space="preserve">Finally, as part of its authorization, Wypoint “must file annual international telecommunications traffic and revenue as required by </w:t>
      </w:r>
      <w:r w:rsidR="00D71FEC" w:rsidRPr="00D71FEC">
        <w:rPr>
          <w:rFonts w:eastAsiaTheme="minorHAnsi"/>
          <w:snapToGrid/>
        </w:rPr>
        <w:t>§</w:t>
      </w:r>
      <w:r w:rsidR="00D71FEC">
        <w:rPr>
          <w:rFonts w:eastAsiaTheme="minorHAnsi"/>
          <w:snapToGrid/>
        </w:rPr>
        <w:t xml:space="preserve"> </w:t>
      </w:r>
      <w:r w:rsidR="005C10E9" w:rsidRPr="0072078F">
        <w:rPr>
          <w:rFonts w:eastAsiaTheme="minorHAnsi"/>
          <w:snapToGrid/>
        </w:rPr>
        <w:t>43.62.”</w:t>
      </w:r>
      <w:r w:rsidR="005C10E9">
        <w:rPr>
          <w:rStyle w:val="FootnoteReference"/>
          <w:rFonts w:eastAsiaTheme="minorHAnsi"/>
          <w:snapToGrid/>
        </w:rPr>
        <w:footnoteReference w:id="20"/>
      </w:r>
      <w:r w:rsidR="005C10E9" w:rsidRPr="0072078F">
        <w:rPr>
          <w:rFonts w:eastAsiaTheme="minorHAnsi"/>
          <w:snapToGrid/>
        </w:rPr>
        <w:t xml:space="preserve">  Sect</w:t>
      </w:r>
      <w:r w:rsidR="005C10E9">
        <w:t xml:space="preserve">ion 43.62(b) states that “[n]ot later than July 31 of each year, each person or entity that holds an authorization pursuant to section 214 to provide international telecommunications service shall report </w:t>
      </w:r>
      <w:r w:rsidR="005C10E9" w:rsidRPr="0072078F">
        <w:rPr>
          <w:i/>
        </w:rPr>
        <w:t>whether</w:t>
      </w:r>
      <w:r w:rsidR="005C10E9">
        <w:t xml:space="preserve"> it provided international telecommunications services during the preceding calendar year.”</w:t>
      </w:r>
      <w:r w:rsidR="005C10E9">
        <w:rPr>
          <w:rStyle w:val="FootnoteReference"/>
        </w:rPr>
        <w:footnoteReference w:id="21"/>
      </w:r>
      <w:r w:rsidR="005C10E9">
        <w:t xml:space="preserve">  Our records indicate that Wypoint failed to file an annual international telecommunications traffic and revenue report indicating whether or not Wypoint provided services in 2014, as required by section 43.62(b) of the Commission’s rules.  </w:t>
      </w:r>
      <w:r w:rsidR="001450B1" w:rsidRPr="0072078F">
        <w:rPr>
          <w:rFonts w:eastAsiaTheme="minorHAnsi"/>
          <w:snapToGrid/>
        </w:rPr>
        <w:t xml:space="preserve">In these circumstances, and in light of Wypoint’s failure to respond to the Commission’s repeated inquiries, we conclude that this failure to comply with the basic requirements of the Commission’s rules designed to ensure its ability to communicate with the holder of the authorization also warrants termination, wholly apart from demonstrating Wypoint’s inability to satisfy the LOA conditions of its authorization. </w:t>
      </w:r>
      <w:r w:rsidR="00D461A9" w:rsidRPr="0072078F">
        <w:rPr>
          <w:rFonts w:eastAsiaTheme="minorHAnsi"/>
          <w:snapToGrid/>
        </w:rPr>
        <w:t xml:space="preserve"> </w:t>
      </w:r>
    </w:p>
    <w:p w14:paraId="56EEE8B5" w14:textId="77777777" w:rsidR="001450B1" w:rsidRPr="001450B1" w:rsidRDefault="001450B1" w:rsidP="00156D36">
      <w:pPr>
        <w:pStyle w:val="Heading1"/>
        <w:widowControl/>
        <w:rPr>
          <w:rFonts w:eastAsiaTheme="minorHAnsi"/>
          <w:snapToGrid/>
        </w:rPr>
      </w:pPr>
      <w:r w:rsidRPr="001450B1">
        <w:rPr>
          <w:rFonts w:eastAsiaTheme="minorHAnsi"/>
          <w:snapToGrid/>
        </w:rPr>
        <w:t>ORDERING CLAUSES</w:t>
      </w:r>
    </w:p>
    <w:p w14:paraId="2662554D" w14:textId="712D0B27" w:rsidR="001450B1" w:rsidRPr="001450B1" w:rsidRDefault="001450B1" w:rsidP="00156D36">
      <w:pPr>
        <w:pStyle w:val="ParaNum"/>
        <w:keepNext/>
        <w:widowControl/>
        <w:rPr>
          <w:rFonts w:eastAsiaTheme="minorHAnsi"/>
          <w:snapToGrid/>
        </w:rPr>
      </w:pPr>
      <w:r w:rsidRPr="001450B1">
        <w:rPr>
          <w:rFonts w:eastAsiaTheme="minorHAnsi"/>
          <w:snapToGrid/>
        </w:rPr>
        <w:t>Accordingly, IT IS ORDERED, pursuant to sections 4(i), 214, and 413 of the Communications Act of 1934, as amended, 47 U.S.C. §§ 154(i)</w:t>
      </w:r>
      <w:r w:rsidR="00B45FA0">
        <w:rPr>
          <w:rFonts w:eastAsiaTheme="minorHAnsi"/>
          <w:snapToGrid/>
        </w:rPr>
        <w:t>, 214, 413,  and sections</w:t>
      </w:r>
      <w:r w:rsidRPr="001450B1">
        <w:rPr>
          <w:rFonts w:eastAsiaTheme="minorHAnsi"/>
          <w:snapToGrid/>
        </w:rPr>
        <w:t xml:space="preserve"> 1.47(h), </w:t>
      </w:r>
      <w:r w:rsidR="007275E4">
        <w:rPr>
          <w:rFonts w:eastAsiaTheme="minorHAnsi"/>
          <w:snapToGrid/>
        </w:rPr>
        <w:t xml:space="preserve">43.62, </w:t>
      </w:r>
      <w:r w:rsidRPr="001450B1">
        <w:rPr>
          <w:rFonts w:eastAsiaTheme="minorHAnsi"/>
          <w:snapToGrid/>
        </w:rPr>
        <w:t>63.18, 63.21, 63.22(h), 63.23(e), and 64.1195  of the C</w:t>
      </w:r>
      <w:r w:rsidR="00B45FA0">
        <w:rPr>
          <w:rFonts w:eastAsiaTheme="minorHAnsi"/>
          <w:snapToGrid/>
        </w:rPr>
        <w:t>ommission’s rules, 47 C.F.R. §§</w:t>
      </w:r>
      <w:r w:rsidRPr="001450B1">
        <w:rPr>
          <w:rFonts w:eastAsiaTheme="minorHAnsi"/>
          <w:snapToGrid/>
        </w:rPr>
        <w:t xml:space="preserve"> 1.47(h), </w:t>
      </w:r>
      <w:r w:rsidR="007275E4">
        <w:rPr>
          <w:rFonts w:eastAsiaTheme="minorHAnsi"/>
          <w:snapToGrid/>
        </w:rPr>
        <w:t xml:space="preserve">43.62, </w:t>
      </w:r>
      <w:r w:rsidRPr="001450B1">
        <w:rPr>
          <w:rFonts w:eastAsiaTheme="minorHAnsi"/>
          <w:snapToGrid/>
        </w:rPr>
        <w:t>63.18, 63.21, 63.22(h), 63.23(e), 64.1195, that the international 214 authorization issued under File No. ITC-214-20070601-00211 IS HEREBY TERMINATED AND DECLARED NULL AND VOID.</w:t>
      </w:r>
    </w:p>
    <w:p w14:paraId="256F33E1" w14:textId="77777777" w:rsidR="001450B1" w:rsidRPr="001450B1" w:rsidRDefault="001450B1" w:rsidP="00156D36">
      <w:pPr>
        <w:pStyle w:val="ParaNum"/>
        <w:keepNext/>
        <w:widowControl/>
        <w:rPr>
          <w:rFonts w:eastAsiaTheme="minorHAnsi"/>
          <w:snapToGrid/>
        </w:rPr>
      </w:pPr>
      <w:r w:rsidRPr="001450B1">
        <w:rPr>
          <w:rFonts w:eastAsiaTheme="minorHAnsi"/>
          <w:snapToGrid/>
        </w:rPr>
        <w:t xml:space="preserve">IT IS FURTHER ORDERED that the request of the U.S. Department of Justice, including the Federal Bureau of Investigation, concurred in by the U.S. Department of Homeland Security, IS HEREBY GRANTED, to the extent set forth in this Order.  </w:t>
      </w:r>
    </w:p>
    <w:p w14:paraId="36260E77" w14:textId="0A7803A4" w:rsidR="00E6698B" w:rsidRDefault="001450B1" w:rsidP="00156D36">
      <w:pPr>
        <w:pStyle w:val="ParaNum"/>
        <w:keepNext/>
        <w:widowControl/>
        <w:rPr>
          <w:rFonts w:eastAsiaTheme="minorHAnsi"/>
          <w:snapToGrid/>
          <w:kern w:val="22"/>
        </w:rPr>
      </w:pPr>
      <w:r w:rsidRPr="001450B1">
        <w:rPr>
          <w:rFonts w:eastAsiaTheme="minorHAnsi"/>
          <w:snapToGrid/>
          <w:kern w:val="22"/>
        </w:rPr>
        <w:t>IT IS FURTHER ORDERED that a copy of this Order shall be sent by return receipt requested, to Wypoint Telecom, Inc. at its last known addresses.</w:t>
      </w:r>
    </w:p>
    <w:p w14:paraId="7625A42C" w14:textId="0C4A9AA1" w:rsidR="0074505A" w:rsidRDefault="001450B1" w:rsidP="00156D36">
      <w:pPr>
        <w:pStyle w:val="ParaNum"/>
        <w:keepNext/>
        <w:widowControl/>
        <w:rPr>
          <w:rFonts w:eastAsiaTheme="minorHAnsi"/>
          <w:snapToGrid/>
        </w:rPr>
      </w:pPr>
      <w:r w:rsidRPr="0072078F">
        <w:rPr>
          <w:rFonts w:eastAsiaTheme="minorHAnsi"/>
          <w:snapToGrid/>
        </w:rPr>
        <w:t xml:space="preserve">IT IS </w:t>
      </w:r>
      <w:r w:rsidRPr="00E6698B">
        <w:rPr>
          <w:rFonts w:eastAsiaTheme="minorHAnsi"/>
          <w:snapToGrid/>
        </w:rPr>
        <w:t>FURTHER</w:t>
      </w:r>
      <w:r w:rsidRPr="0072078F">
        <w:rPr>
          <w:rFonts w:eastAsiaTheme="minorHAnsi"/>
          <w:snapToGrid/>
        </w:rPr>
        <w:t xml:space="preserve"> ORDERED that a copy of this Order, or a summary thereof, shall be published in the Federal Register.</w:t>
      </w:r>
    </w:p>
    <w:p w14:paraId="251AD1E1" w14:textId="77777777" w:rsidR="0074505A" w:rsidRDefault="0074505A">
      <w:pPr>
        <w:widowControl/>
        <w:rPr>
          <w:rFonts w:eastAsiaTheme="minorHAnsi"/>
          <w:snapToGrid/>
        </w:rPr>
      </w:pPr>
      <w:r>
        <w:rPr>
          <w:rFonts w:eastAsiaTheme="minorHAnsi"/>
          <w:snapToGrid/>
        </w:rPr>
        <w:br w:type="page"/>
      </w:r>
    </w:p>
    <w:p w14:paraId="2801D385" w14:textId="1CF23B88" w:rsidR="00156D36" w:rsidRPr="00D76EDF" w:rsidRDefault="00B45FA0" w:rsidP="00D76EDF">
      <w:pPr>
        <w:pStyle w:val="ParaNum"/>
        <w:keepNext/>
        <w:widowControl/>
        <w:rPr>
          <w:rFonts w:eastAsiaTheme="minorHAnsi"/>
          <w:snapToGrid/>
        </w:rPr>
      </w:pPr>
      <w:r>
        <w:rPr>
          <w:rFonts w:eastAsiaTheme="minorEastAsia"/>
        </w:rPr>
        <w:t>This Order is issued on delegated authority under 47 C.F.R. §§ 0.51, 0.261, and is effective upon release.  Petitions for reconsideration under section 1.106 of the Commission’s rules, 47 C.F.R. § 1.106, or applications for review under section 1.115 of the Commission’s rules, 47 C.F.R. § 1.115, may be filed within 30 days of the date of the release of this Order.</w:t>
      </w:r>
    </w:p>
    <w:p w14:paraId="48CE481E" w14:textId="77777777" w:rsidR="00D76EDF" w:rsidRPr="00D76EDF" w:rsidRDefault="00D76EDF" w:rsidP="00D76EDF">
      <w:pPr>
        <w:pStyle w:val="ParaNum"/>
        <w:keepNext/>
        <w:widowControl/>
        <w:numPr>
          <w:ilvl w:val="0"/>
          <w:numId w:val="0"/>
        </w:numPr>
        <w:ind w:left="720"/>
        <w:rPr>
          <w:rFonts w:eastAsiaTheme="minorHAnsi"/>
          <w:snapToGrid/>
        </w:rPr>
      </w:pPr>
    </w:p>
    <w:p w14:paraId="3D0EFA41" w14:textId="77777777" w:rsidR="001450B1" w:rsidRPr="001450B1" w:rsidRDefault="001450B1" w:rsidP="00D76EDF">
      <w:pPr>
        <w:keepNext/>
        <w:widowControl/>
        <w:tabs>
          <w:tab w:val="left" w:pos="0"/>
        </w:tabs>
        <w:suppressAutoHyphens/>
        <w:ind w:firstLine="720"/>
        <w:jc w:val="both"/>
        <w:rPr>
          <w:rFonts w:eastAsiaTheme="minorHAnsi"/>
          <w:snapToGrid/>
          <w:kern w:val="22"/>
          <w:szCs w:val="22"/>
        </w:rPr>
      </w:pPr>
      <w:r w:rsidRPr="001450B1">
        <w:rPr>
          <w:rFonts w:asciiTheme="minorHAnsi" w:eastAsiaTheme="minorHAnsi" w:hAnsiTheme="minorHAnsi" w:cstheme="minorBidi"/>
          <w:snapToGrid/>
          <w:kern w:val="22"/>
          <w:szCs w:val="22"/>
        </w:rPr>
        <w:tab/>
      </w:r>
      <w:r w:rsidRPr="001450B1">
        <w:rPr>
          <w:rFonts w:asciiTheme="minorHAnsi" w:eastAsiaTheme="minorHAnsi" w:hAnsiTheme="minorHAnsi" w:cstheme="minorBidi"/>
          <w:snapToGrid/>
          <w:kern w:val="22"/>
          <w:szCs w:val="22"/>
        </w:rPr>
        <w:tab/>
      </w:r>
      <w:r w:rsidRPr="001450B1">
        <w:rPr>
          <w:rFonts w:asciiTheme="minorHAnsi" w:eastAsiaTheme="minorHAnsi" w:hAnsiTheme="minorHAnsi" w:cstheme="minorBidi"/>
          <w:snapToGrid/>
          <w:kern w:val="22"/>
          <w:szCs w:val="22"/>
        </w:rPr>
        <w:tab/>
      </w:r>
      <w:r w:rsidRPr="001450B1">
        <w:rPr>
          <w:rFonts w:asciiTheme="minorHAnsi" w:eastAsiaTheme="minorHAnsi" w:hAnsiTheme="minorHAnsi" w:cstheme="minorBidi"/>
          <w:snapToGrid/>
          <w:kern w:val="22"/>
          <w:szCs w:val="22"/>
        </w:rPr>
        <w:tab/>
      </w:r>
      <w:r w:rsidRPr="001450B1">
        <w:rPr>
          <w:rFonts w:eastAsiaTheme="minorHAnsi"/>
          <w:snapToGrid/>
          <w:kern w:val="22"/>
          <w:szCs w:val="22"/>
        </w:rPr>
        <w:t>FEDERAL COMMUNICATIONS COMMISSION</w:t>
      </w:r>
    </w:p>
    <w:p w14:paraId="359B75C5" w14:textId="77777777" w:rsidR="00156D36" w:rsidRDefault="00156D36" w:rsidP="00D76EDF">
      <w:pPr>
        <w:keepNext/>
        <w:widowControl/>
        <w:tabs>
          <w:tab w:val="left" w:pos="0"/>
        </w:tabs>
        <w:suppressAutoHyphens/>
        <w:jc w:val="both"/>
        <w:rPr>
          <w:rFonts w:eastAsiaTheme="minorHAnsi"/>
          <w:snapToGrid/>
          <w:kern w:val="22"/>
          <w:szCs w:val="22"/>
        </w:rPr>
      </w:pPr>
    </w:p>
    <w:p w14:paraId="2FC80E63" w14:textId="77777777" w:rsidR="00D76EDF" w:rsidRDefault="00D76EDF" w:rsidP="00D76EDF">
      <w:pPr>
        <w:keepNext/>
        <w:widowControl/>
        <w:tabs>
          <w:tab w:val="left" w:pos="0"/>
        </w:tabs>
        <w:suppressAutoHyphens/>
        <w:jc w:val="both"/>
        <w:rPr>
          <w:rFonts w:eastAsiaTheme="minorHAnsi"/>
          <w:snapToGrid/>
          <w:kern w:val="22"/>
          <w:szCs w:val="22"/>
        </w:rPr>
      </w:pPr>
    </w:p>
    <w:p w14:paraId="641BE6DC" w14:textId="77777777" w:rsidR="00D76EDF" w:rsidRDefault="00D76EDF" w:rsidP="00D76EDF">
      <w:pPr>
        <w:keepNext/>
        <w:widowControl/>
        <w:tabs>
          <w:tab w:val="left" w:pos="0"/>
        </w:tabs>
        <w:suppressAutoHyphens/>
        <w:jc w:val="both"/>
        <w:rPr>
          <w:rFonts w:eastAsiaTheme="minorHAnsi"/>
          <w:snapToGrid/>
          <w:kern w:val="22"/>
          <w:szCs w:val="22"/>
        </w:rPr>
      </w:pPr>
    </w:p>
    <w:p w14:paraId="1D7473C5" w14:textId="77777777" w:rsidR="00D76EDF" w:rsidRPr="001450B1" w:rsidRDefault="00D76EDF" w:rsidP="00D76EDF">
      <w:pPr>
        <w:keepNext/>
        <w:widowControl/>
        <w:tabs>
          <w:tab w:val="left" w:pos="0"/>
        </w:tabs>
        <w:suppressAutoHyphens/>
        <w:jc w:val="both"/>
        <w:rPr>
          <w:rFonts w:eastAsiaTheme="minorHAnsi"/>
          <w:snapToGrid/>
          <w:kern w:val="22"/>
          <w:szCs w:val="22"/>
        </w:rPr>
      </w:pPr>
    </w:p>
    <w:p w14:paraId="09835C90" w14:textId="77777777" w:rsidR="001450B1" w:rsidRPr="001450B1" w:rsidRDefault="001450B1" w:rsidP="00156D36">
      <w:pPr>
        <w:keepNext/>
        <w:widowControl/>
        <w:spacing w:line="276" w:lineRule="auto"/>
        <w:ind w:left="2880" w:firstLine="720"/>
        <w:rPr>
          <w:rFonts w:eastAsiaTheme="minorHAnsi"/>
          <w:snapToGrid/>
          <w:kern w:val="22"/>
          <w:szCs w:val="22"/>
        </w:rPr>
      </w:pPr>
      <w:r w:rsidRPr="001450B1">
        <w:rPr>
          <w:rFonts w:eastAsiaTheme="minorHAnsi"/>
          <w:snapToGrid/>
          <w:kern w:val="22"/>
          <w:szCs w:val="22"/>
        </w:rPr>
        <w:t>Denise Coca</w:t>
      </w:r>
    </w:p>
    <w:p w14:paraId="0F82BECE" w14:textId="77777777" w:rsidR="001450B1" w:rsidRPr="001450B1" w:rsidRDefault="001450B1" w:rsidP="00156D36">
      <w:pPr>
        <w:keepNext/>
        <w:widowControl/>
        <w:spacing w:line="276" w:lineRule="auto"/>
        <w:rPr>
          <w:rFonts w:eastAsiaTheme="minorHAnsi"/>
          <w:snapToGrid/>
          <w:kern w:val="22"/>
          <w:szCs w:val="22"/>
        </w:rPr>
      </w:pPr>
      <w:r w:rsidRPr="001450B1">
        <w:rPr>
          <w:rFonts w:eastAsiaTheme="minorHAnsi"/>
          <w:snapToGrid/>
          <w:kern w:val="22"/>
          <w:szCs w:val="22"/>
        </w:rPr>
        <w:tab/>
      </w:r>
      <w:r w:rsidRPr="001450B1">
        <w:rPr>
          <w:rFonts w:eastAsiaTheme="minorHAnsi"/>
          <w:snapToGrid/>
          <w:kern w:val="22"/>
          <w:szCs w:val="22"/>
        </w:rPr>
        <w:tab/>
      </w:r>
      <w:r w:rsidRPr="001450B1">
        <w:rPr>
          <w:rFonts w:eastAsiaTheme="minorHAnsi"/>
          <w:snapToGrid/>
          <w:kern w:val="22"/>
          <w:szCs w:val="22"/>
        </w:rPr>
        <w:tab/>
      </w:r>
      <w:r w:rsidRPr="001450B1">
        <w:rPr>
          <w:rFonts w:eastAsiaTheme="minorHAnsi"/>
          <w:snapToGrid/>
          <w:kern w:val="22"/>
          <w:szCs w:val="22"/>
        </w:rPr>
        <w:tab/>
      </w:r>
      <w:r w:rsidRPr="001450B1">
        <w:rPr>
          <w:rFonts w:eastAsiaTheme="minorHAnsi"/>
          <w:snapToGrid/>
          <w:kern w:val="22"/>
          <w:szCs w:val="22"/>
        </w:rPr>
        <w:tab/>
        <w:t>Chief, Policy Division, International Bureau</w:t>
      </w:r>
      <w:r w:rsidRPr="001450B1">
        <w:rPr>
          <w:rFonts w:eastAsiaTheme="minorHAnsi"/>
          <w:snapToGrid/>
          <w:kern w:val="22"/>
          <w:szCs w:val="22"/>
        </w:rPr>
        <w:tab/>
      </w:r>
    </w:p>
    <w:p w14:paraId="71F54DBE" w14:textId="6AAC871A" w:rsidR="0032648B" w:rsidRPr="001450B1" w:rsidRDefault="0032648B" w:rsidP="00156D36">
      <w:pPr>
        <w:pStyle w:val="Heading1"/>
        <w:widowControl/>
        <w:numPr>
          <w:ilvl w:val="0"/>
          <w:numId w:val="0"/>
        </w:numPr>
        <w:suppressAutoHyphens w:val="0"/>
        <w:spacing w:after="0"/>
        <w:rPr>
          <w:rFonts w:ascii="Times New Roman" w:hAnsi="Times New Roman"/>
          <w:kern w:val="22"/>
          <w:szCs w:val="22"/>
        </w:rPr>
      </w:pPr>
    </w:p>
    <w:sectPr w:rsidR="0032648B" w:rsidRPr="001450B1">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61EC1" w14:textId="77777777" w:rsidR="00D04F91" w:rsidRDefault="00D04F91">
      <w:r>
        <w:separator/>
      </w:r>
    </w:p>
  </w:endnote>
  <w:endnote w:type="continuationSeparator" w:id="0">
    <w:p w14:paraId="3BED4F7B" w14:textId="77777777" w:rsidR="00D04F91" w:rsidRDefault="00D04F91">
      <w:r>
        <w:continuationSeparator/>
      </w:r>
    </w:p>
  </w:endnote>
  <w:endnote w:type="continuationNotice" w:id="1">
    <w:p w14:paraId="4DC55EFA" w14:textId="77777777" w:rsidR="00D04F91" w:rsidRDefault="00D04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36464" w14:textId="77777777" w:rsidR="00882058" w:rsidRDefault="008820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7FF4B70" w14:textId="77777777" w:rsidR="00882058" w:rsidRDefault="00882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30F17" w14:textId="77777777" w:rsidR="00882058" w:rsidRDefault="008820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A51">
      <w:rPr>
        <w:rStyle w:val="PageNumber"/>
        <w:noProof/>
      </w:rPr>
      <w:t>2</w:t>
    </w:r>
    <w:r>
      <w:rPr>
        <w:rStyle w:val="PageNumber"/>
      </w:rPr>
      <w:fldChar w:fldCharType="end"/>
    </w:r>
  </w:p>
  <w:p w14:paraId="74E6C077" w14:textId="77777777" w:rsidR="00882058" w:rsidRDefault="00882058">
    <w:pPr>
      <w:pStyle w:val="Footer"/>
    </w:pPr>
  </w:p>
  <w:p w14:paraId="537290A3" w14:textId="77777777" w:rsidR="00882058" w:rsidRDefault="00882058">
    <w:pPr>
      <w:pStyle w:val="Header"/>
    </w:pPr>
    <w:r>
      <w:rPr>
        <w:rFonts w:ascii="Arial" w:hAnsi="Arial" w:cs="Arial"/>
        <w:szCs w:val="22"/>
      </w:rPr>
      <w:tab/>
    </w:r>
  </w:p>
  <w:p w14:paraId="6D239D58" w14:textId="77777777" w:rsidR="00882058" w:rsidRDefault="00882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B81C" w14:textId="77777777" w:rsidR="00882058" w:rsidRDefault="00882058">
    <w:pPr>
      <w:pStyle w:val="Header"/>
    </w:pPr>
    <w:r>
      <w:rPr>
        <w:rFonts w:ascii="Arial" w:hAnsi="Arial" w:cs="Arial"/>
        <w:szCs w:val="22"/>
      </w:rPr>
      <w:tab/>
    </w:r>
  </w:p>
  <w:p w14:paraId="4702C750" w14:textId="77777777" w:rsidR="00882058" w:rsidRDefault="00882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83386" w14:textId="77777777" w:rsidR="00D04F91" w:rsidRDefault="00D04F91">
      <w:r>
        <w:separator/>
      </w:r>
    </w:p>
  </w:footnote>
  <w:footnote w:type="continuationSeparator" w:id="0">
    <w:p w14:paraId="2733E1A3" w14:textId="77777777" w:rsidR="00D04F91" w:rsidRDefault="00D04F91">
      <w:r>
        <w:continuationSeparator/>
      </w:r>
    </w:p>
  </w:footnote>
  <w:footnote w:type="continuationNotice" w:id="1">
    <w:p w14:paraId="7141DE2E" w14:textId="77777777" w:rsidR="00D04F91" w:rsidRDefault="00D04F91"/>
  </w:footnote>
  <w:footnote w:id="2">
    <w:p w14:paraId="78F4B9F5" w14:textId="012CD0A2" w:rsidR="001450B1" w:rsidRPr="009D7463" w:rsidRDefault="001450B1" w:rsidP="001450B1">
      <w:pPr>
        <w:pStyle w:val="FootnoteText"/>
      </w:pPr>
      <w:r w:rsidRPr="009D7463">
        <w:rPr>
          <w:rStyle w:val="FootnoteReference"/>
        </w:rPr>
        <w:footnoteRef/>
      </w:r>
      <w:r w:rsidRPr="009D7463">
        <w:t xml:space="preserve"> The International Bureau granted Wypoint’s authorization under File No. ITC-214-20070601-00211.  </w:t>
      </w:r>
      <w:r w:rsidRPr="009D7463">
        <w:rPr>
          <w:i/>
        </w:rPr>
        <w:t>International Authorizations Granted</w:t>
      </w:r>
      <w:r w:rsidRPr="009D7463">
        <w:t>, Report No. TEL-01174, Public Notice, 22 FCC Rcd 14026, 14027 (I</w:t>
      </w:r>
      <w:r w:rsidR="006962BD" w:rsidRPr="009D7463">
        <w:t>B</w:t>
      </w:r>
      <w:r w:rsidRPr="0078581F">
        <w:t xml:space="preserve"> 2007) (</w:t>
      </w:r>
      <w:r w:rsidRPr="00A33532">
        <w:rPr>
          <w:i/>
        </w:rPr>
        <w:t>Wypoint International Section 214 Authorization</w:t>
      </w:r>
      <w:r w:rsidRPr="00A33532">
        <w:t xml:space="preserve">); </w:t>
      </w:r>
      <w:r w:rsidRPr="001837C7">
        <w:rPr>
          <w:i/>
        </w:rPr>
        <w:t>International Authorizations Granted</w:t>
      </w:r>
      <w:r w:rsidRPr="001837C7">
        <w:t>, Report No. TEL-01206, Public Notice, 22 FCC Rcd 19825, 19827 (I</w:t>
      </w:r>
      <w:r w:rsidRPr="009D7463">
        <w:t>B 2007) (providing notice of the name change from Sage VOIP Solutions, Inc. to Wypoint).</w:t>
      </w:r>
    </w:p>
  </w:footnote>
  <w:footnote w:id="3">
    <w:p w14:paraId="5F8EE217" w14:textId="77777777" w:rsidR="001450B1" w:rsidRPr="009D7463" w:rsidRDefault="001450B1" w:rsidP="001450B1">
      <w:pPr>
        <w:pStyle w:val="FootnoteText"/>
      </w:pPr>
      <w:r w:rsidRPr="009D7463">
        <w:rPr>
          <w:rStyle w:val="FootnoteReference"/>
        </w:rPr>
        <w:footnoteRef/>
      </w:r>
      <w:r w:rsidRPr="009D7463">
        <w:t xml:space="preserve"> 47 U.S.C. § 214(a); 47 C.F.R. § 63.18 (stating any carrier seeking section 214 authority “for the provision of common carrier communications services between the United States, its territories or possessions, and a foreign point shall request such authority by formal application”).  The Commission granted “blanket” section 214 authority to carriers providing domestic service but did not extend this authority to international services.  </w:t>
      </w:r>
      <w:r w:rsidRPr="009D7463">
        <w:rPr>
          <w:i/>
        </w:rPr>
        <w:t>Implementation of Section 402(b)(2)(A) of the Telecommunications Act of 1996; Petition for Forbearance of the Independent Telephone &amp; Telecommunications Alliance</w:t>
      </w:r>
      <w:r w:rsidRPr="009D7463">
        <w:t>, CC Docket No. 97-11, AAD File No. 98-43, Report and Order, Second Memorandum Opinion and Order, 14 FCC Rcd 11364, 11365-66, para. 2 &amp; n.8 (1999).</w:t>
      </w:r>
    </w:p>
  </w:footnote>
  <w:footnote w:id="4">
    <w:p w14:paraId="07847BED" w14:textId="77777777" w:rsidR="001450B1" w:rsidRPr="009D7463" w:rsidRDefault="001450B1" w:rsidP="001450B1">
      <w:pPr>
        <w:pStyle w:val="FootnoteText"/>
      </w:pPr>
      <w:r w:rsidRPr="009D7463">
        <w:rPr>
          <w:rStyle w:val="FootnoteReference"/>
        </w:rPr>
        <w:footnoteRef/>
      </w:r>
      <w:r w:rsidRPr="009D7463">
        <w:t xml:space="preserve"> 47 U.S.C. § 214(c).</w:t>
      </w:r>
    </w:p>
  </w:footnote>
  <w:footnote w:id="5">
    <w:p w14:paraId="0092F856" w14:textId="77777777" w:rsidR="001450B1" w:rsidRPr="009D7463" w:rsidRDefault="001450B1" w:rsidP="001450B1">
      <w:pPr>
        <w:pStyle w:val="FootnoteText"/>
      </w:pPr>
      <w:r w:rsidRPr="009D7463">
        <w:rPr>
          <w:rStyle w:val="FootnoteReference"/>
        </w:rPr>
        <w:footnoteRef/>
      </w:r>
      <w:r w:rsidRPr="009D7463">
        <w:t xml:space="preserve"> </w:t>
      </w:r>
      <w:r w:rsidRPr="009D7463">
        <w:rPr>
          <w:i/>
        </w:rPr>
        <w:t>Wypoint International Section 214 Authorization</w:t>
      </w:r>
      <w:r w:rsidRPr="009D7463">
        <w:t xml:space="preserve">, 22 FCC Rcd at 14027; </w:t>
      </w:r>
      <w:r w:rsidRPr="009D7463">
        <w:rPr>
          <w:snapToGrid w:val="0"/>
        </w:rPr>
        <w:t xml:space="preserve">47 C.F.R. § 63.18(e).  </w:t>
      </w:r>
      <w:r w:rsidRPr="009D7463">
        <w:rPr>
          <w:snapToGrid w:val="0"/>
          <w:kern w:val="22"/>
          <w:szCs w:val="22"/>
        </w:rPr>
        <w:t xml:space="preserve"> </w:t>
      </w:r>
    </w:p>
  </w:footnote>
  <w:footnote w:id="6">
    <w:p w14:paraId="214DA86D" w14:textId="5DE2CC21" w:rsidR="001450B1" w:rsidRPr="009D7463" w:rsidRDefault="001450B1" w:rsidP="001450B1">
      <w:pPr>
        <w:pStyle w:val="FootnoteText"/>
        <w:rPr>
          <w:i/>
        </w:rPr>
      </w:pPr>
      <w:r w:rsidRPr="009D7463">
        <w:rPr>
          <w:rStyle w:val="FootnoteReference"/>
        </w:rPr>
        <w:footnoteRef/>
      </w:r>
      <w:r w:rsidRPr="009D7463">
        <w:t xml:space="preserve"> </w:t>
      </w:r>
      <w:r w:rsidRPr="009D7463">
        <w:rPr>
          <w:i/>
        </w:rPr>
        <w:t>Wypoint International Section 214 Authorization</w:t>
      </w:r>
      <w:r w:rsidRPr="009D7463">
        <w:t>, 22 FCC Rcd at 14027.  On July 11, 2007, Wypoint submitted the LOA to the Agencies.  Letter from Jaime De Vera, Sage VOIP Solutions, Inc. to Sigal Mandelker, Deputy Assistant Attorney General, Criminal Division, U.S. Department of Justice, Stewart A. Baker, Assistant Secretary of Policy, U.S. Department of Homeland Security, Elaine N. Lammert, Deputy General Counsel, Federal Bureau of Investigation (</w:t>
      </w:r>
      <w:r w:rsidR="00294327" w:rsidRPr="009D7463">
        <w:t xml:space="preserve">filed </w:t>
      </w:r>
      <w:r w:rsidRPr="009D7463">
        <w:t xml:space="preserve">July </w:t>
      </w:r>
      <w:r w:rsidR="00294327" w:rsidRPr="009D7463">
        <w:t>11</w:t>
      </w:r>
      <w:r w:rsidRPr="009D7463">
        <w:t>, 2007)</w:t>
      </w:r>
      <w:r w:rsidR="00B20E37" w:rsidRPr="009D7463">
        <w:t xml:space="preserve">; </w:t>
      </w:r>
      <w:r w:rsidRPr="009D7463">
        <w:t>Petition to Adopt Conditions to Authorizations and Licenses, File No. ITC-214-20070601-00211 (filed July 27, 2007) (Agencies’ non-objection to grant provided grant conditioned on applicant compliance with commitments and undertakings set out in July 11, 2007 letter).  These filings may be viewed on the FCC International Bureau Filing System (IBFS) by searching for File No. ITC-214-20070601-00211 and accessing the “Other filings related to this application,” http://licensing.fcc.gov/cgi-bin/ws.exe/prod/ib/forms/reports/related_filing.hts?f_key=-130452&amp;f_number=ITC2142007060100211.</w:t>
      </w:r>
    </w:p>
  </w:footnote>
  <w:footnote w:id="7">
    <w:p w14:paraId="3B432561" w14:textId="3F0D867C" w:rsidR="001450B1" w:rsidRPr="009D7463" w:rsidRDefault="001450B1" w:rsidP="001450B1">
      <w:pPr>
        <w:pStyle w:val="FootnoteText"/>
      </w:pPr>
      <w:r w:rsidRPr="009D7463">
        <w:rPr>
          <w:rStyle w:val="FootnoteReference"/>
        </w:rPr>
        <w:footnoteRef/>
      </w:r>
      <w:r w:rsidRPr="009D7463">
        <w:t xml:space="preserve"> </w:t>
      </w:r>
      <w:r w:rsidR="00B20E37" w:rsidRPr="009D7463">
        <w:t>LOA</w:t>
      </w:r>
      <w:r w:rsidRPr="009D7463">
        <w:t xml:space="preserve"> at 1-2.</w:t>
      </w:r>
    </w:p>
  </w:footnote>
  <w:footnote w:id="8">
    <w:p w14:paraId="19FDE008" w14:textId="19D33641" w:rsidR="001450B1" w:rsidRPr="009D7463" w:rsidRDefault="001450B1" w:rsidP="001450B1">
      <w:pPr>
        <w:pStyle w:val="FootnoteText"/>
      </w:pPr>
      <w:r w:rsidRPr="009D7463">
        <w:rPr>
          <w:rStyle w:val="FootnoteReference"/>
        </w:rPr>
        <w:footnoteRef/>
      </w:r>
      <w:r w:rsidRPr="009D7463">
        <w:t xml:space="preserve"> Letter from Richard Sofield, Director, Foreign Investment Review Staff, National Security Division, U.S. Department of Justice to Marlene H. Dortch, Secretary, Federal Communications Commission at 2 (</w:t>
      </w:r>
      <w:r w:rsidR="00023003" w:rsidRPr="009D7463">
        <w:t xml:space="preserve">filed </w:t>
      </w:r>
      <w:r w:rsidRPr="009D7463">
        <w:t>May 9, 2014) (</w:t>
      </w:r>
      <w:r w:rsidRPr="009D7463">
        <w:rPr>
          <w:i/>
        </w:rPr>
        <w:t>May 9, 2014 Executive Branch Letter</w:t>
      </w:r>
      <w:r w:rsidRPr="009D7463">
        <w:t>).  The letter may be viewed on the IBFS by searching for File No. ITC-214-20070601-00211 and accessing the “Other filings related to this application,” http://licensing.fcc.gov/cgi-bin/ws.exe/prod/ib/forms/reports/related_filing.hts?f_key=-130452&amp;f_number=ITC2142007060100211.</w:t>
      </w:r>
    </w:p>
  </w:footnote>
  <w:footnote w:id="9">
    <w:p w14:paraId="3B885059" w14:textId="5E77C5E1" w:rsidR="001450B1" w:rsidRPr="009D7463" w:rsidRDefault="001450B1" w:rsidP="001450B1">
      <w:pPr>
        <w:pStyle w:val="FootnoteText"/>
        <w:rPr>
          <w:i/>
        </w:rPr>
      </w:pPr>
      <w:r w:rsidRPr="009D7463">
        <w:rPr>
          <w:rStyle w:val="FootnoteReference"/>
        </w:rPr>
        <w:footnoteRef/>
      </w:r>
      <w:r w:rsidRPr="009D7463">
        <w:t xml:space="preserve"> </w:t>
      </w:r>
      <w:r w:rsidRPr="009D7463">
        <w:rPr>
          <w:i/>
        </w:rPr>
        <w:t>Id.</w:t>
      </w:r>
    </w:p>
  </w:footnote>
  <w:footnote w:id="10">
    <w:p w14:paraId="777F3E12" w14:textId="23A063BF" w:rsidR="001450B1" w:rsidRPr="0078581F" w:rsidRDefault="001450B1" w:rsidP="001450B1">
      <w:pPr>
        <w:pStyle w:val="FootnoteText"/>
      </w:pPr>
      <w:r w:rsidRPr="009D7463">
        <w:rPr>
          <w:rStyle w:val="FootnoteReference"/>
        </w:rPr>
        <w:footnoteRef/>
      </w:r>
      <w:r w:rsidRPr="009D7463">
        <w:t xml:space="preserve"> </w:t>
      </w:r>
      <w:r w:rsidR="00943333" w:rsidRPr="009D7463">
        <w:rPr>
          <w:i/>
        </w:rPr>
        <w:t xml:space="preserve">Id. </w:t>
      </w:r>
    </w:p>
  </w:footnote>
  <w:footnote w:id="11">
    <w:p w14:paraId="677D2D46" w14:textId="77777777" w:rsidR="001450B1" w:rsidRPr="001837C7" w:rsidRDefault="001450B1" w:rsidP="001450B1">
      <w:pPr>
        <w:pStyle w:val="FootnoteText"/>
      </w:pPr>
      <w:r w:rsidRPr="00A33532">
        <w:rPr>
          <w:rStyle w:val="FootnoteReference"/>
        </w:rPr>
        <w:footnoteRef/>
      </w:r>
      <w:r w:rsidRPr="00A33532">
        <w:t xml:space="preserve"> </w:t>
      </w:r>
      <w:r w:rsidRPr="001837C7">
        <w:rPr>
          <w:i/>
        </w:rPr>
        <w:t>Id</w:t>
      </w:r>
      <w:r w:rsidRPr="001837C7">
        <w:t>. at 3.</w:t>
      </w:r>
    </w:p>
  </w:footnote>
  <w:footnote w:id="12">
    <w:p w14:paraId="483ED6A2" w14:textId="74EE6E15" w:rsidR="001450B1" w:rsidRPr="009D7463" w:rsidRDefault="001450B1" w:rsidP="001450B1">
      <w:pPr>
        <w:pStyle w:val="FootnoteText"/>
      </w:pPr>
      <w:r w:rsidRPr="001837C7">
        <w:rPr>
          <w:rStyle w:val="FootnoteReference"/>
        </w:rPr>
        <w:footnoteRef/>
      </w:r>
      <w:r w:rsidRPr="009D7463">
        <w:t xml:space="preserve"> Letter from James L. Ball, Chief, Policy Division, </w:t>
      </w:r>
      <w:r w:rsidR="00943333" w:rsidRPr="009D7463">
        <w:t>International Bureau</w:t>
      </w:r>
      <w:r w:rsidR="006979D8">
        <w:t>, FCC</w:t>
      </w:r>
      <w:r w:rsidR="00943333" w:rsidRPr="009D7463">
        <w:t xml:space="preserve"> </w:t>
      </w:r>
      <w:r w:rsidRPr="009D7463">
        <w:t>to Jaime N de Vera, Wypoint Telecom, Inc. (</w:t>
      </w:r>
      <w:r w:rsidR="00294327" w:rsidRPr="009D7463">
        <w:t xml:space="preserve">IB </w:t>
      </w:r>
      <w:r w:rsidRPr="009D7463">
        <w:t>May 14, 2014).  The letter may be viewed on the IBFS by searching for File No. ITC-214-20070601-00211 and accessing “Other filings related to this application,” http://licensing.fcc.gov/cgi-bin/ws.exe/prod/ib/forms/reports/related_filing.hts?f_key=-130452&amp;f_number=ITC2142007060100211.</w:t>
      </w:r>
    </w:p>
  </w:footnote>
  <w:footnote w:id="13">
    <w:p w14:paraId="2DBCD686" w14:textId="45337174" w:rsidR="001450B1" w:rsidRPr="001837C7" w:rsidRDefault="001450B1" w:rsidP="00DB6018">
      <w:pPr>
        <w:pStyle w:val="FootnoteText"/>
      </w:pPr>
      <w:r w:rsidRPr="009D7463">
        <w:rPr>
          <w:rStyle w:val="FootnoteReference"/>
        </w:rPr>
        <w:footnoteRef/>
      </w:r>
      <w:r w:rsidRPr="009D7463">
        <w:t xml:space="preserve"> First, </w:t>
      </w:r>
      <w:r w:rsidRPr="009D7463">
        <w:rPr>
          <w:snapToGrid w:val="0"/>
        </w:rPr>
        <w:t xml:space="preserve">on June 27, 2014, the International Bureau issued a public notice providing Wypoint with a further opportunity to respond to the allegations in the </w:t>
      </w:r>
      <w:r w:rsidRPr="009D7463">
        <w:rPr>
          <w:i/>
          <w:snapToGrid w:val="0"/>
        </w:rPr>
        <w:t>May 9, 2014 Executive Branch Letter</w:t>
      </w:r>
      <w:r w:rsidRPr="009D7463">
        <w:rPr>
          <w:snapToGrid w:val="0"/>
        </w:rPr>
        <w:t xml:space="preserve"> and describ</w:t>
      </w:r>
      <w:r w:rsidR="0072078F" w:rsidRPr="009D7463">
        <w:rPr>
          <w:snapToGrid w:val="0"/>
        </w:rPr>
        <w:t>e</w:t>
      </w:r>
      <w:r w:rsidRPr="009D7463">
        <w:rPr>
          <w:snapToGrid w:val="0"/>
        </w:rPr>
        <w:t xml:space="preserve"> any steps it was taking or would take to resolve the Agencies’ concerns.  </w:t>
      </w:r>
      <w:r w:rsidRPr="009D7463">
        <w:rPr>
          <w:i/>
        </w:rPr>
        <w:t>Wypoint Telecom, Inc. Required to Respond to Request to Terminate its International Section 214 Authorization</w:t>
      </w:r>
      <w:r w:rsidRPr="009D7463">
        <w:t>, File No. ITC-214-20070601-00211, Public Notice, 29 FCC Rcd 7807, 7807 (IB 2014) (</w:t>
      </w:r>
      <w:r w:rsidRPr="009D7463">
        <w:rPr>
          <w:i/>
        </w:rPr>
        <w:t>2014 Wypoint Public Notice</w:t>
      </w:r>
      <w:r w:rsidRPr="009D7463">
        <w:t xml:space="preserve">).  Second, on January 14, 2015, the International Bureau </w:t>
      </w:r>
      <w:r w:rsidR="0069663A" w:rsidRPr="009D7463">
        <w:t xml:space="preserve">issued a Public Notice </w:t>
      </w:r>
      <w:r w:rsidRPr="009D7463">
        <w:t>stat</w:t>
      </w:r>
      <w:r w:rsidR="0069663A" w:rsidRPr="009D7463">
        <w:t>ing</w:t>
      </w:r>
      <w:r w:rsidRPr="009D7463">
        <w:t xml:space="preserve"> that it was providing Wypoint “final notice and opportunity to respond” and that Wypoint must do so no later than 15 days after publication of notice in the Federal Register</w:t>
      </w:r>
      <w:r w:rsidR="007C6C6E" w:rsidRPr="009D7463">
        <w:t>, i.e., by February 11, 2015</w:t>
      </w:r>
      <w:r w:rsidRPr="009D7463">
        <w:t xml:space="preserve">.  </w:t>
      </w:r>
      <w:r w:rsidRPr="009D7463">
        <w:rPr>
          <w:i/>
        </w:rPr>
        <w:t>Notice of Intent to Declare the International Section 214 Authorization of Wypoint Telecom, Inc. Terminated</w:t>
      </w:r>
      <w:r w:rsidRPr="009D7463">
        <w:t>, File No. ITC-214-20070601-00211, Public Notice, 30 FCC Rcd 172, 172-73 (IB 2015) (</w:t>
      </w:r>
      <w:r w:rsidRPr="009D7463">
        <w:rPr>
          <w:i/>
        </w:rPr>
        <w:t>2015 Wypoint Public Notice</w:t>
      </w:r>
      <w:r w:rsidRPr="009D7463">
        <w:t>)</w:t>
      </w:r>
      <w:r w:rsidR="00023003" w:rsidRPr="009D7463">
        <w:t xml:space="preserve">; </w:t>
      </w:r>
      <w:r w:rsidR="00A52363" w:rsidRPr="009D7463">
        <w:t xml:space="preserve">Notice of Intent To Terminate 214 Authorization, </w:t>
      </w:r>
      <w:r w:rsidR="007C6C6E" w:rsidRPr="009D7463">
        <w:t xml:space="preserve">80 Fed. Reg. 4264 (January 27, 2015).  </w:t>
      </w:r>
      <w:r w:rsidR="00C928CC" w:rsidRPr="009D7463">
        <w:t>T</w:t>
      </w:r>
      <w:r w:rsidRPr="009D7463">
        <w:t>he International Bureau also mailed th</w:t>
      </w:r>
      <w:r w:rsidR="00C928CC" w:rsidRPr="009D7463">
        <w:t>is</w:t>
      </w:r>
      <w:r w:rsidRPr="009D7463">
        <w:t xml:space="preserve"> </w:t>
      </w:r>
      <w:r w:rsidRPr="009D7463">
        <w:rPr>
          <w:i/>
        </w:rPr>
        <w:t>2015 Wypoint Public Notice</w:t>
      </w:r>
      <w:r w:rsidRPr="009D7463">
        <w:t xml:space="preserve"> to Wypoint</w:t>
      </w:r>
      <w:r w:rsidR="00723B7A" w:rsidRPr="009D7463">
        <w:t xml:space="preserve"> </w:t>
      </w:r>
      <w:r w:rsidRPr="009D7463">
        <w:t xml:space="preserve">at the </w:t>
      </w:r>
      <w:r w:rsidR="00B63DD7" w:rsidRPr="009D7463">
        <w:t xml:space="preserve">same </w:t>
      </w:r>
      <w:r w:rsidR="00AE3240" w:rsidRPr="009D7463">
        <w:t xml:space="preserve">address </w:t>
      </w:r>
      <w:r w:rsidR="00B63DD7" w:rsidRPr="009D7463">
        <w:t xml:space="preserve">listed </w:t>
      </w:r>
      <w:r w:rsidR="00AE3240" w:rsidRPr="009D7463">
        <w:t xml:space="preserve">in </w:t>
      </w:r>
      <w:r w:rsidR="005732EE" w:rsidRPr="009D7463">
        <w:t xml:space="preserve">its </w:t>
      </w:r>
      <w:r w:rsidR="003714A0" w:rsidRPr="009D7463">
        <w:t>2007</w:t>
      </w:r>
      <w:r w:rsidR="005732EE" w:rsidRPr="009D7463">
        <w:t xml:space="preserve"> application</w:t>
      </w:r>
      <w:r w:rsidR="00072750" w:rsidRPr="009D7463">
        <w:t>, as well as to an address in Altamonte Springs, Florida, used in an April 2007 filing of FCC Form 499 on behalf of Wypoint</w:t>
      </w:r>
      <w:r w:rsidR="006C5917" w:rsidRPr="009D7463">
        <w:t>.</w:t>
      </w:r>
      <w:r w:rsidR="00DB6018" w:rsidRPr="009D7463">
        <w:t xml:space="preserve">  Letter from Howard Griboff, Acting Chief, Policy Division, International Bureau, FCC to Jaime N de Vera, Wypoint Telecom, Inc. and Robert V. Staat</w:t>
      </w:r>
      <w:r w:rsidR="00AF27A8">
        <w:t>s</w:t>
      </w:r>
      <w:r w:rsidR="00DB6018" w:rsidRPr="001837C7">
        <w:t xml:space="preserve"> (IB Jan. 14, 2015).</w:t>
      </w:r>
    </w:p>
  </w:footnote>
  <w:footnote w:id="14">
    <w:p w14:paraId="407EAC12" w14:textId="77777777" w:rsidR="001450B1" w:rsidRPr="009D7463" w:rsidRDefault="001450B1" w:rsidP="001450B1">
      <w:pPr>
        <w:pStyle w:val="FootnoteText"/>
      </w:pPr>
      <w:r w:rsidRPr="009D7463">
        <w:rPr>
          <w:rStyle w:val="FootnoteReference"/>
        </w:rPr>
        <w:footnoteRef/>
      </w:r>
      <w:r w:rsidRPr="009D7463">
        <w:t xml:space="preserve"> </w:t>
      </w:r>
      <w:r w:rsidRPr="009D7463">
        <w:rPr>
          <w:i/>
        </w:rPr>
        <w:t>2015 Wypoint Public Notice</w:t>
      </w:r>
      <w:r w:rsidRPr="009D7463">
        <w:t>,</w:t>
      </w:r>
      <w:r w:rsidRPr="009D7463">
        <w:rPr>
          <w:i/>
        </w:rPr>
        <w:t xml:space="preserve"> </w:t>
      </w:r>
      <w:r w:rsidRPr="009D7463">
        <w:t xml:space="preserve">30 FCC Rcd at 172.  </w:t>
      </w:r>
    </w:p>
  </w:footnote>
  <w:footnote w:id="15">
    <w:p w14:paraId="24DDF983" w14:textId="3186FE57" w:rsidR="00494EFC" w:rsidRPr="009D7463" w:rsidRDefault="00494EFC" w:rsidP="00494EFC">
      <w:pPr>
        <w:pStyle w:val="FootnoteText"/>
      </w:pPr>
      <w:r w:rsidRPr="009D7463">
        <w:rPr>
          <w:rStyle w:val="FootnoteReference"/>
        </w:rPr>
        <w:footnoteRef/>
      </w:r>
      <w:r w:rsidR="00C74C53" w:rsidRPr="009D7463">
        <w:t xml:space="preserve"> The Application may be viewed on the IBFS by searching for File No. ITC-214-20070601-00211 and accessing the “PDF Version of the Application</w:t>
      </w:r>
      <w:r w:rsidR="00595DC7" w:rsidRPr="009D7463">
        <w:t>,</w:t>
      </w:r>
      <w:r w:rsidR="00C74C53" w:rsidRPr="009D7463">
        <w:t>” http://licensing.fcc.gov/cgi-bin/ws.exe/prod/ib/forms/reports/swr031b.hts?q_set=V_SITE_ANTENNA_FREQ.file_numberC/File+Number/%3D/ITC2142007060100211&amp;prepare=&amp;column=V_SITE_ANTENNA_FREQ.file_numberC/File+Number.</w:t>
      </w:r>
    </w:p>
  </w:footnote>
  <w:footnote w:id="16">
    <w:p w14:paraId="393CB6F5" w14:textId="2AEF55CE" w:rsidR="001450B1" w:rsidRPr="00A33532" w:rsidRDefault="001450B1" w:rsidP="001450B1">
      <w:pPr>
        <w:pStyle w:val="FootnoteText"/>
      </w:pPr>
      <w:r w:rsidRPr="009D7463">
        <w:rPr>
          <w:rStyle w:val="FootnoteReference"/>
        </w:rPr>
        <w:footnoteRef/>
      </w:r>
      <w:r w:rsidRPr="009D7463">
        <w:t xml:space="preserve"> </w:t>
      </w:r>
      <w:r w:rsidR="00C74C53" w:rsidRPr="009D7463">
        <w:rPr>
          <w:i/>
        </w:rPr>
        <w:t>California Secretary of State</w:t>
      </w:r>
      <w:r w:rsidR="00C74C53" w:rsidRPr="009D7463">
        <w:t xml:space="preserve">, </w:t>
      </w:r>
      <w:hyperlink r:id="rId1" w:history="1">
        <w:r w:rsidR="00F42BDA" w:rsidRPr="00542F6B">
          <w:rPr>
            <w:rStyle w:val="Hyperlink"/>
            <w:color w:val="auto"/>
            <w:u w:val="none"/>
          </w:rPr>
          <w:t>https://businessfilings.sos.ca.gov/</w:t>
        </w:r>
      </w:hyperlink>
      <w:r w:rsidR="00F42BDA" w:rsidRPr="009D7463">
        <w:t xml:space="preserve"> (last visited Nov</w:t>
      </w:r>
      <w:r w:rsidR="00780DE9" w:rsidRPr="009D7463">
        <w:t>.</w:t>
      </w:r>
      <w:r w:rsidR="00F42BDA" w:rsidRPr="009D7463">
        <w:t xml:space="preserve"> 1</w:t>
      </w:r>
      <w:r w:rsidR="00D71FEC" w:rsidRPr="009D7463">
        <w:t>7</w:t>
      </w:r>
      <w:r w:rsidR="00F42BDA" w:rsidRPr="009D7463">
        <w:t>, 2015)</w:t>
      </w:r>
      <w:r w:rsidR="00AE3240" w:rsidRPr="009D7463">
        <w:t xml:space="preserve"> (</w:t>
      </w:r>
      <w:r w:rsidR="00AE3240" w:rsidRPr="009D7463">
        <w:rPr>
          <w:snapToGrid w:val="0"/>
        </w:rPr>
        <w:t xml:space="preserve">search “Wypoint” or corporate number “C2967385”).  </w:t>
      </w:r>
      <w:r w:rsidR="001837C7">
        <w:rPr>
          <w:snapToGrid w:val="0"/>
        </w:rPr>
        <w:t xml:space="preserve">Although </w:t>
      </w:r>
      <w:r w:rsidR="00C928CC" w:rsidRPr="001837C7">
        <w:rPr>
          <w:snapToGrid w:val="0"/>
        </w:rPr>
        <w:t xml:space="preserve">Wypoint’s </w:t>
      </w:r>
      <w:r w:rsidR="001837C7">
        <w:rPr>
          <w:snapToGrid w:val="0"/>
        </w:rPr>
        <w:t xml:space="preserve">is </w:t>
      </w:r>
      <w:r w:rsidR="00C928CC" w:rsidRPr="001837C7">
        <w:rPr>
          <w:snapToGrid w:val="0"/>
        </w:rPr>
        <w:t>apparent</w:t>
      </w:r>
      <w:r w:rsidR="001837C7">
        <w:rPr>
          <w:snapToGrid w:val="0"/>
        </w:rPr>
        <w:t>ly</w:t>
      </w:r>
      <w:r w:rsidR="00C928CC" w:rsidRPr="001837C7">
        <w:rPr>
          <w:snapToGrid w:val="0"/>
        </w:rPr>
        <w:t xml:space="preserve"> dissol</w:t>
      </w:r>
      <w:r w:rsidR="001837C7">
        <w:rPr>
          <w:snapToGrid w:val="0"/>
        </w:rPr>
        <w:t>ved</w:t>
      </w:r>
      <w:r w:rsidR="00C928CC" w:rsidRPr="001837C7">
        <w:rPr>
          <w:snapToGrid w:val="0"/>
        </w:rPr>
        <w:t>, on October 8, 2015, the International Bureau also sent copies of the foregoing notices by registered</w:t>
      </w:r>
      <w:r w:rsidR="004B54DD" w:rsidRPr="001837C7">
        <w:rPr>
          <w:snapToGrid w:val="0"/>
        </w:rPr>
        <w:t>, return receipt</w:t>
      </w:r>
      <w:r w:rsidR="00C928CC" w:rsidRPr="001837C7">
        <w:rPr>
          <w:snapToGrid w:val="0"/>
        </w:rPr>
        <w:t xml:space="preserve"> mail to </w:t>
      </w:r>
      <w:r w:rsidR="00072750" w:rsidRPr="001837C7">
        <w:rPr>
          <w:snapToGrid w:val="0"/>
        </w:rPr>
        <w:t xml:space="preserve">the foregoing </w:t>
      </w:r>
      <w:r w:rsidR="00C928CC" w:rsidRPr="001837C7">
        <w:rPr>
          <w:snapToGrid w:val="0"/>
        </w:rPr>
        <w:t>Florida</w:t>
      </w:r>
      <w:r w:rsidR="00072750" w:rsidRPr="001837C7">
        <w:rPr>
          <w:snapToGrid w:val="0"/>
        </w:rPr>
        <w:t xml:space="preserve"> address</w:t>
      </w:r>
      <w:r w:rsidR="00C928CC" w:rsidRPr="001837C7">
        <w:rPr>
          <w:snapToGrid w:val="0"/>
        </w:rPr>
        <w:t xml:space="preserve">, </w:t>
      </w:r>
      <w:r w:rsidR="004B54DD" w:rsidRPr="001837C7">
        <w:rPr>
          <w:snapToGrid w:val="0"/>
        </w:rPr>
        <w:t xml:space="preserve">but on October </w:t>
      </w:r>
      <w:r w:rsidR="00A33532">
        <w:rPr>
          <w:snapToGrid w:val="0"/>
        </w:rPr>
        <w:t>2</w:t>
      </w:r>
      <w:r w:rsidR="004B54DD" w:rsidRPr="00A33532">
        <w:rPr>
          <w:snapToGrid w:val="0"/>
        </w:rPr>
        <w:t xml:space="preserve">3, 2015, the </w:t>
      </w:r>
      <w:r w:rsidR="00A33532">
        <w:rPr>
          <w:snapToGrid w:val="0"/>
        </w:rPr>
        <w:t xml:space="preserve">mailing was returned as </w:t>
      </w:r>
      <w:r w:rsidR="00DB6018" w:rsidRPr="00A33532">
        <w:rPr>
          <w:snapToGrid w:val="0"/>
        </w:rPr>
        <w:t>undeliverable</w:t>
      </w:r>
      <w:r w:rsidR="00A33532">
        <w:rPr>
          <w:snapToGrid w:val="0"/>
        </w:rPr>
        <w:t xml:space="preserve"> to the Commission</w:t>
      </w:r>
      <w:r w:rsidR="00DB6018" w:rsidRPr="00A33532">
        <w:rPr>
          <w:snapToGrid w:val="0"/>
        </w:rPr>
        <w:t>.  The International Bureau</w:t>
      </w:r>
      <w:r w:rsidR="00C928CC" w:rsidRPr="00A33532">
        <w:rPr>
          <w:snapToGrid w:val="0"/>
        </w:rPr>
        <w:t xml:space="preserve"> </w:t>
      </w:r>
      <w:r w:rsidR="00072750" w:rsidRPr="00A33532">
        <w:rPr>
          <w:snapToGrid w:val="0"/>
        </w:rPr>
        <w:t xml:space="preserve">also </w:t>
      </w:r>
      <w:r w:rsidR="00DB6018" w:rsidRPr="00A33532">
        <w:rPr>
          <w:snapToGrid w:val="0"/>
        </w:rPr>
        <w:t xml:space="preserve">sent copies </w:t>
      </w:r>
      <w:r w:rsidR="00C928CC" w:rsidRPr="00A33532">
        <w:rPr>
          <w:snapToGrid w:val="0"/>
        </w:rPr>
        <w:t xml:space="preserve">to </w:t>
      </w:r>
      <w:r w:rsidR="00072750" w:rsidRPr="00A33532">
        <w:rPr>
          <w:snapToGrid w:val="0"/>
        </w:rPr>
        <w:t xml:space="preserve">an </w:t>
      </w:r>
      <w:r w:rsidR="00C928CC" w:rsidRPr="00A33532">
        <w:rPr>
          <w:snapToGrid w:val="0"/>
        </w:rPr>
        <w:t xml:space="preserve">attorney </w:t>
      </w:r>
      <w:r w:rsidR="0072078F" w:rsidRPr="00A33532">
        <w:rPr>
          <w:snapToGrid w:val="0"/>
        </w:rPr>
        <w:t>who</w:t>
      </w:r>
      <w:r w:rsidR="00072750" w:rsidRPr="00A33532">
        <w:rPr>
          <w:snapToGrid w:val="0"/>
        </w:rPr>
        <w:t xml:space="preserve"> had been identified in Wypoint’s</w:t>
      </w:r>
      <w:r w:rsidR="00C928CC" w:rsidRPr="00A33532">
        <w:rPr>
          <w:snapToGrid w:val="0"/>
        </w:rPr>
        <w:t xml:space="preserve"> section 214 application</w:t>
      </w:r>
      <w:r w:rsidR="00072750" w:rsidRPr="00A33532">
        <w:rPr>
          <w:snapToGrid w:val="0"/>
        </w:rPr>
        <w:t xml:space="preserve">, as well as to another attorney </w:t>
      </w:r>
      <w:r w:rsidR="004F4714">
        <w:rPr>
          <w:snapToGrid w:val="0"/>
        </w:rPr>
        <w:t>who</w:t>
      </w:r>
      <w:r w:rsidR="00072750" w:rsidRPr="00A33532">
        <w:rPr>
          <w:snapToGrid w:val="0"/>
        </w:rPr>
        <w:t xml:space="preserve"> </w:t>
      </w:r>
      <w:r w:rsidR="003D29CE">
        <w:rPr>
          <w:snapToGrid w:val="0"/>
        </w:rPr>
        <w:t xml:space="preserve">had </w:t>
      </w:r>
      <w:r w:rsidR="00072750" w:rsidRPr="00A33532">
        <w:rPr>
          <w:snapToGrid w:val="0"/>
        </w:rPr>
        <w:t>made a</w:t>
      </w:r>
      <w:r w:rsidR="00C928CC" w:rsidRPr="00A33532">
        <w:rPr>
          <w:snapToGrid w:val="0"/>
        </w:rPr>
        <w:t xml:space="preserve"> name change filing</w:t>
      </w:r>
      <w:r w:rsidR="00072750" w:rsidRPr="00A33532">
        <w:rPr>
          <w:snapToGrid w:val="0"/>
        </w:rPr>
        <w:t xml:space="preserve"> on its behalf</w:t>
      </w:r>
      <w:r w:rsidR="00C928CC" w:rsidRPr="00A33532">
        <w:rPr>
          <w:snapToGrid w:val="0"/>
        </w:rPr>
        <w:t xml:space="preserve"> in October 2007</w:t>
      </w:r>
      <w:r w:rsidR="000159F1">
        <w:rPr>
          <w:snapToGrid w:val="0"/>
        </w:rPr>
        <w:t xml:space="preserve">.  </w:t>
      </w:r>
      <w:r w:rsidR="00E6698B" w:rsidRPr="00A33532">
        <w:rPr>
          <w:snapToGrid w:val="0"/>
        </w:rPr>
        <w:t xml:space="preserve"> </w:t>
      </w:r>
      <w:r w:rsidR="000159F1">
        <w:rPr>
          <w:snapToGrid w:val="0"/>
        </w:rPr>
        <w:t>B</w:t>
      </w:r>
      <w:r w:rsidR="00E6698B" w:rsidRPr="00A33532">
        <w:rPr>
          <w:snapToGrid w:val="0"/>
        </w:rPr>
        <w:t xml:space="preserve">oth </w:t>
      </w:r>
      <w:r w:rsidR="00072750" w:rsidRPr="00A33532">
        <w:rPr>
          <w:snapToGrid w:val="0"/>
        </w:rPr>
        <w:t xml:space="preserve">were </w:t>
      </w:r>
      <w:r w:rsidR="00DB6018" w:rsidRPr="00A33532">
        <w:rPr>
          <w:snapToGrid w:val="0"/>
        </w:rPr>
        <w:t>delivered</w:t>
      </w:r>
      <w:r w:rsidR="00072750" w:rsidRPr="00A33532">
        <w:rPr>
          <w:snapToGrid w:val="0"/>
        </w:rPr>
        <w:t xml:space="preserve"> on October 13, 2015.  As noted above, the Commission has received no response.</w:t>
      </w:r>
    </w:p>
  </w:footnote>
  <w:footnote w:id="17">
    <w:p w14:paraId="4FA484F8" w14:textId="5C417C16" w:rsidR="003C3749" w:rsidRPr="009D7463" w:rsidRDefault="003C3749">
      <w:pPr>
        <w:pStyle w:val="FootnoteText"/>
      </w:pPr>
      <w:r w:rsidRPr="001837C7">
        <w:rPr>
          <w:rStyle w:val="FootnoteReference"/>
        </w:rPr>
        <w:footnoteRef/>
      </w:r>
      <w:r w:rsidRPr="001837C7">
        <w:t xml:space="preserve"> </w:t>
      </w:r>
      <w:r w:rsidRPr="001837C7">
        <w:rPr>
          <w:rFonts w:eastAsiaTheme="minorHAnsi"/>
        </w:rPr>
        <w:t xml:space="preserve">47 C.F.R. </w:t>
      </w:r>
      <w:r w:rsidR="007B0DF6" w:rsidRPr="009D7463">
        <w:t xml:space="preserve">§ </w:t>
      </w:r>
      <w:r w:rsidRPr="009D7463">
        <w:rPr>
          <w:rFonts w:eastAsiaTheme="minorHAnsi"/>
        </w:rPr>
        <w:t xml:space="preserve">63.21(a).  </w:t>
      </w:r>
    </w:p>
  </w:footnote>
  <w:footnote w:id="18">
    <w:p w14:paraId="6943A0FB" w14:textId="48293452" w:rsidR="001450B1" w:rsidRPr="009D7463" w:rsidRDefault="001450B1" w:rsidP="00125A26">
      <w:pPr>
        <w:pStyle w:val="FootnoteText"/>
      </w:pPr>
      <w:r w:rsidRPr="009D7463">
        <w:rPr>
          <w:rStyle w:val="FootnoteReference"/>
        </w:rPr>
        <w:footnoteRef/>
      </w:r>
      <w:r w:rsidRPr="009D7463">
        <w:t xml:space="preserve"> </w:t>
      </w:r>
      <w:r w:rsidR="00D71FEC" w:rsidRPr="009D7463">
        <w:rPr>
          <w:i/>
        </w:rPr>
        <w:t>Id</w:t>
      </w:r>
      <w:r w:rsidR="00D71FEC" w:rsidRPr="009D7463">
        <w:t>.</w:t>
      </w:r>
      <w:r w:rsidRPr="009D7463">
        <w:t xml:space="preserve">  In addition, there is no indication that Wypoint is currently providing service pursuant to its section 214 authorization.  If Wypoint has discontinued service, it is also in violation of the Commission’s rules requiring prior notification for such a discontinuance.  47 C.F.R. § 63.19.   </w:t>
      </w:r>
    </w:p>
  </w:footnote>
  <w:footnote w:id="19">
    <w:p w14:paraId="62839E10" w14:textId="409E2890" w:rsidR="001450B1" w:rsidRPr="009D7463" w:rsidRDefault="001450B1" w:rsidP="001450B1">
      <w:pPr>
        <w:pStyle w:val="FootnoteText"/>
      </w:pPr>
      <w:r w:rsidRPr="009D7463">
        <w:rPr>
          <w:rStyle w:val="FootnoteReference"/>
        </w:rPr>
        <w:footnoteRef/>
      </w:r>
      <w:r w:rsidRPr="009D7463">
        <w:t xml:space="preserve"> 47 U.S.C. § 413</w:t>
      </w:r>
      <w:r w:rsidR="00332771" w:rsidRPr="009D7463">
        <w:t xml:space="preserve">; </w:t>
      </w:r>
      <w:r w:rsidRPr="009D7463">
        <w:t xml:space="preserve">47 C.F.R. §§ 1.47(h), 64.1195.  </w:t>
      </w:r>
    </w:p>
  </w:footnote>
  <w:footnote w:id="20">
    <w:p w14:paraId="0D549EF2" w14:textId="4E052BAF" w:rsidR="005C10E9" w:rsidRPr="009D7463" w:rsidRDefault="005C10E9" w:rsidP="005C10E9">
      <w:pPr>
        <w:pStyle w:val="FootnoteText"/>
      </w:pPr>
      <w:r w:rsidRPr="009D7463">
        <w:rPr>
          <w:rStyle w:val="FootnoteReference"/>
        </w:rPr>
        <w:footnoteRef/>
      </w:r>
      <w:r w:rsidRPr="009D7463">
        <w:t xml:space="preserve"> </w:t>
      </w:r>
      <w:r w:rsidRPr="009D7463">
        <w:rPr>
          <w:rFonts w:eastAsiaTheme="minorHAnsi"/>
        </w:rPr>
        <w:t xml:space="preserve">47 C.F.R. </w:t>
      </w:r>
      <w:r w:rsidR="00D71FEC" w:rsidRPr="009D7463">
        <w:t xml:space="preserve">§ </w:t>
      </w:r>
      <w:r w:rsidRPr="009D7463">
        <w:rPr>
          <w:rFonts w:eastAsiaTheme="minorHAnsi"/>
        </w:rPr>
        <w:t xml:space="preserve">63.21(d).  </w:t>
      </w:r>
    </w:p>
  </w:footnote>
  <w:footnote w:id="21">
    <w:p w14:paraId="0262566D" w14:textId="76441F50" w:rsidR="005C10E9" w:rsidRPr="00A33532" w:rsidRDefault="005C10E9" w:rsidP="005C10E9">
      <w:pPr>
        <w:pStyle w:val="FootnoteText"/>
      </w:pPr>
      <w:r w:rsidRPr="009D7463">
        <w:rPr>
          <w:rStyle w:val="FootnoteReference"/>
        </w:rPr>
        <w:footnoteRef/>
      </w:r>
      <w:r w:rsidRPr="009D7463">
        <w:t xml:space="preserve"> 47 C.F.R. § 43.62(b)</w:t>
      </w:r>
      <w:r w:rsidR="00542F6B">
        <w:t xml:space="preserve"> (emphasis added)</w:t>
      </w:r>
      <w:r w:rsidRPr="009D7463">
        <w:t xml:space="preserve">.  </w:t>
      </w:r>
      <w:r w:rsidRPr="009D7463">
        <w:rPr>
          <w:snapToGrid w:val="0"/>
          <w:kern w:val="28"/>
        </w:rPr>
        <w:t xml:space="preserve">In 2013, the Commission adopted section 43.62(b) of its rules, which went into effect on February 11, 2015.  </w:t>
      </w:r>
      <w:r w:rsidRPr="009D7463">
        <w:t xml:space="preserve"> </w:t>
      </w:r>
      <w:r w:rsidRPr="009D7463">
        <w:rPr>
          <w:i/>
          <w:snapToGrid w:val="0"/>
          <w:kern w:val="28"/>
        </w:rPr>
        <w:t>Reporting Requirements for U.S. Providers of International Telecommunications Services; Amendment of Part 43 of the Commission’s Rules</w:t>
      </w:r>
      <w:r w:rsidRPr="009D7463">
        <w:rPr>
          <w:snapToGrid w:val="0"/>
          <w:kern w:val="28"/>
        </w:rPr>
        <w:t xml:space="preserve">, IB Docket No. 04-112, Second Report and Order, 28 FCC Rcd 575 (2013); </w:t>
      </w:r>
      <w:r w:rsidRPr="001E5239">
        <w:rPr>
          <w:snapToGrid w:val="0"/>
          <w:kern w:val="28"/>
        </w:rPr>
        <w:t>Reporting Requirements for U.S. Providers of International Telecommunications Services</w:t>
      </w:r>
      <w:r w:rsidRPr="009D7463">
        <w:rPr>
          <w:snapToGrid w:val="0"/>
          <w:kern w:val="28"/>
        </w:rPr>
        <w:t>,</w:t>
      </w:r>
      <w:r w:rsidRPr="009D7463">
        <w:rPr>
          <w:i/>
          <w:snapToGrid w:val="0"/>
          <w:kern w:val="28"/>
        </w:rPr>
        <w:t xml:space="preserve"> </w:t>
      </w:r>
      <w:r w:rsidRPr="0078581F">
        <w:rPr>
          <w:snapToGrid w:val="0"/>
          <w:kern w:val="28"/>
        </w:rPr>
        <w:t>80 Fed. Reg. 7547 (Fe</w:t>
      </w:r>
      <w:r w:rsidRPr="00A33532">
        <w:rPr>
          <w:snapToGrid w:val="0"/>
          <w:kern w:val="28"/>
        </w:rPr>
        <w:t>b. 11,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37B8" w14:textId="77777777" w:rsidR="00A037C1" w:rsidRDefault="00A03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5D0B" w14:textId="74C6E282" w:rsidR="00882058" w:rsidRDefault="00E77E8A" w:rsidP="00A26601">
    <w:pPr>
      <w:pStyle w:val="Header"/>
      <w:jc w:val="center"/>
      <w:rPr>
        <w:b w:val="0"/>
      </w:rPr>
    </w:pPr>
    <w:r>
      <w:rPr>
        <w:b w:val="0"/>
        <w:szCs w:val="22"/>
      </w:rPr>
      <w:tab/>
    </w:r>
    <w:r w:rsidR="00882058">
      <w:rPr>
        <w:b w:val="0"/>
        <w:szCs w:val="22"/>
      </w:rPr>
      <w:t>Federal Communications Commission</w:t>
    </w:r>
    <w:r w:rsidR="00882058">
      <w:rPr>
        <w:b w:val="0"/>
        <w:szCs w:val="22"/>
      </w:rPr>
      <w:tab/>
      <w:t>DA 1</w:t>
    </w:r>
    <w:r>
      <w:rPr>
        <w:b w:val="0"/>
        <w:szCs w:val="22"/>
      </w:rPr>
      <w:t>5</w:t>
    </w:r>
    <w:r w:rsidR="00882058">
      <w:rPr>
        <w:b w:val="0"/>
        <w:szCs w:val="22"/>
      </w:rPr>
      <w:t>-</w:t>
    </w:r>
    <w:r w:rsidR="00453F04">
      <w:rPr>
        <w:b w:val="0"/>
        <w:szCs w:val="22"/>
      </w:rPr>
      <w:t>1343</w:t>
    </w:r>
  </w:p>
  <w:p w14:paraId="66F2721E" w14:textId="77777777" w:rsidR="00882058" w:rsidRDefault="00882058">
    <w:pPr>
      <w:pStyle w:val="Header"/>
    </w:pPr>
    <w:r>
      <w:rPr>
        <w:noProof/>
        <w:snapToGrid/>
      </w:rPr>
      <mc:AlternateContent>
        <mc:Choice Requires="wps">
          <w:drawing>
            <wp:anchor distT="0" distB="0" distL="114300" distR="114300" simplePos="0" relativeHeight="251658240" behindDoc="0" locked="0" layoutInCell="0" allowOverlap="1" wp14:anchorId="1EAB0A00" wp14:editId="22AB73E6">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ECA70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742F" w14:textId="591193CA" w:rsidR="00453F04" w:rsidRPr="003665F2" w:rsidRDefault="00882058">
    <w:pPr>
      <w:pStyle w:val="Header"/>
      <w:rPr>
        <w:b w:val="0"/>
        <w:sz w:val="24"/>
        <w:szCs w:val="24"/>
      </w:rPr>
    </w:pPr>
    <w:r w:rsidRPr="003665F2">
      <w:rPr>
        <w:b w:val="0"/>
        <w:sz w:val="24"/>
        <w:szCs w:val="24"/>
      </w:rPr>
      <w:tab/>
      <w:t>Federal Communications Commission</w:t>
    </w:r>
    <w:r w:rsidRPr="003665F2">
      <w:rPr>
        <w:b w:val="0"/>
        <w:sz w:val="24"/>
        <w:szCs w:val="24"/>
      </w:rPr>
      <w:tab/>
      <w:t>DA 1</w:t>
    </w:r>
    <w:r w:rsidR="0071234F" w:rsidRPr="003665F2">
      <w:rPr>
        <w:b w:val="0"/>
        <w:sz w:val="24"/>
        <w:szCs w:val="24"/>
      </w:rPr>
      <w:t>5</w:t>
    </w:r>
    <w:r w:rsidRPr="003665F2">
      <w:rPr>
        <w:b w:val="0"/>
        <w:sz w:val="24"/>
        <w:szCs w:val="24"/>
      </w:rPr>
      <w:t>-</w:t>
    </w:r>
    <w:r w:rsidR="00453F04">
      <w:rPr>
        <w:b w:val="0"/>
        <w:sz w:val="24"/>
        <w:szCs w:val="24"/>
      </w:rPr>
      <w:t>1343</w:t>
    </w:r>
  </w:p>
  <w:p w14:paraId="4E3CC20E" w14:textId="77777777" w:rsidR="00882058" w:rsidRDefault="00882058">
    <w:pPr>
      <w:pStyle w:val="Header"/>
    </w:pPr>
    <w:r>
      <w:rPr>
        <w:noProof/>
        <w:snapToGrid/>
      </w:rPr>
      <mc:AlternateContent>
        <mc:Choice Requires="wps">
          <w:drawing>
            <wp:anchor distT="0" distB="0" distL="114300" distR="114300" simplePos="0" relativeHeight="251657216" behindDoc="0" locked="0" layoutInCell="0" allowOverlap="1" wp14:anchorId="268A067D" wp14:editId="1827AB46">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AD4B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C949DB"/>
    <w:multiLevelType w:val="singleLevel"/>
    <w:tmpl w:val="9D3A513E"/>
    <w:lvl w:ilvl="0">
      <w:start w:val="1"/>
      <w:numFmt w:val="upperRoman"/>
      <w:lvlText w:val="%1."/>
      <w:lvlJc w:val="left"/>
      <w:pPr>
        <w:tabs>
          <w:tab w:val="num" w:pos="720"/>
        </w:tabs>
        <w:ind w:left="720" w:hanging="720"/>
      </w:pPr>
      <w:rPr>
        <w:rFonts w:hint="default"/>
      </w:rPr>
    </w:lvl>
  </w:abstractNum>
  <w:abstractNum w:abstractNumId="2">
    <w:nsid w:val="236877D6"/>
    <w:multiLevelType w:val="singleLevel"/>
    <w:tmpl w:val="1BF6F506"/>
    <w:lvl w:ilvl="0">
      <w:start w:val="4"/>
      <w:numFmt w:val="upperRoman"/>
      <w:lvlText w:val="%1."/>
      <w:lvlJc w:val="left"/>
      <w:pPr>
        <w:tabs>
          <w:tab w:val="num" w:pos="765"/>
        </w:tabs>
        <w:ind w:left="765" w:hanging="720"/>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6F50355"/>
    <w:multiLevelType w:val="singleLevel"/>
    <w:tmpl w:val="28B4DB32"/>
    <w:lvl w:ilvl="0">
      <w:start w:val="1"/>
      <w:numFmt w:val="lowerLetter"/>
      <w:lvlText w:val="(%1)"/>
      <w:lvlJc w:val="left"/>
      <w:pPr>
        <w:tabs>
          <w:tab w:val="num" w:pos="1800"/>
        </w:tabs>
        <w:ind w:left="1800" w:hanging="360"/>
      </w:pPr>
      <w:rPr>
        <w:rFonts w:hint="default"/>
      </w:rPr>
    </w:lvl>
  </w:abstractNum>
  <w:abstractNum w:abstractNumId="9">
    <w:nsid w:val="6D2B48D2"/>
    <w:multiLevelType w:val="singleLevel"/>
    <w:tmpl w:val="8A0C983C"/>
    <w:lvl w:ilvl="0">
      <w:start w:val="1"/>
      <w:numFmt w:val="decimal"/>
      <w:pStyle w:val="Paranum0"/>
      <w:lvlText w:val="%1."/>
      <w:lvlJc w:val="left"/>
      <w:pPr>
        <w:tabs>
          <w:tab w:val="num" w:pos="360"/>
        </w:tabs>
        <w:ind w:left="360" w:hanging="360"/>
      </w:pPr>
    </w:lvl>
  </w:abstractNum>
  <w:abstractNum w:abstractNumId="10">
    <w:nsid w:val="703621C9"/>
    <w:multiLevelType w:val="singleLevel"/>
    <w:tmpl w:val="373411A8"/>
    <w:lvl w:ilvl="0">
      <w:start w:val="1"/>
      <w:numFmt w:val="decimal"/>
      <w:lvlText w:val="%1."/>
      <w:lvlJc w:val="left"/>
      <w:pPr>
        <w:tabs>
          <w:tab w:val="num" w:pos="1080"/>
        </w:tabs>
        <w:ind w:left="0" w:firstLine="720"/>
      </w:pPr>
    </w:lvl>
  </w:abstractNum>
  <w:num w:numId="1">
    <w:abstractNumId w:val="1"/>
  </w:num>
  <w:num w:numId="2">
    <w:abstractNumId w:val="7"/>
  </w:num>
  <w:num w:numId="3">
    <w:abstractNumId w:val="8"/>
  </w:num>
  <w:num w:numId="4">
    <w:abstractNumId w:val="2"/>
  </w:num>
  <w:num w:numId="5">
    <w:abstractNumId w:val="9"/>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0"/>
  </w:num>
  <w:num w:numId="20">
    <w:abstractNumId w:val="7"/>
    <w:lvlOverride w:ilvl="0">
      <w:startOverride w:val="1"/>
    </w:lvlOverride>
  </w:num>
  <w:num w:numId="21">
    <w:abstractNumId w:val="7"/>
    <w:lvlOverride w:ilvl="0">
      <w:startOverride w:val="1"/>
    </w:lvlOverride>
  </w:num>
  <w:num w:numId="22">
    <w:abstractNumId w:val="3"/>
  </w:num>
  <w:num w:numId="23">
    <w:abstractNumId w:val="5"/>
  </w:num>
  <w:num w:numId="24">
    <w:abstractNumId w:val="6"/>
  </w:num>
  <w:num w:numId="25">
    <w:abstractNumId w:val="4"/>
  </w:num>
  <w:num w:numId="26">
    <w:abstractNumId w:val="0"/>
  </w:num>
  <w:num w:numId="27">
    <w:abstractNumId w:val="7"/>
  </w:num>
  <w:num w:numId="28">
    <w:abstractNumId w:val="7"/>
    <w:lvlOverride w:ilvl="0">
      <w:startOverride w:val="1"/>
    </w:lvlOverride>
  </w:num>
  <w:num w:numId="29">
    <w:abstractNumId w:val="7"/>
  </w:num>
  <w:num w:numId="30">
    <w:abstractNumId w:val="5"/>
  </w:num>
  <w:num w:numId="31">
    <w:abstractNumId w:val="7"/>
  </w:num>
  <w:num w:numId="32">
    <w:abstractNumId w:val="5"/>
  </w:num>
  <w:num w:numId="33">
    <w:abstractNumId w:val="5"/>
  </w:num>
  <w:num w:numId="34">
    <w:abstractNumId w:val="7"/>
  </w:num>
  <w:num w:numId="35">
    <w:abstractNumId w:val="7"/>
    <w:lvlOverride w:ilvl="0">
      <w:startOverride w:val="1"/>
    </w:lvlOverride>
  </w:num>
  <w:num w:numId="36">
    <w:abstractNumId w:val="7"/>
    <w:lvlOverride w:ilvl="0">
      <w:startOverride w:val="1"/>
    </w:lvlOverride>
  </w:num>
  <w:num w:numId="37">
    <w:abstractNumId w:val="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8D"/>
    <w:rsid w:val="000062DD"/>
    <w:rsid w:val="000159F1"/>
    <w:rsid w:val="00023003"/>
    <w:rsid w:val="00025083"/>
    <w:rsid w:val="00027253"/>
    <w:rsid w:val="00027B3B"/>
    <w:rsid w:val="00041411"/>
    <w:rsid w:val="00043F6C"/>
    <w:rsid w:val="00045B18"/>
    <w:rsid w:val="00047993"/>
    <w:rsid w:val="000543F2"/>
    <w:rsid w:val="00061846"/>
    <w:rsid w:val="0006543F"/>
    <w:rsid w:val="000705C8"/>
    <w:rsid w:val="00072750"/>
    <w:rsid w:val="0007682B"/>
    <w:rsid w:val="00082FE2"/>
    <w:rsid w:val="000844B5"/>
    <w:rsid w:val="00084DFF"/>
    <w:rsid w:val="00091B59"/>
    <w:rsid w:val="000A0B54"/>
    <w:rsid w:val="000A0F6B"/>
    <w:rsid w:val="000A1DDD"/>
    <w:rsid w:val="000A22DE"/>
    <w:rsid w:val="000A6EF3"/>
    <w:rsid w:val="000D2074"/>
    <w:rsid w:val="000D23E1"/>
    <w:rsid w:val="000D4CC9"/>
    <w:rsid w:val="000D5545"/>
    <w:rsid w:val="000E1828"/>
    <w:rsid w:val="000E28BD"/>
    <w:rsid w:val="000E5A93"/>
    <w:rsid w:val="000F5F09"/>
    <w:rsid w:val="00101688"/>
    <w:rsid w:val="00125A26"/>
    <w:rsid w:val="001315C5"/>
    <w:rsid w:val="0013167C"/>
    <w:rsid w:val="0013219B"/>
    <w:rsid w:val="001421B9"/>
    <w:rsid w:val="001450B1"/>
    <w:rsid w:val="001524A8"/>
    <w:rsid w:val="0015301A"/>
    <w:rsid w:val="00154B9C"/>
    <w:rsid w:val="00154D72"/>
    <w:rsid w:val="00156D36"/>
    <w:rsid w:val="001578A5"/>
    <w:rsid w:val="00160A70"/>
    <w:rsid w:val="00162D23"/>
    <w:rsid w:val="00172BEB"/>
    <w:rsid w:val="0017540D"/>
    <w:rsid w:val="00181119"/>
    <w:rsid w:val="0018358D"/>
    <w:rsid w:val="001837C7"/>
    <w:rsid w:val="00183918"/>
    <w:rsid w:val="0019235E"/>
    <w:rsid w:val="00195802"/>
    <w:rsid w:val="001A0C5D"/>
    <w:rsid w:val="001B35E5"/>
    <w:rsid w:val="001C1DA9"/>
    <w:rsid w:val="001C5422"/>
    <w:rsid w:val="001C6F08"/>
    <w:rsid w:val="001E44DE"/>
    <w:rsid w:val="001E5239"/>
    <w:rsid w:val="001E5E4E"/>
    <w:rsid w:val="001F079C"/>
    <w:rsid w:val="001F1CCB"/>
    <w:rsid w:val="001F32F4"/>
    <w:rsid w:val="00203D45"/>
    <w:rsid w:val="0021417F"/>
    <w:rsid w:val="00214ED5"/>
    <w:rsid w:val="002161D6"/>
    <w:rsid w:val="00220DA6"/>
    <w:rsid w:val="0022167E"/>
    <w:rsid w:val="00222F4D"/>
    <w:rsid w:val="0023265A"/>
    <w:rsid w:val="00233A06"/>
    <w:rsid w:val="00234C1E"/>
    <w:rsid w:val="002506B6"/>
    <w:rsid w:val="00260000"/>
    <w:rsid w:val="00266FB5"/>
    <w:rsid w:val="00267122"/>
    <w:rsid w:val="0027521E"/>
    <w:rsid w:val="002834D3"/>
    <w:rsid w:val="002925E8"/>
    <w:rsid w:val="00292A81"/>
    <w:rsid w:val="00294327"/>
    <w:rsid w:val="002945E0"/>
    <w:rsid w:val="00296ED5"/>
    <w:rsid w:val="002A4354"/>
    <w:rsid w:val="002B44BF"/>
    <w:rsid w:val="002B60C7"/>
    <w:rsid w:val="002C3AC7"/>
    <w:rsid w:val="002D34EB"/>
    <w:rsid w:val="002D608D"/>
    <w:rsid w:val="002E0AFC"/>
    <w:rsid w:val="002E0BA6"/>
    <w:rsid w:val="002E17C1"/>
    <w:rsid w:val="002F00E8"/>
    <w:rsid w:val="002F5A24"/>
    <w:rsid w:val="002F5E14"/>
    <w:rsid w:val="003012E4"/>
    <w:rsid w:val="003019EF"/>
    <w:rsid w:val="00303409"/>
    <w:rsid w:val="003045BF"/>
    <w:rsid w:val="003106F5"/>
    <w:rsid w:val="00314CC4"/>
    <w:rsid w:val="00317490"/>
    <w:rsid w:val="003202A2"/>
    <w:rsid w:val="00326436"/>
    <w:rsid w:val="0032648B"/>
    <w:rsid w:val="00332771"/>
    <w:rsid w:val="00333F0F"/>
    <w:rsid w:val="003435B6"/>
    <w:rsid w:val="0034539D"/>
    <w:rsid w:val="0034622F"/>
    <w:rsid w:val="003501BF"/>
    <w:rsid w:val="00353A32"/>
    <w:rsid w:val="00354AA0"/>
    <w:rsid w:val="00361CE8"/>
    <w:rsid w:val="00362F1A"/>
    <w:rsid w:val="0036350B"/>
    <w:rsid w:val="003647D6"/>
    <w:rsid w:val="003652AE"/>
    <w:rsid w:val="0036622E"/>
    <w:rsid w:val="003665F2"/>
    <w:rsid w:val="00367DB1"/>
    <w:rsid w:val="003714A0"/>
    <w:rsid w:val="0037709A"/>
    <w:rsid w:val="00377D70"/>
    <w:rsid w:val="00380DFC"/>
    <w:rsid w:val="00382027"/>
    <w:rsid w:val="00392ADE"/>
    <w:rsid w:val="00392BB8"/>
    <w:rsid w:val="0039345F"/>
    <w:rsid w:val="00394ADB"/>
    <w:rsid w:val="003B63F3"/>
    <w:rsid w:val="003C3749"/>
    <w:rsid w:val="003D29CE"/>
    <w:rsid w:val="003D4769"/>
    <w:rsid w:val="003D59A4"/>
    <w:rsid w:val="003E09E8"/>
    <w:rsid w:val="003E62FA"/>
    <w:rsid w:val="003F366C"/>
    <w:rsid w:val="003F59AC"/>
    <w:rsid w:val="00400D3B"/>
    <w:rsid w:val="00402330"/>
    <w:rsid w:val="00403760"/>
    <w:rsid w:val="00405BA9"/>
    <w:rsid w:val="00405DC9"/>
    <w:rsid w:val="004071DE"/>
    <w:rsid w:val="0040733B"/>
    <w:rsid w:val="00407360"/>
    <w:rsid w:val="00415F22"/>
    <w:rsid w:val="00416872"/>
    <w:rsid w:val="00422F6A"/>
    <w:rsid w:val="00430E6B"/>
    <w:rsid w:val="00431E5A"/>
    <w:rsid w:val="004320AC"/>
    <w:rsid w:val="00435D63"/>
    <w:rsid w:val="00440B7A"/>
    <w:rsid w:val="00446193"/>
    <w:rsid w:val="00450603"/>
    <w:rsid w:val="00450B90"/>
    <w:rsid w:val="00453E7D"/>
    <w:rsid w:val="00453F04"/>
    <w:rsid w:val="00463A89"/>
    <w:rsid w:val="0046733A"/>
    <w:rsid w:val="00470346"/>
    <w:rsid w:val="00471223"/>
    <w:rsid w:val="0047168D"/>
    <w:rsid w:val="004727A7"/>
    <w:rsid w:val="00474EE9"/>
    <w:rsid w:val="004935F0"/>
    <w:rsid w:val="00494352"/>
    <w:rsid w:val="00494EFC"/>
    <w:rsid w:val="00496D18"/>
    <w:rsid w:val="004977A7"/>
    <w:rsid w:val="004A0A51"/>
    <w:rsid w:val="004B2006"/>
    <w:rsid w:val="004B3913"/>
    <w:rsid w:val="004B54DD"/>
    <w:rsid w:val="004B65A7"/>
    <w:rsid w:val="004D559F"/>
    <w:rsid w:val="004D6D93"/>
    <w:rsid w:val="004E400F"/>
    <w:rsid w:val="004F0D45"/>
    <w:rsid w:val="004F1C40"/>
    <w:rsid w:val="004F4714"/>
    <w:rsid w:val="004F6E32"/>
    <w:rsid w:val="004F7714"/>
    <w:rsid w:val="00500F61"/>
    <w:rsid w:val="00511BFC"/>
    <w:rsid w:val="00515181"/>
    <w:rsid w:val="005216FD"/>
    <w:rsid w:val="005268B4"/>
    <w:rsid w:val="00532D37"/>
    <w:rsid w:val="00537173"/>
    <w:rsid w:val="00542F6B"/>
    <w:rsid w:val="005444E9"/>
    <w:rsid w:val="005502D2"/>
    <w:rsid w:val="005507A0"/>
    <w:rsid w:val="005732EE"/>
    <w:rsid w:val="005818D2"/>
    <w:rsid w:val="00595DC7"/>
    <w:rsid w:val="005A0599"/>
    <w:rsid w:val="005A1E2D"/>
    <w:rsid w:val="005A6D78"/>
    <w:rsid w:val="005C10E9"/>
    <w:rsid w:val="005C2E87"/>
    <w:rsid w:val="005C6290"/>
    <w:rsid w:val="005D4C3F"/>
    <w:rsid w:val="005E2067"/>
    <w:rsid w:val="005E4C6B"/>
    <w:rsid w:val="005E776E"/>
    <w:rsid w:val="00601BD2"/>
    <w:rsid w:val="00603A1D"/>
    <w:rsid w:val="00606981"/>
    <w:rsid w:val="00606FD2"/>
    <w:rsid w:val="00612F9D"/>
    <w:rsid w:val="00635CA7"/>
    <w:rsid w:val="006360AC"/>
    <w:rsid w:val="00655FE6"/>
    <w:rsid w:val="00657585"/>
    <w:rsid w:val="0066238D"/>
    <w:rsid w:val="00664B8C"/>
    <w:rsid w:val="00665571"/>
    <w:rsid w:val="006715EB"/>
    <w:rsid w:val="00672D06"/>
    <w:rsid w:val="0067391A"/>
    <w:rsid w:val="00674ABC"/>
    <w:rsid w:val="00676AAC"/>
    <w:rsid w:val="00680B2A"/>
    <w:rsid w:val="006812BE"/>
    <w:rsid w:val="00682141"/>
    <w:rsid w:val="00682BD6"/>
    <w:rsid w:val="006872E6"/>
    <w:rsid w:val="00690ED9"/>
    <w:rsid w:val="006915B2"/>
    <w:rsid w:val="00694F8F"/>
    <w:rsid w:val="006962BD"/>
    <w:rsid w:val="0069663A"/>
    <w:rsid w:val="006979D8"/>
    <w:rsid w:val="006A7650"/>
    <w:rsid w:val="006B05BD"/>
    <w:rsid w:val="006B12CA"/>
    <w:rsid w:val="006B1BFC"/>
    <w:rsid w:val="006B5856"/>
    <w:rsid w:val="006C19C6"/>
    <w:rsid w:val="006C2413"/>
    <w:rsid w:val="006C2F05"/>
    <w:rsid w:val="006C5547"/>
    <w:rsid w:val="006C5917"/>
    <w:rsid w:val="006D43B7"/>
    <w:rsid w:val="006E042C"/>
    <w:rsid w:val="006E23FB"/>
    <w:rsid w:val="006E4F9A"/>
    <w:rsid w:val="006F48BF"/>
    <w:rsid w:val="006F6127"/>
    <w:rsid w:val="006F6C92"/>
    <w:rsid w:val="00705E29"/>
    <w:rsid w:val="00711126"/>
    <w:rsid w:val="0071234F"/>
    <w:rsid w:val="007160AA"/>
    <w:rsid w:val="00716565"/>
    <w:rsid w:val="0072078F"/>
    <w:rsid w:val="00723B7A"/>
    <w:rsid w:val="00725008"/>
    <w:rsid w:val="007275E4"/>
    <w:rsid w:val="0073680A"/>
    <w:rsid w:val="00743F5A"/>
    <w:rsid w:val="0074505A"/>
    <w:rsid w:val="00752E86"/>
    <w:rsid w:val="00753A3C"/>
    <w:rsid w:val="00755F50"/>
    <w:rsid w:val="007562B6"/>
    <w:rsid w:val="0075632F"/>
    <w:rsid w:val="00761290"/>
    <w:rsid w:val="007614E4"/>
    <w:rsid w:val="00761C29"/>
    <w:rsid w:val="00780740"/>
    <w:rsid w:val="00780DE9"/>
    <w:rsid w:val="007816B9"/>
    <w:rsid w:val="00781DBE"/>
    <w:rsid w:val="0078581F"/>
    <w:rsid w:val="00787FD1"/>
    <w:rsid w:val="00790528"/>
    <w:rsid w:val="007A1EC6"/>
    <w:rsid w:val="007A3253"/>
    <w:rsid w:val="007B04FF"/>
    <w:rsid w:val="007B0DF6"/>
    <w:rsid w:val="007B1D0B"/>
    <w:rsid w:val="007B7B61"/>
    <w:rsid w:val="007C6C6E"/>
    <w:rsid w:val="007C7724"/>
    <w:rsid w:val="007D354B"/>
    <w:rsid w:val="007D47DC"/>
    <w:rsid w:val="007D6108"/>
    <w:rsid w:val="007D7994"/>
    <w:rsid w:val="007E3341"/>
    <w:rsid w:val="007E671D"/>
    <w:rsid w:val="007F5D57"/>
    <w:rsid w:val="007F6D7A"/>
    <w:rsid w:val="0080463D"/>
    <w:rsid w:val="008075ED"/>
    <w:rsid w:val="00812576"/>
    <w:rsid w:val="00814AB5"/>
    <w:rsid w:val="00821CC9"/>
    <w:rsid w:val="00826052"/>
    <w:rsid w:val="00834E6C"/>
    <w:rsid w:val="0083612A"/>
    <w:rsid w:val="008424EF"/>
    <w:rsid w:val="008432AA"/>
    <w:rsid w:val="008455B2"/>
    <w:rsid w:val="0084628C"/>
    <w:rsid w:val="00854142"/>
    <w:rsid w:val="0085740A"/>
    <w:rsid w:val="008578B6"/>
    <w:rsid w:val="00861717"/>
    <w:rsid w:val="008635E5"/>
    <w:rsid w:val="00872450"/>
    <w:rsid w:val="008809EA"/>
    <w:rsid w:val="00882058"/>
    <w:rsid w:val="00885EDE"/>
    <w:rsid w:val="00893097"/>
    <w:rsid w:val="008A6D7E"/>
    <w:rsid w:val="008B3DB0"/>
    <w:rsid w:val="008B3DEB"/>
    <w:rsid w:val="008C1667"/>
    <w:rsid w:val="008C1D3C"/>
    <w:rsid w:val="008C2E98"/>
    <w:rsid w:val="008C578C"/>
    <w:rsid w:val="008D1431"/>
    <w:rsid w:val="008D5A59"/>
    <w:rsid w:val="008E0A89"/>
    <w:rsid w:val="008E2D2B"/>
    <w:rsid w:val="008F5723"/>
    <w:rsid w:val="008F5F64"/>
    <w:rsid w:val="008F7577"/>
    <w:rsid w:val="0090508C"/>
    <w:rsid w:val="0090788E"/>
    <w:rsid w:val="00912D29"/>
    <w:rsid w:val="00917290"/>
    <w:rsid w:val="00920DAA"/>
    <w:rsid w:val="00924840"/>
    <w:rsid w:val="00930865"/>
    <w:rsid w:val="00933ECE"/>
    <w:rsid w:val="00934832"/>
    <w:rsid w:val="00934966"/>
    <w:rsid w:val="009349B4"/>
    <w:rsid w:val="0094257F"/>
    <w:rsid w:val="00943333"/>
    <w:rsid w:val="00946508"/>
    <w:rsid w:val="0096224F"/>
    <w:rsid w:val="00974691"/>
    <w:rsid w:val="00980939"/>
    <w:rsid w:val="009837E9"/>
    <w:rsid w:val="00985312"/>
    <w:rsid w:val="00986D22"/>
    <w:rsid w:val="009918DC"/>
    <w:rsid w:val="009937F2"/>
    <w:rsid w:val="009A5F91"/>
    <w:rsid w:val="009A62DB"/>
    <w:rsid w:val="009B22AC"/>
    <w:rsid w:val="009B40AE"/>
    <w:rsid w:val="009C14B8"/>
    <w:rsid w:val="009C1783"/>
    <w:rsid w:val="009C2B6E"/>
    <w:rsid w:val="009C5922"/>
    <w:rsid w:val="009C75BB"/>
    <w:rsid w:val="009D1DC5"/>
    <w:rsid w:val="009D5F08"/>
    <w:rsid w:val="009D7463"/>
    <w:rsid w:val="009E15E8"/>
    <w:rsid w:val="009F08E1"/>
    <w:rsid w:val="00A037C1"/>
    <w:rsid w:val="00A07FA5"/>
    <w:rsid w:val="00A16DCE"/>
    <w:rsid w:val="00A26601"/>
    <w:rsid w:val="00A267D8"/>
    <w:rsid w:val="00A30A52"/>
    <w:rsid w:val="00A32FCB"/>
    <w:rsid w:val="00A33325"/>
    <w:rsid w:val="00A33532"/>
    <w:rsid w:val="00A416AE"/>
    <w:rsid w:val="00A42A73"/>
    <w:rsid w:val="00A5048A"/>
    <w:rsid w:val="00A52363"/>
    <w:rsid w:val="00A57B8C"/>
    <w:rsid w:val="00A64019"/>
    <w:rsid w:val="00A72ADD"/>
    <w:rsid w:val="00A80704"/>
    <w:rsid w:val="00A81645"/>
    <w:rsid w:val="00A84658"/>
    <w:rsid w:val="00A84B70"/>
    <w:rsid w:val="00A876D3"/>
    <w:rsid w:val="00A93E5C"/>
    <w:rsid w:val="00AA4297"/>
    <w:rsid w:val="00AA6B8F"/>
    <w:rsid w:val="00AB1B05"/>
    <w:rsid w:val="00AB6FED"/>
    <w:rsid w:val="00AC6963"/>
    <w:rsid w:val="00AD2950"/>
    <w:rsid w:val="00AE17B8"/>
    <w:rsid w:val="00AE3240"/>
    <w:rsid w:val="00AF27A8"/>
    <w:rsid w:val="00B205FE"/>
    <w:rsid w:val="00B20E37"/>
    <w:rsid w:val="00B30E94"/>
    <w:rsid w:val="00B32A64"/>
    <w:rsid w:val="00B34A0D"/>
    <w:rsid w:val="00B352E9"/>
    <w:rsid w:val="00B36633"/>
    <w:rsid w:val="00B36C9B"/>
    <w:rsid w:val="00B40987"/>
    <w:rsid w:val="00B45EB2"/>
    <w:rsid w:val="00B45FA0"/>
    <w:rsid w:val="00B5109F"/>
    <w:rsid w:val="00B55F05"/>
    <w:rsid w:val="00B57AC6"/>
    <w:rsid w:val="00B63DD7"/>
    <w:rsid w:val="00B806B5"/>
    <w:rsid w:val="00B84138"/>
    <w:rsid w:val="00B86CC7"/>
    <w:rsid w:val="00B871A7"/>
    <w:rsid w:val="00B87F0F"/>
    <w:rsid w:val="00B948E7"/>
    <w:rsid w:val="00BA161A"/>
    <w:rsid w:val="00BB61FC"/>
    <w:rsid w:val="00BC1B0A"/>
    <w:rsid w:val="00BE0A63"/>
    <w:rsid w:val="00BE123A"/>
    <w:rsid w:val="00BE2376"/>
    <w:rsid w:val="00BE442C"/>
    <w:rsid w:val="00BF1296"/>
    <w:rsid w:val="00C0109D"/>
    <w:rsid w:val="00C052BF"/>
    <w:rsid w:val="00C10423"/>
    <w:rsid w:val="00C11708"/>
    <w:rsid w:val="00C15D5E"/>
    <w:rsid w:val="00C223A1"/>
    <w:rsid w:val="00C2569A"/>
    <w:rsid w:val="00C25C8F"/>
    <w:rsid w:val="00C26E45"/>
    <w:rsid w:val="00C3136A"/>
    <w:rsid w:val="00C322D2"/>
    <w:rsid w:val="00C32772"/>
    <w:rsid w:val="00C33149"/>
    <w:rsid w:val="00C41331"/>
    <w:rsid w:val="00C45B04"/>
    <w:rsid w:val="00C6782C"/>
    <w:rsid w:val="00C71256"/>
    <w:rsid w:val="00C72E09"/>
    <w:rsid w:val="00C74C53"/>
    <w:rsid w:val="00C82DBA"/>
    <w:rsid w:val="00C8570E"/>
    <w:rsid w:val="00C86274"/>
    <w:rsid w:val="00C86FE7"/>
    <w:rsid w:val="00C9063C"/>
    <w:rsid w:val="00C91160"/>
    <w:rsid w:val="00C928CC"/>
    <w:rsid w:val="00C92BBD"/>
    <w:rsid w:val="00C93AE6"/>
    <w:rsid w:val="00C94855"/>
    <w:rsid w:val="00CA6BFA"/>
    <w:rsid w:val="00CA7357"/>
    <w:rsid w:val="00CA7631"/>
    <w:rsid w:val="00CB0563"/>
    <w:rsid w:val="00CB0E9D"/>
    <w:rsid w:val="00CB1573"/>
    <w:rsid w:val="00CB560E"/>
    <w:rsid w:val="00CC3955"/>
    <w:rsid w:val="00CE41BD"/>
    <w:rsid w:val="00CE5628"/>
    <w:rsid w:val="00CE60DA"/>
    <w:rsid w:val="00CE6A1A"/>
    <w:rsid w:val="00CF0596"/>
    <w:rsid w:val="00CF643B"/>
    <w:rsid w:val="00D01047"/>
    <w:rsid w:val="00D02C87"/>
    <w:rsid w:val="00D04F91"/>
    <w:rsid w:val="00D07B5F"/>
    <w:rsid w:val="00D11557"/>
    <w:rsid w:val="00D17F43"/>
    <w:rsid w:val="00D310E6"/>
    <w:rsid w:val="00D34777"/>
    <w:rsid w:val="00D42451"/>
    <w:rsid w:val="00D461A9"/>
    <w:rsid w:val="00D46DD5"/>
    <w:rsid w:val="00D51E2C"/>
    <w:rsid w:val="00D54A8A"/>
    <w:rsid w:val="00D55076"/>
    <w:rsid w:val="00D57AC8"/>
    <w:rsid w:val="00D61169"/>
    <w:rsid w:val="00D71FEC"/>
    <w:rsid w:val="00D76EDF"/>
    <w:rsid w:val="00D809BA"/>
    <w:rsid w:val="00D96439"/>
    <w:rsid w:val="00D96F03"/>
    <w:rsid w:val="00DA01C5"/>
    <w:rsid w:val="00DA1256"/>
    <w:rsid w:val="00DA215B"/>
    <w:rsid w:val="00DA3BCD"/>
    <w:rsid w:val="00DA40CA"/>
    <w:rsid w:val="00DB3D3C"/>
    <w:rsid w:val="00DB6018"/>
    <w:rsid w:val="00DB60B2"/>
    <w:rsid w:val="00DB6ADA"/>
    <w:rsid w:val="00DC259A"/>
    <w:rsid w:val="00DC2C61"/>
    <w:rsid w:val="00DC3C53"/>
    <w:rsid w:val="00DC5314"/>
    <w:rsid w:val="00DC7ED0"/>
    <w:rsid w:val="00DE1B04"/>
    <w:rsid w:val="00E02054"/>
    <w:rsid w:val="00E03123"/>
    <w:rsid w:val="00E05A1B"/>
    <w:rsid w:val="00E0780A"/>
    <w:rsid w:val="00E07B65"/>
    <w:rsid w:val="00E15915"/>
    <w:rsid w:val="00E22A3F"/>
    <w:rsid w:val="00E24B6B"/>
    <w:rsid w:val="00E24B72"/>
    <w:rsid w:val="00E3642C"/>
    <w:rsid w:val="00E44518"/>
    <w:rsid w:val="00E508C9"/>
    <w:rsid w:val="00E563EF"/>
    <w:rsid w:val="00E61DFF"/>
    <w:rsid w:val="00E6698B"/>
    <w:rsid w:val="00E6708D"/>
    <w:rsid w:val="00E7549A"/>
    <w:rsid w:val="00E77E8A"/>
    <w:rsid w:val="00EA11BE"/>
    <w:rsid w:val="00EA29B3"/>
    <w:rsid w:val="00EA395B"/>
    <w:rsid w:val="00EA40B3"/>
    <w:rsid w:val="00EA49F4"/>
    <w:rsid w:val="00EA709F"/>
    <w:rsid w:val="00EB0618"/>
    <w:rsid w:val="00EB5355"/>
    <w:rsid w:val="00EC3D23"/>
    <w:rsid w:val="00EC5BA7"/>
    <w:rsid w:val="00EC6399"/>
    <w:rsid w:val="00EC7A14"/>
    <w:rsid w:val="00ED0B79"/>
    <w:rsid w:val="00ED2C60"/>
    <w:rsid w:val="00ED2F35"/>
    <w:rsid w:val="00ED3B6D"/>
    <w:rsid w:val="00EE1461"/>
    <w:rsid w:val="00EE2868"/>
    <w:rsid w:val="00EE6686"/>
    <w:rsid w:val="00EF5B68"/>
    <w:rsid w:val="00EF6231"/>
    <w:rsid w:val="00F0518F"/>
    <w:rsid w:val="00F06CDF"/>
    <w:rsid w:val="00F07A69"/>
    <w:rsid w:val="00F10C33"/>
    <w:rsid w:val="00F12DF1"/>
    <w:rsid w:val="00F1388A"/>
    <w:rsid w:val="00F23794"/>
    <w:rsid w:val="00F37217"/>
    <w:rsid w:val="00F3762A"/>
    <w:rsid w:val="00F42BDA"/>
    <w:rsid w:val="00F4463F"/>
    <w:rsid w:val="00F517E1"/>
    <w:rsid w:val="00F62536"/>
    <w:rsid w:val="00F63515"/>
    <w:rsid w:val="00F65839"/>
    <w:rsid w:val="00F66B12"/>
    <w:rsid w:val="00F66B48"/>
    <w:rsid w:val="00F674E0"/>
    <w:rsid w:val="00F71EA3"/>
    <w:rsid w:val="00F75795"/>
    <w:rsid w:val="00F76BC5"/>
    <w:rsid w:val="00F82307"/>
    <w:rsid w:val="00F83CBE"/>
    <w:rsid w:val="00F87221"/>
    <w:rsid w:val="00F90597"/>
    <w:rsid w:val="00F97124"/>
    <w:rsid w:val="00FA0B26"/>
    <w:rsid w:val="00FA2870"/>
    <w:rsid w:val="00FB3002"/>
    <w:rsid w:val="00FB555D"/>
    <w:rsid w:val="00FC0A6F"/>
    <w:rsid w:val="00FC5246"/>
    <w:rsid w:val="00FC5F89"/>
    <w:rsid w:val="00FD0B10"/>
    <w:rsid w:val="00FD38CE"/>
    <w:rsid w:val="00FE1268"/>
    <w:rsid w:val="00FE1A8B"/>
    <w:rsid w:val="00FE3A31"/>
    <w:rsid w:val="00FE40FB"/>
    <w:rsid w:val="00FF55BE"/>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1E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51"/>
    <w:pPr>
      <w:widowControl w:val="0"/>
    </w:pPr>
    <w:rPr>
      <w:snapToGrid w:val="0"/>
      <w:kern w:val="28"/>
      <w:sz w:val="22"/>
    </w:rPr>
  </w:style>
  <w:style w:type="paragraph" w:styleId="Heading1">
    <w:name w:val="heading 1"/>
    <w:basedOn w:val="Normal"/>
    <w:next w:val="ParaNum"/>
    <w:qFormat/>
    <w:rsid w:val="004A0A51"/>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0A51"/>
    <w:pPr>
      <w:keepNext/>
      <w:numPr>
        <w:ilvl w:val="1"/>
        <w:numId w:val="23"/>
      </w:numPr>
      <w:spacing w:after="120"/>
      <w:outlineLvl w:val="1"/>
    </w:pPr>
    <w:rPr>
      <w:b/>
    </w:rPr>
  </w:style>
  <w:style w:type="paragraph" w:styleId="Heading3">
    <w:name w:val="heading 3"/>
    <w:basedOn w:val="Normal"/>
    <w:next w:val="ParaNum"/>
    <w:qFormat/>
    <w:rsid w:val="004A0A51"/>
    <w:pPr>
      <w:keepNext/>
      <w:numPr>
        <w:ilvl w:val="2"/>
        <w:numId w:val="23"/>
      </w:numPr>
      <w:tabs>
        <w:tab w:val="left" w:pos="2160"/>
      </w:tabs>
      <w:spacing w:after="120"/>
      <w:outlineLvl w:val="2"/>
    </w:pPr>
    <w:rPr>
      <w:b/>
    </w:rPr>
  </w:style>
  <w:style w:type="paragraph" w:styleId="Heading4">
    <w:name w:val="heading 4"/>
    <w:basedOn w:val="Normal"/>
    <w:next w:val="ParaNum"/>
    <w:qFormat/>
    <w:rsid w:val="004A0A51"/>
    <w:pPr>
      <w:keepNext/>
      <w:numPr>
        <w:ilvl w:val="3"/>
        <w:numId w:val="23"/>
      </w:numPr>
      <w:tabs>
        <w:tab w:val="left" w:pos="2880"/>
      </w:tabs>
      <w:spacing w:after="120"/>
      <w:outlineLvl w:val="3"/>
    </w:pPr>
    <w:rPr>
      <w:b/>
    </w:rPr>
  </w:style>
  <w:style w:type="paragraph" w:styleId="Heading5">
    <w:name w:val="heading 5"/>
    <w:basedOn w:val="Normal"/>
    <w:next w:val="ParaNum"/>
    <w:qFormat/>
    <w:rsid w:val="004A0A51"/>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4A0A51"/>
    <w:pPr>
      <w:numPr>
        <w:ilvl w:val="5"/>
        <w:numId w:val="23"/>
      </w:numPr>
      <w:tabs>
        <w:tab w:val="left" w:pos="4320"/>
      </w:tabs>
      <w:spacing w:after="120"/>
      <w:outlineLvl w:val="5"/>
    </w:pPr>
    <w:rPr>
      <w:b/>
    </w:rPr>
  </w:style>
  <w:style w:type="paragraph" w:styleId="Heading7">
    <w:name w:val="heading 7"/>
    <w:basedOn w:val="Normal"/>
    <w:next w:val="ParaNum"/>
    <w:qFormat/>
    <w:rsid w:val="004A0A51"/>
    <w:pPr>
      <w:numPr>
        <w:ilvl w:val="6"/>
        <w:numId w:val="23"/>
      </w:numPr>
      <w:tabs>
        <w:tab w:val="left" w:pos="5040"/>
      </w:tabs>
      <w:spacing w:after="120"/>
      <w:ind w:left="5040" w:hanging="720"/>
      <w:outlineLvl w:val="6"/>
    </w:pPr>
    <w:rPr>
      <w:b/>
    </w:rPr>
  </w:style>
  <w:style w:type="paragraph" w:styleId="Heading8">
    <w:name w:val="heading 8"/>
    <w:basedOn w:val="Normal"/>
    <w:next w:val="ParaNum"/>
    <w:qFormat/>
    <w:rsid w:val="004A0A51"/>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qFormat/>
    <w:rsid w:val="004A0A51"/>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0A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0A51"/>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rsid w:val="004A0A51"/>
    <w:pPr>
      <w:tabs>
        <w:tab w:val="center" w:pos="4320"/>
        <w:tab w:val="right" w:pos="8640"/>
      </w:tabs>
    </w:pPr>
  </w:style>
  <w:style w:type="character" w:styleId="PageNumber">
    <w:name w:val="page number"/>
    <w:basedOn w:val="DefaultParagraphFont"/>
    <w:rsid w:val="004A0A51"/>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4A0A51"/>
    <w:pPr>
      <w:spacing w:after="120"/>
    </w:pPr>
  </w:style>
  <w:style w:type="character" w:styleId="FootnoteReference">
    <w:name w:val="footnote reference"/>
    <w:aliases w:val="Style 4,Appel note de bas de p,Style 12,(NECG) Footnote Reference,Style 124"/>
    <w:rsid w:val="004A0A51"/>
    <w:rPr>
      <w:rFonts w:ascii="Times New Roman" w:hAnsi="Times New Roman"/>
      <w:dstrike w:val="0"/>
      <w:color w:val="auto"/>
      <w:sz w:val="20"/>
      <w:vertAlign w:val="superscript"/>
    </w:rPr>
  </w:style>
  <w:style w:type="paragraph" w:styleId="BodyText">
    <w:name w:val="Body Text"/>
    <w:basedOn w:val="Normal"/>
    <w:pPr>
      <w:tabs>
        <w:tab w:val="left" w:pos="-720"/>
      </w:tabs>
      <w:suppressAutoHyphens/>
      <w:spacing w:line="227" w:lineRule="auto"/>
      <w:jc w:val="both"/>
    </w:pPr>
    <w:rPr>
      <w:spacing w:val="-2"/>
    </w:rPr>
  </w:style>
  <w:style w:type="paragraph" w:styleId="Header">
    <w:name w:val="header"/>
    <w:basedOn w:val="Normal"/>
    <w:autoRedefine/>
    <w:rsid w:val="004A0A51"/>
    <w:pPr>
      <w:tabs>
        <w:tab w:val="center" w:pos="4680"/>
        <w:tab w:val="right" w:pos="9360"/>
      </w:tabs>
    </w:pPr>
    <w:rPr>
      <w:b/>
    </w:rPr>
  </w:style>
  <w:style w:type="paragraph" w:styleId="BodyTextIndent2">
    <w:name w:val="Body Text Indent 2"/>
    <w:basedOn w:val="Normal"/>
    <w:pPr>
      <w:tabs>
        <w:tab w:val="left" w:pos="-720"/>
      </w:tabs>
      <w:suppressAutoHyphens/>
      <w:spacing w:line="480" w:lineRule="auto"/>
      <w:ind w:left="720"/>
      <w:jc w:val="both"/>
    </w:pPr>
    <w:rPr>
      <w:spacing w:val="-2"/>
    </w:rPr>
  </w:style>
  <w:style w:type="character" w:styleId="EndnoteReference">
    <w:name w:val="endnote reference"/>
    <w:semiHidden/>
    <w:rsid w:val="004A0A51"/>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style>
  <w:style w:type="paragraph" w:styleId="BlockText">
    <w:name w:val="Block Text"/>
    <w:basedOn w:val="Normal"/>
    <w:rsid w:val="004A0A51"/>
    <w:pPr>
      <w:spacing w:after="240"/>
      <w:ind w:left="1440" w:right="1440"/>
    </w:pPr>
  </w:style>
  <w:style w:type="paragraph" w:styleId="EndnoteText">
    <w:name w:val="endnote text"/>
    <w:basedOn w:val="Normal"/>
    <w:semiHidden/>
    <w:rsid w:val="004A0A51"/>
    <w:rPr>
      <w:sz w:val="20"/>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4A0A51"/>
    <w:pPr>
      <w:numPr>
        <w:numId w:val="2"/>
      </w:numPr>
      <w:tabs>
        <w:tab w:val="clear" w:pos="1080"/>
        <w:tab w:val="num" w:pos="1440"/>
      </w:tabs>
      <w:spacing w:after="120"/>
    </w:p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tyle>
  <w:style w:type="character" w:customStyle="1" w:styleId="ParaNumChar">
    <w:name w:val="ParaNum Char"/>
    <w:link w:val="ParaNum"/>
    <w:rPr>
      <w:snapToGrid w:val="0"/>
      <w:kern w:val="28"/>
      <w:sz w:val="22"/>
    </w:rPr>
  </w:style>
  <w:style w:type="character" w:styleId="Hyperlink">
    <w:name w:val="Hyperlink"/>
    <w:rsid w:val="004A0A51"/>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paragraph" w:styleId="TOC1">
    <w:name w:val="toc 1"/>
    <w:basedOn w:val="Normal"/>
    <w:next w:val="Normal"/>
    <w:rsid w:val="004A0A51"/>
    <w:pPr>
      <w:tabs>
        <w:tab w:val="left" w:pos="360"/>
        <w:tab w:val="right" w:leader="dot" w:pos="9360"/>
      </w:tabs>
      <w:suppressAutoHyphens/>
      <w:ind w:left="360" w:right="720" w:hanging="360"/>
    </w:pPr>
    <w:rPr>
      <w:caps/>
      <w:noProof/>
    </w:rPr>
  </w:style>
  <w:style w:type="paragraph" w:styleId="TOC2">
    <w:name w:val="toc 2"/>
    <w:basedOn w:val="Normal"/>
    <w:next w:val="Normal"/>
    <w:rsid w:val="004A0A51"/>
    <w:pPr>
      <w:tabs>
        <w:tab w:val="left" w:pos="720"/>
        <w:tab w:val="right" w:leader="dot" w:pos="9360"/>
      </w:tabs>
      <w:suppressAutoHyphens/>
      <w:ind w:left="720" w:right="720" w:hanging="360"/>
    </w:pPr>
    <w:rPr>
      <w:noProof/>
    </w:rPr>
  </w:style>
  <w:style w:type="paragraph" w:styleId="TOC3">
    <w:name w:val="toc 3"/>
    <w:basedOn w:val="Normal"/>
    <w:next w:val="Normal"/>
    <w:rsid w:val="004A0A5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A0A5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A0A5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A0A51"/>
    <w:pPr>
      <w:tabs>
        <w:tab w:val="left" w:pos="2160"/>
        <w:tab w:val="right" w:leader="dot" w:pos="9360"/>
      </w:tabs>
      <w:suppressAutoHyphens/>
      <w:ind w:left="2160" w:hanging="360"/>
    </w:pPr>
    <w:rPr>
      <w:noProof/>
    </w:rPr>
  </w:style>
  <w:style w:type="paragraph" w:styleId="TOC7">
    <w:name w:val="toc 7"/>
    <w:basedOn w:val="Normal"/>
    <w:next w:val="Normal"/>
    <w:autoRedefine/>
    <w:rsid w:val="004A0A51"/>
    <w:pPr>
      <w:tabs>
        <w:tab w:val="left" w:pos="2520"/>
        <w:tab w:val="right" w:leader="dot" w:pos="9360"/>
      </w:tabs>
      <w:suppressAutoHyphens/>
      <w:ind w:left="2520" w:hanging="360"/>
    </w:pPr>
    <w:rPr>
      <w:noProof/>
    </w:rPr>
  </w:style>
  <w:style w:type="paragraph" w:styleId="TOC8">
    <w:name w:val="toc 8"/>
    <w:basedOn w:val="Normal"/>
    <w:next w:val="Normal"/>
    <w:autoRedefine/>
    <w:rsid w:val="004A0A51"/>
    <w:pPr>
      <w:tabs>
        <w:tab w:val="left" w:pos="2880"/>
        <w:tab w:val="right" w:leader="dot" w:pos="9360"/>
      </w:tabs>
      <w:suppressAutoHyphens/>
      <w:ind w:left="2880" w:hanging="360"/>
    </w:pPr>
    <w:rPr>
      <w:noProof/>
    </w:rPr>
  </w:style>
  <w:style w:type="paragraph" w:styleId="TOC9">
    <w:name w:val="toc 9"/>
    <w:basedOn w:val="Normal"/>
    <w:next w:val="Normal"/>
    <w:autoRedefine/>
    <w:rsid w:val="004A0A51"/>
    <w:pPr>
      <w:tabs>
        <w:tab w:val="left" w:pos="3240"/>
        <w:tab w:val="right" w:leader="dot" w:pos="9360"/>
      </w:tabs>
      <w:suppressAutoHyphens/>
      <w:ind w:left="3240" w:hanging="360"/>
    </w:pPr>
    <w:rPr>
      <w:noProof/>
    </w:rPr>
  </w:style>
  <w:style w:type="paragraph" w:styleId="TOAHeading">
    <w:name w:val="toa heading"/>
    <w:basedOn w:val="Normal"/>
    <w:next w:val="Normal"/>
    <w:rsid w:val="004A0A51"/>
    <w:pPr>
      <w:tabs>
        <w:tab w:val="right" w:pos="9360"/>
      </w:tabs>
      <w:suppressAutoHyphens/>
    </w:pPr>
  </w:style>
  <w:style w:type="character" w:customStyle="1" w:styleId="EquationCaption">
    <w:name w:val="_Equation Caption"/>
    <w:rsid w:val="004A0A51"/>
  </w:style>
  <w:style w:type="paragraph" w:customStyle="1" w:styleId="Paratitle">
    <w:name w:val="Para title"/>
    <w:basedOn w:val="Normal"/>
    <w:rsid w:val="004A0A51"/>
    <w:pPr>
      <w:tabs>
        <w:tab w:val="center" w:pos="9270"/>
      </w:tabs>
      <w:spacing w:after="240"/>
    </w:pPr>
    <w:rPr>
      <w:spacing w:val="-2"/>
    </w:rPr>
  </w:style>
  <w:style w:type="paragraph" w:customStyle="1" w:styleId="Bullet">
    <w:name w:val="Bullet"/>
    <w:basedOn w:val="Normal"/>
    <w:rsid w:val="004A0A51"/>
    <w:pPr>
      <w:tabs>
        <w:tab w:val="left" w:pos="2160"/>
      </w:tabs>
      <w:spacing w:after="220"/>
      <w:ind w:left="2160" w:hanging="720"/>
    </w:pPr>
  </w:style>
  <w:style w:type="paragraph" w:customStyle="1" w:styleId="TableFormat">
    <w:name w:val="TableFormat"/>
    <w:basedOn w:val="Bullet"/>
    <w:rsid w:val="004A0A51"/>
    <w:pPr>
      <w:tabs>
        <w:tab w:val="clear" w:pos="2160"/>
        <w:tab w:val="left" w:pos="5040"/>
      </w:tabs>
      <w:ind w:left="5040" w:hanging="3600"/>
    </w:pPr>
  </w:style>
  <w:style w:type="paragraph" w:customStyle="1" w:styleId="TOCTitle">
    <w:name w:val="TOC Title"/>
    <w:basedOn w:val="Normal"/>
    <w:rsid w:val="004A0A5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0A51"/>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51"/>
    <w:pPr>
      <w:widowControl w:val="0"/>
    </w:pPr>
    <w:rPr>
      <w:snapToGrid w:val="0"/>
      <w:kern w:val="28"/>
      <w:sz w:val="22"/>
    </w:rPr>
  </w:style>
  <w:style w:type="paragraph" w:styleId="Heading1">
    <w:name w:val="heading 1"/>
    <w:basedOn w:val="Normal"/>
    <w:next w:val="ParaNum"/>
    <w:qFormat/>
    <w:rsid w:val="004A0A51"/>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0A51"/>
    <w:pPr>
      <w:keepNext/>
      <w:numPr>
        <w:ilvl w:val="1"/>
        <w:numId w:val="23"/>
      </w:numPr>
      <w:spacing w:after="120"/>
      <w:outlineLvl w:val="1"/>
    </w:pPr>
    <w:rPr>
      <w:b/>
    </w:rPr>
  </w:style>
  <w:style w:type="paragraph" w:styleId="Heading3">
    <w:name w:val="heading 3"/>
    <w:basedOn w:val="Normal"/>
    <w:next w:val="ParaNum"/>
    <w:qFormat/>
    <w:rsid w:val="004A0A51"/>
    <w:pPr>
      <w:keepNext/>
      <w:numPr>
        <w:ilvl w:val="2"/>
        <w:numId w:val="23"/>
      </w:numPr>
      <w:tabs>
        <w:tab w:val="left" w:pos="2160"/>
      </w:tabs>
      <w:spacing w:after="120"/>
      <w:outlineLvl w:val="2"/>
    </w:pPr>
    <w:rPr>
      <w:b/>
    </w:rPr>
  </w:style>
  <w:style w:type="paragraph" w:styleId="Heading4">
    <w:name w:val="heading 4"/>
    <w:basedOn w:val="Normal"/>
    <w:next w:val="ParaNum"/>
    <w:qFormat/>
    <w:rsid w:val="004A0A51"/>
    <w:pPr>
      <w:keepNext/>
      <w:numPr>
        <w:ilvl w:val="3"/>
        <w:numId w:val="23"/>
      </w:numPr>
      <w:tabs>
        <w:tab w:val="left" w:pos="2880"/>
      </w:tabs>
      <w:spacing w:after="120"/>
      <w:outlineLvl w:val="3"/>
    </w:pPr>
    <w:rPr>
      <w:b/>
    </w:rPr>
  </w:style>
  <w:style w:type="paragraph" w:styleId="Heading5">
    <w:name w:val="heading 5"/>
    <w:basedOn w:val="Normal"/>
    <w:next w:val="ParaNum"/>
    <w:qFormat/>
    <w:rsid w:val="004A0A51"/>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4A0A51"/>
    <w:pPr>
      <w:numPr>
        <w:ilvl w:val="5"/>
        <w:numId w:val="23"/>
      </w:numPr>
      <w:tabs>
        <w:tab w:val="left" w:pos="4320"/>
      </w:tabs>
      <w:spacing w:after="120"/>
      <w:outlineLvl w:val="5"/>
    </w:pPr>
    <w:rPr>
      <w:b/>
    </w:rPr>
  </w:style>
  <w:style w:type="paragraph" w:styleId="Heading7">
    <w:name w:val="heading 7"/>
    <w:basedOn w:val="Normal"/>
    <w:next w:val="ParaNum"/>
    <w:qFormat/>
    <w:rsid w:val="004A0A51"/>
    <w:pPr>
      <w:numPr>
        <w:ilvl w:val="6"/>
        <w:numId w:val="23"/>
      </w:numPr>
      <w:tabs>
        <w:tab w:val="left" w:pos="5040"/>
      </w:tabs>
      <w:spacing w:after="120"/>
      <w:ind w:left="5040" w:hanging="720"/>
      <w:outlineLvl w:val="6"/>
    </w:pPr>
    <w:rPr>
      <w:b/>
    </w:rPr>
  </w:style>
  <w:style w:type="paragraph" w:styleId="Heading8">
    <w:name w:val="heading 8"/>
    <w:basedOn w:val="Normal"/>
    <w:next w:val="ParaNum"/>
    <w:qFormat/>
    <w:rsid w:val="004A0A51"/>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qFormat/>
    <w:rsid w:val="004A0A51"/>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0A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0A51"/>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rsid w:val="004A0A51"/>
    <w:pPr>
      <w:tabs>
        <w:tab w:val="center" w:pos="4320"/>
        <w:tab w:val="right" w:pos="8640"/>
      </w:tabs>
    </w:pPr>
  </w:style>
  <w:style w:type="character" w:styleId="PageNumber">
    <w:name w:val="page number"/>
    <w:basedOn w:val="DefaultParagraphFont"/>
    <w:rsid w:val="004A0A51"/>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4A0A51"/>
    <w:pPr>
      <w:spacing w:after="120"/>
    </w:pPr>
  </w:style>
  <w:style w:type="character" w:styleId="FootnoteReference">
    <w:name w:val="footnote reference"/>
    <w:aliases w:val="Style 4,Appel note de bas de p,Style 12,(NECG) Footnote Reference,Style 124"/>
    <w:rsid w:val="004A0A51"/>
    <w:rPr>
      <w:rFonts w:ascii="Times New Roman" w:hAnsi="Times New Roman"/>
      <w:dstrike w:val="0"/>
      <w:color w:val="auto"/>
      <w:sz w:val="20"/>
      <w:vertAlign w:val="superscript"/>
    </w:rPr>
  </w:style>
  <w:style w:type="paragraph" w:styleId="BodyText">
    <w:name w:val="Body Text"/>
    <w:basedOn w:val="Normal"/>
    <w:pPr>
      <w:tabs>
        <w:tab w:val="left" w:pos="-720"/>
      </w:tabs>
      <w:suppressAutoHyphens/>
      <w:spacing w:line="227" w:lineRule="auto"/>
      <w:jc w:val="both"/>
    </w:pPr>
    <w:rPr>
      <w:spacing w:val="-2"/>
    </w:rPr>
  </w:style>
  <w:style w:type="paragraph" w:styleId="Header">
    <w:name w:val="header"/>
    <w:basedOn w:val="Normal"/>
    <w:autoRedefine/>
    <w:rsid w:val="004A0A51"/>
    <w:pPr>
      <w:tabs>
        <w:tab w:val="center" w:pos="4680"/>
        <w:tab w:val="right" w:pos="9360"/>
      </w:tabs>
    </w:pPr>
    <w:rPr>
      <w:b/>
    </w:rPr>
  </w:style>
  <w:style w:type="paragraph" w:styleId="BodyTextIndent2">
    <w:name w:val="Body Text Indent 2"/>
    <w:basedOn w:val="Normal"/>
    <w:pPr>
      <w:tabs>
        <w:tab w:val="left" w:pos="-720"/>
      </w:tabs>
      <w:suppressAutoHyphens/>
      <w:spacing w:line="480" w:lineRule="auto"/>
      <w:ind w:left="720"/>
      <w:jc w:val="both"/>
    </w:pPr>
    <w:rPr>
      <w:spacing w:val="-2"/>
    </w:rPr>
  </w:style>
  <w:style w:type="character" w:styleId="EndnoteReference">
    <w:name w:val="endnote reference"/>
    <w:semiHidden/>
    <w:rsid w:val="004A0A51"/>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style>
  <w:style w:type="paragraph" w:styleId="BlockText">
    <w:name w:val="Block Text"/>
    <w:basedOn w:val="Normal"/>
    <w:rsid w:val="004A0A51"/>
    <w:pPr>
      <w:spacing w:after="240"/>
      <w:ind w:left="1440" w:right="1440"/>
    </w:pPr>
  </w:style>
  <w:style w:type="paragraph" w:styleId="EndnoteText">
    <w:name w:val="endnote text"/>
    <w:basedOn w:val="Normal"/>
    <w:semiHidden/>
    <w:rsid w:val="004A0A51"/>
    <w:rPr>
      <w:sz w:val="20"/>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4A0A51"/>
    <w:pPr>
      <w:numPr>
        <w:numId w:val="2"/>
      </w:numPr>
      <w:tabs>
        <w:tab w:val="clear" w:pos="1080"/>
        <w:tab w:val="num" w:pos="1440"/>
      </w:tabs>
      <w:spacing w:after="120"/>
    </w:p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tyle>
  <w:style w:type="character" w:customStyle="1" w:styleId="ParaNumChar">
    <w:name w:val="ParaNum Char"/>
    <w:link w:val="ParaNum"/>
    <w:rPr>
      <w:snapToGrid w:val="0"/>
      <w:kern w:val="28"/>
      <w:sz w:val="22"/>
    </w:rPr>
  </w:style>
  <w:style w:type="character" w:styleId="Hyperlink">
    <w:name w:val="Hyperlink"/>
    <w:rsid w:val="004A0A51"/>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paragraph" w:styleId="TOC1">
    <w:name w:val="toc 1"/>
    <w:basedOn w:val="Normal"/>
    <w:next w:val="Normal"/>
    <w:rsid w:val="004A0A51"/>
    <w:pPr>
      <w:tabs>
        <w:tab w:val="left" w:pos="360"/>
        <w:tab w:val="right" w:leader="dot" w:pos="9360"/>
      </w:tabs>
      <w:suppressAutoHyphens/>
      <w:ind w:left="360" w:right="720" w:hanging="360"/>
    </w:pPr>
    <w:rPr>
      <w:caps/>
      <w:noProof/>
    </w:rPr>
  </w:style>
  <w:style w:type="paragraph" w:styleId="TOC2">
    <w:name w:val="toc 2"/>
    <w:basedOn w:val="Normal"/>
    <w:next w:val="Normal"/>
    <w:rsid w:val="004A0A51"/>
    <w:pPr>
      <w:tabs>
        <w:tab w:val="left" w:pos="720"/>
        <w:tab w:val="right" w:leader="dot" w:pos="9360"/>
      </w:tabs>
      <w:suppressAutoHyphens/>
      <w:ind w:left="720" w:right="720" w:hanging="360"/>
    </w:pPr>
    <w:rPr>
      <w:noProof/>
    </w:rPr>
  </w:style>
  <w:style w:type="paragraph" w:styleId="TOC3">
    <w:name w:val="toc 3"/>
    <w:basedOn w:val="Normal"/>
    <w:next w:val="Normal"/>
    <w:rsid w:val="004A0A5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A0A5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A0A5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A0A51"/>
    <w:pPr>
      <w:tabs>
        <w:tab w:val="left" w:pos="2160"/>
        <w:tab w:val="right" w:leader="dot" w:pos="9360"/>
      </w:tabs>
      <w:suppressAutoHyphens/>
      <w:ind w:left="2160" w:hanging="360"/>
    </w:pPr>
    <w:rPr>
      <w:noProof/>
    </w:rPr>
  </w:style>
  <w:style w:type="paragraph" w:styleId="TOC7">
    <w:name w:val="toc 7"/>
    <w:basedOn w:val="Normal"/>
    <w:next w:val="Normal"/>
    <w:autoRedefine/>
    <w:rsid w:val="004A0A51"/>
    <w:pPr>
      <w:tabs>
        <w:tab w:val="left" w:pos="2520"/>
        <w:tab w:val="right" w:leader="dot" w:pos="9360"/>
      </w:tabs>
      <w:suppressAutoHyphens/>
      <w:ind w:left="2520" w:hanging="360"/>
    </w:pPr>
    <w:rPr>
      <w:noProof/>
    </w:rPr>
  </w:style>
  <w:style w:type="paragraph" w:styleId="TOC8">
    <w:name w:val="toc 8"/>
    <w:basedOn w:val="Normal"/>
    <w:next w:val="Normal"/>
    <w:autoRedefine/>
    <w:rsid w:val="004A0A51"/>
    <w:pPr>
      <w:tabs>
        <w:tab w:val="left" w:pos="2880"/>
        <w:tab w:val="right" w:leader="dot" w:pos="9360"/>
      </w:tabs>
      <w:suppressAutoHyphens/>
      <w:ind w:left="2880" w:hanging="360"/>
    </w:pPr>
    <w:rPr>
      <w:noProof/>
    </w:rPr>
  </w:style>
  <w:style w:type="paragraph" w:styleId="TOC9">
    <w:name w:val="toc 9"/>
    <w:basedOn w:val="Normal"/>
    <w:next w:val="Normal"/>
    <w:autoRedefine/>
    <w:rsid w:val="004A0A51"/>
    <w:pPr>
      <w:tabs>
        <w:tab w:val="left" w:pos="3240"/>
        <w:tab w:val="right" w:leader="dot" w:pos="9360"/>
      </w:tabs>
      <w:suppressAutoHyphens/>
      <w:ind w:left="3240" w:hanging="360"/>
    </w:pPr>
    <w:rPr>
      <w:noProof/>
    </w:rPr>
  </w:style>
  <w:style w:type="paragraph" w:styleId="TOAHeading">
    <w:name w:val="toa heading"/>
    <w:basedOn w:val="Normal"/>
    <w:next w:val="Normal"/>
    <w:rsid w:val="004A0A51"/>
    <w:pPr>
      <w:tabs>
        <w:tab w:val="right" w:pos="9360"/>
      </w:tabs>
      <w:suppressAutoHyphens/>
    </w:pPr>
  </w:style>
  <w:style w:type="character" w:customStyle="1" w:styleId="EquationCaption">
    <w:name w:val="_Equation Caption"/>
    <w:rsid w:val="004A0A51"/>
  </w:style>
  <w:style w:type="paragraph" w:customStyle="1" w:styleId="Paratitle">
    <w:name w:val="Para title"/>
    <w:basedOn w:val="Normal"/>
    <w:rsid w:val="004A0A51"/>
    <w:pPr>
      <w:tabs>
        <w:tab w:val="center" w:pos="9270"/>
      </w:tabs>
      <w:spacing w:after="240"/>
    </w:pPr>
    <w:rPr>
      <w:spacing w:val="-2"/>
    </w:rPr>
  </w:style>
  <w:style w:type="paragraph" w:customStyle="1" w:styleId="Bullet">
    <w:name w:val="Bullet"/>
    <w:basedOn w:val="Normal"/>
    <w:rsid w:val="004A0A51"/>
    <w:pPr>
      <w:tabs>
        <w:tab w:val="left" w:pos="2160"/>
      </w:tabs>
      <w:spacing w:after="220"/>
      <w:ind w:left="2160" w:hanging="720"/>
    </w:pPr>
  </w:style>
  <w:style w:type="paragraph" w:customStyle="1" w:styleId="TableFormat">
    <w:name w:val="TableFormat"/>
    <w:basedOn w:val="Bullet"/>
    <w:rsid w:val="004A0A51"/>
    <w:pPr>
      <w:tabs>
        <w:tab w:val="clear" w:pos="2160"/>
        <w:tab w:val="left" w:pos="5040"/>
      </w:tabs>
      <w:ind w:left="5040" w:hanging="3600"/>
    </w:pPr>
  </w:style>
  <w:style w:type="paragraph" w:customStyle="1" w:styleId="TOCTitle">
    <w:name w:val="TOC Title"/>
    <w:basedOn w:val="Normal"/>
    <w:rsid w:val="004A0A5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0A51"/>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0417">
      <w:bodyDiv w:val="1"/>
      <w:marLeft w:val="0"/>
      <w:marRight w:val="0"/>
      <w:marTop w:val="0"/>
      <w:marBottom w:val="0"/>
      <w:divBdr>
        <w:top w:val="none" w:sz="0" w:space="0" w:color="auto"/>
        <w:left w:val="none" w:sz="0" w:space="0" w:color="auto"/>
        <w:bottom w:val="none" w:sz="0" w:space="0" w:color="auto"/>
        <w:right w:val="none" w:sz="0" w:space="0" w:color="auto"/>
      </w:divBdr>
    </w:div>
    <w:div w:id="194084279">
      <w:bodyDiv w:val="1"/>
      <w:marLeft w:val="0"/>
      <w:marRight w:val="0"/>
      <w:marTop w:val="0"/>
      <w:marBottom w:val="0"/>
      <w:divBdr>
        <w:top w:val="none" w:sz="0" w:space="0" w:color="auto"/>
        <w:left w:val="none" w:sz="0" w:space="0" w:color="auto"/>
        <w:bottom w:val="none" w:sz="0" w:space="0" w:color="auto"/>
        <w:right w:val="none" w:sz="0" w:space="0" w:color="auto"/>
      </w:divBdr>
    </w:div>
    <w:div w:id="504706184">
      <w:bodyDiv w:val="1"/>
      <w:marLeft w:val="0"/>
      <w:marRight w:val="0"/>
      <w:marTop w:val="0"/>
      <w:marBottom w:val="0"/>
      <w:divBdr>
        <w:top w:val="none" w:sz="0" w:space="0" w:color="auto"/>
        <w:left w:val="none" w:sz="0" w:space="0" w:color="auto"/>
        <w:bottom w:val="none" w:sz="0" w:space="0" w:color="auto"/>
        <w:right w:val="none" w:sz="0" w:space="0" w:color="auto"/>
      </w:divBdr>
    </w:div>
    <w:div w:id="605819001">
      <w:bodyDiv w:val="1"/>
      <w:marLeft w:val="0"/>
      <w:marRight w:val="0"/>
      <w:marTop w:val="0"/>
      <w:marBottom w:val="0"/>
      <w:divBdr>
        <w:top w:val="none" w:sz="0" w:space="0" w:color="auto"/>
        <w:left w:val="none" w:sz="0" w:space="0" w:color="auto"/>
        <w:bottom w:val="none" w:sz="0" w:space="0" w:color="auto"/>
        <w:right w:val="none" w:sz="0" w:space="0" w:color="auto"/>
      </w:divBdr>
    </w:div>
    <w:div w:id="719131050">
      <w:bodyDiv w:val="1"/>
      <w:marLeft w:val="0"/>
      <w:marRight w:val="0"/>
      <w:marTop w:val="0"/>
      <w:marBottom w:val="0"/>
      <w:divBdr>
        <w:top w:val="none" w:sz="0" w:space="0" w:color="auto"/>
        <w:left w:val="none" w:sz="0" w:space="0" w:color="auto"/>
        <w:bottom w:val="none" w:sz="0" w:space="0" w:color="auto"/>
        <w:right w:val="none" w:sz="0" w:space="0" w:color="auto"/>
      </w:divBdr>
    </w:div>
    <w:div w:id="864559068">
      <w:bodyDiv w:val="1"/>
      <w:marLeft w:val="0"/>
      <w:marRight w:val="0"/>
      <w:marTop w:val="0"/>
      <w:marBottom w:val="0"/>
      <w:divBdr>
        <w:top w:val="none" w:sz="0" w:space="0" w:color="auto"/>
        <w:left w:val="none" w:sz="0" w:space="0" w:color="auto"/>
        <w:bottom w:val="none" w:sz="0" w:space="0" w:color="auto"/>
        <w:right w:val="none" w:sz="0" w:space="0" w:color="auto"/>
      </w:divBdr>
    </w:div>
    <w:div w:id="967854789">
      <w:bodyDiv w:val="1"/>
      <w:marLeft w:val="0"/>
      <w:marRight w:val="0"/>
      <w:marTop w:val="0"/>
      <w:marBottom w:val="0"/>
      <w:divBdr>
        <w:top w:val="none" w:sz="0" w:space="0" w:color="auto"/>
        <w:left w:val="none" w:sz="0" w:space="0" w:color="auto"/>
        <w:bottom w:val="none" w:sz="0" w:space="0" w:color="auto"/>
        <w:right w:val="none" w:sz="0" w:space="0" w:color="auto"/>
      </w:divBdr>
    </w:div>
    <w:div w:id="996346286">
      <w:bodyDiv w:val="1"/>
      <w:marLeft w:val="0"/>
      <w:marRight w:val="0"/>
      <w:marTop w:val="0"/>
      <w:marBottom w:val="0"/>
      <w:divBdr>
        <w:top w:val="none" w:sz="0" w:space="0" w:color="auto"/>
        <w:left w:val="none" w:sz="0" w:space="0" w:color="auto"/>
        <w:bottom w:val="none" w:sz="0" w:space="0" w:color="auto"/>
        <w:right w:val="none" w:sz="0" w:space="0" w:color="auto"/>
      </w:divBdr>
    </w:div>
    <w:div w:id="1244339953">
      <w:bodyDiv w:val="1"/>
      <w:marLeft w:val="0"/>
      <w:marRight w:val="0"/>
      <w:marTop w:val="0"/>
      <w:marBottom w:val="0"/>
      <w:divBdr>
        <w:top w:val="none" w:sz="0" w:space="0" w:color="auto"/>
        <w:left w:val="none" w:sz="0" w:space="0" w:color="auto"/>
        <w:bottom w:val="none" w:sz="0" w:space="0" w:color="auto"/>
        <w:right w:val="none" w:sz="0" w:space="0" w:color="auto"/>
      </w:divBdr>
    </w:div>
    <w:div w:id="1320306297">
      <w:bodyDiv w:val="1"/>
      <w:marLeft w:val="0"/>
      <w:marRight w:val="0"/>
      <w:marTop w:val="0"/>
      <w:marBottom w:val="0"/>
      <w:divBdr>
        <w:top w:val="none" w:sz="0" w:space="0" w:color="auto"/>
        <w:left w:val="none" w:sz="0" w:space="0" w:color="auto"/>
        <w:bottom w:val="none" w:sz="0" w:space="0" w:color="auto"/>
        <w:right w:val="none" w:sz="0" w:space="0" w:color="auto"/>
      </w:divBdr>
    </w:div>
    <w:div w:id="1841460862">
      <w:bodyDiv w:val="1"/>
      <w:marLeft w:val="0"/>
      <w:marRight w:val="0"/>
      <w:marTop w:val="0"/>
      <w:marBottom w:val="0"/>
      <w:divBdr>
        <w:top w:val="none" w:sz="0" w:space="0" w:color="auto"/>
        <w:left w:val="none" w:sz="0" w:space="0" w:color="auto"/>
        <w:bottom w:val="none" w:sz="0" w:space="0" w:color="auto"/>
        <w:right w:val="none" w:sz="0" w:space="0" w:color="auto"/>
      </w:divBdr>
    </w:div>
    <w:div w:id="1920485269">
      <w:bodyDiv w:val="1"/>
      <w:marLeft w:val="0"/>
      <w:marRight w:val="0"/>
      <w:marTop w:val="0"/>
      <w:marBottom w:val="0"/>
      <w:divBdr>
        <w:top w:val="none" w:sz="0" w:space="0" w:color="auto"/>
        <w:left w:val="none" w:sz="0" w:space="0" w:color="auto"/>
        <w:bottom w:val="none" w:sz="0" w:space="0" w:color="auto"/>
        <w:right w:val="none" w:sz="0" w:space="0" w:color="auto"/>
      </w:divBdr>
    </w:div>
    <w:div w:id="20543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usinessfilings.sos.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1319</Words>
  <Characters>7406</Characters>
  <Application>Microsoft Office Word</Application>
  <DocSecurity>0</DocSecurity>
  <Lines>128</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2015-11-17T16:26:00Z</cp:lastPrinted>
  <dcterms:created xsi:type="dcterms:W3CDTF">2015-11-20T19:11:00Z</dcterms:created>
  <dcterms:modified xsi:type="dcterms:W3CDTF">2015-11-20T19:11:00Z</dcterms:modified>
  <cp:category> </cp:category>
  <cp:contentStatus> </cp:contentStatus>
</cp:coreProperties>
</file>