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EB3" w:rsidRDefault="00056EB3">
      <w:pPr>
        <w:jc w:val="center"/>
        <w:rPr>
          <w:b/>
          <w:szCs w:val="22"/>
        </w:rPr>
      </w:pPr>
      <w:bookmarkStart w:id="0" w:name="_GoBack"/>
      <w:bookmarkEnd w:id="0"/>
      <w:r>
        <w:rPr>
          <w:b/>
          <w:szCs w:val="22"/>
        </w:rPr>
        <w:t>Before the</w:t>
      </w:r>
    </w:p>
    <w:p w:rsidR="00056EB3" w:rsidRDefault="00056EB3">
      <w:pPr>
        <w:jc w:val="center"/>
        <w:rPr>
          <w:b/>
          <w:szCs w:val="22"/>
        </w:rPr>
      </w:pPr>
      <w:r>
        <w:rPr>
          <w:b/>
          <w:szCs w:val="22"/>
        </w:rPr>
        <w:t>Federal Communications Commission</w:t>
      </w:r>
    </w:p>
    <w:p w:rsidR="00056EB3" w:rsidRDefault="00056EB3">
      <w:pPr>
        <w:spacing w:after="240"/>
        <w:jc w:val="center"/>
        <w:rPr>
          <w:b/>
          <w:szCs w:val="22"/>
        </w:rPr>
      </w:pPr>
      <w:r>
        <w:rPr>
          <w:b/>
          <w:szCs w:val="22"/>
        </w:rPr>
        <w:t>Washington, D.C. 20554</w:t>
      </w:r>
    </w:p>
    <w:p w:rsidR="00056EB3" w:rsidRDefault="00056EB3">
      <w:pPr>
        <w:rPr>
          <w:szCs w:val="22"/>
        </w:rPr>
      </w:pPr>
    </w:p>
    <w:tbl>
      <w:tblPr>
        <w:tblW w:w="9648" w:type="dxa"/>
        <w:tblLayout w:type="fixed"/>
        <w:tblLook w:val="0000" w:firstRow="0" w:lastRow="0" w:firstColumn="0" w:lastColumn="0" w:noHBand="0" w:noVBand="0"/>
      </w:tblPr>
      <w:tblGrid>
        <w:gridCol w:w="4698"/>
        <w:gridCol w:w="720"/>
        <w:gridCol w:w="4230"/>
      </w:tblGrid>
      <w:tr w:rsidR="00056EB3" w:rsidTr="00FF034A">
        <w:tc>
          <w:tcPr>
            <w:tcW w:w="4698" w:type="dxa"/>
          </w:tcPr>
          <w:p w:rsidR="00056EB3" w:rsidRDefault="00056EB3">
            <w:pPr>
              <w:ind w:right="-18"/>
              <w:rPr>
                <w:szCs w:val="22"/>
              </w:rPr>
            </w:pPr>
            <w:r>
              <w:rPr>
                <w:szCs w:val="22"/>
              </w:rPr>
              <w:t>In the Matter of</w:t>
            </w:r>
          </w:p>
          <w:p w:rsidR="00056EB3" w:rsidRDefault="00056EB3">
            <w:pPr>
              <w:ind w:right="-18"/>
              <w:rPr>
                <w:szCs w:val="22"/>
              </w:rPr>
            </w:pPr>
          </w:p>
          <w:p w:rsidR="00056EB3" w:rsidRDefault="009E55DD">
            <w:pPr>
              <w:ind w:right="-18"/>
              <w:rPr>
                <w:szCs w:val="22"/>
              </w:rPr>
            </w:pPr>
            <w:r>
              <w:rPr>
                <w:szCs w:val="22"/>
              </w:rPr>
              <w:t xml:space="preserve">Edward R. Kozol </w:t>
            </w:r>
          </w:p>
          <w:p w:rsidR="00056EB3" w:rsidRDefault="00056EB3">
            <w:pPr>
              <w:ind w:right="-18"/>
              <w:rPr>
                <w:szCs w:val="22"/>
              </w:rPr>
            </w:pPr>
          </w:p>
          <w:p w:rsidR="00056EB3" w:rsidRDefault="009E55DD" w:rsidP="005D797A">
            <w:pPr>
              <w:ind w:right="-18"/>
              <w:rPr>
                <w:szCs w:val="22"/>
              </w:rPr>
            </w:pPr>
            <w:r>
              <w:rPr>
                <w:szCs w:val="22"/>
              </w:rPr>
              <w:t>Lemont</w:t>
            </w:r>
            <w:r w:rsidR="00056EB3">
              <w:rPr>
                <w:szCs w:val="22"/>
              </w:rPr>
              <w:t xml:space="preserve">, </w:t>
            </w:r>
            <w:r>
              <w:rPr>
                <w:szCs w:val="22"/>
              </w:rPr>
              <w:t>Illinois</w:t>
            </w:r>
          </w:p>
        </w:tc>
        <w:tc>
          <w:tcPr>
            <w:tcW w:w="720" w:type="dxa"/>
          </w:tcPr>
          <w:p w:rsidR="00056EB3" w:rsidRDefault="00056EB3">
            <w:pPr>
              <w:rPr>
                <w:b/>
                <w:szCs w:val="22"/>
              </w:rPr>
            </w:pPr>
            <w:r>
              <w:rPr>
                <w:b/>
                <w:szCs w:val="22"/>
              </w:rPr>
              <w:t>)</w:t>
            </w:r>
          </w:p>
          <w:p w:rsidR="00056EB3" w:rsidRDefault="00056EB3">
            <w:pPr>
              <w:rPr>
                <w:b/>
                <w:szCs w:val="22"/>
              </w:rPr>
            </w:pPr>
            <w:r>
              <w:rPr>
                <w:b/>
                <w:szCs w:val="22"/>
              </w:rPr>
              <w:t>)</w:t>
            </w:r>
          </w:p>
          <w:p w:rsidR="00056EB3" w:rsidRDefault="00056EB3">
            <w:pPr>
              <w:rPr>
                <w:b/>
                <w:szCs w:val="22"/>
              </w:rPr>
            </w:pPr>
            <w:r>
              <w:rPr>
                <w:b/>
                <w:szCs w:val="22"/>
              </w:rPr>
              <w:t>)</w:t>
            </w:r>
          </w:p>
          <w:p w:rsidR="00056EB3" w:rsidRDefault="00056EB3">
            <w:pPr>
              <w:rPr>
                <w:b/>
                <w:szCs w:val="22"/>
              </w:rPr>
            </w:pPr>
            <w:r>
              <w:rPr>
                <w:b/>
                <w:szCs w:val="22"/>
              </w:rPr>
              <w:t>)</w:t>
            </w:r>
          </w:p>
          <w:p w:rsidR="00056EB3" w:rsidRDefault="00056EB3">
            <w:pPr>
              <w:rPr>
                <w:b/>
                <w:szCs w:val="22"/>
              </w:rPr>
            </w:pPr>
            <w:r>
              <w:rPr>
                <w:b/>
                <w:szCs w:val="22"/>
              </w:rPr>
              <w:t>)</w:t>
            </w:r>
          </w:p>
          <w:p w:rsidR="00056EB3" w:rsidRDefault="00056EB3">
            <w:pPr>
              <w:rPr>
                <w:b/>
                <w:szCs w:val="22"/>
              </w:rPr>
            </w:pPr>
            <w:r>
              <w:rPr>
                <w:b/>
                <w:szCs w:val="22"/>
              </w:rPr>
              <w:t>)</w:t>
            </w:r>
          </w:p>
          <w:p w:rsidR="00056EB3" w:rsidRDefault="00056EB3">
            <w:pPr>
              <w:rPr>
                <w:b/>
                <w:szCs w:val="22"/>
              </w:rPr>
            </w:pPr>
          </w:p>
        </w:tc>
        <w:tc>
          <w:tcPr>
            <w:tcW w:w="4230" w:type="dxa"/>
          </w:tcPr>
          <w:p w:rsidR="00056EB3" w:rsidRDefault="00056EB3">
            <w:pPr>
              <w:rPr>
                <w:szCs w:val="22"/>
              </w:rPr>
            </w:pPr>
          </w:p>
          <w:p w:rsidR="00056EB3" w:rsidRDefault="00056EB3">
            <w:pPr>
              <w:tabs>
                <w:tab w:val="left" w:pos="1995"/>
              </w:tabs>
              <w:rPr>
                <w:szCs w:val="22"/>
              </w:rPr>
            </w:pPr>
            <w:r>
              <w:rPr>
                <w:szCs w:val="22"/>
              </w:rPr>
              <w:t xml:space="preserve">       </w:t>
            </w:r>
          </w:p>
          <w:p w:rsidR="00056EB3" w:rsidRDefault="00056EB3">
            <w:pPr>
              <w:tabs>
                <w:tab w:val="left" w:pos="1995"/>
              </w:tabs>
              <w:rPr>
                <w:spacing w:val="-2"/>
                <w:szCs w:val="22"/>
              </w:rPr>
            </w:pPr>
            <w:r>
              <w:rPr>
                <w:szCs w:val="22"/>
              </w:rPr>
              <w:t xml:space="preserve">        File No.:  EB-FIELD</w:t>
            </w:r>
            <w:r w:rsidR="008B4485">
              <w:rPr>
                <w:szCs w:val="22"/>
              </w:rPr>
              <w:t>NER</w:t>
            </w:r>
            <w:r>
              <w:rPr>
                <w:szCs w:val="22"/>
              </w:rPr>
              <w:t>-1</w:t>
            </w:r>
            <w:r w:rsidR="00F6234F">
              <w:rPr>
                <w:szCs w:val="22"/>
              </w:rPr>
              <w:t>5</w:t>
            </w:r>
            <w:r>
              <w:rPr>
                <w:szCs w:val="22"/>
              </w:rPr>
              <w:t>-</w:t>
            </w:r>
            <w:r w:rsidR="009E55DD">
              <w:rPr>
                <w:szCs w:val="22"/>
              </w:rPr>
              <w:t>00019958</w:t>
            </w:r>
          </w:p>
          <w:p w:rsidR="00056EB3" w:rsidRDefault="00056EB3">
            <w:pPr>
              <w:rPr>
                <w:spacing w:val="-2"/>
                <w:szCs w:val="22"/>
              </w:rPr>
            </w:pPr>
            <w:r>
              <w:rPr>
                <w:spacing w:val="-2"/>
                <w:szCs w:val="22"/>
              </w:rPr>
              <w:t xml:space="preserve">        </w:t>
            </w:r>
          </w:p>
          <w:p w:rsidR="00056EB3" w:rsidRDefault="00056EB3">
            <w:pPr>
              <w:rPr>
                <w:color w:val="000000"/>
                <w:spacing w:val="-2"/>
                <w:szCs w:val="22"/>
              </w:rPr>
            </w:pPr>
            <w:r>
              <w:rPr>
                <w:color w:val="FF0000"/>
                <w:spacing w:val="-2"/>
                <w:szCs w:val="22"/>
              </w:rPr>
              <w:t xml:space="preserve">        </w:t>
            </w:r>
            <w:r>
              <w:rPr>
                <w:color w:val="000000"/>
                <w:spacing w:val="-2"/>
                <w:szCs w:val="22"/>
              </w:rPr>
              <w:t xml:space="preserve">Citation </w:t>
            </w:r>
            <w:r w:rsidRPr="00593DB8">
              <w:rPr>
                <w:spacing w:val="-2"/>
                <w:szCs w:val="22"/>
              </w:rPr>
              <w:t xml:space="preserve">No.:  </w:t>
            </w:r>
            <w:r w:rsidR="00593DB8" w:rsidRPr="00593DB8">
              <w:rPr>
                <w:szCs w:val="22"/>
              </w:rPr>
              <w:t>C201632320001</w:t>
            </w:r>
          </w:p>
          <w:p w:rsidR="00056EB3" w:rsidRDefault="00056EB3">
            <w:pPr>
              <w:rPr>
                <w:szCs w:val="22"/>
              </w:rPr>
            </w:pPr>
          </w:p>
        </w:tc>
      </w:tr>
    </w:tbl>
    <w:p w:rsidR="00056EB3" w:rsidRDefault="00056EB3">
      <w:pPr>
        <w:spacing w:before="120" w:after="120"/>
        <w:jc w:val="center"/>
        <w:rPr>
          <w:b/>
          <w:spacing w:val="-2"/>
          <w:szCs w:val="22"/>
        </w:rPr>
      </w:pPr>
      <w:r>
        <w:rPr>
          <w:b/>
          <w:spacing w:val="-2"/>
          <w:szCs w:val="22"/>
        </w:rPr>
        <w:t>CITATION AND ORDER</w:t>
      </w:r>
    </w:p>
    <w:p w:rsidR="00056EB3" w:rsidRDefault="00750F98" w:rsidP="005B10F0">
      <w:pPr>
        <w:spacing w:before="120"/>
        <w:jc w:val="center"/>
        <w:rPr>
          <w:b/>
          <w:spacing w:val="-2"/>
          <w:szCs w:val="22"/>
        </w:rPr>
      </w:pPr>
      <w:r>
        <w:rPr>
          <w:b/>
          <w:spacing w:val="-2"/>
          <w:szCs w:val="22"/>
        </w:rPr>
        <w:t>Incidental Radiator Causing Harmful Interference</w:t>
      </w:r>
    </w:p>
    <w:p w:rsidR="00056EB3" w:rsidRPr="00521506" w:rsidRDefault="00056EB3" w:rsidP="00521506"/>
    <w:p w:rsidR="00056EB3" w:rsidRDefault="00056EB3">
      <w:pPr>
        <w:tabs>
          <w:tab w:val="left" w:pos="5760"/>
        </w:tabs>
        <w:rPr>
          <w:b/>
          <w:color w:val="000000"/>
          <w:szCs w:val="22"/>
        </w:rPr>
      </w:pPr>
      <w:r>
        <w:rPr>
          <w:b/>
          <w:color w:val="000000"/>
          <w:szCs w:val="22"/>
        </w:rPr>
        <w:t xml:space="preserve">Adopted:  </w:t>
      </w:r>
      <w:r w:rsidR="005048CC">
        <w:rPr>
          <w:b/>
          <w:color w:val="000000"/>
          <w:szCs w:val="22"/>
        </w:rPr>
        <w:t>November</w:t>
      </w:r>
      <w:r w:rsidR="00FD73DB">
        <w:rPr>
          <w:b/>
          <w:color w:val="000000"/>
          <w:szCs w:val="22"/>
        </w:rPr>
        <w:t xml:space="preserve"> 24,</w:t>
      </w:r>
      <w:r w:rsidR="005A09EF">
        <w:rPr>
          <w:b/>
          <w:color w:val="000000"/>
          <w:szCs w:val="22"/>
        </w:rPr>
        <w:t xml:space="preserve"> 201</w:t>
      </w:r>
      <w:r w:rsidR="009D2581">
        <w:rPr>
          <w:b/>
          <w:color w:val="000000"/>
          <w:szCs w:val="22"/>
        </w:rPr>
        <w:t>5</w:t>
      </w:r>
      <w:r>
        <w:rPr>
          <w:b/>
          <w:color w:val="000000"/>
          <w:szCs w:val="22"/>
        </w:rPr>
        <w:tab/>
        <w:t xml:space="preserve">        Released: </w:t>
      </w:r>
      <w:r w:rsidR="00FF034A">
        <w:rPr>
          <w:b/>
          <w:color w:val="000000"/>
          <w:szCs w:val="22"/>
        </w:rPr>
        <w:t xml:space="preserve"> </w:t>
      </w:r>
      <w:r w:rsidR="005048CC">
        <w:rPr>
          <w:b/>
          <w:color w:val="000000"/>
          <w:szCs w:val="22"/>
        </w:rPr>
        <w:t>November</w:t>
      </w:r>
      <w:r w:rsidR="00FD73DB">
        <w:rPr>
          <w:b/>
          <w:color w:val="000000"/>
          <w:szCs w:val="22"/>
        </w:rPr>
        <w:t xml:space="preserve"> 24</w:t>
      </w:r>
      <w:r w:rsidR="005A09EF">
        <w:rPr>
          <w:b/>
          <w:color w:val="000000"/>
          <w:szCs w:val="22"/>
        </w:rPr>
        <w:t>, 2</w:t>
      </w:r>
      <w:r w:rsidR="00B97CD8">
        <w:rPr>
          <w:b/>
          <w:color w:val="000000"/>
          <w:szCs w:val="22"/>
        </w:rPr>
        <w:t>01</w:t>
      </w:r>
      <w:r w:rsidR="009D2581">
        <w:rPr>
          <w:b/>
          <w:color w:val="000000"/>
          <w:szCs w:val="22"/>
        </w:rPr>
        <w:t>5</w:t>
      </w:r>
    </w:p>
    <w:p w:rsidR="00056EB3" w:rsidRDefault="00056EB3">
      <w:pPr>
        <w:tabs>
          <w:tab w:val="left" w:pos="5760"/>
        </w:tabs>
        <w:rPr>
          <w:b/>
          <w:szCs w:val="22"/>
        </w:rPr>
      </w:pPr>
    </w:p>
    <w:p w:rsidR="0044540E" w:rsidRDefault="00056EB3">
      <w:pPr>
        <w:tabs>
          <w:tab w:val="left" w:pos="5760"/>
        </w:tabs>
        <w:spacing w:after="240"/>
        <w:rPr>
          <w:szCs w:val="22"/>
        </w:rPr>
      </w:pPr>
      <w:r>
        <w:rPr>
          <w:szCs w:val="22"/>
        </w:rPr>
        <w:t xml:space="preserve">By the </w:t>
      </w:r>
      <w:r w:rsidR="004406DD">
        <w:rPr>
          <w:szCs w:val="22"/>
        </w:rPr>
        <w:t>Regional</w:t>
      </w:r>
      <w:r>
        <w:rPr>
          <w:szCs w:val="22"/>
        </w:rPr>
        <w:t xml:space="preserve"> Director, </w:t>
      </w:r>
      <w:r w:rsidR="009D2581" w:rsidRPr="009D2581">
        <w:rPr>
          <w:szCs w:val="22"/>
        </w:rPr>
        <w:t>Northeast</w:t>
      </w:r>
      <w:r>
        <w:rPr>
          <w:szCs w:val="22"/>
        </w:rPr>
        <w:t xml:space="preserve"> Region, Enforcement Bureau</w:t>
      </w:r>
      <w:r>
        <w:rPr>
          <w:spacing w:val="-2"/>
          <w:szCs w:val="22"/>
        </w:rPr>
        <w:t>:</w:t>
      </w:r>
    </w:p>
    <w:p w:rsidR="00056EB3" w:rsidRDefault="00056EB3">
      <w:pPr>
        <w:pStyle w:val="Heading1"/>
        <w:widowControl/>
        <w:rPr>
          <w:szCs w:val="22"/>
        </w:rPr>
      </w:pPr>
      <w:r>
        <w:rPr>
          <w:szCs w:val="22"/>
        </w:rPr>
        <w:t>INTRODUCTION</w:t>
      </w:r>
    </w:p>
    <w:p w:rsidR="00C14C13" w:rsidRDefault="00056EB3" w:rsidP="00FD73DB">
      <w:pPr>
        <w:pStyle w:val="ParaNum"/>
        <w:widowControl/>
        <w:tabs>
          <w:tab w:val="clear" w:pos="1080"/>
          <w:tab w:val="num" w:pos="1440"/>
        </w:tabs>
        <w:spacing w:after="120"/>
        <w:jc w:val="left"/>
      </w:pPr>
      <w:r>
        <w:t xml:space="preserve">This </w:t>
      </w:r>
      <w:r>
        <w:rPr>
          <w:b/>
        </w:rPr>
        <w:t>CITATION AND ORDER</w:t>
      </w:r>
      <w:r>
        <w:t xml:space="preserve"> (Citation) </w:t>
      </w:r>
      <w:r w:rsidR="00C14C13">
        <w:t>notifies Edward R. Kozol of his obligation to stop operating devices that are causing interference to licensed radio operations and to c</w:t>
      </w:r>
      <w:r w:rsidR="00647CE4">
        <w:t>omply with federal rules and reg</w:t>
      </w:r>
      <w:r w:rsidR="00C14C13">
        <w:t>ulations related to radio frequency devices. This includes consumer and industrial devices such as lighting ballasts that utilize radio frequencies in their operation.   Failure to take action to resolve the interference may result in severe penalties, including fines up to $16,000 per day.</w:t>
      </w:r>
    </w:p>
    <w:p w:rsidR="00056EB3" w:rsidRDefault="00C14C13" w:rsidP="00FD73DB">
      <w:pPr>
        <w:pStyle w:val="ParaNum"/>
        <w:widowControl/>
        <w:tabs>
          <w:tab w:val="clear" w:pos="1080"/>
          <w:tab w:val="num" w:pos="1440"/>
        </w:tabs>
        <w:spacing w:after="120"/>
        <w:jc w:val="left"/>
      </w:pPr>
      <w:r>
        <w:t xml:space="preserve">This is an official Citation </w:t>
      </w:r>
      <w:r w:rsidR="00056EB3">
        <w:t>issued pursuant to Section 503(b)(5) of the Communications Act of 1934, as amended (Communications Act or Act),</w:t>
      </w:r>
      <w:r w:rsidR="00C04E9B" w:rsidRPr="00C04E9B">
        <w:t xml:space="preserve"> </w:t>
      </w:r>
      <w:r w:rsidR="00C04E9B" w:rsidRPr="00135C2D">
        <w:rPr>
          <w:rStyle w:val="FootnoteReference"/>
        </w:rPr>
        <w:footnoteReference w:id="2"/>
      </w:r>
      <w:r w:rsidR="00056EB3">
        <w:t xml:space="preserve"> to </w:t>
      </w:r>
      <w:r w:rsidR="009E55DD">
        <w:t>Edward R. Kozol</w:t>
      </w:r>
      <w:r>
        <w:t xml:space="preserve">.  </w:t>
      </w:r>
      <w:r w:rsidR="00647CE4">
        <w:t>Specifically</w:t>
      </w:r>
      <w:r>
        <w:t xml:space="preserve"> Mr. Kozol is being cited for operating incidental radiators that are causing harmful interference in </w:t>
      </w:r>
      <w:r w:rsidR="0063097C" w:rsidRPr="0063097C">
        <w:t>violation of Section 15.5(b) of the Commission’s rules</w:t>
      </w:r>
      <w:r w:rsidR="00056EB3">
        <w:t xml:space="preserve"> (Rules).</w:t>
      </w:r>
      <w:r w:rsidR="00C04E9B" w:rsidRPr="00C04E9B">
        <w:t xml:space="preserve"> </w:t>
      </w:r>
      <w:r w:rsidR="00C04E9B" w:rsidRPr="00135C2D">
        <w:rPr>
          <w:rStyle w:val="FootnoteReference"/>
        </w:rPr>
        <w:footnoteReference w:id="3"/>
      </w:r>
    </w:p>
    <w:p w:rsidR="00056EB3" w:rsidRDefault="00056EB3" w:rsidP="00FD73DB">
      <w:pPr>
        <w:pStyle w:val="ParaNum"/>
        <w:widowControl/>
        <w:spacing w:after="120"/>
        <w:jc w:val="left"/>
      </w:pPr>
      <w:r>
        <w:tab/>
      </w:r>
      <w:r>
        <w:rPr>
          <w:u w:val="single"/>
        </w:rPr>
        <w:t>Notice of Duty to Comply With Laws</w:t>
      </w:r>
      <w:r>
        <w:t xml:space="preserve">:  </w:t>
      </w:r>
      <w:r w:rsidR="00FF034A">
        <w:t xml:space="preserve">Mr. </w:t>
      </w:r>
      <w:r w:rsidR="009E55DD">
        <w:t>Kozol</w:t>
      </w:r>
      <w:r w:rsidR="0044540E" w:rsidRPr="0044540E">
        <w:t xml:space="preserve"> should take immediate steps to come </w:t>
      </w:r>
      <w:r w:rsidR="00917773">
        <w:t>into compliance with the Rules,</w:t>
      </w:r>
      <w:r w:rsidR="0044540E" w:rsidRPr="0044540E">
        <w:t xml:space="preserve"> specifically, </w:t>
      </w:r>
      <w:r w:rsidR="00F435F0">
        <w:t xml:space="preserve">causing </w:t>
      </w:r>
      <w:r w:rsidR="00F435F0" w:rsidRPr="00F435F0">
        <w:t xml:space="preserve">harmful interference to </w:t>
      </w:r>
      <w:r w:rsidR="009E55DD">
        <w:t>AT&amp;T</w:t>
      </w:r>
      <w:r w:rsidR="00F435F0" w:rsidRPr="00F435F0">
        <w:t xml:space="preserve"> operations in </w:t>
      </w:r>
      <w:r w:rsidR="009E55DD">
        <w:t>Lemont</w:t>
      </w:r>
      <w:r w:rsidR="00F435F0" w:rsidRPr="00F435F0">
        <w:t xml:space="preserve">, </w:t>
      </w:r>
      <w:r w:rsidR="009E55DD">
        <w:t>Illinois</w:t>
      </w:r>
      <w:r w:rsidR="00F435F0" w:rsidRPr="00F435F0">
        <w:t xml:space="preserve"> </w:t>
      </w:r>
      <w:r w:rsidR="00F435F0">
        <w:t xml:space="preserve">and refusing to allow </w:t>
      </w:r>
      <w:r w:rsidR="00F435F0" w:rsidRPr="00F435F0">
        <w:t>inspection of the offending device.</w:t>
      </w:r>
      <w:r w:rsidR="00E72A34">
        <w:t xml:space="preserve"> </w:t>
      </w:r>
      <w:r w:rsidR="0044540E" w:rsidRPr="0044540E">
        <w:t xml:space="preserve"> </w:t>
      </w:r>
      <w:r w:rsidR="00FF034A">
        <w:t xml:space="preserve">Mr. </w:t>
      </w:r>
      <w:r w:rsidR="009E55DD">
        <w:t>Kozol</w:t>
      </w:r>
      <w:r w:rsidR="00E72A34">
        <w:t xml:space="preserve"> </w:t>
      </w:r>
      <w:r>
        <w:t xml:space="preserve">is hereby on notice that if </w:t>
      </w:r>
      <w:r w:rsidR="00F90FCC">
        <w:t>he</w:t>
      </w:r>
      <w:r>
        <w:t xml:space="preserve"> subsequently engages in any conduct of the type described in this Citation, including any violation </w:t>
      </w:r>
      <w:r w:rsidR="00F90FCC">
        <w:t xml:space="preserve">of </w:t>
      </w:r>
      <w:r w:rsidR="00E72A34" w:rsidRPr="00E72A34">
        <w:rPr>
          <w:kern w:val="2"/>
          <w:szCs w:val="22"/>
        </w:rPr>
        <w:t>Section</w:t>
      </w:r>
      <w:r w:rsidR="00F435F0">
        <w:rPr>
          <w:kern w:val="2"/>
          <w:szCs w:val="22"/>
        </w:rPr>
        <w:t>s</w:t>
      </w:r>
      <w:r w:rsidR="00E72A34" w:rsidRPr="00E72A34">
        <w:rPr>
          <w:kern w:val="2"/>
          <w:szCs w:val="22"/>
        </w:rPr>
        <w:t xml:space="preserve"> </w:t>
      </w:r>
      <w:r w:rsidR="00F435F0" w:rsidRPr="0063097C">
        <w:t>15.5(b) and 15.29(a)</w:t>
      </w:r>
      <w:r w:rsidR="00E72A34" w:rsidRPr="00E72A34">
        <w:rPr>
          <w:kern w:val="2"/>
          <w:szCs w:val="22"/>
        </w:rPr>
        <w:t xml:space="preserve"> of the Rules</w:t>
      </w:r>
      <w:r>
        <w:t xml:space="preserve">, </w:t>
      </w:r>
      <w:r w:rsidR="00B55951">
        <w:t>he</w:t>
      </w:r>
      <w:r>
        <w:t xml:space="preserve"> may be subject to civil and criminal penalties, including but not limited to substantial monetary fines (forfeitures).  Such forfeitures may be based on both the conduct that led to this Citation and the conduct following it.</w:t>
      </w:r>
      <w:r>
        <w:rPr>
          <w:rStyle w:val="FootnoteReference"/>
          <w:kern w:val="2"/>
          <w:szCs w:val="22"/>
        </w:rPr>
        <w:footnoteReference w:id="4"/>
      </w:r>
    </w:p>
    <w:p w:rsidR="00FD73DB" w:rsidRDefault="00056EB3" w:rsidP="00FD73DB">
      <w:pPr>
        <w:pStyle w:val="ParaNum"/>
        <w:widowControl/>
        <w:jc w:val="left"/>
        <w:rPr>
          <w:szCs w:val="22"/>
        </w:rPr>
      </w:pPr>
      <w:bookmarkStart w:id="1" w:name="_Ref337821764"/>
      <w:r>
        <w:rPr>
          <w:szCs w:val="22"/>
        </w:rPr>
        <w:tab/>
      </w:r>
      <w:r>
        <w:rPr>
          <w:szCs w:val="22"/>
          <w:u w:val="single"/>
        </w:rPr>
        <w:t>Your Response Required</w:t>
      </w:r>
      <w:r>
        <w:rPr>
          <w:szCs w:val="22"/>
        </w:rPr>
        <w:t>:  Pursuant to Sections 4(i), 4(j), and 403 of the Communications Act,</w:t>
      </w:r>
      <w:r>
        <w:rPr>
          <w:rStyle w:val="FootnoteReference"/>
          <w:kern w:val="2"/>
          <w:szCs w:val="22"/>
        </w:rPr>
        <w:footnoteReference w:id="5"/>
      </w:r>
      <w:r>
        <w:rPr>
          <w:szCs w:val="22"/>
        </w:rPr>
        <w:t xml:space="preserve"> we also direct </w:t>
      </w:r>
      <w:r w:rsidR="00FF034A">
        <w:rPr>
          <w:szCs w:val="22"/>
        </w:rPr>
        <w:t xml:space="preserve">Mr. </w:t>
      </w:r>
      <w:r w:rsidR="009E55DD">
        <w:rPr>
          <w:szCs w:val="22"/>
        </w:rPr>
        <w:t>Kozol</w:t>
      </w:r>
      <w:r w:rsidR="0044540E">
        <w:rPr>
          <w:szCs w:val="22"/>
        </w:rPr>
        <w:t xml:space="preserve"> </w:t>
      </w:r>
      <w:r>
        <w:rPr>
          <w:szCs w:val="22"/>
        </w:rPr>
        <w:t xml:space="preserve">to respond in writing, within thirty (30) calendar days after the release date </w:t>
      </w:r>
      <w:r>
        <w:rPr>
          <w:szCs w:val="22"/>
        </w:rPr>
        <w:lastRenderedPageBreak/>
        <w:t>of this Citation, and signed under penalty of perjury, with descriptions of the specific action(s) taken to preclude recurrence of the violations, and also a timeline f</w:t>
      </w:r>
      <w:r w:rsidR="00834655">
        <w:rPr>
          <w:szCs w:val="22"/>
        </w:rPr>
        <w:t xml:space="preserve">or completion of any corrective </w:t>
      </w:r>
      <w:r>
        <w:rPr>
          <w:szCs w:val="22"/>
        </w:rPr>
        <w:t>action(s)</w:t>
      </w:r>
      <w:bookmarkEnd w:id="1"/>
      <w:r w:rsidR="00FD73DB">
        <w:rPr>
          <w:szCs w:val="22"/>
        </w:rPr>
        <w:t>.</w:t>
      </w:r>
    </w:p>
    <w:p w:rsidR="00FD73DB" w:rsidRDefault="00FD73DB" w:rsidP="00FD73DB">
      <w:pPr>
        <w:pStyle w:val="Heading1"/>
      </w:pPr>
      <w:r>
        <w:t>BACKGROUND</w:t>
      </w:r>
    </w:p>
    <w:p w:rsidR="000526FC" w:rsidRPr="00FD73DB" w:rsidRDefault="007F6C9F" w:rsidP="00FD73DB">
      <w:pPr>
        <w:pStyle w:val="ParaNum"/>
        <w:widowControl/>
        <w:jc w:val="left"/>
        <w:rPr>
          <w:szCs w:val="22"/>
        </w:rPr>
      </w:pPr>
      <w:r>
        <w:t xml:space="preserve">On </w:t>
      </w:r>
      <w:r w:rsidR="009E55DD">
        <w:t>April 22</w:t>
      </w:r>
      <w:r>
        <w:t>, 201</w:t>
      </w:r>
      <w:r w:rsidR="00C04E9B">
        <w:t>5</w:t>
      </w:r>
      <w:r>
        <w:t>, in response to a complaint</w:t>
      </w:r>
      <w:r w:rsidR="00C04E9B">
        <w:t xml:space="preserve"> </w:t>
      </w:r>
      <w:r w:rsidR="00C04E9B" w:rsidRPr="00C04E9B">
        <w:t xml:space="preserve">from </w:t>
      </w:r>
      <w:r w:rsidR="009E55DD">
        <w:t>AT&amp;T</w:t>
      </w:r>
      <w:r w:rsidR="00C04E9B" w:rsidRPr="00C04E9B">
        <w:t xml:space="preserve"> concerning interference to its cellular communications system that operates in the </w:t>
      </w:r>
      <w:r w:rsidR="009E55DD">
        <w:t>700</w:t>
      </w:r>
      <w:r w:rsidR="00C04E9B" w:rsidRPr="00C04E9B">
        <w:t xml:space="preserve"> MHz band in </w:t>
      </w:r>
      <w:r w:rsidR="009E55DD">
        <w:t>Lemont</w:t>
      </w:r>
      <w:r w:rsidR="00C04E9B" w:rsidRPr="00C04E9B">
        <w:t xml:space="preserve">, </w:t>
      </w:r>
      <w:r w:rsidR="009E55DD">
        <w:t>Illinois</w:t>
      </w:r>
      <w:r w:rsidR="00C04E9B" w:rsidRPr="00C04E9B">
        <w:t>,</w:t>
      </w:r>
      <w:r>
        <w:t xml:space="preserve"> </w:t>
      </w:r>
      <w:r w:rsidR="000526FC">
        <w:t xml:space="preserve">agents </w:t>
      </w:r>
      <w:r w:rsidR="00C04E9B" w:rsidRPr="00C04E9B">
        <w:t xml:space="preserve">from the Enforcement Bureau’s </w:t>
      </w:r>
      <w:r w:rsidR="009E55DD">
        <w:t>Chicago Office</w:t>
      </w:r>
      <w:r w:rsidR="00C04E9B" w:rsidRPr="00C04E9B">
        <w:t xml:space="preserve"> </w:t>
      </w:r>
      <w:r>
        <w:t>(</w:t>
      </w:r>
      <w:r w:rsidR="009E55DD">
        <w:t>Chicago Office</w:t>
      </w:r>
      <w:r>
        <w:t xml:space="preserve">) </w:t>
      </w:r>
      <w:r w:rsidR="000526FC" w:rsidRPr="000526FC">
        <w:t xml:space="preserve">confirmed by direction finding techniques that radio emissions in the </w:t>
      </w:r>
      <w:r w:rsidR="009E55DD">
        <w:t>700</w:t>
      </w:r>
      <w:r w:rsidR="00750F98">
        <w:t xml:space="preserve"> MHz band were emanating from Mr. Kozol’s residence in Lemont, Illinois</w:t>
      </w:r>
      <w:r w:rsidR="000526FC">
        <w:t xml:space="preserve">.  </w:t>
      </w:r>
      <w:r w:rsidR="000526FC" w:rsidRPr="000526FC">
        <w:t xml:space="preserve">The </w:t>
      </w:r>
      <w:r w:rsidR="00750F98">
        <w:t xml:space="preserve">700 MHz signal </w:t>
      </w:r>
      <w:r w:rsidR="000526FC" w:rsidRPr="000526FC">
        <w:t xml:space="preserve">is injecting noise into the </w:t>
      </w:r>
      <w:r w:rsidR="009E55DD">
        <w:t>AT&amp;T</w:t>
      </w:r>
      <w:r w:rsidR="000526FC" w:rsidRPr="000526FC">
        <w:t xml:space="preserve"> network and degrading or blocking service to </w:t>
      </w:r>
      <w:r w:rsidR="009E55DD">
        <w:t>AT&amp;T</w:t>
      </w:r>
      <w:r w:rsidR="000526FC" w:rsidRPr="000526FC">
        <w:t>’s customers.</w:t>
      </w:r>
      <w:r w:rsidR="000526FC">
        <w:t xml:space="preserve">  </w:t>
      </w:r>
      <w:r w:rsidR="00750F98" w:rsidRPr="00FD73DB">
        <w:rPr>
          <w:szCs w:val="22"/>
        </w:rPr>
        <w:t xml:space="preserve">A </w:t>
      </w:r>
      <w:r w:rsidR="00750F98" w:rsidRPr="00FD73DB">
        <w:rPr>
          <w:b/>
          <w:szCs w:val="22"/>
        </w:rPr>
        <w:t>WARNING OF UNAUTHORIZED RADIO OPERATION/INTERFERENCE TO AUTHORIZED RADIO STATION</w:t>
      </w:r>
      <w:r w:rsidR="00750F98" w:rsidRPr="00FD73DB">
        <w:rPr>
          <w:szCs w:val="22"/>
        </w:rPr>
        <w:t xml:space="preserve"> was left on the front door at 12425 Thornberry Drive on April 22, 2015.   Mr. Kozol acknowledged receipt of the warning left on the front door in a May 6th email </w:t>
      </w:r>
      <w:r w:rsidR="00CA4077" w:rsidRPr="00FD73DB">
        <w:rPr>
          <w:szCs w:val="22"/>
        </w:rPr>
        <w:t xml:space="preserve">sent </w:t>
      </w:r>
      <w:r w:rsidR="0053090C" w:rsidRPr="00FD73DB">
        <w:rPr>
          <w:szCs w:val="22"/>
        </w:rPr>
        <w:t>to an a</w:t>
      </w:r>
      <w:r w:rsidR="00750F98" w:rsidRPr="00FD73DB">
        <w:rPr>
          <w:szCs w:val="22"/>
        </w:rPr>
        <w:t>gent in the Chicago Office</w:t>
      </w:r>
      <w:r w:rsidR="00750F98">
        <w:rPr>
          <w:rStyle w:val="FootnoteReference"/>
          <w:szCs w:val="22"/>
        </w:rPr>
        <w:footnoteReference w:id="6"/>
      </w:r>
      <w:r w:rsidR="00750F98" w:rsidRPr="00FD73DB">
        <w:rPr>
          <w:szCs w:val="22"/>
        </w:rPr>
        <w:t>.</w:t>
      </w:r>
    </w:p>
    <w:p w:rsidR="00610AA5" w:rsidRPr="00610AA5" w:rsidRDefault="007212DF" w:rsidP="00FD73DB">
      <w:pPr>
        <w:pStyle w:val="ParaNum"/>
        <w:widowControl/>
        <w:tabs>
          <w:tab w:val="clear" w:pos="1080"/>
          <w:tab w:val="num" w:pos="1440"/>
        </w:tabs>
        <w:jc w:val="left"/>
        <w:rPr>
          <w:szCs w:val="22"/>
        </w:rPr>
      </w:pPr>
      <w:r>
        <w:t xml:space="preserve">On </w:t>
      </w:r>
      <w:r w:rsidR="008D481B">
        <w:t>October 1</w:t>
      </w:r>
      <w:r>
        <w:t>, 2015, a</w:t>
      </w:r>
      <w:r w:rsidR="007F6C9F">
        <w:t xml:space="preserve"> </w:t>
      </w:r>
      <w:r w:rsidR="00B67F35" w:rsidRPr="00FD73DB">
        <w:rPr>
          <w:b/>
        </w:rPr>
        <w:t>NOTIFICATION OF HARMFUL INTERFERENCE</w:t>
      </w:r>
      <w:r w:rsidR="007F6C9F">
        <w:t xml:space="preserve"> </w:t>
      </w:r>
      <w:r w:rsidR="008D481B">
        <w:t xml:space="preserve">addressed to Mr. Kozol </w:t>
      </w:r>
      <w:r w:rsidR="007F6C9F">
        <w:t xml:space="preserve">was </w:t>
      </w:r>
      <w:r w:rsidR="008D481B">
        <w:t xml:space="preserve">delivered by UPS </w:t>
      </w:r>
      <w:r w:rsidR="005048CC">
        <w:t>to Kozol Brothers Inc.</w:t>
      </w:r>
      <w:r w:rsidR="007F6C9F">
        <w:t>, but no response was received.</w:t>
      </w:r>
      <w:r w:rsidR="00FF034A" w:rsidRPr="00750F98">
        <w:rPr>
          <w:szCs w:val="22"/>
          <w:vertAlign w:val="superscript"/>
        </w:rPr>
        <w:t xml:space="preserve"> </w:t>
      </w:r>
      <w:r w:rsidR="00FF034A" w:rsidRPr="00FF034A">
        <w:rPr>
          <w:vertAlign w:val="superscript"/>
        </w:rPr>
        <w:footnoteReference w:id="7"/>
      </w:r>
      <w:r w:rsidR="00CA400E" w:rsidRPr="00750F98">
        <w:rPr>
          <w:szCs w:val="22"/>
          <w:vertAlign w:val="superscript"/>
        </w:rPr>
        <w:t xml:space="preserve">   </w:t>
      </w:r>
    </w:p>
    <w:p w:rsidR="00610AA5" w:rsidRDefault="00061A87" w:rsidP="00610AA5">
      <w:pPr>
        <w:pStyle w:val="Heading1"/>
        <w:widowControl/>
        <w:rPr>
          <w:szCs w:val="22"/>
        </w:rPr>
      </w:pPr>
      <w:r w:rsidRPr="00750F98">
        <w:rPr>
          <w:szCs w:val="22"/>
        </w:rPr>
        <w:t xml:space="preserve"> </w:t>
      </w:r>
      <w:r w:rsidR="00175AF4">
        <w:rPr>
          <w:szCs w:val="22"/>
        </w:rPr>
        <w:t>APPLICABLE LAWS AND</w:t>
      </w:r>
      <w:r w:rsidR="00610AA5">
        <w:rPr>
          <w:szCs w:val="22"/>
        </w:rPr>
        <w:t xml:space="preserve"> VIOLATIONS</w:t>
      </w:r>
    </w:p>
    <w:p w:rsidR="00056EB3" w:rsidRDefault="00B67F35" w:rsidP="00FD73DB">
      <w:pPr>
        <w:pStyle w:val="ParaNum"/>
        <w:widowControl/>
        <w:tabs>
          <w:tab w:val="clear" w:pos="1080"/>
          <w:tab w:val="num" w:pos="1440"/>
        </w:tabs>
        <w:spacing w:after="120"/>
        <w:jc w:val="left"/>
      </w:pPr>
      <w:r w:rsidRPr="00B67F35">
        <w:t>Section 15.5(b) of the Rules states “[o]peration of an intentional, unintentional, or incidental radiator is subject to the conditions that no harmful interference is caused . . . . ”</w:t>
      </w:r>
      <w:r w:rsidRPr="00B67F35">
        <w:rPr>
          <w:vertAlign w:val="superscript"/>
        </w:rPr>
        <w:footnoteReference w:id="8"/>
      </w:r>
      <w:r w:rsidRPr="00B67F35">
        <w:t xml:space="preserve">  Section 15.29(a) of the Rules states “[a]ny equipment or device subject to the provisions of this part, . . . shall be made available for inspection by a Commission representative upon reasonable request.”</w:t>
      </w:r>
      <w:r w:rsidRPr="00B67F35">
        <w:rPr>
          <w:vertAlign w:val="superscript"/>
        </w:rPr>
        <w:footnoteReference w:id="9"/>
      </w:r>
      <w:r w:rsidRPr="00B67F35">
        <w:t xml:space="preserve">  </w:t>
      </w:r>
      <w:r w:rsidR="009E55DD">
        <w:t>Kozol</w:t>
      </w:r>
      <w:r w:rsidRPr="00B67F35">
        <w:t>’s refusal to acknowledge the interference problem and refusal to allow Commission’s representatives to inspect the offending device violate these rule sections.</w:t>
      </w:r>
      <w:r w:rsidR="00056EB3">
        <w:t xml:space="preserve">  </w:t>
      </w:r>
      <w:r w:rsidR="00DA2921">
        <w:t xml:space="preserve"> </w:t>
      </w:r>
    </w:p>
    <w:p w:rsidR="00056EB3" w:rsidRDefault="007F6C9F" w:rsidP="00FD73DB">
      <w:pPr>
        <w:pStyle w:val="ParaNum"/>
        <w:widowControl/>
        <w:tabs>
          <w:tab w:val="clear" w:pos="1080"/>
          <w:tab w:val="num" w:pos="1440"/>
        </w:tabs>
        <w:jc w:val="left"/>
      </w:pPr>
      <w:r w:rsidRPr="007F6C9F">
        <w:t>The record in this case shows that</w:t>
      </w:r>
      <w:r w:rsidR="005504AE">
        <w:t xml:space="preserve"> t</w:t>
      </w:r>
      <w:r w:rsidR="005504AE" w:rsidRPr="00B67F35">
        <w:t xml:space="preserve">he </w:t>
      </w:r>
      <w:r w:rsidR="009E55DD">
        <w:t>Chicago Office</w:t>
      </w:r>
      <w:r w:rsidR="005504AE">
        <w:t xml:space="preserve"> </w:t>
      </w:r>
      <w:r w:rsidR="005504AE" w:rsidRPr="00B67F35">
        <w:t xml:space="preserve">received a complaint </w:t>
      </w:r>
      <w:r w:rsidR="005504AE">
        <w:rPr>
          <w:szCs w:val="24"/>
        </w:rPr>
        <w:t>f</w:t>
      </w:r>
      <w:r w:rsidR="005504AE" w:rsidRPr="00C74188">
        <w:rPr>
          <w:szCs w:val="24"/>
        </w:rPr>
        <w:t xml:space="preserve">rom </w:t>
      </w:r>
      <w:r w:rsidR="009E55DD">
        <w:rPr>
          <w:szCs w:val="24"/>
        </w:rPr>
        <w:t>AT&amp;T</w:t>
      </w:r>
      <w:r w:rsidR="005504AE" w:rsidRPr="00C74188">
        <w:rPr>
          <w:szCs w:val="24"/>
        </w:rPr>
        <w:t xml:space="preserve"> concerning interference to its cellular communications system that operates in the </w:t>
      </w:r>
      <w:r w:rsidR="009E55DD">
        <w:rPr>
          <w:szCs w:val="24"/>
        </w:rPr>
        <w:t>700</w:t>
      </w:r>
      <w:r w:rsidR="005504AE" w:rsidRPr="00C74188">
        <w:rPr>
          <w:szCs w:val="24"/>
        </w:rPr>
        <w:t xml:space="preserve"> MHz band in</w:t>
      </w:r>
      <w:r w:rsidR="005504AE">
        <w:rPr>
          <w:szCs w:val="24"/>
        </w:rPr>
        <w:t xml:space="preserve"> </w:t>
      </w:r>
      <w:r w:rsidR="009E55DD">
        <w:rPr>
          <w:szCs w:val="24"/>
        </w:rPr>
        <w:t>Lemont</w:t>
      </w:r>
      <w:r w:rsidR="005504AE" w:rsidRPr="00C74188">
        <w:rPr>
          <w:szCs w:val="24"/>
        </w:rPr>
        <w:t xml:space="preserve">, </w:t>
      </w:r>
      <w:r w:rsidR="009E55DD">
        <w:rPr>
          <w:szCs w:val="24"/>
        </w:rPr>
        <w:t>Illinois</w:t>
      </w:r>
      <w:r w:rsidR="005504AE">
        <w:rPr>
          <w:szCs w:val="24"/>
        </w:rPr>
        <w:t>.  O</w:t>
      </w:r>
      <w:r w:rsidRPr="007F6C9F">
        <w:t xml:space="preserve">n </w:t>
      </w:r>
      <w:r w:rsidR="009E55DD">
        <w:t>April 22</w:t>
      </w:r>
      <w:r w:rsidRPr="007F6C9F">
        <w:t>, 201</w:t>
      </w:r>
      <w:r w:rsidR="00B67F35">
        <w:t>5</w:t>
      </w:r>
      <w:r w:rsidRPr="007F6C9F">
        <w:t xml:space="preserve">, </w:t>
      </w:r>
      <w:r w:rsidR="00CA4077">
        <w:t>an agent</w:t>
      </w:r>
      <w:r w:rsidR="00B67F35" w:rsidRPr="00B67F35">
        <w:t xml:space="preserve"> from the </w:t>
      </w:r>
      <w:r w:rsidR="009E55DD">
        <w:t>Chicago Office</w:t>
      </w:r>
      <w:r w:rsidR="00B67F35" w:rsidRPr="00B67F35">
        <w:t xml:space="preserve"> confirmed that </w:t>
      </w:r>
      <w:r w:rsidR="005504AE" w:rsidRPr="000526FC">
        <w:t xml:space="preserve">radio emissions in the </w:t>
      </w:r>
      <w:r w:rsidR="009E55DD">
        <w:t>700</w:t>
      </w:r>
      <w:r w:rsidR="005504AE" w:rsidRPr="000526FC">
        <w:t xml:space="preserve"> MHz band were emanating from</w:t>
      </w:r>
      <w:r w:rsidR="00834655">
        <w:t xml:space="preserve"> a </w:t>
      </w:r>
      <w:r w:rsidR="00B67F35" w:rsidRPr="00B67F35">
        <w:t>residence</w:t>
      </w:r>
      <w:r w:rsidR="00834655">
        <w:t xml:space="preserve"> owned by Mr. </w:t>
      </w:r>
      <w:r w:rsidR="009E55DD">
        <w:t>Kozol</w:t>
      </w:r>
      <w:r w:rsidR="00B67F35" w:rsidRPr="00B67F35">
        <w:t xml:space="preserve"> in </w:t>
      </w:r>
      <w:r w:rsidR="009E55DD">
        <w:t>Lemont</w:t>
      </w:r>
      <w:r w:rsidR="00B67F35" w:rsidRPr="00B67F35">
        <w:t xml:space="preserve">, </w:t>
      </w:r>
      <w:r w:rsidR="009E55DD">
        <w:t>Illinois</w:t>
      </w:r>
      <w:r w:rsidR="00CA4077">
        <w:t xml:space="preserve">.  The agent used a spectrum analyzer, a hand held antenna, and the receiving equipment in his vehicle to confirm that </w:t>
      </w:r>
      <w:r w:rsidR="00CD4D99">
        <w:t>a</w:t>
      </w:r>
      <w:r w:rsidR="00CA4077">
        <w:t xml:space="preserve"> signal from 720 to 77</w:t>
      </w:r>
      <w:r w:rsidR="0013289A">
        <w:t>0</w:t>
      </w:r>
      <w:r w:rsidR="00CA4077">
        <w:t xml:space="preserve"> MHz was emanating from Mr. Kozol’s residence. </w:t>
      </w:r>
      <w:r w:rsidR="00AE27B9">
        <w:t>Agents returned on May 20</w:t>
      </w:r>
      <w:r w:rsidR="00AE27B9" w:rsidRPr="00187A31">
        <w:t>th</w:t>
      </w:r>
      <w:r w:rsidR="00AE27B9">
        <w:t xml:space="preserve"> and September 16</w:t>
      </w:r>
      <w:r w:rsidR="00AE27B9" w:rsidRPr="00187A31">
        <w:t>th</w:t>
      </w:r>
      <w:r w:rsidR="00AE27B9">
        <w:t xml:space="preserve"> and found that the same signal was originating from Mr</w:t>
      </w:r>
      <w:r w:rsidR="001F5131">
        <w:t>.</w:t>
      </w:r>
      <w:r w:rsidR="00AE27B9">
        <w:t xml:space="preserve"> Kozol’s residence. </w:t>
      </w:r>
      <w:r w:rsidR="00CA4077">
        <w:t>The agent</w:t>
      </w:r>
      <w:r w:rsidR="00B67F35" w:rsidRPr="00B67F35">
        <w:t xml:space="preserve"> requested Mr. </w:t>
      </w:r>
      <w:r w:rsidR="009E55DD">
        <w:t>Kozol</w:t>
      </w:r>
      <w:r w:rsidR="00B67F35" w:rsidRPr="00B67F35">
        <w:t xml:space="preserve">’s assistance in locating the source of the interference and requested his permission to examine any possible radio sources within his residence.  Mr. </w:t>
      </w:r>
      <w:r w:rsidR="009E55DD">
        <w:t>Kozol</w:t>
      </w:r>
      <w:r w:rsidR="00CA4077">
        <w:t xml:space="preserve"> </w:t>
      </w:r>
      <w:r w:rsidR="00AE27B9">
        <w:t xml:space="preserve">ignored numerous requests to </w:t>
      </w:r>
      <w:r w:rsidR="00B67F35" w:rsidRPr="00B67F35">
        <w:t xml:space="preserve">allow </w:t>
      </w:r>
      <w:r w:rsidR="00AE27B9">
        <w:t>agents to locate and identify the</w:t>
      </w:r>
      <w:r w:rsidR="00B67F35" w:rsidRPr="00B67F35">
        <w:t xml:space="preserve"> offending transmitter</w:t>
      </w:r>
      <w:r w:rsidR="005504AE">
        <w:t xml:space="preserve">.  </w:t>
      </w:r>
      <w:r w:rsidRPr="007F6C9F">
        <w:t xml:space="preserve">Based on the foregoing evidence, we find that </w:t>
      </w:r>
      <w:r w:rsidR="00FF034A">
        <w:t xml:space="preserve">Mr. </w:t>
      </w:r>
      <w:r w:rsidR="009E55DD">
        <w:t>Kozol</w:t>
      </w:r>
      <w:r w:rsidR="005504AE">
        <w:t xml:space="preserve"> </w:t>
      </w:r>
      <w:r w:rsidRPr="007F6C9F">
        <w:t xml:space="preserve">violated </w:t>
      </w:r>
      <w:r w:rsidR="005504AE" w:rsidRPr="0063097C">
        <w:t>Section</w:t>
      </w:r>
      <w:r w:rsidR="005504AE">
        <w:t>s</w:t>
      </w:r>
      <w:r w:rsidR="005504AE" w:rsidRPr="0063097C">
        <w:t xml:space="preserve"> 15.5(b) and 15.29(a)</w:t>
      </w:r>
      <w:r w:rsidRPr="007F6C9F">
        <w:t xml:space="preserve"> </w:t>
      </w:r>
      <w:r w:rsidR="000C7526">
        <w:t>of the</w:t>
      </w:r>
      <w:r w:rsidRPr="007F6C9F">
        <w:t xml:space="preserve"> Rules</w:t>
      </w:r>
      <w:r w:rsidR="00056EB3">
        <w:t>.</w:t>
      </w:r>
      <w:r w:rsidR="005504AE" w:rsidRPr="005504AE">
        <w:rPr>
          <w:rStyle w:val="FootnoteReference"/>
        </w:rPr>
        <w:t xml:space="preserve"> </w:t>
      </w:r>
      <w:r w:rsidR="005504AE" w:rsidRPr="00135C2D">
        <w:rPr>
          <w:rStyle w:val="FootnoteReference"/>
        </w:rPr>
        <w:footnoteReference w:id="10"/>
      </w:r>
    </w:p>
    <w:p w:rsidR="00056EB3" w:rsidRDefault="00056EB3" w:rsidP="00FD73DB">
      <w:pPr>
        <w:pStyle w:val="Heading1"/>
        <w:widowControl/>
        <w:jc w:val="left"/>
      </w:pPr>
      <w:r>
        <w:lastRenderedPageBreak/>
        <w:t xml:space="preserve">          REQUEST FOR INFORMATION</w:t>
      </w:r>
    </w:p>
    <w:p w:rsidR="007F6C9F" w:rsidRPr="007F6C9F" w:rsidRDefault="00056EB3" w:rsidP="00FD73DB">
      <w:pPr>
        <w:pStyle w:val="ParaNum"/>
        <w:widowControl/>
        <w:jc w:val="left"/>
      </w:pPr>
      <w:r>
        <w:t xml:space="preserve">       Pursuant to Sections 4(i), 4(j), and 403 of the Act,</w:t>
      </w:r>
      <w:bookmarkStart w:id="2" w:name="_ftnref1"/>
      <w:r>
        <w:rPr>
          <w:rStyle w:val="FootnoteReference"/>
          <w:szCs w:val="22"/>
        </w:rPr>
        <w:footnoteReference w:id="11"/>
      </w:r>
      <w:bookmarkEnd w:id="2"/>
      <w:r w:rsidR="007F6C9F">
        <w:t xml:space="preserve"> </w:t>
      </w:r>
      <w:r w:rsidR="00FF034A">
        <w:t xml:space="preserve">Mr. </w:t>
      </w:r>
      <w:r w:rsidR="009E55DD">
        <w:t>Kozol</w:t>
      </w:r>
      <w:r w:rsidR="007F6C9F" w:rsidRPr="007F6C9F">
        <w:t xml:space="preserve"> is directed to confirm in writing that he has taken the necessary measures and made the corrections to ensure that he does not continue to violate the rules discussed above, and provide the information requested below within thirty (30) calendar days after the release date of this Citation. </w:t>
      </w:r>
      <w:r w:rsidR="0051518E">
        <w:t xml:space="preserve"> </w:t>
      </w:r>
      <w:r w:rsidR="007F6C9F" w:rsidRPr="007F6C9F">
        <w:rPr>
          <w:szCs w:val="22"/>
        </w:rPr>
        <w:t xml:space="preserve">A failure to respond in writing, or the provision of an inadequate, incomplete, or misleading response, may subject </w:t>
      </w:r>
      <w:r w:rsidR="00FF034A">
        <w:rPr>
          <w:szCs w:val="22"/>
        </w:rPr>
        <w:t>Mr.</w:t>
      </w:r>
      <w:r w:rsidR="007F6C9F" w:rsidRPr="007F6C9F">
        <w:rPr>
          <w:szCs w:val="22"/>
        </w:rPr>
        <w:t xml:space="preserve"> </w:t>
      </w:r>
      <w:r w:rsidR="009E55DD">
        <w:rPr>
          <w:szCs w:val="22"/>
        </w:rPr>
        <w:t>Kozol</w:t>
      </w:r>
      <w:r w:rsidR="007F6C9F" w:rsidRPr="007F6C9F">
        <w:rPr>
          <w:szCs w:val="22"/>
        </w:rPr>
        <w:t xml:space="preserve"> to additional sanctions.</w:t>
      </w:r>
    </w:p>
    <w:p w:rsidR="007F6C9F" w:rsidRPr="007F6C9F" w:rsidRDefault="00C15133" w:rsidP="00FD73DB">
      <w:pPr>
        <w:numPr>
          <w:ilvl w:val="0"/>
          <w:numId w:val="44"/>
        </w:numPr>
        <w:rPr>
          <w:szCs w:val="22"/>
        </w:rPr>
      </w:pPr>
      <w:r w:rsidRPr="00C15133">
        <w:rPr>
          <w:szCs w:val="22"/>
        </w:rPr>
        <w:t xml:space="preserve">Examine all Part 15 devices at his residence in </w:t>
      </w:r>
      <w:r w:rsidR="009E55DD">
        <w:rPr>
          <w:szCs w:val="22"/>
        </w:rPr>
        <w:t>Lemont</w:t>
      </w:r>
      <w:r w:rsidRPr="00C15133">
        <w:rPr>
          <w:szCs w:val="22"/>
        </w:rPr>
        <w:t xml:space="preserve">, </w:t>
      </w:r>
      <w:r w:rsidR="009E55DD">
        <w:rPr>
          <w:szCs w:val="22"/>
        </w:rPr>
        <w:t>Illinois</w:t>
      </w:r>
      <w:r w:rsidRPr="00C15133">
        <w:rPr>
          <w:szCs w:val="22"/>
        </w:rPr>
        <w:t xml:space="preserve"> and discontinue the operation until repairs to or replacement of the offending device can be made.  If the offending device is found and the interference is resolved, send a complete report on what was found and the actions taken to resolve the interference.</w:t>
      </w:r>
    </w:p>
    <w:p w:rsidR="007F6C9F" w:rsidRPr="007F6C9F" w:rsidRDefault="007F6C9F" w:rsidP="00FD73DB">
      <w:pPr>
        <w:ind w:left="2160"/>
        <w:rPr>
          <w:szCs w:val="22"/>
        </w:rPr>
      </w:pPr>
    </w:p>
    <w:p w:rsidR="007F6C9F" w:rsidRPr="007F6C9F" w:rsidRDefault="00C15133" w:rsidP="00FD73DB">
      <w:pPr>
        <w:numPr>
          <w:ilvl w:val="0"/>
          <w:numId w:val="44"/>
        </w:numPr>
        <w:tabs>
          <w:tab w:val="left" w:pos="1440"/>
        </w:tabs>
        <w:spacing w:after="220"/>
        <w:rPr>
          <w:szCs w:val="22"/>
        </w:rPr>
      </w:pPr>
      <w:r w:rsidRPr="00C15133">
        <w:rPr>
          <w:szCs w:val="22"/>
        </w:rPr>
        <w:t>If the interference cannot be resolved, advise this office in order to arrange for Commission agents to locate and examine the offending device.</w:t>
      </w:r>
    </w:p>
    <w:p w:rsidR="00056EB3" w:rsidRDefault="00056EB3" w:rsidP="00FD73DB">
      <w:pPr>
        <w:pStyle w:val="Heading1"/>
        <w:widowControl/>
        <w:jc w:val="left"/>
        <w:rPr>
          <w:b w:val="0"/>
          <w:kern w:val="2"/>
          <w:szCs w:val="22"/>
        </w:rPr>
      </w:pPr>
      <w:r>
        <w:rPr>
          <w:kern w:val="2"/>
          <w:szCs w:val="22"/>
        </w:rPr>
        <w:t>RESPONDING TO THIS CITATION</w:t>
      </w:r>
    </w:p>
    <w:p w:rsidR="00056EB3" w:rsidRDefault="00056EB3" w:rsidP="00FD73DB">
      <w:pPr>
        <w:pStyle w:val="ParaNum"/>
        <w:widowControl/>
        <w:tabs>
          <w:tab w:val="clear" w:pos="1080"/>
        </w:tabs>
        <w:jc w:val="left"/>
        <w:rPr>
          <w:kern w:val="2"/>
          <w:szCs w:val="22"/>
        </w:rPr>
      </w:pPr>
      <w:r>
        <w:rPr>
          <w:szCs w:val="22"/>
        </w:rPr>
        <w:t>In</w:t>
      </w:r>
      <w:r>
        <w:rPr>
          <w:kern w:val="2"/>
          <w:szCs w:val="22"/>
        </w:rPr>
        <w:t xml:space="preserve"> addition to the required written information described in paragraphs 3 and </w:t>
      </w:r>
      <w:r w:rsidR="00FE190A">
        <w:rPr>
          <w:kern w:val="2"/>
          <w:szCs w:val="22"/>
        </w:rPr>
        <w:t>8</w:t>
      </w:r>
      <w:r>
        <w:rPr>
          <w:kern w:val="2"/>
          <w:szCs w:val="22"/>
        </w:rPr>
        <w:t xml:space="preserve">, above, </w:t>
      </w:r>
      <w:r w:rsidR="00FF034A">
        <w:rPr>
          <w:kern w:val="2"/>
          <w:szCs w:val="22"/>
        </w:rPr>
        <w:t xml:space="preserve">Mr. </w:t>
      </w:r>
      <w:r w:rsidR="009E55DD">
        <w:rPr>
          <w:kern w:val="2"/>
          <w:szCs w:val="22"/>
        </w:rPr>
        <w:t>Kozol</w:t>
      </w:r>
      <w:r w:rsidR="00FF034A">
        <w:rPr>
          <w:kern w:val="2"/>
          <w:szCs w:val="22"/>
        </w:rPr>
        <w:t xml:space="preserve"> </w:t>
      </w:r>
      <w:r>
        <w:rPr>
          <w:kern w:val="2"/>
          <w:szCs w:val="22"/>
        </w:rPr>
        <w:t xml:space="preserve">may, if </w:t>
      </w:r>
      <w:r w:rsidR="00EF4E04">
        <w:rPr>
          <w:kern w:val="2"/>
          <w:szCs w:val="22"/>
        </w:rPr>
        <w:t>he</w:t>
      </w:r>
      <w:r>
        <w:rPr>
          <w:kern w:val="2"/>
          <w:szCs w:val="22"/>
        </w:rPr>
        <w:t xml:space="preserve"> so chooses, respond to this Citation—challenging the factual and legal findings herein—within thirty (30) calendar days from the release date of this Citation either through (1) a written statement, (2) a teleconference interview, or (3) a personal interview at the Commission Field Office nearest to your place of business.    </w:t>
      </w:r>
    </w:p>
    <w:p w:rsidR="00056EB3" w:rsidRDefault="00056EB3" w:rsidP="00FD73DB">
      <w:pPr>
        <w:pStyle w:val="ParaNum"/>
        <w:widowControl/>
        <w:tabs>
          <w:tab w:val="clear" w:pos="1080"/>
        </w:tabs>
        <w:spacing w:after="120"/>
        <w:jc w:val="left"/>
        <w:rPr>
          <w:kern w:val="2"/>
          <w:szCs w:val="22"/>
        </w:rPr>
      </w:pPr>
      <w:r>
        <w:rPr>
          <w:kern w:val="2"/>
          <w:szCs w:val="22"/>
        </w:rPr>
        <w:t xml:space="preserve">If you would like to arrange a teleconference or personal interview, please contact </w:t>
      </w:r>
      <w:r w:rsidR="009E55DD">
        <w:rPr>
          <w:rStyle w:val="StyleRed"/>
        </w:rPr>
        <w:t>Mike Moffitt</w:t>
      </w:r>
      <w:r>
        <w:rPr>
          <w:kern w:val="2"/>
          <w:szCs w:val="22"/>
        </w:rPr>
        <w:t xml:space="preserve"> at </w:t>
      </w:r>
      <w:r>
        <w:rPr>
          <w:szCs w:val="22"/>
        </w:rPr>
        <w:t>(</w:t>
      </w:r>
      <w:r w:rsidR="009E55DD">
        <w:rPr>
          <w:szCs w:val="22"/>
        </w:rPr>
        <w:t>847</w:t>
      </w:r>
      <w:r>
        <w:rPr>
          <w:szCs w:val="22"/>
        </w:rPr>
        <w:t xml:space="preserve">) </w:t>
      </w:r>
      <w:r w:rsidR="009E55DD">
        <w:rPr>
          <w:szCs w:val="22"/>
        </w:rPr>
        <w:t>813</w:t>
      </w:r>
      <w:r>
        <w:rPr>
          <w:szCs w:val="22"/>
        </w:rPr>
        <w:t>-</w:t>
      </w:r>
      <w:r w:rsidR="009E55DD">
        <w:rPr>
          <w:szCs w:val="22"/>
        </w:rPr>
        <w:t>46</w:t>
      </w:r>
      <w:r w:rsidR="00991054">
        <w:rPr>
          <w:szCs w:val="22"/>
        </w:rPr>
        <w:t>60</w:t>
      </w:r>
      <w:r>
        <w:rPr>
          <w:kern w:val="2"/>
          <w:szCs w:val="22"/>
        </w:rPr>
        <w:t xml:space="preserve">.  The nearest Commission Field Office is located in </w:t>
      </w:r>
      <w:r w:rsidR="00413D78">
        <w:rPr>
          <w:kern w:val="2"/>
          <w:szCs w:val="22"/>
        </w:rPr>
        <w:t>Park Ridge</w:t>
      </w:r>
      <w:r>
        <w:rPr>
          <w:kern w:val="2"/>
          <w:szCs w:val="22"/>
        </w:rPr>
        <w:t xml:space="preserve">, </w:t>
      </w:r>
      <w:r w:rsidR="009E55DD">
        <w:rPr>
          <w:kern w:val="2"/>
          <w:szCs w:val="22"/>
        </w:rPr>
        <w:t>Illinois</w:t>
      </w:r>
      <w:r>
        <w:rPr>
          <w:kern w:val="2"/>
          <w:szCs w:val="22"/>
        </w:rPr>
        <w:t xml:space="preserve">.  Such teleconference or interview must take place within thirty (30) calendar days of the date of this Citation.  If you would like to submit a written response, including any supporting documentation, </w:t>
      </w:r>
      <w:r>
        <w:rPr>
          <w:kern w:val="2"/>
          <w:szCs w:val="22"/>
          <w:u w:val="single"/>
        </w:rPr>
        <w:t>you</w:t>
      </w:r>
      <w:r>
        <w:rPr>
          <w:kern w:val="2"/>
          <w:szCs w:val="22"/>
        </w:rPr>
        <w:t xml:space="preserve"> must send the response within thirty (30) calendar days of the date of this Citation to the contact and address provided in paragraph </w:t>
      </w:r>
      <w:r w:rsidR="002F73B1">
        <w:rPr>
          <w:kern w:val="2"/>
          <w:szCs w:val="22"/>
        </w:rPr>
        <w:t>8</w:t>
      </w:r>
      <w:r>
        <w:rPr>
          <w:kern w:val="2"/>
          <w:szCs w:val="22"/>
        </w:rPr>
        <w:t xml:space="preserve">, below.   </w:t>
      </w:r>
    </w:p>
    <w:p w:rsidR="00056EB3" w:rsidRDefault="00056EB3" w:rsidP="00FD73DB">
      <w:pPr>
        <w:pStyle w:val="ParaNum"/>
        <w:widowControl/>
        <w:tabs>
          <w:tab w:val="clear" w:pos="1080"/>
        </w:tabs>
        <w:jc w:val="left"/>
        <w:rPr>
          <w:kern w:val="2"/>
          <w:szCs w:val="22"/>
        </w:rPr>
      </w:pPr>
      <w:r>
        <w:rPr>
          <w:kern w:val="2"/>
          <w:szCs w:val="22"/>
        </w:rPr>
        <w:t>All written communications, including the information</w:t>
      </w:r>
      <w:r w:rsidR="00FF034A">
        <w:rPr>
          <w:kern w:val="2"/>
          <w:szCs w:val="22"/>
        </w:rPr>
        <w:t xml:space="preserve"> requested in paragraphs 3 and 8</w:t>
      </w:r>
      <w:r>
        <w:rPr>
          <w:kern w:val="2"/>
          <w:szCs w:val="22"/>
        </w:rPr>
        <w:t>, above, should be provided to the address</w:t>
      </w:r>
      <w:r w:rsidR="00C15133">
        <w:rPr>
          <w:kern w:val="2"/>
          <w:szCs w:val="22"/>
        </w:rPr>
        <w:t xml:space="preserve"> </w:t>
      </w:r>
      <w:r>
        <w:rPr>
          <w:kern w:val="2"/>
          <w:szCs w:val="22"/>
        </w:rPr>
        <w:t>below.</w:t>
      </w:r>
    </w:p>
    <w:p w:rsidR="00056EB3" w:rsidRDefault="00056EB3" w:rsidP="00FD73DB">
      <w:pPr>
        <w:pStyle w:val="ParaNum"/>
        <w:widowControl/>
        <w:numPr>
          <w:ilvl w:val="0"/>
          <w:numId w:val="0"/>
        </w:numPr>
        <w:spacing w:after="0"/>
        <w:ind w:left="720"/>
        <w:jc w:val="left"/>
        <w:rPr>
          <w:szCs w:val="22"/>
        </w:rPr>
      </w:pPr>
      <w:r>
        <w:rPr>
          <w:szCs w:val="22"/>
        </w:rPr>
        <w:tab/>
      </w:r>
      <w:r>
        <w:rPr>
          <w:szCs w:val="22"/>
        </w:rPr>
        <w:tab/>
        <w:t>Federal Communications Commission</w:t>
      </w:r>
    </w:p>
    <w:p w:rsidR="00056EB3" w:rsidRDefault="00056EB3" w:rsidP="00FD73DB">
      <w:pPr>
        <w:pStyle w:val="ParaNum"/>
        <w:widowControl/>
        <w:numPr>
          <w:ilvl w:val="0"/>
          <w:numId w:val="0"/>
        </w:numPr>
        <w:spacing w:after="0"/>
        <w:ind w:firstLine="720"/>
        <w:jc w:val="left"/>
        <w:rPr>
          <w:szCs w:val="22"/>
        </w:rPr>
      </w:pPr>
      <w:r>
        <w:rPr>
          <w:szCs w:val="22"/>
        </w:rPr>
        <w:tab/>
      </w:r>
      <w:r>
        <w:rPr>
          <w:szCs w:val="22"/>
        </w:rPr>
        <w:tab/>
      </w:r>
      <w:r w:rsidR="00721A5F">
        <w:rPr>
          <w:szCs w:val="22"/>
        </w:rPr>
        <w:t>Chicago</w:t>
      </w:r>
      <w:r>
        <w:rPr>
          <w:szCs w:val="22"/>
        </w:rPr>
        <w:t xml:space="preserve"> District Office</w:t>
      </w:r>
    </w:p>
    <w:p w:rsidR="00056EB3" w:rsidRDefault="009E55DD" w:rsidP="00FD73DB">
      <w:pPr>
        <w:pStyle w:val="ParaNum"/>
        <w:widowControl/>
        <w:numPr>
          <w:ilvl w:val="0"/>
          <w:numId w:val="0"/>
        </w:numPr>
        <w:spacing w:after="0"/>
        <w:ind w:left="2160"/>
        <w:jc w:val="left"/>
        <w:rPr>
          <w:szCs w:val="22"/>
        </w:rPr>
      </w:pPr>
      <w:r>
        <w:rPr>
          <w:szCs w:val="22"/>
        </w:rPr>
        <w:t>1550 North Northwest Hwy</w:t>
      </w:r>
      <w:r w:rsidR="00056EB3">
        <w:rPr>
          <w:szCs w:val="22"/>
        </w:rPr>
        <w:t xml:space="preserve">, Suite </w:t>
      </w:r>
      <w:r>
        <w:rPr>
          <w:szCs w:val="22"/>
        </w:rPr>
        <w:t>306</w:t>
      </w:r>
    </w:p>
    <w:p w:rsidR="00056EB3" w:rsidRDefault="009E55DD" w:rsidP="00FD73DB">
      <w:pPr>
        <w:pStyle w:val="ParaNum"/>
        <w:widowControl/>
        <w:numPr>
          <w:ilvl w:val="0"/>
          <w:numId w:val="0"/>
        </w:numPr>
        <w:spacing w:after="0"/>
        <w:ind w:left="2160"/>
        <w:jc w:val="left"/>
        <w:rPr>
          <w:szCs w:val="22"/>
        </w:rPr>
      </w:pPr>
      <w:r>
        <w:rPr>
          <w:szCs w:val="22"/>
        </w:rPr>
        <w:t>Park Ridge</w:t>
      </w:r>
      <w:r w:rsidR="00056EB3">
        <w:rPr>
          <w:szCs w:val="22"/>
        </w:rPr>
        <w:t xml:space="preserve">, </w:t>
      </w:r>
      <w:r>
        <w:rPr>
          <w:szCs w:val="22"/>
        </w:rPr>
        <w:t>Illinois</w:t>
      </w:r>
      <w:r w:rsidR="008B4485">
        <w:rPr>
          <w:szCs w:val="22"/>
        </w:rPr>
        <w:t xml:space="preserve"> </w:t>
      </w:r>
      <w:r>
        <w:rPr>
          <w:szCs w:val="22"/>
        </w:rPr>
        <w:t>60069</w:t>
      </w:r>
    </w:p>
    <w:p w:rsidR="00056EB3" w:rsidRDefault="00056EB3" w:rsidP="00FD73DB">
      <w:pPr>
        <w:pStyle w:val="ParaNum"/>
        <w:widowControl/>
        <w:numPr>
          <w:ilvl w:val="0"/>
          <w:numId w:val="0"/>
        </w:numPr>
        <w:ind w:left="720"/>
        <w:jc w:val="left"/>
        <w:rPr>
          <w:b/>
          <w:szCs w:val="22"/>
          <w:lang w:val="es-ES"/>
        </w:rPr>
      </w:pPr>
      <w:r>
        <w:rPr>
          <w:szCs w:val="22"/>
        </w:rPr>
        <w:tab/>
      </w:r>
      <w:r>
        <w:rPr>
          <w:szCs w:val="22"/>
        </w:rPr>
        <w:tab/>
      </w:r>
      <w:r>
        <w:rPr>
          <w:b/>
          <w:szCs w:val="22"/>
          <w:lang w:val="es-ES"/>
        </w:rPr>
        <w:t xml:space="preserve">Re: </w:t>
      </w:r>
      <w:r w:rsidR="007F6C9F" w:rsidRPr="007F6C9F">
        <w:rPr>
          <w:b/>
          <w:szCs w:val="22"/>
        </w:rPr>
        <w:t>EB-FIELD</w:t>
      </w:r>
      <w:r w:rsidR="008B4485">
        <w:rPr>
          <w:b/>
          <w:szCs w:val="22"/>
        </w:rPr>
        <w:t>NER</w:t>
      </w:r>
      <w:r w:rsidR="007F6C9F" w:rsidRPr="007F6C9F">
        <w:rPr>
          <w:b/>
          <w:szCs w:val="22"/>
        </w:rPr>
        <w:t>-1</w:t>
      </w:r>
      <w:r w:rsidR="008B4485">
        <w:rPr>
          <w:b/>
          <w:szCs w:val="22"/>
        </w:rPr>
        <w:t>5</w:t>
      </w:r>
      <w:r w:rsidR="007F6C9F" w:rsidRPr="007F6C9F">
        <w:rPr>
          <w:b/>
          <w:szCs w:val="22"/>
        </w:rPr>
        <w:t>-000</w:t>
      </w:r>
      <w:r w:rsidR="009E55DD">
        <w:rPr>
          <w:b/>
          <w:szCs w:val="22"/>
        </w:rPr>
        <w:t>19958</w:t>
      </w:r>
    </w:p>
    <w:p w:rsidR="00056EB3" w:rsidRDefault="00056EB3" w:rsidP="00FD73DB">
      <w:pPr>
        <w:pStyle w:val="ParaNum"/>
        <w:widowControl/>
        <w:tabs>
          <w:tab w:val="clear" w:pos="1080"/>
        </w:tabs>
        <w:jc w:val="left"/>
        <w:rPr>
          <w:kern w:val="2"/>
          <w:szCs w:val="22"/>
        </w:rPr>
      </w:pPr>
      <w:r>
        <w:rPr>
          <w:kern w:val="2"/>
          <w:szCs w:val="22"/>
        </w:rPr>
        <w:t>Reasonable accommodations for people with disabilities are available upon request.  Include a description of the accommodation you will need, and include as much detail as you can.  Also include a way we can contact you if we need more information.  Please allow at least five (5) business days advance notice; last minute requests will be accepted, but may be impossible to fill.  Send an e-mail to fcc504@fcc.gov or call the FCC’s Consumer &amp; Governmental Affairs Bureau:</w:t>
      </w:r>
    </w:p>
    <w:p w:rsidR="00056EB3" w:rsidRDefault="00056EB3" w:rsidP="00FD73DB">
      <w:pPr>
        <w:rPr>
          <w:kern w:val="2"/>
          <w:szCs w:val="22"/>
        </w:rPr>
      </w:pPr>
      <w:r>
        <w:rPr>
          <w:kern w:val="2"/>
          <w:szCs w:val="22"/>
        </w:rPr>
        <w:t xml:space="preserve">      </w:t>
      </w:r>
      <w:r>
        <w:rPr>
          <w:kern w:val="2"/>
          <w:szCs w:val="22"/>
        </w:rPr>
        <w:tab/>
      </w:r>
      <w:r>
        <w:rPr>
          <w:kern w:val="2"/>
          <w:szCs w:val="22"/>
        </w:rPr>
        <w:tab/>
        <w:t xml:space="preserve">For sign language interpreters, CART, and other reasonable accommodations: </w:t>
      </w:r>
    </w:p>
    <w:p w:rsidR="00056EB3" w:rsidRDefault="00056EB3" w:rsidP="00FD73DB">
      <w:pPr>
        <w:spacing w:after="220"/>
        <w:rPr>
          <w:kern w:val="2"/>
          <w:szCs w:val="22"/>
        </w:rPr>
      </w:pPr>
      <w:r>
        <w:rPr>
          <w:kern w:val="2"/>
          <w:szCs w:val="22"/>
        </w:rPr>
        <w:tab/>
      </w:r>
      <w:r>
        <w:rPr>
          <w:kern w:val="2"/>
          <w:szCs w:val="22"/>
        </w:rPr>
        <w:tab/>
        <w:t>202-418-0530 (voice), 202-418-0432 (tty);</w:t>
      </w:r>
    </w:p>
    <w:p w:rsidR="00056EB3" w:rsidRDefault="00056EB3" w:rsidP="00FD73DB">
      <w:pPr>
        <w:spacing w:after="220"/>
        <w:rPr>
          <w:b/>
          <w:kern w:val="2"/>
          <w:szCs w:val="22"/>
        </w:rPr>
      </w:pPr>
      <w:r>
        <w:rPr>
          <w:kern w:val="2"/>
          <w:szCs w:val="22"/>
        </w:rPr>
        <w:t xml:space="preserve">      </w:t>
      </w:r>
      <w:r>
        <w:rPr>
          <w:kern w:val="2"/>
          <w:szCs w:val="22"/>
        </w:rPr>
        <w:tab/>
      </w:r>
      <w:r>
        <w:rPr>
          <w:kern w:val="2"/>
          <w:szCs w:val="22"/>
        </w:rPr>
        <w:tab/>
        <w:t xml:space="preserve">For accessible format materials (braille, large print, electronic files, and audio format): </w:t>
      </w:r>
      <w:r>
        <w:rPr>
          <w:kern w:val="2"/>
          <w:szCs w:val="22"/>
        </w:rPr>
        <w:tab/>
      </w:r>
      <w:r>
        <w:rPr>
          <w:kern w:val="2"/>
          <w:szCs w:val="22"/>
        </w:rPr>
        <w:tab/>
      </w:r>
      <w:r>
        <w:rPr>
          <w:kern w:val="2"/>
          <w:szCs w:val="22"/>
        </w:rPr>
        <w:tab/>
        <w:t>202-418-0531 (voice), 202-418-7365 (tty).</w:t>
      </w:r>
      <w:r>
        <w:rPr>
          <w:b/>
          <w:kern w:val="2"/>
          <w:szCs w:val="22"/>
        </w:rPr>
        <w:t xml:space="preserve">  </w:t>
      </w:r>
    </w:p>
    <w:p w:rsidR="00056EB3" w:rsidRDefault="00056EB3" w:rsidP="00FD73DB">
      <w:pPr>
        <w:pStyle w:val="ParaNum"/>
        <w:widowControl/>
        <w:tabs>
          <w:tab w:val="clear" w:pos="1080"/>
        </w:tabs>
        <w:jc w:val="left"/>
        <w:rPr>
          <w:szCs w:val="22"/>
        </w:rPr>
      </w:pPr>
      <w:r>
        <w:rPr>
          <w:kern w:val="2"/>
          <w:szCs w:val="22"/>
        </w:rPr>
        <w:t>Please</w:t>
      </w:r>
      <w:r>
        <w:rPr>
          <w:szCs w:val="22"/>
        </w:rPr>
        <w:t xml:space="preserve"> be advised that it is a violation of Section 1.17 of the Rules (47 C.F.R. § 1.17) for any person or a staff member of that person to make any false or misleading written or oral statement of fact.  Specifically, no person shall:</w:t>
      </w:r>
    </w:p>
    <w:p w:rsidR="00056EB3" w:rsidRDefault="00056EB3" w:rsidP="00FD73DB">
      <w:pPr>
        <w:pStyle w:val="ParaNum"/>
        <w:widowControl/>
        <w:numPr>
          <w:ilvl w:val="0"/>
          <w:numId w:val="0"/>
        </w:numPr>
        <w:ind w:left="1440" w:right="720"/>
        <w:jc w:val="left"/>
        <w:rPr>
          <w:kern w:val="2"/>
          <w:szCs w:val="22"/>
        </w:rPr>
      </w:pPr>
      <w:r>
        <w:rPr>
          <w:kern w:val="2"/>
          <w:szCs w:val="22"/>
        </w:rPr>
        <w:t>(1) In any written or oral statement of fact, intentionally provide material factual information that is incorrect or intentionally omit material information that is necessary to prevent any material factual statement that is made from being incorrect or misleading; and</w:t>
      </w:r>
    </w:p>
    <w:p w:rsidR="00056EB3" w:rsidRDefault="00056EB3" w:rsidP="00FD73DB">
      <w:pPr>
        <w:pStyle w:val="ParaNum"/>
        <w:widowControl/>
        <w:numPr>
          <w:ilvl w:val="0"/>
          <w:numId w:val="0"/>
        </w:numPr>
        <w:ind w:left="1440" w:right="720"/>
        <w:jc w:val="left"/>
        <w:rPr>
          <w:kern w:val="2"/>
          <w:szCs w:val="22"/>
        </w:rPr>
      </w:pPr>
      <w:r>
        <w:rPr>
          <w:kern w:val="2"/>
          <w:szCs w:val="22"/>
        </w:rPr>
        <w:t>(2) In any written statement of fact, provide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r>
        <w:rPr>
          <w:rStyle w:val="FootnoteReference"/>
          <w:kern w:val="2"/>
          <w:szCs w:val="22"/>
        </w:rPr>
        <w:footnoteReference w:id="12"/>
      </w:r>
    </w:p>
    <w:p w:rsidR="00056EB3" w:rsidRDefault="00056EB3" w:rsidP="00FD73DB">
      <w:pPr>
        <w:pStyle w:val="ParaNum"/>
        <w:widowControl/>
        <w:tabs>
          <w:tab w:val="clear" w:pos="1080"/>
        </w:tabs>
        <w:jc w:val="left"/>
        <w:rPr>
          <w:kern w:val="2"/>
          <w:szCs w:val="22"/>
        </w:rPr>
      </w:pPr>
      <w:r>
        <w:rPr>
          <w:kern w:val="2"/>
          <w:szCs w:val="22"/>
        </w:rPr>
        <w:t>Further, the knowing and willful making of any false statement, or the concealment of any material fact, in reply to this Citation is punishable by fine or imprisonment under 18 U.S.C. § 1001.</w:t>
      </w:r>
    </w:p>
    <w:p w:rsidR="00056EB3" w:rsidRDefault="00056EB3" w:rsidP="00FD73DB">
      <w:pPr>
        <w:pStyle w:val="ParaNum"/>
        <w:widowControl/>
        <w:tabs>
          <w:tab w:val="clear" w:pos="1080"/>
        </w:tabs>
        <w:spacing w:after="120"/>
        <w:jc w:val="left"/>
        <w:rPr>
          <w:kern w:val="2"/>
          <w:szCs w:val="22"/>
        </w:rPr>
      </w:pPr>
      <w:r>
        <w:rPr>
          <w:kern w:val="2"/>
          <w:szCs w:val="22"/>
        </w:rPr>
        <w:t>If you violate Section 1.17 of the Rules or the criminal statute referenced above, you may be subject to further legal action, including monetary fines pursuant to Section 503 of the Act.</w:t>
      </w:r>
      <w:r>
        <w:rPr>
          <w:rStyle w:val="FootnoteReference"/>
          <w:kern w:val="2"/>
          <w:szCs w:val="22"/>
        </w:rPr>
        <w:footnoteReference w:id="13"/>
      </w:r>
    </w:p>
    <w:p w:rsidR="00056EB3" w:rsidRDefault="00056EB3" w:rsidP="00FD73DB">
      <w:pPr>
        <w:pStyle w:val="ParaNum"/>
        <w:widowControl/>
        <w:tabs>
          <w:tab w:val="clear" w:pos="1080"/>
        </w:tabs>
        <w:jc w:val="left"/>
        <w:rPr>
          <w:kern w:val="2"/>
          <w:szCs w:val="22"/>
        </w:rPr>
      </w:pPr>
      <w:r>
        <w:rPr>
          <w:kern w:val="2"/>
          <w:szCs w:val="22"/>
        </w:rPr>
        <w:t>Under the Privacy Act of 1974, 5 U.S.C. § 552a(e)(3), we are informing you that the Commission’s staff will use all relevant material information before it, including information that you disclose in your interview or written statement, to determine what, if any, enforcement action is required to ensure your compliance with the Act and the Rules.</w:t>
      </w:r>
    </w:p>
    <w:p w:rsidR="00056EB3" w:rsidRDefault="00056EB3" w:rsidP="00FD73DB">
      <w:pPr>
        <w:pStyle w:val="Heading1"/>
        <w:jc w:val="left"/>
        <w:rPr>
          <w:u w:val="single"/>
        </w:rPr>
      </w:pPr>
      <w:r>
        <w:t>FUTURE VIOLATIONS</w:t>
      </w:r>
    </w:p>
    <w:p w:rsidR="00056EB3" w:rsidRDefault="00056EB3" w:rsidP="00FD73DB">
      <w:pPr>
        <w:pStyle w:val="ParaNum"/>
        <w:widowControl/>
        <w:tabs>
          <w:tab w:val="clear" w:pos="1080"/>
        </w:tabs>
        <w:jc w:val="left"/>
        <w:rPr>
          <w:kern w:val="2"/>
          <w:szCs w:val="22"/>
        </w:rPr>
      </w:pPr>
      <w:r>
        <w:rPr>
          <w:kern w:val="2"/>
          <w:szCs w:val="22"/>
        </w:rPr>
        <w:t xml:space="preserve">If, after receipt of this Citation, </w:t>
      </w:r>
      <w:r w:rsidR="00FF034A">
        <w:rPr>
          <w:kern w:val="2"/>
          <w:szCs w:val="22"/>
        </w:rPr>
        <w:t xml:space="preserve">Mr. </w:t>
      </w:r>
      <w:r w:rsidR="009E55DD">
        <w:rPr>
          <w:kern w:val="2"/>
          <w:szCs w:val="22"/>
        </w:rPr>
        <w:t>Kozol</w:t>
      </w:r>
      <w:r w:rsidR="00FE190A">
        <w:rPr>
          <w:kern w:val="2"/>
          <w:szCs w:val="22"/>
        </w:rPr>
        <w:t xml:space="preserve"> </w:t>
      </w:r>
      <w:r>
        <w:rPr>
          <w:kern w:val="2"/>
          <w:szCs w:val="22"/>
        </w:rPr>
        <w:t xml:space="preserve">again violates </w:t>
      </w:r>
      <w:r>
        <w:rPr>
          <w:szCs w:val="22"/>
        </w:rPr>
        <w:t>Section</w:t>
      </w:r>
      <w:r w:rsidR="00521506">
        <w:rPr>
          <w:szCs w:val="22"/>
        </w:rPr>
        <w:t>s</w:t>
      </w:r>
      <w:r>
        <w:rPr>
          <w:szCs w:val="22"/>
        </w:rPr>
        <w:t xml:space="preserve"> </w:t>
      </w:r>
      <w:r w:rsidR="00521506" w:rsidRPr="0063097C">
        <w:t>15.5(b) and 15.29(a)</w:t>
      </w:r>
      <w:r>
        <w:rPr>
          <w:szCs w:val="22"/>
        </w:rPr>
        <w:t xml:space="preserve"> of the Rules</w:t>
      </w:r>
      <w:r>
        <w:rPr>
          <w:kern w:val="2"/>
          <w:szCs w:val="22"/>
        </w:rPr>
        <w:t xml:space="preserve"> by engaging in conduct of the type described herein, the Commission may impose monetary forfeitures not to exceed $16,000 </w:t>
      </w:r>
      <w:r>
        <w:rPr>
          <w:szCs w:val="22"/>
        </w:rPr>
        <w:t>for each such violation or each day of a continuing violation, and up to $122,500 for any single act or failure to act.</w:t>
      </w:r>
      <w:r>
        <w:rPr>
          <w:szCs w:val="22"/>
          <w:vertAlign w:val="superscript"/>
        </w:rPr>
        <w:footnoteReference w:id="14"/>
      </w:r>
      <w:r>
        <w:t xml:space="preserve"> </w:t>
      </w:r>
      <w:r>
        <w:rPr>
          <w:szCs w:val="22"/>
        </w:rPr>
        <w:t xml:space="preserve"> Further, as discussed above, such forfeitures may be based on both the conduct that led to the Citation and the conduct following it.</w:t>
      </w:r>
      <w:r>
        <w:rPr>
          <w:rStyle w:val="FootnoteReference"/>
          <w:szCs w:val="22"/>
        </w:rPr>
        <w:footnoteReference w:id="15"/>
      </w:r>
      <w:r>
        <w:rPr>
          <w:szCs w:val="22"/>
        </w:rPr>
        <w:t xml:space="preserve">  In addition, violations of the Act or the Rules also can result in seizure of equipment through </w:t>
      </w:r>
      <w:r>
        <w:rPr>
          <w:i/>
          <w:szCs w:val="22"/>
        </w:rPr>
        <w:t>in rem</w:t>
      </w:r>
      <w:r>
        <w:rPr>
          <w:szCs w:val="22"/>
        </w:rPr>
        <w:t xml:space="preserve"> forfeiture actions,</w:t>
      </w:r>
      <w:r>
        <w:rPr>
          <w:rStyle w:val="FootnoteReference"/>
          <w:szCs w:val="22"/>
        </w:rPr>
        <w:footnoteReference w:id="16"/>
      </w:r>
      <w:r>
        <w:rPr>
          <w:szCs w:val="22"/>
        </w:rPr>
        <w:t xml:space="preserve"> as well as criminal sanctions, including imprisonment.</w:t>
      </w:r>
      <w:r>
        <w:rPr>
          <w:rStyle w:val="FootnoteReference"/>
          <w:szCs w:val="22"/>
        </w:rPr>
        <w:footnoteReference w:id="17"/>
      </w:r>
      <w:r>
        <w:rPr>
          <w:kern w:val="2"/>
          <w:szCs w:val="22"/>
        </w:rPr>
        <w:t xml:space="preserve"> </w:t>
      </w:r>
    </w:p>
    <w:p w:rsidR="00056EB3" w:rsidRDefault="00056EB3" w:rsidP="00FD73DB">
      <w:pPr>
        <w:pStyle w:val="Heading1"/>
        <w:jc w:val="left"/>
        <w:rPr>
          <w:szCs w:val="22"/>
        </w:rPr>
      </w:pPr>
      <w:r>
        <w:t>ORDERING CLAUSES</w:t>
      </w:r>
    </w:p>
    <w:p w:rsidR="00056EB3" w:rsidRDefault="00056EB3" w:rsidP="00FD73DB">
      <w:pPr>
        <w:pStyle w:val="ParaNum"/>
        <w:widowControl/>
        <w:tabs>
          <w:tab w:val="clear" w:pos="1080"/>
          <w:tab w:val="num" w:pos="1440"/>
        </w:tabs>
        <w:spacing w:after="120"/>
        <w:jc w:val="left"/>
      </w:pPr>
      <w:r>
        <w:rPr>
          <w:b/>
        </w:rPr>
        <w:t xml:space="preserve"> IT</w:t>
      </w:r>
      <w:r>
        <w:t xml:space="preserve"> </w:t>
      </w:r>
      <w:r>
        <w:rPr>
          <w:b/>
        </w:rPr>
        <w:t>IS ORDERED</w:t>
      </w:r>
      <w:r>
        <w:t xml:space="preserve"> that, pursuant to Sections 4(i), 4(j), and 403 of the Communications Act, </w:t>
      </w:r>
      <w:r w:rsidR="00FF034A">
        <w:t xml:space="preserve">Mr. </w:t>
      </w:r>
      <w:r w:rsidR="009E55DD">
        <w:t>Kozol</w:t>
      </w:r>
      <w:r w:rsidR="00FE190A">
        <w:t xml:space="preserve"> </w:t>
      </w:r>
      <w:r>
        <w:t xml:space="preserve">must provide the written information requested in paragraphs 3 and </w:t>
      </w:r>
      <w:r w:rsidR="00FE190A">
        <w:t>8</w:t>
      </w:r>
      <w:r>
        <w:t xml:space="preserve">, above.  The response to the request for information must be provided in writing, signed under penalty of perjury by </w:t>
      </w:r>
      <w:r w:rsidR="00FF034A">
        <w:t xml:space="preserve">Mr. </w:t>
      </w:r>
      <w:r w:rsidR="009E55DD">
        <w:t>Kozol</w:t>
      </w:r>
      <w:r w:rsidR="00FF034A">
        <w:t>, certifying</w:t>
      </w:r>
      <w:r>
        <w:t xml:space="preserve"> personal knowledge of the information and representations provided in the written response, and must be received by the FCC within thirty (30) calendar days after the release date of this Citation and Order.</w:t>
      </w:r>
    </w:p>
    <w:p w:rsidR="00304E6F" w:rsidRDefault="00304E6F" w:rsidP="00FD73DB">
      <w:pPr>
        <w:pStyle w:val="ParaNum"/>
        <w:widowControl/>
        <w:numPr>
          <w:ilvl w:val="0"/>
          <w:numId w:val="0"/>
        </w:numPr>
        <w:tabs>
          <w:tab w:val="clear" w:pos="1440"/>
        </w:tabs>
        <w:spacing w:after="120"/>
        <w:ind w:firstLine="720"/>
        <w:jc w:val="left"/>
      </w:pPr>
    </w:p>
    <w:p w:rsidR="00304E6F" w:rsidRDefault="00304E6F" w:rsidP="00FD73DB">
      <w:pPr>
        <w:pStyle w:val="ParaNum"/>
        <w:widowControl/>
        <w:numPr>
          <w:ilvl w:val="0"/>
          <w:numId w:val="0"/>
        </w:numPr>
        <w:tabs>
          <w:tab w:val="clear" w:pos="1440"/>
        </w:tabs>
        <w:spacing w:after="120"/>
        <w:ind w:firstLine="720"/>
        <w:jc w:val="left"/>
      </w:pPr>
    </w:p>
    <w:p w:rsidR="00056EB3" w:rsidRDefault="00056EB3" w:rsidP="00FD73DB">
      <w:pPr>
        <w:pStyle w:val="ParaNum"/>
        <w:widowControl/>
        <w:tabs>
          <w:tab w:val="clear" w:pos="1080"/>
          <w:tab w:val="num" w:pos="1440"/>
        </w:tabs>
        <w:jc w:val="left"/>
        <w:rPr>
          <w:b/>
          <w:bCs/>
        </w:rPr>
      </w:pPr>
      <w:r>
        <w:rPr>
          <w:b/>
          <w:kern w:val="2"/>
        </w:rPr>
        <w:t xml:space="preserve"> </w:t>
      </w:r>
      <w:r>
        <w:rPr>
          <w:b/>
          <w:szCs w:val="22"/>
        </w:rPr>
        <w:t>IT</w:t>
      </w:r>
      <w:r>
        <w:rPr>
          <w:szCs w:val="22"/>
        </w:rPr>
        <w:t xml:space="preserve"> </w:t>
      </w:r>
      <w:r>
        <w:rPr>
          <w:b/>
          <w:bCs/>
          <w:szCs w:val="22"/>
        </w:rPr>
        <w:t xml:space="preserve">IS FURTHER ORDERED </w:t>
      </w:r>
      <w:r>
        <w:rPr>
          <w:szCs w:val="22"/>
        </w:rPr>
        <w:t xml:space="preserve">that a copy of this Citation and Order shall be sent both by First Class U.S. Mail and Certified Mail, Return Receipt Requested, to </w:t>
      </w:r>
      <w:r w:rsidR="00206801">
        <w:rPr>
          <w:szCs w:val="22"/>
        </w:rPr>
        <w:t xml:space="preserve">Edward R. </w:t>
      </w:r>
      <w:r w:rsidR="009E55DD">
        <w:rPr>
          <w:szCs w:val="22"/>
        </w:rPr>
        <w:t>Kozol</w:t>
      </w:r>
      <w:r w:rsidR="00C36D3A">
        <w:rPr>
          <w:szCs w:val="22"/>
        </w:rPr>
        <w:t xml:space="preserve">, at </w:t>
      </w:r>
      <w:r w:rsidR="00FF034A">
        <w:rPr>
          <w:szCs w:val="22"/>
        </w:rPr>
        <w:t>his address of record</w:t>
      </w:r>
      <w:r>
        <w:rPr>
          <w:szCs w:val="22"/>
        </w:rPr>
        <w:t>.</w:t>
      </w:r>
    </w:p>
    <w:p w:rsidR="00304E6F" w:rsidRDefault="00304E6F" w:rsidP="00D9550E">
      <w:pPr>
        <w:ind w:left="3600"/>
        <w:rPr>
          <w:b/>
          <w:bCs/>
          <w:szCs w:val="22"/>
        </w:rPr>
      </w:pPr>
    </w:p>
    <w:p w:rsidR="00304E6F" w:rsidRDefault="00304E6F" w:rsidP="00D9550E">
      <w:pPr>
        <w:ind w:left="3600"/>
        <w:rPr>
          <w:b/>
          <w:bCs/>
          <w:szCs w:val="22"/>
        </w:rPr>
      </w:pPr>
    </w:p>
    <w:p w:rsidR="00304E6F" w:rsidRDefault="00304E6F" w:rsidP="00D9550E">
      <w:pPr>
        <w:ind w:left="3600"/>
        <w:rPr>
          <w:b/>
          <w:bCs/>
          <w:szCs w:val="22"/>
        </w:rPr>
      </w:pPr>
    </w:p>
    <w:p w:rsidR="00304E6F" w:rsidRDefault="00304E6F" w:rsidP="00D9550E">
      <w:pPr>
        <w:ind w:left="3600"/>
        <w:rPr>
          <w:b/>
          <w:bCs/>
          <w:szCs w:val="22"/>
        </w:rPr>
      </w:pPr>
    </w:p>
    <w:p w:rsidR="00304E6F" w:rsidRDefault="00304E6F" w:rsidP="00D9550E">
      <w:pPr>
        <w:ind w:left="3600"/>
        <w:rPr>
          <w:b/>
          <w:bCs/>
          <w:szCs w:val="22"/>
        </w:rPr>
      </w:pPr>
    </w:p>
    <w:p w:rsidR="00056EB3" w:rsidRDefault="00056EB3" w:rsidP="00D9550E">
      <w:pPr>
        <w:ind w:left="3600"/>
        <w:rPr>
          <w:b/>
          <w:bCs/>
          <w:szCs w:val="22"/>
        </w:rPr>
      </w:pPr>
      <w:r>
        <w:rPr>
          <w:b/>
          <w:bCs/>
          <w:szCs w:val="22"/>
        </w:rPr>
        <w:t>FEDERAL COMMUNICATIONS COMMISSION</w:t>
      </w:r>
    </w:p>
    <w:p w:rsidR="00056EB3" w:rsidRDefault="00056EB3" w:rsidP="00D9550E">
      <w:pPr>
        <w:ind w:left="3600"/>
        <w:rPr>
          <w:b/>
          <w:bCs/>
          <w:szCs w:val="22"/>
        </w:rPr>
      </w:pPr>
    </w:p>
    <w:p w:rsidR="00056EB3" w:rsidRDefault="00056EB3" w:rsidP="00D9550E">
      <w:pPr>
        <w:ind w:left="3600"/>
        <w:rPr>
          <w:bCs/>
          <w:szCs w:val="22"/>
        </w:rPr>
      </w:pPr>
    </w:p>
    <w:p w:rsidR="00056EB3" w:rsidRDefault="00056EB3" w:rsidP="00D9550E">
      <w:pPr>
        <w:ind w:left="3600"/>
        <w:rPr>
          <w:bCs/>
          <w:szCs w:val="22"/>
        </w:rPr>
      </w:pPr>
    </w:p>
    <w:p w:rsidR="00056EB3" w:rsidRDefault="00056EB3" w:rsidP="00D9550E">
      <w:pPr>
        <w:ind w:left="3600"/>
        <w:rPr>
          <w:bCs/>
          <w:szCs w:val="22"/>
        </w:rPr>
      </w:pPr>
    </w:p>
    <w:p w:rsidR="009D2581" w:rsidRPr="009D2581" w:rsidRDefault="008B43F0" w:rsidP="009D2581">
      <w:pPr>
        <w:ind w:left="3600"/>
        <w:rPr>
          <w:bCs/>
          <w:szCs w:val="22"/>
        </w:rPr>
      </w:pPr>
      <w:r>
        <w:rPr>
          <w:bCs/>
          <w:szCs w:val="22"/>
        </w:rPr>
        <w:t>G. Michael Moffitt</w:t>
      </w:r>
    </w:p>
    <w:p w:rsidR="009D2581" w:rsidRPr="009D2581" w:rsidRDefault="008B43F0" w:rsidP="009D2581">
      <w:pPr>
        <w:ind w:left="3600"/>
        <w:rPr>
          <w:bCs/>
          <w:szCs w:val="22"/>
        </w:rPr>
      </w:pPr>
      <w:r>
        <w:rPr>
          <w:bCs/>
          <w:szCs w:val="22"/>
        </w:rPr>
        <w:t>R</w:t>
      </w:r>
      <w:r w:rsidR="00F71E0E">
        <w:rPr>
          <w:bCs/>
          <w:szCs w:val="22"/>
        </w:rPr>
        <w:t>e</w:t>
      </w:r>
      <w:r>
        <w:rPr>
          <w:bCs/>
          <w:szCs w:val="22"/>
        </w:rPr>
        <w:t>gional</w:t>
      </w:r>
      <w:r w:rsidR="009D2581" w:rsidRPr="009D2581">
        <w:rPr>
          <w:bCs/>
          <w:szCs w:val="22"/>
        </w:rPr>
        <w:t xml:space="preserve"> Director </w:t>
      </w:r>
    </w:p>
    <w:p w:rsidR="009D2581" w:rsidRPr="009D2581" w:rsidRDefault="009D2581" w:rsidP="009D2581">
      <w:pPr>
        <w:ind w:left="3600"/>
        <w:rPr>
          <w:bCs/>
          <w:szCs w:val="22"/>
        </w:rPr>
      </w:pPr>
      <w:r w:rsidRPr="009D2581">
        <w:rPr>
          <w:bCs/>
          <w:szCs w:val="22"/>
        </w:rPr>
        <w:t>Northeast Region</w:t>
      </w:r>
    </w:p>
    <w:p w:rsidR="00056EB3" w:rsidRDefault="009D2581" w:rsidP="009D2581">
      <w:pPr>
        <w:ind w:left="3600"/>
      </w:pPr>
      <w:r w:rsidRPr="009D2581">
        <w:rPr>
          <w:bCs/>
          <w:szCs w:val="22"/>
        </w:rPr>
        <w:t>Enforcement Bureau</w:t>
      </w:r>
    </w:p>
    <w:sectPr w:rsidR="00056EB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100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8A1" w:rsidRDefault="002278A1">
      <w:r>
        <w:separator/>
      </w:r>
    </w:p>
  </w:endnote>
  <w:endnote w:type="continuationSeparator" w:id="0">
    <w:p w:rsidR="002278A1" w:rsidRDefault="0022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C1" w:rsidRDefault="000832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A34" w:rsidRDefault="00E72A34">
    <w:pPr>
      <w:pStyle w:val="Footer"/>
      <w:jc w:val="center"/>
    </w:pPr>
    <w:r>
      <w:fldChar w:fldCharType="begin"/>
    </w:r>
    <w:r>
      <w:instrText xml:space="preserve"> PAGE   \* MERGEFORMAT </w:instrText>
    </w:r>
    <w:r>
      <w:fldChar w:fldCharType="separate"/>
    </w:r>
    <w:r w:rsidR="00CE314F">
      <w:rPr>
        <w:noProof/>
      </w:rPr>
      <w:t>2</w:t>
    </w:r>
    <w:r>
      <w:rPr>
        <w:noProof/>
      </w:rPr>
      <w:fldChar w:fldCharType="end"/>
    </w:r>
  </w:p>
  <w:p w:rsidR="00E72A34" w:rsidRDefault="00E72A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C1" w:rsidRDefault="00083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8A1" w:rsidRDefault="002278A1">
      <w:pPr>
        <w:rPr>
          <w:sz w:val="20"/>
        </w:rPr>
      </w:pPr>
      <w:r>
        <w:rPr>
          <w:sz w:val="20"/>
        </w:rPr>
        <w:separator/>
      </w:r>
    </w:p>
  </w:footnote>
  <w:footnote w:type="continuationSeparator" w:id="0">
    <w:p w:rsidR="002278A1" w:rsidRDefault="002278A1">
      <w:pPr>
        <w:rPr>
          <w:sz w:val="20"/>
        </w:rPr>
      </w:pPr>
      <w:r>
        <w:rPr>
          <w:sz w:val="20"/>
        </w:rPr>
        <w:separator/>
      </w:r>
    </w:p>
    <w:p w:rsidR="002278A1" w:rsidRDefault="002278A1">
      <w:pPr>
        <w:rPr>
          <w:sz w:val="20"/>
        </w:rPr>
      </w:pPr>
      <w:r>
        <w:rPr>
          <w:sz w:val="20"/>
        </w:rPr>
        <w:t>(...continued from previous page)</w:t>
      </w:r>
    </w:p>
  </w:footnote>
  <w:footnote w:type="continuationNotice" w:id="1">
    <w:p w:rsidR="002278A1" w:rsidRDefault="002278A1">
      <w:pPr>
        <w:jc w:val="right"/>
        <w:rPr>
          <w:sz w:val="20"/>
        </w:rPr>
      </w:pPr>
      <w:r>
        <w:rPr>
          <w:sz w:val="20"/>
        </w:rPr>
        <w:t>(continued....)</w:t>
      </w:r>
    </w:p>
  </w:footnote>
  <w:footnote w:id="2">
    <w:p w:rsidR="00C04E9B" w:rsidRDefault="00C04E9B" w:rsidP="00C04E9B">
      <w:pPr>
        <w:pStyle w:val="FootnoteText"/>
      </w:pPr>
      <w:r>
        <w:rPr>
          <w:rStyle w:val="FootnoteReference"/>
        </w:rPr>
        <w:footnoteRef/>
      </w:r>
      <w:r>
        <w:t>47 U.S.C. § 503(b)(5).</w:t>
      </w:r>
    </w:p>
  </w:footnote>
  <w:footnote w:id="3">
    <w:p w:rsidR="00C04E9B" w:rsidRDefault="00C04E9B" w:rsidP="00C04E9B">
      <w:pPr>
        <w:pStyle w:val="FootnoteText"/>
        <w:rPr>
          <w:color w:val="000000"/>
        </w:rPr>
      </w:pPr>
      <w:r>
        <w:rPr>
          <w:rStyle w:val="FootnoteReference"/>
        </w:rPr>
        <w:footnoteRef/>
      </w:r>
      <w:r>
        <w:t xml:space="preserve">47 C.F.R. §§ 15.5(b) </w:t>
      </w:r>
    </w:p>
  </w:footnote>
  <w:footnote w:id="4">
    <w:p w:rsidR="00E72A34" w:rsidRDefault="00E72A34">
      <w:pPr>
        <w:pStyle w:val="FootnoteText"/>
        <w:jc w:val="left"/>
      </w:pPr>
      <w:r>
        <w:rPr>
          <w:rStyle w:val="FootnoteReference"/>
          <w:kern w:val="20"/>
        </w:rPr>
        <w:footnoteRef/>
      </w:r>
      <w:r>
        <w:rPr>
          <w:kern w:val="20"/>
        </w:rPr>
        <w:t xml:space="preserve"> </w:t>
      </w:r>
      <w:r>
        <w:rPr>
          <w:i/>
          <w:kern w:val="20"/>
        </w:rPr>
        <w:t>See</w:t>
      </w:r>
      <w:r>
        <w:rPr>
          <w:kern w:val="20"/>
        </w:rPr>
        <w:t xml:space="preserve"> 47 U.S.C </w:t>
      </w:r>
      <w:r>
        <w:rPr>
          <w:kern w:val="20"/>
          <w:szCs w:val="24"/>
        </w:rPr>
        <w:t>§ 503(b)(5).</w:t>
      </w:r>
      <w:r>
        <w:rPr>
          <w:kern w:val="20"/>
        </w:rPr>
        <w:t xml:space="preserve">  </w:t>
      </w:r>
      <w:r>
        <w:rPr>
          <w:i/>
          <w:iCs/>
          <w:kern w:val="20"/>
        </w:rPr>
        <w:t>See</w:t>
      </w:r>
      <w:r w:rsidR="00C04E9B">
        <w:rPr>
          <w:i/>
          <w:iCs/>
          <w:kern w:val="20"/>
        </w:rPr>
        <w:t xml:space="preserve"> </w:t>
      </w:r>
      <w:r>
        <w:rPr>
          <w:i/>
          <w:iCs/>
          <w:kern w:val="20"/>
        </w:rPr>
        <w:t>also</w:t>
      </w:r>
      <w:r>
        <w:rPr>
          <w:iCs/>
          <w:kern w:val="20"/>
        </w:rPr>
        <w:t xml:space="preserve"> </w:t>
      </w:r>
      <w:r>
        <w:rPr>
          <w:kern w:val="20"/>
        </w:rPr>
        <w:t>S. Rep.</w:t>
      </w:r>
      <w:r w:rsidR="00C04E9B">
        <w:rPr>
          <w:kern w:val="20"/>
        </w:rPr>
        <w:t xml:space="preserve"> </w:t>
      </w:r>
      <w:r>
        <w:rPr>
          <w:kern w:val="20"/>
        </w:rPr>
        <w:t>No. 95-580, 95th Cong., 1st Sess. at 9 (1977) (If a person or entity that has been issued a citation by the Commission thereafter engages in the conduct for which the citation of violation was sent, the subsequent notice of apparent liability “</w:t>
      </w:r>
      <w:r>
        <w:rPr>
          <w:i/>
          <w:kern w:val="20"/>
        </w:rPr>
        <w:t>would attach not only for the conduct occurring subsequently but also for the conduct for which the citation was originally sent</w:t>
      </w:r>
      <w:r>
        <w:rPr>
          <w:kern w:val="20"/>
        </w:rPr>
        <w:t>.”) (emphasis added).</w:t>
      </w:r>
    </w:p>
  </w:footnote>
  <w:footnote w:id="5">
    <w:p w:rsidR="00E72A34" w:rsidRDefault="00E72A34">
      <w:pPr>
        <w:pStyle w:val="FootnoteText"/>
        <w:jc w:val="left"/>
      </w:pPr>
      <w:r>
        <w:rPr>
          <w:rStyle w:val="FootnoteReference"/>
          <w:kern w:val="20"/>
        </w:rPr>
        <w:footnoteRef/>
      </w:r>
      <w:r>
        <w:rPr>
          <w:kern w:val="20"/>
        </w:rPr>
        <w:t xml:space="preserve"> 47 U.S.C. §§ 154(i), 154(j), 403.</w:t>
      </w:r>
    </w:p>
  </w:footnote>
  <w:footnote w:id="6">
    <w:p w:rsidR="00750F98" w:rsidRDefault="00750F98" w:rsidP="00750F98">
      <w:pPr>
        <w:pStyle w:val="FootnoteText"/>
      </w:pPr>
      <w:r>
        <w:rPr>
          <w:rStyle w:val="FootnoteReference"/>
        </w:rPr>
        <w:footnoteRef/>
      </w:r>
      <w:r>
        <w:t xml:space="preserve"> Email on file in EB-FIELDNER-15-00018814</w:t>
      </w:r>
      <w:r w:rsidR="00FD73DB">
        <w:t>.</w:t>
      </w:r>
    </w:p>
  </w:footnote>
  <w:footnote w:id="7">
    <w:p w:rsidR="00FF034A" w:rsidRPr="00A160A4" w:rsidRDefault="00FF034A" w:rsidP="00B67F35">
      <w:pPr>
        <w:pStyle w:val="FootnoteText"/>
      </w:pPr>
      <w:r w:rsidRPr="00A160A4">
        <w:rPr>
          <w:rStyle w:val="FootnoteReference"/>
        </w:rPr>
        <w:footnoteRef/>
      </w:r>
      <w:r w:rsidRPr="00A160A4">
        <w:t xml:space="preserve"> </w:t>
      </w:r>
      <w:r w:rsidRPr="00A160A4">
        <w:rPr>
          <w:i/>
        </w:rPr>
        <w:t xml:space="preserve">See </w:t>
      </w:r>
      <w:r w:rsidR="00CA400E">
        <w:rPr>
          <w:i/>
        </w:rPr>
        <w:t>Edward R. Kozol</w:t>
      </w:r>
      <w:r w:rsidRPr="00A160A4">
        <w:t xml:space="preserve">, </w:t>
      </w:r>
      <w:r w:rsidR="00B67F35" w:rsidRPr="00B67F35">
        <w:rPr>
          <w:b/>
        </w:rPr>
        <w:t>NOTIFICATION OF HARMFUL INTERFERENCE</w:t>
      </w:r>
      <w:r>
        <w:t xml:space="preserve"> </w:t>
      </w:r>
      <w:r w:rsidRPr="00A160A4">
        <w:t xml:space="preserve">(on file in </w:t>
      </w:r>
      <w:r w:rsidRPr="00435F6C">
        <w:t>EB-FIELD</w:t>
      </w:r>
      <w:r w:rsidR="00FD73DB">
        <w:t>NER</w:t>
      </w:r>
      <w:r w:rsidRPr="00435F6C">
        <w:t>-1</w:t>
      </w:r>
      <w:r w:rsidR="00B67F35">
        <w:t>5</w:t>
      </w:r>
      <w:r w:rsidRPr="00435F6C">
        <w:t>-0001</w:t>
      </w:r>
      <w:r w:rsidR="00CA400E">
        <w:t>9958</w:t>
      </w:r>
      <w:r>
        <w:t>).</w:t>
      </w:r>
      <w:r w:rsidR="00D705EA">
        <w:t xml:space="preserve"> </w:t>
      </w:r>
    </w:p>
  </w:footnote>
  <w:footnote w:id="8">
    <w:p w:rsidR="00B67F35" w:rsidRDefault="00B67F35" w:rsidP="00B67F35">
      <w:pPr>
        <w:pStyle w:val="FootnoteText"/>
      </w:pPr>
      <w:r>
        <w:rPr>
          <w:rStyle w:val="FootnoteReference"/>
        </w:rPr>
        <w:footnoteRef/>
      </w:r>
      <w:r>
        <w:t xml:space="preserve">47 C.F.R. § 15.5(b). </w:t>
      </w:r>
    </w:p>
  </w:footnote>
  <w:footnote w:id="9">
    <w:p w:rsidR="00B67F35" w:rsidRDefault="00B67F35" w:rsidP="00B67F35">
      <w:pPr>
        <w:pStyle w:val="FootnoteText"/>
      </w:pPr>
      <w:r>
        <w:rPr>
          <w:rStyle w:val="FootnoteReference"/>
        </w:rPr>
        <w:footnoteRef/>
      </w:r>
      <w:r>
        <w:t>47 C.F.R. §15.29(a).</w:t>
      </w:r>
    </w:p>
  </w:footnote>
  <w:footnote w:id="10">
    <w:p w:rsidR="005504AE" w:rsidRDefault="005504AE" w:rsidP="005504AE">
      <w:pPr>
        <w:pStyle w:val="FootnoteText"/>
        <w:rPr>
          <w:color w:val="000000"/>
        </w:rPr>
      </w:pPr>
      <w:r>
        <w:rPr>
          <w:rStyle w:val="FootnoteReference"/>
        </w:rPr>
        <w:footnoteRef/>
      </w:r>
      <w:r>
        <w:t>47 C.F.R. §§ 15.5(b) and 15.29(a).</w:t>
      </w:r>
    </w:p>
  </w:footnote>
  <w:footnote w:id="11">
    <w:p w:rsidR="00E72A34" w:rsidRDefault="00E72A34">
      <w:pPr>
        <w:pStyle w:val="FootnoteText"/>
        <w:jc w:val="left"/>
      </w:pPr>
      <w:r>
        <w:rPr>
          <w:rStyle w:val="FootnoteReference"/>
        </w:rPr>
        <w:footnoteRef/>
      </w:r>
      <w:r>
        <w:t xml:space="preserve"> 47 U.S.C. §§ 154(i), 154(j), 403.</w:t>
      </w:r>
    </w:p>
  </w:footnote>
  <w:footnote w:id="12">
    <w:p w:rsidR="00E72A34" w:rsidRDefault="00E72A34">
      <w:pPr>
        <w:pStyle w:val="FootnoteText"/>
        <w:jc w:val="left"/>
      </w:pPr>
      <w:r>
        <w:rPr>
          <w:rStyle w:val="FootnoteReference"/>
          <w:kern w:val="20"/>
        </w:rPr>
        <w:footnoteRef/>
      </w:r>
      <w:r>
        <w:rPr>
          <w:kern w:val="20"/>
        </w:rPr>
        <w:t xml:space="preserve"> 47 C.F.R. </w:t>
      </w:r>
      <w:r>
        <w:rPr>
          <w:kern w:val="20"/>
          <w:szCs w:val="24"/>
        </w:rPr>
        <w:t>§ 1.17.</w:t>
      </w:r>
    </w:p>
  </w:footnote>
  <w:footnote w:id="13">
    <w:p w:rsidR="00E72A34" w:rsidRDefault="00E72A34">
      <w:pPr>
        <w:pStyle w:val="FootnoteText"/>
        <w:jc w:val="left"/>
      </w:pPr>
      <w:r>
        <w:rPr>
          <w:rStyle w:val="FootnoteReference"/>
        </w:rPr>
        <w:footnoteRef/>
      </w:r>
      <w:r>
        <w:t xml:space="preserve"> 47 U.S.C. § 503.</w:t>
      </w:r>
    </w:p>
  </w:footnote>
  <w:footnote w:id="14">
    <w:p w:rsidR="00E72A34" w:rsidRDefault="00E72A34">
      <w:pPr>
        <w:pStyle w:val="FootnoteText"/>
        <w:jc w:val="left"/>
      </w:pPr>
      <w:r>
        <w:rPr>
          <w:rStyle w:val="FootnoteReference"/>
        </w:rPr>
        <w:footnoteRef/>
      </w:r>
      <w:r>
        <w:t xml:space="preserve"> </w:t>
      </w:r>
      <w:r>
        <w:rPr>
          <w:i/>
        </w:rPr>
        <w:t xml:space="preserve">See </w:t>
      </w:r>
      <w:r>
        <w:t>47 U.S.C. §§ 401, 501, 503; 47 C.F.R. § 1.80(b)(7).  This amount is subject to further adjustment for inflation (</w:t>
      </w:r>
      <w:r>
        <w:rPr>
          <w:i/>
        </w:rPr>
        <w:t xml:space="preserve">see </w:t>
      </w:r>
      <w:r>
        <w:t xml:space="preserve">47 C.F.R. § 1.80(b)(9)), and the forfeiture amount applicable to any violation will be determined based on the statutory amount designated at the time of the violation.    </w:t>
      </w:r>
    </w:p>
  </w:footnote>
  <w:footnote w:id="15">
    <w:p w:rsidR="00E72A34" w:rsidRDefault="00E72A34">
      <w:pPr>
        <w:pStyle w:val="FootnoteText"/>
        <w:jc w:val="left"/>
      </w:pPr>
      <w:r>
        <w:rPr>
          <w:rStyle w:val="FootnoteReference"/>
        </w:rPr>
        <w:footnoteRef/>
      </w:r>
      <w:r>
        <w:t xml:space="preserve"> </w:t>
      </w:r>
      <w:r>
        <w:rPr>
          <w:i/>
        </w:rPr>
        <w:t>See</w:t>
      </w:r>
      <w:r>
        <w:t xml:space="preserve"> </w:t>
      </w:r>
      <w:r>
        <w:rPr>
          <w:i/>
        </w:rPr>
        <w:t xml:space="preserve">supra </w:t>
      </w:r>
      <w:r>
        <w:t xml:space="preserve">para. 2.  </w:t>
      </w:r>
    </w:p>
  </w:footnote>
  <w:footnote w:id="16">
    <w:p w:rsidR="00E72A34" w:rsidRDefault="00E72A34">
      <w:pPr>
        <w:pStyle w:val="FootnoteText"/>
        <w:jc w:val="left"/>
      </w:pPr>
      <w:r>
        <w:rPr>
          <w:rStyle w:val="FootnoteReference"/>
        </w:rPr>
        <w:footnoteRef/>
      </w:r>
      <w:r>
        <w:t xml:space="preserve"> </w:t>
      </w:r>
      <w:r>
        <w:rPr>
          <w:i/>
          <w:iCs/>
        </w:rPr>
        <w:t>See</w:t>
      </w:r>
      <w:r>
        <w:t xml:space="preserve"> 47 U.S.C. § 510.</w:t>
      </w:r>
    </w:p>
  </w:footnote>
  <w:footnote w:id="17">
    <w:p w:rsidR="00E72A34" w:rsidRDefault="00E72A34">
      <w:pPr>
        <w:pStyle w:val="FootnoteText"/>
        <w:jc w:val="left"/>
      </w:pPr>
      <w:r>
        <w:rPr>
          <w:rStyle w:val="FootnoteReference"/>
        </w:rPr>
        <w:footnoteRef/>
      </w:r>
      <w:r>
        <w:t xml:space="preserve"> </w:t>
      </w:r>
      <w:r>
        <w:rPr>
          <w:i/>
          <w:iCs/>
        </w:rPr>
        <w:t xml:space="preserve">See </w:t>
      </w:r>
      <w:r>
        <w:t>47 U.S.C. §§ 401, 501.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C1" w:rsidRDefault="000832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A34" w:rsidRDefault="00E72A34">
    <w:pPr>
      <w:pStyle w:val="Header"/>
      <w:tabs>
        <w:tab w:val="clear" w:pos="4320"/>
        <w:tab w:val="clear" w:pos="8640"/>
        <w:tab w:val="center" w:pos="4680"/>
        <w:tab w:val="right" w:pos="9360"/>
      </w:tabs>
      <w:rPr>
        <w:b/>
      </w:rPr>
    </w:pPr>
    <w:r>
      <w:rPr>
        <w:b/>
      </w:rPr>
      <w:tab/>
      <w:t>Federal Communications Commission</w:t>
    </w:r>
    <w:r>
      <w:rPr>
        <w:b/>
      </w:rPr>
      <w:tab/>
      <w:t xml:space="preserve">DA </w:t>
    </w:r>
    <w:r w:rsidR="00FF034A">
      <w:rPr>
        <w:b/>
      </w:rPr>
      <w:t>1</w:t>
    </w:r>
    <w:r w:rsidR="00F6234F">
      <w:rPr>
        <w:b/>
      </w:rPr>
      <w:t>5</w:t>
    </w:r>
    <w:r w:rsidR="00FF034A">
      <w:rPr>
        <w:b/>
      </w:rPr>
      <w:t>-</w:t>
    </w:r>
    <w:r w:rsidR="00C156B6">
      <w:rPr>
        <w:b/>
      </w:rPr>
      <w:t>1345</w:t>
    </w:r>
    <w:r>
      <w:rPr>
        <w:b/>
      </w:rPr>
      <w:t xml:space="preserve"> </w:t>
    </w:r>
  </w:p>
  <w:p w:rsidR="00E72A34" w:rsidRDefault="00E72A34">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56906CFB" wp14:editId="7DB1AE4C">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640E0C"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E72A34" w:rsidRDefault="00E72A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A34" w:rsidRDefault="00E72A34">
    <w:pPr>
      <w:pStyle w:val="Header"/>
      <w:tabs>
        <w:tab w:val="clear" w:pos="4320"/>
        <w:tab w:val="clear" w:pos="8640"/>
        <w:tab w:val="center" w:pos="4680"/>
        <w:tab w:val="right" w:pos="9360"/>
      </w:tabs>
      <w:rPr>
        <w:b/>
      </w:rPr>
    </w:pPr>
    <w:r>
      <w:rPr>
        <w:b/>
      </w:rPr>
      <w:tab/>
      <w:t>Federal Communications Commission</w:t>
    </w:r>
    <w:r>
      <w:rPr>
        <w:b/>
      </w:rPr>
      <w:tab/>
      <w:t>DA 1</w:t>
    </w:r>
    <w:r w:rsidR="00F6234F">
      <w:rPr>
        <w:b/>
      </w:rPr>
      <w:t>5</w:t>
    </w:r>
    <w:r>
      <w:rPr>
        <w:b/>
      </w:rPr>
      <w:t>-</w:t>
    </w:r>
    <w:r w:rsidR="00C156B6">
      <w:rPr>
        <w:b/>
      </w:rPr>
      <w:t>1345</w:t>
    </w:r>
    <w:r>
      <w:rPr>
        <w:b/>
      </w:rPr>
      <w:t xml:space="preserve"> </w:t>
    </w:r>
  </w:p>
  <w:p w:rsidR="00E72A34" w:rsidRDefault="00E72A34">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EC1399"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0886889"/>
    <w:multiLevelType w:val="hybridMultilevel"/>
    <w:tmpl w:val="5AA26BB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6BF6331"/>
    <w:multiLevelType w:val="hybridMultilevel"/>
    <w:tmpl w:val="46D4BFB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39D6B92"/>
    <w:multiLevelType w:val="hybridMultilevel"/>
    <w:tmpl w:val="FA7AD0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9B048C"/>
    <w:multiLevelType w:val="hybridMultilevel"/>
    <w:tmpl w:val="5D946088"/>
    <w:lvl w:ilvl="0" w:tplc="E3A0196C">
      <w:start w:val="1"/>
      <w:numFmt w:val="decimal"/>
      <w:lvlText w:val="%1."/>
      <w:lvlJc w:val="left"/>
      <w:pPr>
        <w:tabs>
          <w:tab w:val="num" w:pos="360"/>
        </w:tabs>
        <w:ind w:left="72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0364164"/>
    <w:multiLevelType w:val="hybridMultilevel"/>
    <w:tmpl w:val="E41A7F08"/>
    <w:lvl w:ilvl="0" w:tplc="140088BA">
      <w:start w:val="520"/>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1">
    <w:nsid w:val="544520E7"/>
    <w:multiLevelType w:val="hybridMultilevel"/>
    <w:tmpl w:val="23643A6A"/>
    <w:lvl w:ilvl="0" w:tplc="04090001">
      <w:start w:val="1"/>
      <w:numFmt w:val="bullet"/>
      <w:lvlText w:val=""/>
      <w:lvlJc w:val="left"/>
      <w:pPr>
        <w:ind w:left="1440" w:hanging="360"/>
      </w:pPr>
      <w:rPr>
        <w:rFonts w:ascii="Symbol" w:hAnsi="Symbol" w:hint="default"/>
      </w:rPr>
    </w:lvl>
    <w:lvl w:ilvl="1" w:tplc="3D1846CC">
      <w:start w:val="1"/>
      <w:numFmt w:val="decimal"/>
      <w:lvlText w:val="%2."/>
      <w:lvlJc w:val="left"/>
      <w:pPr>
        <w:tabs>
          <w:tab w:val="num" w:pos="2160"/>
        </w:tabs>
        <w:ind w:left="1080" w:firstLine="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2" w:tplc="55F29AF4">
      <w:start w:val="1"/>
      <w:numFmt w:val="lowerLetter"/>
      <w:lvlText w:val="%3."/>
      <w:lvlJc w:val="left"/>
      <w:pPr>
        <w:tabs>
          <w:tab w:val="num" w:pos="2880"/>
        </w:tabs>
        <w:ind w:left="2880" w:hanging="360"/>
      </w:pPr>
      <w:rPr>
        <w:rFonts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3">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4">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5">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F625FB2"/>
    <w:multiLevelType w:val="hybridMultilevel"/>
    <w:tmpl w:val="F5149130"/>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6FB837BF"/>
    <w:multiLevelType w:val="hybridMultilevel"/>
    <w:tmpl w:val="57DE5A72"/>
    <w:lvl w:ilvl="0" w:tplc="53425E2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5"/>
  </w:num>
  <w:num w:numId="2">
    <w:abstractNumId w:val="28"/>
  </w:num>
  <w:num w:numId="3">
    <w:abstractNumId w:val="5"/>
  </w:num>
  <w:num w:numId="4">
    <w:abstractNumId w:val="20"/>
  </w:num>
  <w:num w:numId="5">
    <w:abstractNumId w:val="8"/>
  </w:num>
  <w:num w:numId="6">
    <w:abstractNumId w:val="24"/>
  </w:num>
  <w:num w:numId="7">
    <w:abstractNumId w:val="17"/>
  </w:num>
  <w:num w:numId="8">
    <w:abstractNumId w:val="9"/>
  </w:num>
  <w:num w:numId="9">
    <w:abstractNumId w:val="23"/>
  </w:num>
  <w:num w:numId="10">
    <w:abstractNumId w:val="15"/>
  </w:num>
  <w:num w:numId="11">
    <w:abstractNumId w:val="14"/>
  </w:num>
  <w:num w:numId="12">
    <w:abstractNumId w:val="10"/>
  </w:num>
  <w:num w:numId="13">
    <w:abstractNumId w:val="16"/>
  </w:num>
  <w:num w:numId="14">
    <w:abstractNumId w:val="22"/>
  </w:num>
  <w:num w:numId="15">
    <w:abstractNumId w:val="3"/>
  </w:num>
  <w:num w:numId="16">
    <w:abstractNumId w:val="4"/>
  </w:num>
  <w:num w:numId="17">
    <w:abstractNumId w:val="12"/>
  </w:num>
  <w:num w:numId="18">
    <w:abstractNumId w:val="0"/>
  </w:num>
  <w:num w:numId="19">
    <w:abstractNumId w:val="13"/>
  </w:num>
  <w:num w:numId="20">
    <w:abstractNumId w:val="18"/>
  </w:num>
  <w:num w:numId="21">
    <w:abstractNumId w:val="19"/>
  </w:num>
  <w:num w:numId="22">
    <w:abstractNumId w:val="6"/>
  </w:num>
  <w:num w:numId="23">
    <w:abstractNumId w:val="16"/>
  </w:num>
  <w:num w:numId="24">
    <w:abstractNumId w:val="16"/>
  </w:num>
  <w:num w:numId="25">
    <w:abstractNumId w:val="16"/>
  </w:num>
  <w:num w:numId="26">
    <w:abstractNumId w:val="16"/>
  </w:num>
  <w:num w:numId="27">
    <w:abstractNumId w:val="16"/>
    <w:lvlOverride w:ilvl="0">
      <w:startOverride w:val="1"/>
    </w:lvlOverride>
  </w:num>
  <w:num w:numId="28">
    <w:abstractNumId w:val="16"/>
  </w:num>
  <w:num w:numId="29">
    <w:abstractNumId w:val="21"/>
  </w:num>
  <w:num w:numId="30">
    <w:abstractNumId w:val="20"/>
  </w:num>
  <w:num w:numId="31">
    <w:abstractNumId w:val="16"/>
  </w:num>
  <w:num w:numId="32">
    <w:abstractNumId w:val="16"/>
  </w:num>
  <w:num w:numId="33">
    <w:abstractNumId w:val="11"/>
  </w:num>
  <w:num w:numId="34">
    <w:abstractNumId w:val="16"/>
  </w:num>
  <w:num w:numId="35">
    <w:abstractNumId w:val="16"/>
  </w:num>
  <w:num w:numId="36">
    <w:abstractNumId w:val="16"/>
  </w:num>
  <w:num w:numId="37">
    <w:abstractNumId w:val="16"/>
  </w:num>
  <w:num w:numId="38">
    <w:abstractNumId w:val="16"/>
  </w:num>
  <w:num w:numId="39">
    <w:abstractNumId w:val="7"/>
  </w:num>
  <w:num w:numId="40">
    <w:abstractNumId w:val="1"/>
  </w:num>
  <w:num w:numId="41">
    <w:abstractNumId w:val="26"/>
  </w:num>
  <w:num w:numId="42">
    <w:abstractNumId w:val="2"/>
  </w:num>
  <w:num w:numId="43">
    <w:abstractNumId w:val="16"/>
    <w:lvlOverride w:ilvl="0">
      <w:startOverride w:val="1"/>
    </w:lvlOverride>
  </w:num>
  <w:num w:numId="44">
    <w:abstractNumId w:val="27"/>
  </w:num>
  <w:num w:numId="45">
    <w:abstractNumId w:val="16"/>
    <w:lvlOverride w:ilvl="0">
      <w:startOverride w:val="1"/>
    </w:lvlOverride>
  </w:num>
  <w:num w:numId="46">
    <w:abstractNumId w:val="16"/>
    <w:lvlOverride w:ilvl="0">
      <w:startOverride w:val="1"/>
    </w:lvlOverride>
  </w:num>
  <w:num w:numId="47">
    <w:abstractNumId w:val="16"/>
    <w:lvlOverride w:ilvl="0">
      <w:startOverride w:val="1"/>
    </w:lvlOverride>
  </w:num>
  <w:num w:numId="48">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EB3"/>
    <w:rsid w:val="000526FC"/>
    <w:rsid w:val="00056642"/>
    <w:rsid w:val="00056EB3"/>
    <w:rsid w:val="00061A87"/>
    <w:rsid w:val="000832C1"/>
    <w:rsid w:val="000963A3"/>
    <w:rsid w:val="000C7526"/>
    <w:rsid w:val="0013289A"/>
    <w:rsid w:val="00175AF4"/>
    <w:rsid w:val="00187A31"/>
    <w:rsid w:val="001F5131"/>
    <w:rsid w:val="00206801"/>
    <w:rsid w:val="00207F27"/>
    <w:rsid w:val="0021511E"/>
    <w:rsid w:val="002278A1"/>
    <w:rsid w:val="002844B3"/>
    <w:rsid w:val="002C4E27"/>
    <w:rsid w:val="002E12E9"/>
    <w:rsid w:val="002F73B1"/>
    <w:rsid w:val="00304E6F"/>
    <w:rsid w:val="00384224"/>
    <w:rsid w:val="003A78E1"/>
    <w:rsid w:val="004016BC"/>
    <w:rsid w:val="00413D78"/>
    <w:rsid w:val="0043527A"/>
    <w:rsid w:val="004406DD"/>
    <w:rsid w:val="0044540E"/>
    <w:rsid w:val="00451738"/>
    <w:rsid w:val="0045697C"/>
    <w:rsid w:val="004A5B91"/>
    <w:rsid w:val="004B6A82"/>
    <w:rsid w:val="004C070A"/>
    <w:rsid w:val="004E14E1"/>
    <w:rsid w:val="005048CC"/>
    <w:rsid w:val="00506EDD"/>
    <w:rsid w:val="0051518E"/>
    <w:rsid w:val="00521506"/>
    <w:rsid w:val="0053090C"/>
    <w:rsid w:val="00545C89"/>
    <w:rsid w:val="00550395"/>
    <w:rsid w:val="005504AE"/>
    <w:rsid w:val="00593DB8"/>
    <w:rsid w:val="005A09EF"/>
    <w:rsid w:val="005B10F0"/>
    <w:rsid w:val="005D797A"/>
    <w:rsid w:val="00610AA5"/>
    <w:rsid w:val="0063097C"/>
    <w:rsid w:val="00643F68"/>
    <w:rsid w:val="00647CE4"/>
    <w:rsid w:val="00676BBC"/>
    <w:rsid w:val="006B2290"/>
    <w:rsid w:val="006B5C19"/>
    <w:rsid w:val="006B66E1"/>
    <w:rsid w:val="006F0A1D"/>
    <w:rsid w:val="007212DF"/>
    <w:rsid w:val="00721A5F"/>
    <w:rsid w:val="00750F98"/>
    <w:rsid w:val="00772E1E"/>
    <w:rsid w:val="007B5749"/>
    <w:rsid w:val="007F6C9F"/>
    <w:rsid w:val="00834655"/>
    <w:rsid w:val="00885957"/>
    <w:rsid w:val="008B43F0"/>
    <w:rsid w:val="008B4485"/>
    <w:rsid w:val="008C08F1"/>
    <w:rsid w:val="008C3074"/>
    <w:rsid w:val="008D481B"/>
    <w:rsid w:val="008F61AF"/>
    <w:rsid w:val="00917773"/>
    <w:rsid w:val="00944DBA"/>
    <w:rsid w:val="00950750"/>
    <w:rsid w:val="0097331B"/>
    <w:rsid w:val="00991054"/>
    <w:rsid w:val="00992D2C"/>
    <w:rsid w:val="009B4C08"/>
    <w:rsid w:val="009D2581"/>
    <w:rsid w:val="009D3063"/>
    <w:rsid w:val="009E2766"/>
    <w:rsid w:val="009E55DD"/>
    <w:rsid w:val="00A93AA8"/>
    <w:rsid w:val="00AE27B9"/>
    <w:rsid w:val="00B55951"/>
    <w:rsid w:val="00B67F35"/>
    <w:rsid w:val="00B97CD8"/>
    <w:rsid w:val="00BD57BF"/>
    <w:rsid w:val="00BD5F0C"/>
    <w:rsid w:val="00BD726F"/>
    <w:rsid w:val="00BE0B01"/>
    <w:rsid w:val="00C04E9B"/>
    <w:rsid w:val="00C105A8"/>
    <w:rsid w:val="00C14C13"/>
    <w:rsid w:val="00C15133"/>
    <w:rsid w:val="00C156B6"/>
    <w:rsid w:val="00C17D56"/>
    <w:rsid w:val="00C36D3A"/>
    <w:rsid w:val="00C56CB6"/>
    <w:rsid w:val="00CA400E"/>
    <w:rsid w:val="00CA4077"/>
    <w:rsid w:val="00CD4D99"/>
    <w:rsid w:val="00CD5BF9"/>
    <w:rsid w:val="00CE314F"/>
    <w:rsid w:val="00D22A21"/>
    <w:rsid w:val="00D43443"/>
    <w:rsid w:val="00D705EA"/>
    <w:rsid w:val="00D9550E"/>
    <w:rsid w:val="00DA2921"/>
    <w:rsid w:val="00E01248"/>
    <w:rsid w:val="00E02690"/>
    <w:rsid w:val="00E2330E"/>
    <w:rsid w:val="00E72A34"/>
    <w:rsid w:val="00E77CB5"/>
    <w:rsid w:val="00E93ECC"/>
    <w:rsid w:val="00EC3D0D"/>
    <w:rsid w:val="00EF4E04"/>
    <w:rsid w:val="00F435F0"/>
    <w:rsid w:val="00F6234F"/>
    <w:rsid w:val="00F71E0E"/>
    <w:rsid w:val="00F90FCC"/>
    <w:rsid w:val="00FD73DB"/>
    <w:rsid w:val="00FE190A"/>
    <w:rsid w:val="00FF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link w:val="Heading3Char"/>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uiPriority w:val="99"/>
    <w:pPr>
      <w:widowControl w:val="0"/>
      <w:numPr>
        <w:numId w:val="13"/>
      </w:numPr>
      <w:tabs>
        <w:tab w:val="left" w:pos="1440"/>
      </w:tabs>
      <w:spacing w:after="220"/>
      <w:jc w:val="both"/>
    </w:p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basedOn w:val="Normal"/>
    <w:link w:val="FootnoteTextChar2"/>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Appel note de bas de p,Style 12,(NECG) Footnote Reference,Style 12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rPr>
      <w:lang w:val="en-US" w:eastAsia="en-US" w:bidi="ar-SA"/>
    </w:rPr>
  </w:style>
  <w:style w:type="character" w:styleId="Hyperlink">
    <w:name w:val="Hyperlink"/>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ParaNumChar">
    <w:name w:val="ParaNum Char"/>
    <w:link w:val="ParaNum"/>
    <w:uiPriority w:val="99"/>
    <w:rPr>
      <w:sz w:val="22"/>
      <w:lang w:val="en-US" w:eastAsia="en-US" w:bidi="ar-SA"/>
    </w:rPr>
  </w:style>
  <w:style w:type="character" w:styleId="FollowedHyperlink">
    <w:name w:val="FollowedHyperlink"/>
    <w:rPr>
      <w:color w:val="800080"/>
      <w:u w:val="single"/>
    </w:rPr>
  </w:style>
  <w:style w:type="character" w:customStyle="1" w:styleId="ALTSFOOTNOTEChar">
    <w:name w:val="ALTS FOOTNOTE Char"/>
    <w:aliases w:val="fn Char,Footnote Text Char2 Char Char"/>
    <w:uiPriority w:val="99"/>
    <w:locked/>
    <w:rPr>
      <w:rFonts w:cs="Times New Roman"/>
      <w:lang w:val="en-US" w:eastAsia="en-US"/>
    </w:rPr>
  </w:style>
  <w:style w:type="character" w:customStyle="1" w:styleId="Heading3Char">
    <w:name w:val="Heading 3 Char"/>
    <w:link w:val="Heading3"/>
    <w:rPr>
      <w:b/>
      <w:sz w:val="22"/>
      <w:lang w:val="en-US" w:eastAsia="en-US" w:bidi="ar-SA"/>
    </w:rPr>
  </w:style>
  <w:style w:type="paragraph" w:styleId="ListParagraph">
    <w:name w:val="List Paragraph"/>
    <w:basedOn w:val="Normal"/>
    <w:qFormat/>
    <w:pPr>
      <w:ind w:left="720"/>
    </w:pPr>
    <w:rPr>
      <w:rFonts w:eastAsia="MS Mincho"/>
      <w:sz w:val="24"/>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erChar">
    <w:name w:val="Footer Char"/>
    <w:link w:val="Footer"/>
    <w:uiPriority w:val="99"/>
    <w:rPr>
      <w:sz w:val="22"/>
    </w:rPr>
  </w:style>
  <w:style w:type="character" w:customStyle="1" w:styleId="BalloonTextChar">
    <w:name w:val="Balloon Text Char"/>
    <w:link w:val="BalloonText"/>
    <w:uiPriority w:val="99"/>
    <w:semiHidden/>
    <w:rPr>
      <w:rFonts w:ascii="Tahoma" w:hAnsi="Tahoma" w:cs="Tahoma"/>
      <w:sz w:val="16"/>
      <w:szCs w:val="16"/>
    </w:rPr>
  </w:style>
  <w:style w:type="paragraph" w:styleId="Revision">
    <w:name w:val="Revision"/>
    <w:hidden/>
    <w:uiPriority w:val="99"/>
    <w:semiHidden/>
    <w:rPr>
      <w:sz w:val="22"/>
    </w:rPr>
  </w:style>
  <w:style w:type="character" w:customStyle="1" w:styleId="StyleRed">
    <w:name w:val="Style Red"/>
    <w:rsid w:val="00C15133"/>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link w:val="Heading3Char"/>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uiPriority w:val="99"/>
    <w:pPr>
      <w:widowControl w:val="0"/>
      <w:numPr>
        <w:numId w:val="13"/>
      </w:numPr>
      <w:tabs>
        <w:tab w:val="left" w:pos="1440"/>
      </w:tabs>
      <w:spacing w:after="220"/>
      <w:jc w:val="both"/>
    </w:p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basedOn w:val="Normal"/>
    <w:link w:val="FootnoteTextChar2"/>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Appel note de bas de p,Style 12,(NECG) Footnote Reference,Style 12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rPr>
      <w:lang w:val="en-US" w:eastAsia="en-US" w:bidi="ar-SA"/>
    </w:rPr>
  </w:style>
  <w:style w:type="character" w:styleId="Hyperlink">
    <w:name w:val="Hyperlink"/>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ParaNumChar">
    <w:name w:val="ParaNum Char"/>
    <w:link w:val="ParaNum"/>
    <w:uiPriority w:val="99"/>
    <w:rPr>
      <w:sz w:val="22"/>
      <w:lang w:val="en-US" w:eastAsia="en-US" w:bidi="ar-SA"/>
    </w:rPr>
  </w:style>
  <w:style w:type="character" w:styleId="FollowedHyperlink">
    <w:name w:val="FollowedHyperlink"/>
    <w:rPr>
      <w:color w:val="800080"/>
      <w:u w:val="single"/>
    </w:rPr>
  </w:style>
  <w:style w:type="character" w:customStyle="1" w:styleId="ALTSFOOTNOTEChar">
    <w:name w:val="ALTS FOOTNOTE Char"/>
    <w:aliases w:val="fn Char,Footnote Text Char2 Char Char"/>
    <w:uiPriority w:val="99"/>
    <w:locked/>
    <w:rPr>
      <w:rFonts w:cs="Times New Roman"/>
      <w:lang w:val="en-US" w:eastAsia="en-US"/>
    </w:rPr>
  </w:style>
  <w:style w:type="character" w:customStyle="1" w:styleId="Heading3Char">
    <w:name w:val="Heading 3 Char"/>
    <w:link w:val="Heading3"/>
    <w:rPr>
      <w:b/>
      <w:sz w:val="22"/>
      <w:lang w:val="en-US" w:eastAsia="en-US" w:bidi="ar-SA"/>
    </w:rPr>
  </w:style>
  <w:style w:type="paragraph" w:styleId="ListParagraph">
    <w:name w:val="List Paragraph"/>
    <w:basedOn w:val="Normal"/>
    <w:qFormat/>
    <w:pPr>
      <w:ind w:left="720"/>
    </w:pPr>
    <w:rPr>
      <w:rFonts w:eastAsia="MS Mincho"/>
      <w:sz w:val="24"/>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erChar">
    <w:name w:val="Footer Char"/>
    <w:link w:val="Footer"/>
    <w:uiPriority w:val="99"/>
    <w:rPr>
      <w:sz w:val="22"/>
    </w:rPr>
  </w:style>
  <w:style w:type="character" w:customStyle="1" w:styleId="BalloonTextChar">
    <w:name w:val="Balloon Text Char"/>
    <w:link w:val="BalloonText"/>
    <w:uiPriority w:val="99"/>
    <w:semiHidden/>
    <w:rPr>
      <w:rFonts w:ascii="Tahoma" w:hAnsi="Tahoma" w:cs="Tahoma"/>
      <w:sz w:val="16"/>
      <w:szCs w:val="16"/>
    </w:rPr>
  </w:style>
  <w:style w:type="paragraph" w:styleId="Revision">
    <w:name w:val="Revision"/>
    <w:hidden/>
    <w:uiPriority w:val="99"/>
    <w:semiHidden/>
    <w:rPr>
      <w:sz w:val="22"/>
    </w:rPr>
  </w:style>
  <w:style w:type="character" w:customStyle="1" w:styleId="StyleRed">
    <w:name w:val="Style Red"/>
    <w:rsid w:val="00C15133"/>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54334">
      <w:bodyDiv w:val="1"/>
      <w:marLeft w:val="30"/>
      <w:marRight w:val="30"/>
      <w:marTop w:val="30"/>
      <w:marBottom w:val="30"/>
      <w:divBdr>
        <w:top w:val="none" w:sz="0" w:space="0" w:color="auto"/>
        <w:left w:val="none" w:sz="0" w:space="0" w:color="auto"/>
        <w:bottom w:val="none" w:sz="0" w:space="0" w:color="auto"/>
        <w:right w:val="none" w:sz="0" w:space="0" w:color="auto"/>
      </w:divBdr>
      <w:divsChild>
        <w:div w:id="632905622">
          <w:marLeft w:val="0"/>
          <w:marRight w:val="0"/>
          <w:marTop w:val="0"/>
          <w:marBottom w:val="0"/>
          <w:divBdr>
            <w:top w:val="none" w:sz="0" w:space="0" w:color="auto"/>
            <w:left w:val="none" w:sz="0" w:space="0" w:color="auto"/>
            <w:bottom w:val="none" w:sz="0" w:space="0" w:color="auto"/>
            <w:right w:val="none" w:sz="0" w:space="0" w:color="auto"/>
          </w:divBdr>
          <w:divsChild>
            <w:div w:id="1969310045">
              <w:marLeft w:val="45"/>
              <w:marRight w:val="45"/>
              <w:marTop w:val="45"/>
              <w:marBottom w:val="45"/>
              <w:divBdr>
                <w:top w:val="none" w:sz="0" w:space="0" w:color="auto"/>
                <w:left w:val="none" w:sz="0" w:space="0" w:color="auto"/>
                <w:bottom w:val="none" w:sz="0" w:space="0" w:color="auto"/>
                <w:right w:val="none" w:sz="0" w:space="0" w:color="auto"/>
              </w:divBdr>
              <w:divsChild>
                <w:div w:id="329795929">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0"/>
                      <w:marRight w:val="0"/>
                      <w:marTop w:val="0"/>
                      <w:marBottom w:val="0"/>
                      <w:divBdr>
                        <w:top w:val="none" w:sz="0" w:space="0" w:color="auto"/>
                        <w:left w:val="none" w:sz="0" w:space="0" w:color="auto"/>
                        <w:bottom w:val="none" w:sz="0" w:space="0" w:color="auto"/>
                        <w:right w:val="none" w:sz="0" w:space="0" w:color="auto"/>
                      </w:divBdr>
                    </w:div>
                    <w:div w:id="207658105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1767</Words>
  <Characters>9362</Characters>
  <Application>Microsoft Office Word</Application>
  <DocSecurity>0</DocSecurity>
  <Lines>174</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2015-11-24T19:15:00Z</dcterms:created>
  <dcterms:modified xsi:type="dcterms:W3CDTF">2015-11-24T19:15:00Z</dcterms:modified>
  <cp:category> </cp:category>
  <cp:contentStatus> </cp:contentStatus>
</cp:coreProperties>
</file>