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E2F2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4AB14D42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0EEDB3AC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50128707" w14:textId="77777777" w:rsidR="004C2EE3" w:rsidRDefault="004C2EE3" w:rsidP="0070224F"/>
    <w:p w14:paraId="71D30490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6ACB64A4" w14:textId="77777777">
        <w:tc>
          <w:tcPr>
            <w:tcW w:w="4698" w:type="dxa"/>
          </w:tcPr>
          <w:p w14:paraId="4762ED2A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</w:t>
            </w:r>
            <w:r w:rsidR="00ED12DA">
              <w:rPr>
                <w:spacing w:val="-2"/>
              </w:rPr>
              <w:t>s</w:t>
            </w:r>
            <w:r>
              <w:rPr>
                <w:spacing w:val="-2"/>
              </w:rPr>
              <w:t xml:space="preserve"> of</w:t>
            </w:r>
          </w:p>
          <w:p w14:paraId="393150F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33FC762A" w14:textId="77777777" w:rsidR="00ED12DA" w:rsidRDefault="00ED12DA" w:rsidP="00ED12DA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Telecommunications Relay Services and </w:t>
            </w:r>
          </w:p>
          <w:p w14:paraId="774DFFF2" w14:textId="77777777" w:rsidR="00ED12DA" w:rsidRDefault="00ED12DA" w:rsidP="00ED12DA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Speech-to-Speech Services for </w:t>
            </w:r>
          </w:p>
          <w:p w14:paraId="0660ED30" w14:textId="77777777" w:rsidR="00ED12DA" w:rsidRDefault="00ED12DA" w:rsidP="00ED12DA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Individuals with Hearing and Speech Disabilities</w:t>
            </w:r>
          </w:p>
          <w:p w14:paraId="4F781118" w14:textId="77777777" w:rsidR="00ED12DA" w:rsidRDefault="00ED12DA" w:rsidP="00ED12DA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4C34AA92" w14:textId="77777777" w:rsidR="00ED12DA" w:rsidRDefault="00ED12DA" w:rsidP="00ED12DA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Structure and Practices of the Video Relay Service Program</w:t>
            </w:r>
          </w:p>
          <w:p w14:paraId="1B808F9D" w14:textId="77777777" w:rsidR="00ED12DA" w:rsidRDefault="00ED12DA" w:rsidP="00ED12DA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2E123514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Internet-Based Telecommunications Relay Service Numbering</w:t>
            </w:r>
          </w:p>
          <w:p w14:paraId="0B8B1F34" w14:textId="77777777" w:rsidR="00917614" w:rsidRDefault="00917614" w:rsidP="00ED12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338C6AF" w14:textId="77777777" w:rsidR="00917614" w:rsidRDefault="00917614" w:rsidP="0091761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Waiver of Sections 64.613(a)(4)</w:t>
            </w:r>
            <w:r w:rsidR="004A0177">
              <w:rPr>
                <w:spacing w:val="-2"/>
              </w:rPr>
              <w:t>, 64.613(b)(2)</w:t>
            </w:r>
            <w:r>
              <w:rPr>
                <w:spacing w:val="-2"/>
              </w:rPr>
              <w:t xml:space="preserve"> and 64.623(c) of the Commission’s Rules to Permit VTCSecure and the MITRE Corporation to Access the TRS Numbering Directory</w:t>
            </w:r>
          </w:p>
          <w:p w14:paraId="642B1BA3" w14:textId="77777777" w:rsidR="00917614" w:rsidRPr="007115F7" w:rsidRDefault="00917614" w:rsidP="00ED12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64D023FD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00190B5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719238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A74DF9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0B26CEA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809044F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CF7001F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ACC92A9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523185E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E6A7FC1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6B3CC08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AA71C3B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7F2EEA7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DBA7A2C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5EDCD6A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EEE36C4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3B8068D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5E000C1" w14:textId="77777777" w:rsidR="00ED12DA" w:rsidRDefault="00ED12DA" w:rsidP="00ED12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14:paraId="4D89A210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341B1143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0D71FBD4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CG Docket No. 03-123</w:t>
            </w:r>
          </w:p>
          <w:p w14:paraId="68D6A83D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E011D28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5BC837B5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2B0E1317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CG Docket No. 10-51</w:t>
            </w:r>
          </w:p>
          <w:p w14:paraId="55FF2841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38B829B8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C254519" w14:textId="77777777" w:rsidR="00F03289" w:rsidRDefault="00F03289" w:rsidP="00F03289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10-191</w:t>
            </w:r>
          </w:p>
          <w:p w14:paraId="0CD88DFA" w14:textId="77777777" w:rsidR="00F03289" w:rsidRDefault="00F0328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17E0E9F5" w14:textId="77777777" w:rsidR="004C2EE3" w:rsidRDefault="004C2EE3" w:rsidP="0070224F"/>
    <w:p w14:paraId="2A7C1194" w14:textId="77777777" w:rsidR="00841AB1" w:rsidRDefault="005E1190" w:rsidP="00F021FA">
      <w:pPr>
        <w:pStyle w:val="StyleBoldCentered"/>
      </w:pPr>
      <w:r>
        <w:t>order</w:t>
      </w:r>
    </w:p>
    <w:p w14:paraId="74BB2FBB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4C231863" w14:textId="4844DAD7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865958">
        <w:rPr>
          <w:b/>
          <w:spacing w:val="-2"/>
        </w:rPr>
        <w:t>November 23, 2015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865958">
        <w:rPr>
          <w:b/>
          <w:spacing w:val="-2"/>
        </w:rPr>
        <w:t>November 23, 2015</w:t>
      </w:r>
    </w:p>
    <w:p w14:paraId="796B66C0" w14:textId="77777777" w:rsidR="00822CE0" w:rsidRDefault="00822CE0"/>
    <w:p w14:paraId="2851DD52" w14:textId="77777777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5E1190">
        <w:t xml:space="preserve"> Chief, Wireline Competition Bureau</w:t>
      </w:r>
      <w:r>
        <w:rPr>
          <w:spacing w:val="-2"/>
        </w:rPr>
        <w:t>:</w:t>
      </w:r>
    </w:p>
    <w:p w14:paraId="67A45925" w14:textId="77777777" w:rsidR="002C00E8" w:rsidRDefault="002C00E8" w:rsidP="005E1190">
      <w:pPr>
        <w:pStyle w:val="Heading1"/>
        <w:numPr>
          <w:ilvl w:val="0"/>
          <w:numId w:val="0"/>
        </w:numPr>
        <w:ind w:left="720"/>
      </w:pPr>
    </w:p>
    <w:p w14:paraId="26FCCFC9" w14:textId="4497FF2A" w:rsidR="005E1190" w:rsidRDefault="005E1190" w:rsidP="00865958">
      <w:pPr>
        <w:pStyle w:val="ParaNum"/>
        <w:widowControl/>
        <w:tabs>
          <w:tab w:val="clear" w:pos="1080"/>
          <w:tab w:val="num" w:pos="1440"/>
        </w:tabs>
      </w:pPr>
      <w:r>
        <w:t xml:space="preserve">By this Order, the Wireline Competition Bureau waives on its own motion </w:t>
      </w:r>
      <w:r w:rsidR="00F03289">
        <w:t>s</w:t>
      </w:r>
      <w:r>
        <w:t>ectio</w:t>
      </w:r>
      <w:r w:rsidR="002024C7">
        <w:t>n</w:t>
      </w:r>
      <w:r w:rsidR="005B47D9">
        <w:t>s</w:t>
      </w:r>
      <w:r>
        <w:t xml:space="preserve"> 64.613(a)(4)</w:t>
      </w:r>
      <w:r w:rsidR="004A0177">
        <w:t>, 64.613(b)(2)</w:t>
      </w:r>
      <w:r w:rsidR="005B47D9">
        <w:t xml:space="preserve"> and 64.623(c)</w:t>
      </w:r>
      <w:r>
        <w:t xml:space="preserve"> of the Commission’s rules</w:t>
      </w:r>
      <w:r w:rsidR="00472699">
        <w:rPr>
          <w:rStyle w:val="FootnoteReference"/>
        </w:rPr>
        <w:footnoteReference w:id="2"/>
      </w:r>
      <w:r>
        <w:t xml:space="preserve"> to permit VTCSecure</w:t>
      </w:r>
      <w:r w:rsidR="00D00084">
        <w:t>,</w:t>
      </w:r>
      <w:r w:rsidR="00D00084">
        <w:rPr>
          <w:rStyle w:val="FootnoteReference"/>
        </w:rPr>
        <w:footnoteReference w:id="3"/>
      </w:r>
      <w:r>
        <w:t xml:space="preserve"> which serves by contract as</w:t>
      </w:r>
      <w:r w:rsidR="005653E3">
        <w:t xml:space="preserve"> administrator of </w:t>
      </w:r>
      <w:r>
        <w:t xml:space="preserve">the </w:t>
      </w:r>
      <w:r w:rsidR="008C6FAB">
        <w:t>Video Relay Service (</w:t>
      </w:r>
      <w:r>
        <w:t>VRS</w:t>
      </w:r>
      <w:r w:rsidR="008C6FAB">
        <w:t>)</w:t>
      </w:r>
      <w:r>
        <w:t xml:space="preserve"> Access Technology Reference Platform</w:t>
      </w:r>
      <w:r w:rsidR="005653E3">
        <w:t xml:space="preserve"> (</w:t>
      </w:r>
      <w:r w:rsidR="00E51CCF">
        <w:t>reference platform)</w:t>
      </w:r>
      <w:r>
        <w:t>,</w:t>
      </w:r>
      <w:r w:rsidR="00472699">
        <w:rPr>
          <w:rStyle w:val="FootnoteReference"/>
        </w:rPr>
        <w:footnoteReference w:id="4"/>
      </w:r>
      <w:r>
        <w:t xml:space="preserve"> </w:t>
      </w:r>
      <w:r w:rsidR="00815621">
        <w:t xml:space="preserve">and </w:t>
      </w:r>
      <w:r w:rsidR="00D00084">
        <w:t xml:space="preserve">the </w:t>
      </w:r>
      <w:r w:rsidR="00BE375E">
        <w:t>MITRE</w:t>
      </w:r>
      <w:r w:rsidR="00D00084">
        <w:t xml:space="preserve"> Corporation (MITRE)</w:t>
      </w:r>
      <w:r w:rsidR="00815621">
        <w:t>,</w:t>
      </w:r>
      <w:r w:rsidR="002024C7">
        <w:t xml:space="preserve"> </w:t>
      </w:r>
      <w:r w:rsidR="00D00084">
        <w:t>which is under contract to perform research and development compensated from the</w:t>
      </w:r>
      <w:r w:rsidR="00D00084" w:rsidRPr="00D00084">
        <w:t xml:space="preserve"> </w:t>
      </w:r>
      <w:r w:rsidR="00D00084">
        <w:t>Telecommunications Relay Services</w:t>
      </w:r>
      <w:r w:rsidR="00524794">
        <w:t xml:space="preserve"> (TRS)</w:t>
      </w:r>
      <w:r w:rsidR="00D00084">
        <w:t xml:space="preserve"> </w:t>
      </w:r>
      <w:r w:rsidR="00524794">
        <w:t>F</w:t>
      </w:r>
      <w:r w:rsidR="00D00084">
        <w:t>und,</w:t>
      </w:r>
      <w:r w:rsidR="009A05BE">
        <w:rPr>
          <w:rStyle w:val="FootnoteReference"/>
        </w:rPr>
        <w:footnoteReference w:id="5"/>
      </w:r>
      <w:r w:rsidR="00D00084">
        <w:t xml:space="preserve"> </w:t>
      </w:r>
      <w:r>
        <w:t xml:space="preserve">to </w:t>
      </w:r>
      <w:r w:rsidR="00D44AE1">
        <w:t>access</w:t>
      </w:r>
      <w:r w:rsidR="009D6EA2">
        <w:t xml:space="preserve"> </w:t>
      </w:r>
      <w:r>
        <w:t xml:space="preserve">the </w:t>
      </w:r>
      <w:r w:rsidR="00D00084">
        <w:t xml:space="preserve">TRS </w:t>
      </w:r>
      <w:r>
        <w:t>Numbering Directory</w:t>
      </w:r>
      <w:r w:rsidR="00D44AE1">
        <w:t xml:space="preserve"> </w:t>
      </w:r>
      <w:r w:rsidR="00E80477">
        <w:t xml:space="preserve">to the extent necessary to </w:t>
      </w:r>
      <w:r w:rsidR="00D44AE1">
        <w:t xml:space="preserve">carry out </w:t>
      </w:r>
      <w:r w:rsidR="00A360CF">
        <w:t xml:space="preserve">assigned </w:t>
      </w:r>
      <w:r w:rsidR="00D44AE1">
        <w:t>t</w:t>
      </w:r>
      <w:r w:rsidR="003411B8">
        <w:t xml:space="preserve">asks related to their </w:t>
      </w:r>
      <w:r w:rsidR="00D44AE1">
        <w:t>contractual responsibilities</w:t>
      </w:r>
      <w:r>
        <w:t xml:space="preserve">. </w:t>
      </w:r>
      <w:r w:rsidR="00533F74">
        <w:t xml:space="preserve"> </w:t>
      </w:r>
      <w:r w:rsidR="00E51CCF">
        <w:t xml:space="preserve">Clarifying </w:t>
      </w:r>
      <w:r w:rsidR="00D00084">
        <w:t>both entities’</w:t>
      </w:r>
      <w:r w:rsidR="00E51CCF">
        <w:t xml:space="preserve"> eligibility to access the directory</w:t>
      </w:r>
      <w:r w:rsidR="003411B8">
        <w:t xml:space="preserve"> under these terms</w:t>
      </w:r>
      <w:r w:rsidR="00E51CCF">
        <w:t xml:space="preserve"> will facilitate the effective performance of </w:t>
      </w:r>
      <w:r w:rsidR="00D00084">
        <w:t>their respective duties</w:t>
      </w:r>
      <w:r w:rsidR="001448DE">
        <w:t>.</w:t>
      </w:r>
      <w:r w:rsidR="00D00084">
        <w:t xml:space="preserve"> </w:t>
      </w:r>
    </w:p>
    <w:p w14:paraId="4BBC28B6" w14:textId="77777777" w:rsidR="00A862EB" w:rsidRDefault="00BE375E" w:rsidP="00865958">
      <w:pPr>
        <w:pStyle w:val="ParaNum"/>
        <w:widowControl/>
        <w:tabs>
          <w:tab w:val="clear" w:pos="1080"/>
          <w:tab w:val="num" w:pos="1440"/>
        </w:tabs>
      </w:pPr>
      <w:r>
        <w:t>In 2013, the Commission adopted reforms “to improve the structure, efficiency and quality” of VRS</w:t>
      </w:r>
      <w:r w:rsidR="006A6F65">
        <w:t>.</w:t>
      </w:r>
      <w:r>
        <w:rPr>
          <w:rStyle w:val="FootnoteReference"/>
        </w:rPr>
        <w:footnoteReference w:id="6"/>
      </w:r>
      <w:r>
        <w:t xml:space="preserve"> </w:t>
      </w:r>
      <w:r w:rsidR="00770130">
        <w:t xml:space="preserve"> </w:t>
      </w:r>
      <w:r w:rsidR="005B47D9">
        <w:t>The</w:t>
      </w:r>
      <w:r w:rsidR="00D00084">
        <w:t>se</w:t>
      </w:r>
      <w:r w:rsidR="005B47D9">
        <w:t xml:space="preserve"> </w:t>
      </w:r>
      <w:r w:rsidR="00770130">
        <w:t>include</w:t>
      </w:r>
      <w:r w:rsidR="00261B06">
        <w:t>d</w:t>
      </w:r>
      <w:r w:rsidR="00770130">
        <w:t xml:space="preserve"> the </w:t>
      </w:r>
      <w:r w:rsidR="00815621">
        <w:t xml:space="preserve">creation of a </w:t>
      </w:r>
      <w:r w:rsidR="00770130">
        <w:t>“</w:t>
      </w:r>
      <w:r w:rsidR="005B47D9">
        <w:t>reference platform</w:t>
      </w:r>
      <w:r w:rsidR="00770130">
        <w:t xml:space="preserve">” for </w:t>
      </w:r>
      <w:r w:rsidR="005D4D59">
        <w:t xml:space="preserve">VRS access technologies, </w:t>
      </w:r>
      <w:r w:rsidR="00261B06">
        <w:t xml:space="preserve">which provide </w:t>
      </w:r>
      <w:r w:rsidR="005D4D59">
        <w:t xml:space="preserve">the </w:t>
      </w:r>
      <w:r w:rsidR="00A862EB">
        <w:t xml:space="preserve">various configurations of </w:t>
      </w:r>
      <w:r w:rsidR="005D4D59">
        <w:t>software and equipment</w:t>
      </w:r>
      <w:r w:rsidR="00A862EB">
        <w:t xml:space="preserve"> implemented by VRS providers to enable their customers to place and receive VRS calls</w:t>
      </w:r>
      <w:r w:rsidR="00F36219">
        <w:t>.</w:t>
      </w:r>
      <w:r w:rsidR="00F36219">
        <w:rPr>
          <w:rStyle w:val="FootnoteReference"/>
        </w:rPr>
        <w:footnoteReference w:id="7"/>
      </w:r>
      <w:r w:rsidR="00F36219">
        <w:t xml:space="preserve"> </w:t>
      </w:r>
      <w:r w:rsidR="00BD3AF3">
        <w:t xml:space="preserve"> </w:t>
      </w:r>
      <w:r w:rsidR="009D6EA2">
        <w:t xml:space="preserve">The </w:t>
      </w:r>
      <w:r w:rsidR="00A862EB">
        <w:t xml:space="preserve">purpose of the </w:t>
      </w:r>
      <w:r w:rsidR="009D6EA2">
        <w:t>reference platform</w:t>
      </w:r>
      <w:r w:rsidR="00F36219">
        <w:t xml:space="preserve"> </w:t>
      </w:r>
      <w:r w:rsidR="00A862EB">
        <w:t>is to provide “</w:t>
      </w:r>
      <w:r w:rsidR="005B47D9">
        <w:t>a concrete example of a standards specific VRS access technology implementation</w:t>
      </w:r>
      <w:r w:rsidR="00F36219">
        <w:t xml:space="preserve">” </w:t>
      </w:r>
      <w:r w:rsidR="00604096">
        <w:t>that serves</w:t>
      </w:r>
      <w:r w:rsidR="00F36219">
        <w:t xml:space="preserve"> as a benchmark of interoperability and portability</w:t>
      </w:r>
      <w:r w:rsidR="00604096">
        <w:t xml:space="preserve"> for</w:t>
      </w:r>
      <w:r w:rsidR="006806BB">
        <w:t xml:space="preserve"> </w:t>
      </w:r>
      <w:r w:rsidR="00A862EB">
        <w:t xml:space="preserve">all </w:t>
      </w:r>
      <w:r w:rsidR="006806BB">
        <w:t>VRS</w:t>
      </w:r>
      <w:r w:rsidR="00604096">
        <w:t xml:space="preserve"> access technologies</w:t>
      </w:r>
      <w:r w:rsidR="00F36219">
        <w:t>.</w:t>
      </w:r>
      <w:r w:rsidR="00494F7A">
        <w:t xml:space="preserve"> </w:t>
      </w:r>
      <w:r w:rsidR="00F36219">
        <w:t xml:space="preserve"> The platform will be made publicly available,</w:t>
      </w:r>
      <w:r w:rsidR="00604096">
        <w:rPr>
          <w:rStyle w:val="FootnoteReference"/>
        </w:rPr>
        <w:footnoteReference w:id="8"/>
      </w:r>
      <w:r w:rsidR="00F36219">
        <w:t xml:space="preserve"> allowing providers “</w:t>
      </w:r>
      <w:r w:rsidR="005B47D9">
        <w:t xml:space="preserve">to ensure that any VRS access technology they develop or deploy is fully compliant with </w:t>
      </w:r>
      <w:r w:rsidR="00604096">
        <w:t xml:space="preserve">[Commission] </w:t>
      </w:r>
      <w:r w:rsidR="005B47D9">
        <w:t>interoperabilit</w:t>
      </w:r>
      <w:r w:rsidR="00F36219">
        <w:t>y and portability requirements.”</w:t>
      </w:r>
      <w:r w:rsidR="00F36219">
        <w:rPr>
          <w:rStyle w:val="FootnoteReference"/>
        </w:rPr>
        <w:footnoteReference w:id="9"/>
      </w:r>
      <w:r w:rsidR="00BD3AF3">
        <w:t xml:space="preserve"> </w:t>
      </w:r>
      <w:r w:rsidR="00A862EB">
        <w:t xml:space="preserve"> </w:t>
      </w:r>
      <w:r w:rsidR="00BD3AF3">
        <w:t xml:space="preserve">Ultimately, interoperability with the </w:t>
      </w:r>
      <w:r w:rsidR="002F0C91">
        <w:t>reference platform w</w:t>
      </w:r>
      <w:r w:rsidR="00583E22">
        <w:t>ill be</w:t>
      </w:r>
      <w:r w:rsidR="002F0C91">
        <w:t xml:space="preserve"> “</w:t>
      </w:r>
      <w:r w:rsidR="00583E22">
        <w:t>a minimum condition for a provider’s VRS access techn</w:t>
      </w:r>
      <w:r w:rsidR="002F0C91">
        <w:t>ology to be in compliance with [Commission]</w:t>
      </w:r>
      <w:r w:rsidR="00583E22">
        <w:t xml:space="preserve"> rules” and for “receiving compensation from the </w:t>
      </w:r>
      <w:r w:rsidR="002F0C91">
        <w:t>[TRS Fund]</w:t>
      </w:r>
      <w:r w:rsidR="00583E22">
        <w:t>.”</w:t>
      </w:r>
      <w:r w:rsidR="002F0C91">
        <w:rPr>
          <w:rStyle w:val="FootnoteReference"/>
        </w:rPr>
        <w:footnoteReference w:id="10"/>
      </w:r>
      <w:r w:rsidR="00F36219">
        <w:t xml:space="preserve"> </w:t>
      </w:r>
      <w:r w:rsidR="005B47D9">
        <w:t xml:space="preserve"> </w:t>
      </w:r>
    </w:p>
    <w:p w14:paraId="0C72AE07" w14:textId="77777777" w:rsidR="00BE375E" w:rsidRDefault="00BE375E" w:rsidP="00191C81">
      <w:pPr>
        <w:pStyle w:val="ParaNum"/>
        <w:tabs>
          <w:tab w:val="clear" w:pos="1080"/>
          <w:tab w:val="num" w:pos="1440"/>
        </w:tabs>
      </w:pPr>
      <w:r>
        <w:t xml:space="preserve">The Commission also </w:t>
      </w:r>
      <w:r w:rsidR="00770130">
        <w:t xml:space="preserve">decided in 2013 </w:t>
      </w:r>
      <w:r w:rsidR="00554749">
        <w:t>to allocate</w:t>
      </w:r>
      <w:r w:rsidR="00BB09A3">
        <w:t xml:space="preserve"> TRS funding</w:t>
      </w:r>
      <w:r w:rsidR="00770130">
        <w:t xml:space="preserve"> for research and development</w:t>
      </w:r>
      <w:r w:rsidR="00554749">
        <w:t xml:space="preserve"> (R&amp;D) aimed at “ensuring that TRS is functionally equivalent to voice telephone services and improving the efficiency and availability of TRS.”</w:t>
      </w:r>
      <w:r w:rsidR="00940A14">
        <w:rPr>
          <w:rStyle w:val="FootnoteReference"/>
        </w:rPr>
        <w:footnoteReference w:id="11"/>
      </w:r>
      <w:r w:rsidR="00554749">
        <w:t xml:space="preserve"> </w:t>
      </w:r>
      <w:r w:rsidR="00940A14">
        <w:t xml:space="preserve"> </w:t>
      </w:r>
      <w:r w:rsidR="00554749">
        <w:t>Rather than allow individual providers to claim this funding</w:t>
      </w:r>
      <w:r w:rsidR="00770130">
        <w:t xml:space="preserve">, the Commission </w:t>
      </w:r>
      <w:r w:rsidR="003F592E">
        <w:t>determined</w:t>
      </w:r>
      <w:r w:rsidR="006A6F65">
        <w:t xml:space="preserve"> that a third </w:t>
      </w:r>
      <w:r w:rsidR="00554749">
        <w:t>party should be engaged to carry out R&amp;D under contract with the Commission.</w:t>
      </w:r>
      <w:r w:rsidR="00940A14">
        <w:rPr>
          <w:rStyle w:val="FootnoteReference"/>
        </w:rPr>
        <w:footnoteReference w:id="12"/>
      </w:r>
    </w:p>
    <w:p w14:paraId="268B0934" w14:textId="1624C5FE" w:rsidR="00815621" w:rsidRDefault="005B47D9" w:rsidP="00865958">
      <w:pPr>
        <w:pStyle w:val="ParaNum"/>
        <w:widowControl/>
        <w:tabs>
          <w:tab w:val="clear" w:pos="1080"/>
          <w:tab w:val="num" w:pos="1440"/>
        </w:tabs>
      </w:pPr>
      <w:r>
        <w:t>The</w:t>
      </w:r>
      <w:r w:rsidR="00F36219">
        <w:t xml:space="preserve"> </w:t>
      </w:r>
      <w:r w:rsidR="006234E8">
        <w:t xml:space="preserve">Commission’s Managing Director </w:t>
      </w:r>
      <w:r>
        <w:t xml:space="preserve">has selected and entered into </w:t>
      </w:r>
      <w:r w:rsidR="00990504">
        <w:t xml:space="preserve">a </w:t>
      </w:r>
      <w:r>
        <w:t xml:space="preserve">contract </w:t>
      </w:r>
      <w:r w:rsidR="009D6EA2">
        <w:t xml:space="preserve">on the Commission’s behalf </w:t>
      </w:r>
      <w:r>
        <w:t xml:space="preserve">with VTCSecure </w:t>
      </w:r>
      <w:r w:rsidR="006234E8">
        <w:t xml:space="preserve">to develop </w:t>
      </w:r>
      <w:r w:rsidR="00604096">
        <w:t>and implement</w:t>
      </w:r>
      <w:r w:rsidR="00F36219">
        <w:t xml:space="preserve"> the reference platform</w:t>
      </w:r>
      <w:r w:rsidR="005D284A">
        <w:rPr>
          <w:rStyle w:val="FootnoteReference"/>
        </w:rPr>
        <w:footnoteReference w:id="13"/>
      </w:r>
      <w:r w:rsidR="00554D5B" w:rsidRPr="00554D5B">
        <w:t xml:space="preserve"> </w:t>
      </w:r>
      <w:r w:rsidR="00554D5B">
        <w:t>and with MITRE to conduct</w:t>
      </w:r>
      <w:r w:rsidR="00BB09A3">
        <w:t xml:space="preserve"> </w:t>
      </w:r>
      <w:r w:rsidR="00554D5B">
        <w:t>R&amp;D.</w:t>
      </w:r>
      <w:r w:rsidR="00A22869">
        <w:rPr>
          <w:rStyle w:val="FootnoteReference"/>
        </w:rPr>
        <w:footnoteReference w:id="14"/>
      </w:r>
      <w:r w:rsidR="006234E8">
        <w:t xml:space="preserve"> </w:t>
      </w:r>
      <w:r w:rsidR="00A862EB">
        <w:t xml:space="preserve"> </w:t>
      </w:r>
      <w:r w:rsidR="00FF17E0">
        <w:t>Each of these entities may be hindered in the performance of its</w:t>
      </w:r>
      <w:r w:rsidR="00D00084">
        <w:t xml:space="preserve"> contractual responsibilities</w:t>
      </w:r>
      <w:r w:rsidR="00554D5B">
        <w:t xml:space="preserve"> </w:t>
      </w:r>
      <w:r w:rsidR="00FF17E0">
        <w:t xml:space="preserve">if it is </w:t>
      </w:r>
      <w:r w:rsidR="00D86300">
        <w:t>barred from</w:t>
      </w:r>
      <w:r w:rsidR="00FF17E0">
        <w:t xml:space="preserve"> access</w:t>
      </w:r>
      <w:r w:rsidR="00D86300">
        <w:t>ing</w:t>
      </w:r>
      <w:r w:rsidR="00FF17E0">
        <w:t xml:space="preserve"> the</w:t>
      </w:r>
      <w:r w:rsidR="00583E22">
        <w:t xml:space="preserve"> TRS Numbering Directory, the database that maps VRS users</w:t>
      </w:r>
      <w:r w:rsidR="00E04BC7">
        <w:t>’ telephone numbers to Internet Protocol</w:t>
      </w:r>
      <w:r w:rsidR="00583E22">
        <w:t xml:space="preserve"> addresses to enable VRS call completion.</w:t>
      </w:r>
      <w:r w:rsidR="00583E22">
        <w:rPr>
          <w:rStyle w:val="FootnoteReference"/>
        </w:rPr>
        <w:footnoteReference w:id="15"/>
      </w:r>
      <w:r w:rsidR="00583E22">
        <w:t xml:space="preserve">  </w:t>
      </w:r>
      <w:r w:rsidR="00D86300">
        <w:t>Access to the directory could enable VTCSecure</w:t>
      </w:r>
      <w:r w:rsidR="00FF17E0">
        <w:t xml:space="preserve"> </w:t>
      </w:r>
      <w:r w:rsidR="00583E22">
        <w:t>to perform</w:t>
      </w:r>
      <w:r w:rsidR="00D86300">
        <w:t xml:space="preserve"> more effectively</w:t>
      </w:r>
      <w:r w:rsidR="009D6EA2">
        <w:t xml:space="preserve"> </w:t>
      </w:r>
      <w:r w:rsidR="00A862EB">
        <w:t>various duties that relate to the</w:t>
      </w:r>
      <w:r w:rsidR="00583E22">
        <w:t xml:space="preserve"> development and testing of the platform</w:t>
      </w:r>
      <w:r w:rsidR="00A862EB">
        <w:t>, as well as other tasks that may arise in the course of its responsibilities as reference platform administrator</w:t>
      </w:r>
      <w:r w:rsidR="00583E22">
        <w:t xml:space="preserve">.  </w:t>
      </w:r>
      <w:r w:rsidR="00D86300">
        <w:t xml:space="preserve">Such access could similarly assist </w:t>
      </w:r>
      <w:r w:rsidR="00554749">
        <w:t xml:space="preserve">MITRE </w:t>
      </w:r>
      <w:r w:rsidR="00D86300">
        <w:t>in carrying</w:t>
      </w:r>
      <w:r w:rsidR="006046C6">
        <w:t xml:space="preserve"> out various </w:t>
      </w:r>
      <w:r w:rsidR="00D44AE1">
        <w:t xml:space="preserve">of its assigned </w:t>
      </w:r>
      <w:r w:rsidR="006046C6">
        <w:t xml:space="preserve">R&amp;D tasks, such as working to improve VRS call routing capabilities. </w:t>
      </w:r>
      <w:r w:rsidR="00261B06">
        <w:t xml:space="preserve"> </w:t>
      </w:r>
      <w:r w:rsidR="00583E22">
        <w:t xml:space="preserve">Yet </w:t>
      </w:r>
      <w:r w:rsidR="00BE375E">
        <w:t xml:space="preserve">neither </w:t>
      </w:r>
      <w:r w:rsidR="00583E22">
        <w:t>VTCSecure</w:t>
      </w:r>
      <w:r w:rsidR="00BE375E">
        <w:t xml:space="preserve"> nor MITRE</w:t>
      </w:r>
      <w:r w:rsidR="00583E22">
        <w:t xml:space="preserve"> is an “Internet-based TRS provider</w:t>
      </w:r>
      <w:r w:rsidR="005D284A">
        <w:t>”</w:t>
      </w:r>
      <w:r w:rsidR="00BE375E">
        <w:t xml:space="preserve"> </w:t>
      </w:r>
      <w:r w:rsidR="006046C6">
        <w:t>permitted</w:t>
      </w:r>
      <w:r w:rsidR="00BE375E">
        <w:t xml:space="preserve"> </w:t>
      </w:r>
      <w:r w:rsidR="002024C7">
        <w:t xml:space="preserve">access to the directory </w:t>
      </w:r>
      <w:r w:rsidR="00583E22">
        <w:t xml:space="preserve">under </w:t>
      </w:r>
      <w:r w:rsidR="00990504">
        <w:t>s</w:t>
      </w:r>
      <w:r w:rsidR="00D51BF0">
        <w:t>ection 64.613(a)(4</w:t>
      </w:r>
      <w:r w:rsidR="006806BB">
        <w:t>)</w:t>
      </w:r>
      <w:r w:rsidR="00583E22">
        <w:t xml:space="preserve"> of the Commission’s rules</w:t>
      </w:r>
      <w:r w:rsidR="00D51BF0">
        <w:t>.</w:t>
      </w:r>
      <w:r w:rsidR="005D284A">
        <w:rPr>
          <w:rStyle w:val="FootnoteReference"/>
        </w:rPr>
        <w:footnoteReference w:id="16"/>
      </w:r>
      <w:r w:rsidR="00D51BF0">
        <w:t xml:space="preserve"> </w:t>
      </w:r>
      <w:r w:rsidR="00494F7A">
        <w:t xml:space="preserve"> </w:t>
      </w:r>
      <w:r w:rsidR="00554D5B">
        <w:t xml:space="preserve">       </w:t>
      </w:r>
    </w:p>
    <w:p w14:paraId="3EECCE62" w14:textId="1BCC605E" w:rsidR="00F95287" w:rsidRDefault="00627ABD" w:rsidP="00865958">
      <w:pPr>
        <w:pStyle w:val="ParaNum"/>
        <w:widowControl/>
        <w:tabs>
          <w:tab w:val="clear" w:pos="1080"/>
          <w:tab w:val="num" w:pos="1440"/>
        </w:tabs>
      </w:pPr>
      <w:r>
        <w:t>The Commission may waive a provision of its rules on its own motion “if good cause therefor is shown.”</w:t>
      </w:r>
      <w:r w:rsidR="00F95287">
        <w:rPr>
          <w:rStyle w:val="FootnoteReference"/>
        </w:rPr>
        <w:footnoteReference w:id="17"/>
      </w:r>
      <w:r>
        <w:t xml:space="preserve"> </w:t>
      </w:r>
      <w:r w:rsidR="00494F7A">
        <w:t xml:space="preserve"> </w:t>
      </w:r>
      <w:r w:rsidRPr="00627ABD">
        <w:t>A</w:t>
      </w:r>
      <w:r w:rsidR="00EE2E98">
        <w:t xml:space="preserve"> </w:t>
      </w:r>
      <w:r w:rsidRPr="00627ABD">
        <w:t>waiver is appropriate</w:t>
      </w:r>
      <w:r w:rsidR="006806BB">
        <w:t xml:space="preserve"> where</w:t>
      </w:r>
      <w:r w:rsidR="00047285" w:rsidRPr="00047285">
        <w:rPr>
          <w:rFonts w:ascii="Arial" w:hAnsi="Arial" w:cs="Arial"/>
          <w:color w:val="252525"/>
          <w:sz w:val="21"/>
          <w:szCs w:val="21"/>
        </w:rPr>
        <w:t xml:space="preserve"> </w:t>
      </w:r>
      <w:r w:rsidR="00047285">
        <w:t>“</w:t>
      </w:r>
      <w:r w:rsidR="00047285" w:rsidRPr="00047285">
        <w:t>particular facts would make strict compliance inconsistent with the public interest</w:t>
      </w:r>
      <w:r w:rsidR="00047285">
        <w:t>” or, in other words, where</w:t>
      </w:r>
      <w:r w:rsidR="006806BB">
        <w:t xml:space="preserve"> “</w:t>
      </w:r>
      <w:r w:rsidR="006806BB" w:rsidRPr="006806BB">
        <w:t>special circumstances warrant a deviation from the general rule and such deviation will serve the public interest</w:t>
      </w:r>
      <w:r w:rsidR="006806BB">
        <w:t>.”</w:t>
      </w:r>
      <w:r>
        <w:rPr>
          <w:rStyle w:val="FootnoteReference"/>
        </w:rPr>
        <w:footnoteReference w:id="18"/>
      </w:r>
      <w:r>
        <w:t xml:space="preserve"> </w:t>
      </w:r>
      <w:r w:rsidR="009D6EA2">
        <w:t xml:space="preserve"> </w:t>
      </w:r>
      <w:r w:rsidR="00EA742B">
        <w:t>This</w:t>
      </w:r>
      <w:r w:rsidR="00D51BF0">
        <w:t xml:space="preserve"> standard is clearly met here.</w:t>
      </w:r>
      <w:r w:rsidR="00EA742B">
        <w:t xml:space="preserve"> </w:t>
      </w:r>
      <w:r w:rsidR="009D6EA2">
        <w:t xml:space="preserve"> </w:t>
      </w:r>
      <w:r w:rsidR="008B0534">
        <w:t xml:space="preserve">The </w:t>
      </w:r>
      <w:r w:rsidR="005C7B05">
        <w:t xml:space="preserve">primary </w:t>
      </w:r>
      <w:r w:rsidR="008B0534">
        <w:t xml:space="preserve">purpose of allowing only TRS providers and the TRS Numbering </w:t>
      </w:r>
      <w:r w:rsidR="00472699">
        <w:t>Administrator</w:t>
      </w:r>
      <w:r w:rsidR="008B0534">
        <w:t xml:space="preserve"> to access the directory is to protect</w:t>
      </w:r>
      <w:r w:rsidR="003E1029">
        <w:t xml:space="preserve"> “the security of the </w:t>
      </w:r>
      <w:r w:rsidR="00301C16">
        <w:t>central database</w:t>
      </w:r>
      <w:r w:rsidR="003E1029">
        <w:t xml:space="preserve"> and privacy of the data contained therein.”</w:t>
      </w:r>
      <w:r w:rsidR="00301C16">
        <w:rPr>
          <w:rStyle w:val="FootnoteReference"/>
        </w:rPr>
        <w:footnoteReference w:id="19"/>
      </w:r>
      <w:r w:rsidR="00494F7A">
        <w:t xml:space="preserve"> </w:t>
      </w:r>
      <w:r w:rsidR="003E1029">
        <w:t xml:space="preserve"> </w:t>
      </w:r>
      <w:r w:rsidR="00051A71">
        <w:t xml:space="preserve">Both VTCSecure and MITRE </w:t>
      </w:r>
      <w:r w:rsidR="00022A4B">
        <w:t>operate under detailed contractual agreements</w:t>
      </w:r>
      <w:r w:rsidR="004A0177">
        <w:t xml:space="preserve"> that include safeguards to protect non-public information from unwarranted disclosure, and both </w:t>
      </w:r>
      <w:r w:rsidR="00022A4B">
        <w:t xml:space="preserve">perform their responsibilities in close coordination with, </w:t>
      </w:r>
      <w:r w:rsidR="000A1130">
        <w:t xml:space="preserve">and under the supervision of, Commission staff. </w:t>
      </w:r>
      <w:r w:rsidR="00051A71">
        <w:t xml:space="preserve"> </w:t>
      </w:r>
      <w:r w:rsidR="000A1130">
        <w:t>Permitting these entities to</w:t>
      </w:r>
      <w:r w:rsidR="0089338C">
        <w:t xml:space="preserve"> access the </w:t>
      </w:r>
      <w:r w:rsidR="000A1130">
        <w:t>TRS Numbering D</w:t>
      </w:r>
      <w:r w:rsidR="0089338C">
        <w:t xml:space="preserve">irectory </w:t>
      </w:r>
      <w:r w:rsidR="00341293">
        <w:t xml:space="preserve">to the extent necessary </w:t>
      </w:r>
      <w:r w:rsidR="00745639">
        <w:t xml:space="preserve">to carry out their contractual obligations </w:t>
      </w:r>
      <w:r w:rsidR="008B0534">
        <w:t xml:space="preserve">would </w:t>
      </w:r>
      <w:r w:rsidR="0089338C">
        <w:t xml:space="preserve">therefore </w:t>
      </w:r>
      <w:r w:rsidR="00B20DC0">
        <w:t xml:space="preserve">be consistent with </w:t>
      </w:r>
      <w:r w:rsidR="00F95287">
        <w:t>th</w:t>
      </w:r>
      <w:r w:rsidR="0089338C">
        <w:t>e</w:t>
      </w:r>
      <w:r w:rsidR="00F95287">
        <w:t xml:space="preserve"> </w:t>
      </w:r>
      <w:r w:rsidR="008B0534">
        <w:t xml:space="preserve">security </w:t>
      </w:r>
      <w:r w:rsidR="00F95287">
        <w:t>and</w:t>
      </w:r>
      <w:r w:rsidR="008B0534">
        <w:t xml:space="preserve"> privacy interests</w:t>
      </w:r>
      <w:r w:rsidR="0089338C">
        <w:t xml:space="preserve"> that motivated the Commission to withhold access to the directory from the general public</w:t>
      </w:r>
      <w:r w:rsidR="003E1029">
        <w:t xml:space="preserve">.  Moreover, </w:t>
      </w:r>
      <w:r w:rsidR="00FF17E0">
        <w:t>declaring</w:t>
      </w:r>
      <w:r w:rsidR="00D86300">
        <w:t xml:space="preserve"> </w:t>
      </w:r>
      <w:r w:rsidR="00F20ED1">
        <w:t xml:space="preserve">VTCSecure </w:t>
      </w:r>
      <w:r w:rsidR="00940A14">
        <w:t>and MITRE</w:t>
      </w:r>
      <w:r w:rsidR="009720A7">
        <w:t xml:space="preserve"> </w:t>
      </w:r>
      <w:r w:rsidR="00FF17E0">
        <w:t xml:space="preserve">eligible </w:t>
      </w:r>
      <w:r w:rsidR="009720A7">
        <w:t>to</w:t>
      </w:r>
      <w:r w:rsidR="00F20ED1">
        <w:t xml:space="preserve"> access the directory</w:t>
      </w:r>
      <w:r w:rsidR="00F95287">
        <w:t xml:space="preserve"> </w:t>
      </w:r>
      <w:r w:rsidR="008B0534">
        <w:t xml:space="preserve">will further the public interest by </w:t>
      </w:r>
      <w:r w:rsidR="00642EE3">
        <w:t xml:space="preserve">enabling </w:t>
      </w:r>
      <w:r w:rsidR="00940A14">
        <w:t xml:space="preserve">each entity </w:t>
      </w:r>
      <w:r w:rsidR="00642EE3">
        <w:t xml:space="preserve">to fully perform </w:t>
      </w:r>
      <w:r w:rsidR="00940A14">
        <w:t>the</w:t>
      </w:r>
      <w:r w:rsidR="00642EE3">
        <w:t xml:space="preserve"> </w:t>
      </w:r>
      <w:r w:rsidR="00047285">
        <w:t>unique responsibilities</w:t>
      </w:r>
      <w:r w:rsidR="00D00084">
        <w:t xml:space="preserve"> </w:t>
      </w:r>
      <w:r w:rsidR="000A1130">
        <w:t>associated with its role</w:t>
      </w:r>
      <w:r w:rsidR="006046C6">
        <w:t>.</w:t>
      </w:r>
      <w:r w:rsidR="00642EE3">
        <w:t xml:space="preserve"> </w:t>
      </w:r>
      <w:r w:rsidR="00D00084">
        <w:t xml:space="preserve"> </w:t>
      </w:r>
      <w:r w:rsidR="00940A14">
        <w:t>For VTCSecure</w:t>
      </w:r>
      <w:r w:rsidR="00D00084">
        <w:t>,</w:t>
      </w:r>
      <w:r w:rsidR="00940A14">
        <w:t xml:space="preserve"> these</w:t>
      </w:r>
      <w:r w:rsidR="002024C7">
        <w:t xml:space="preserve"> responsibilities</w:t>
      </w:r>
      <w:r w:rsidR="00940A14">
        <w:t xml:space="preserve"> </w:t>
      </w:r>
      <w:r w:rsidR="00472699">
        <w:t>include</w:t>
      </w:r>
      <w:r w:rsidR="008B0534">
        <w:t xml:space="preserve"> </w:t>
      </w:r>
      <w:r w:rsidR="00F95287">
        <w:t xml:space="preserve">developing and testing the </w:t>
      </w:r>
      <w:r w:rsidR="00017564">
        <w:t xml:space="preserve">reference </w:t>
      </w:r>
      <w:r w:rsidR="00F95287">
        <w:t>platform and providing technical support to VRS providers, developers and end users</w:t>
      </w:r>
      <w:r w:rsidR="00940A14">
        <w:t>,</w:t>
      </w:r>
      <w:r w:rsidR="00D00084">
        <w:t xml:space="preserve"> </w:t>
      </w:r>
      <w:r w:rsidR="00940A14">
        <w:t>and for MITRE</w:t>
      </w:r>
      <w:r w:rsidR="00D00084">
        <w:t>,</w:t>
      </w:r>
      <w:r w:rsidR="00940A14">
        <w:t xml:space="preserve"> these </w:t>
      </w:r>
      <w:r w:rsidR="006046C6">
        <w:t xml:space="preserve">include various research </w:t>
      </w:r>
      <w:r w:rsidR="001E1043">
        <w:t xml:space="preserve">and development </w:t>
      </w:r>
      <w:r w:rsidR="006046C6">
        <w:t xml:space="preserve">tasks aimed at improving the overall state of VRS and other forms of TRS.  </w:t>
      </w:r>
    </w:p>
    <w:p w14:paraId="1DB64BD0" w14:textId="43B6F4AD" w:rsidR="00D51BF0" w:rsidRDefault="00EA742B" w:rsidP="00EA742B">
      <w:pPr>
        <w:pStyle w:val="ParaNum"/>
        <w:tabs>
          <w:tab w:val="clear" w:pos="1080"/>
          <w:tab w:val="num" w:pos="1440"/>
        </w:tabs>
      </w:pPr>
      <w:r>
        <w:t xml:space="preserve">For these reasons, we waive section 64.613(a)(4) to the extent it prohibits </w:t>
      </w:r>
      <w:r w:rsidR="00D00084">
        <w:t xml:space="preserve">either </w:t>
      </w:r>
      <w:r>
        <w:t>VTCSecure</w:t>
      </w:r>
      <w:r w:rsidR="00D00084">
        <w:t xml:space="preserve"> or MITRE</w:t>
      </w:r>
      <w:r>
        <w:t xml:space="preserve"> from accessing the TRS Numbering Directory</w:t>
      </w:r>
      <w:r w:rsidR="000669D7">
        <w:t xml:space="preserve"> for the purposes assigned by the Commission to achieve fulfillment of each entity’s contractual obligations.</w:t>
      </w:r>
      <w:r w:rsidR="00301C16">
        <w:t xml:space="preserve"> </w:t>
      </w:r>
      <w:r>
        <w:t xml:space="preserve"> We also waive section</w:t>
      </w:r>
      <w:r w:rsidR="004A0177">
        <w:t>s</w:t>
      </w:r>
      <w:r>
        <w:t xml:space="preserve"> </w:t>
      </w:r>
      <w:r w:rsidR="004A0177">
        <w:t xml:space="preserve">64.613(b)(2) and </w:t>
      </w:r>
      <w:r>
        <w:t xml:space="preserve">64.623(c) </w:t>
      </w:r>
      <w:r w:rsidR="002F0C91">
        <w:t xml:space="preserve">as to the TRS Numbering Administrator, Neustar, to </w:t>
      </w:r>
      <w:r>
        <w:t xml:space="preserve">the extent </w:t>
      </w:r>
      <w:r w:rsidR="004A0177">
        <w:t>either of these</w:t>
      </w:r>
      <w:r w:rsidR="002F0C91">
        <w:t xml:space="preserve"> provision</w:t>
      </w:r>
      <w:r w:rsidR="004A0177">
        <w:t>s</w:t>
      </w:r>
      <w:r w:rsidR="002F0C91">
        <w:t xml:space="preserve"> separately prohibits Neustar from granting </w:t>
      </w:r>
      <w:r w:rsidR="004A0177">
        <w:t>VTCSecure or MITRE</w:t>
      </w:r>
      <w:r w:rsidR="002F0C91">
        <w:t xml:space="preserve"> access to the directory.  </w:t>
      </w:r>
      <w:r w:rsidR="00642EE3">
        <w:t>In granting this relief, we rem</w:t>
      </w:r>
      <w:r w:rsidR="00026AFC">
        <w:t xml:space="preserve">ind </w:t>
      </w:r>
      <w:r w:rsidR="002024C7">
        <w:t xml:space="preserve">both </w:t>
      </w:r>
      <w:r w:rsidR="00026AFC">
        <w:t xml:space="preserve">VTCSecure </w:t>
      </w:r>
      <w:r w:rsidR="002024C7">
        <w:t xml:space="preserve">and MITRE </w:t>
      </w:r>
      <w:r w:rsidR="00026AFC">
        <w:t xml:space="preserve">of </w:t>
      </w:r>
      <w:r w:rsidR="002024C7">
        <w:t>their</w:t>
      </w:r>
      <w:r w:rsidR="00026AFC">
        <w:t xml:space="preserve"> obligation</w:t>
      </w:r>
      <w:r w:rsidR="002024C7">
        <w:t>s</w:t>
      </w:r>
      <w:r w:rsidR="00642EE3">
        <w:t xml:space="preserve"> to comply with the terms of </w:t>
      </w:r>
      <w:r w:rsidR="002024C7">
        <w:t>their</w:t>
      </w:r>
      <w:r w:rsidR="00642EE3">
        <w:t xml:space="preserve"> </w:t>
      </w:r>
      <w:r w:rsidR="002024C7">
        <w:t xml:space="preserve">contracts </w:t>
      </w:r>
      <w:r w:rsidR="00642EE3">
        <w:t xml:space="preserve">and with applicable Commission requirements. </w:t>
      </w:r>
    </w:p>
    <w:p w14:paraId="7587259A" w14:textId="582DED40" w:rsidR="00EA742B" w:rsidRDefault="00EA742B" w:rsidP="00EA742B">
      <w:pPr>
        <w:pStyle w:val="ParaNum"/>
        <w:tabs>
          <w:tab w:val="clear" w:pos="1080"/>
          <w:tab w:val="num" w:pos="1440"/>
        </w:tabs>
      </w:pPr>
      <w:r>
        <w:t>ACCORDINGLY, IT IS ORDERED that, pursuant to sections 1-</w:t>
      </w:r>
      <w:r w:rsidR="00917614">
        <w:t>5</w:t>
      </w:r>
      <w:r>
        <w:t xml:space="preserve"> of the Communications Act of 1934, as amended, 47 U.S.C. §§ 151-15</w:t>
      </w:r>
      <w:r w:rsidR="00917614">
        <w:t>5</w:t>
      </w:r>
      <w:r>
        <w:t>, and sections 0.91, 0.291, and 1.3 of the Commission’s rules, 47 C.F.R. §§ 0.91, 0.291,</w:t>
      </w:r>
      <w:r w:rsidR="008B68AA">
        <w:t xml:space="preserve"> </w:t>
      </w:r>
      <w:r>
        <w:t xml:space="preserve">1.3, sections </w:t>
      </w:r>
      <w:r w:rsidR="00683B18">
        <w:t>64.613(a</w:t>
      </w:r>
      <w:r>
        <w:t>)</w:t>
      </w:r>
      <w:r w:rsidR="00683B18">
        <w:t>(4</w:t>
      </w:r>
      <w:r w:rsidR="008B68AA">
        <w:t>), 64.613(b)(2)</w:t>
      </w:r>
      <w:r w:rsidR="00683B18">
        <w:t xml:space="preserve"> and 64.623(c)</w:t>
      </w:r>
      <w:r>
        <w:t xml:space="preserve"> of the Commission’s rules, 47 C.F.R. §</w:t>
      </w:r>
      <w:r w:rsidR="00683B18">
        <w:t>§</w:t>
      </w:r>
      <w:r>
        <w:t xml:space="preserve"> </w:t>
      </w:r>
      <w:r w:rsidR="00683B18">
        <w:t xml:space="preserve">64.613(a)(4), </w:t>
      </w:r>
      <w:r w:rsidR="008B68AA">
        <w:t xml:space="preserve">64.613(b)(2), </w:t>
      </w:r>
      <w:r w:rsidR="00683B18">
        <w:t>64.623(c)</w:t>
      </w:r>
      <w:r>
        <w:t xml:space="preserve">, </w:t>
      </w:r>
      <w:r w:rsidR="00683B18">
        <w:t>ARE</w:t>
      </w:r>
      <w:r>
        <w:t xml:space="preserve"> WAIVED to the extent indicated herein.</w:t>
      </w:r>
      <w:r w:rsidR="009720A7">
        <w:t xml:space="preserve"> </w:t>
      </w:r>
    </w:p>
    <w:p w14:paraId="5CBA8A3E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7B564BC1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38A52625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32B53D2C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6DF891C1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73FC91F8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3B78D6D9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25D71122" w14:textId="77777777" w:rsidR="00400B17" w:rsidRDefault="00400B17" w:rsidP="00865958">
      <w:pPr>
        <w:pStyle w:val="ParaNum"/>
        <w:numPr>
          <w:ilvl w:val="0"/>
          <w:numId w:val="0"/>
        </w:numPr>
        <w:ind w:firstLine="720"/>
      </w:pPr>
    </w:p>
    <w:p w14:paraId="46B91813" w14:textId="77777777" w:rsidR="009720A7" w:rsidRDefault="009720A7" w:rsidP="00EA742B">
      <w:pPr>
        <w:pStyle w:val="ParaNum"/>
        <w:tabs>
          <w:tab w:val="clear" w:pos="1080"/>
          <w:tab w:val="num" w:pos="1440"/>
        </w:tabs>
      </w:pPr>
      <w:r w:rsidRPr="009720A7">
        <w:t xml:space="preserve"> IT IS FURTHER ORDERED that, pursuant to </w:t>
      </w:r>
      <w:r w:rsidRPr="0082169A">
        <w:t>section 1.102</w:t>
      </w:r>
      <w:r w:rsidR="00917614">
        <w:t>(b)</w:t>
      </w:r>
      <w:r w:rsidRPr="009720A7">
        <w:t> of the Commission's rules, </w:t>
      </w:r>
      <w:r w:rsidRPr="0082169A">
        <w:t>47 C.F.R. §</w:t>
      </w:r>
      <w:r w:rsidRPr="009720A7">
        <w:t> </w:t>
      </w:r>
      <w:r w:rsidRPr="0082169A">
        <w:t>1.102</w:t>
      </w:r>
      <w:r w:rsidR="00917614">
        <w:t>(b)</w:t>
      </w:r>
      <w:r w:rsidRPr="009720A7">
        <w:t>, this Order SHALL BE EFFECTIVE upon release</w:t>
      </w:r>
      <w:r>
        <w:t xml:space="preserve">. </w:t>
      </w:r>
    </w:p>
    <w:p w14:paraId="45DD58C2" w14:textId="77777777" w:rsidR="00EA742B" w:rsidRDefault="00EA742B" w:rsidP="00EA742B">
      <w:pPr>
        <w:pStyle w:val="ParaNum"/>
        <w:keepNext/>
        <w:keepLines/>
        <w:widowControl/>
        <w:numPr>
          <w:ilvl w:val="0"/>
          <w:numId w:val="0"/>
        </w:numPr>
        <w:ind w:firstLine="720"/>
      </w:pPr>
    </w:p>
    <w:p w14:paraId="57A2EBBB" w14:textId="77777777" w:rsidR="00EA742B" w:rsidRDefault="00EA742B" w:rsidP="00EA742B">
      <w:pPr>
        <w:pStyle w:val="ParaNum"/>
        <w:keepNext/>
        <w:keepLines/>
        <w:widowControl/>
        <w:numPr>
          <w:ilvl w:val="0"/>
          <w:numId w:val="0"/>
        </w:numPr>
        <w:ind w:left="3600" w:firstLine="720"/>
      </w:pPr>
      <w:r>
        <w:t>FEDERAL COMMUNICATIONS COMMISSION</w:t>
      </w:r>
    </w:p>
    <w:p w14:paraId="203A5C4C" w14:textId="77777777" w:rsidR="00EA742B" w:rsidRDefault="00EA742B" w:rsidP="00EA742B">
      <w:pPr>
        <w:pStyle w:val="ParaNum"/>
        <w:keepNext/>
        <w:keepLines/>
        <w:widowControl/>
        <w:numPr>
          <w:ilvl w:val="0"/>
          <w:numId w:val="0"/>
        </w:numPr>
        <w:ind w:left="3600" w:firstLine="720"/>
      </w:pPr>
    </w:p>
    <w:p w14:paraId="79F390A5" w14:textId="77777777" w:rsidR="00EA742B" w:rsidRDefault="00EA742B" w:rsidP="00EA742B">
      <w:pPr>
        <w:pStyle w:val="ParaNum"/>
        <w:keepNext/>
        <w:keepLines/>
        <w:widowControl/>
        <w:numPr>
          <w:ilvl w:val="0"/>
          <w:numId w:val="0"/>
        </w:numPr>
        <w:ind w:left="3600" w:firstLine="720"/>
      </w:pPr>
    </w:p>
    <w:p w14:paraId="1000FD42" w14:textId="77777777" w:rsidR="00EA742B" w:rsidRDefault="00683B18" w:rsidP="00EA742B">
      <w:pPr>
        <w:pStyle w:val="ParaNum"/>
        <w:keepNext/>
        <w:keepLines/>
        <w:widowControl/>
        <w:numPr>
          <w:ilvl w:val="0"/>
          <w:numId w:val="0"/>
        </w:numPr>
        <w:spacing w:after="0"/>
        <w:ind w:left="3600" w:firstLine="720"/>
      </w:pPr>
      <w:r>
        <w:t>Matthew S. DelNero</w:t>
      </w:r>
    </w:p>
    <w:p w14:paraId="1100956F" w14:textId="77777777" w:rsidR="00EA742B" w:rsidRDefault="00EA742B" w:rsidP="00EA742B">
      <w:pPr>
        <w:pStyle w:val="ParaNum"/>
        <w:keepNext/>
        <w:keepLines/>
        <w:widowControl/>
        <w:numPr>
          <w:ilvl w:val="0"/>
          <w:numId w:val="0"/>
        </w:numPr>
        <w:spacing w:after="0"/>
        <w:ind w:left="3600" w:firstLine="720"/>
      </w:pPr>
      <w:r>
        <w:t>Chief</w:t>
      </w:r>
    </w:p>
    <w:p w14:paraId="5E718F9A" w14:textId="77777777" w:rsidR="00EA742B" w:rsidRDefault="00EA742B" w:rsidP="00EA742B">
      <w:pPr>
        <w:pStyle w:val="ParaNum"/>
        <w:keepNext/>
        <w:keepLines/>
        <w:widowControl/>
        <w:numPr>
          <w:ilvl w:val="0"/>
          <w:numId w:val="0"/>
        </w:numPr>
        <w:ind w:left="3600" w:firstLine="720"/>
      </w:pPr>
      <w:r>
        <w:t>Wireline Competition Bureau</w:t>
      </w:r>
    </w:p>
    <w:sectPr w:rsidR="00EA742B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4E1D" w14:textId="77777777" w:rsidR="00F76A5B" w:rsidRDefault="00F76A5B">
      <w:pPr>
        <w:spacing w:line="20" w:lineRule="exact"/>
      </w:pPr>
    </w:p>
  </w:endnote>
  <w:endnote w:type="continuationSeparator" w:id="0">
    <w:p w14:paraId="41614DB1" w14:textId="77777777" w:rsidR="00F76A5B" w:rsidRDefault="00F76A5B">
      <w:r>
        <w:t xml:space="preserve"> </w:t>
      </w:r>
    </w:p>
  </w:endnote>
  <w:endnote w:type="continuationNotice" w:id="1">
    <w:p w14:paraId="6DC4D86C" w14:textId="77777777" w:rsidR="00F76A5B" w:rsidRDefault="00F76A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5DC1C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ED9D385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0D79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63B5D">
      <w:rPr>
        <w:noProof/>
      </w:rPr>
      <w:t>3</w:t>
    </w:r>
    <w:r>
      <w:fldChar w:fldCharType="end"/>
    </w:r>
  </w:p>
  <w:p w14:paraId="227DD8EA" w14:textId="1F430065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52FF" w14:textId="77777777" w:rsidR="00AB6434" w:rsidRDefault="00AB6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9EB91" w14:textId="77777777" w:rsidR="00F76A5B" w:rsidRDefault="00F76A5B">
      <w:r>
        <w:separator/>
      </w:r>
    </w:p>
  </w:footnote>
  <w:footnote w:type="continuationSeparator" w:id="0">
    <w:p w14:paraId="4C03A9DE" w14:textId="77777777" w:rsidR="00F76A5B" w:rsidRDefault="00F76A5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AD13CEA" w14:textId="77777777" w:rsidR="00F76A5B" w:rsidRDefault="00F76A5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318B0FFB" w14:textId="480D33EA" w:rsidR="00472699" w:rsidRDefault="00472699">
      <w:pPr>
        <w:pStyle w:val="FootnoteText"/>
      </w:pPr>
      <w:r>
        <w:rPr>
          <w:rStyle w:val="FootnoteReference"/>
        </w:rPr>
        <w:footnoteRef/>
      </w:r>
      <w:r>
        <w:t xml:space="preserve"> Section 64.613(a)(4) provides that “[o]</w:t>
      </w:r>
      <w:r w:rsidRPr="00472699">
        <w:t>nly the TRS Numbering Administrator and Internet-based TRS providers may access the TRS Numbering Directory</w:t>
      </w:r>
      <w:r>
        <w:t>.”  47 C.F.R. § 64.613(a)(4).  Section</w:t>
      </w:r>
      <w:r w:rsidR="004A0177">
        <w:t>s</w:t>
      </w:r>
      <w:r>
        <w:t xml:space="preserve"> </w:t>
      </w:r>
      <w:r w:rsidR="004A0177">
        <w:t xml:space="preserve">64.613(b)(2) and </w:t>
      </w:r>
      <w:r>
        <w:t xml:space="preserve">64.623(c) </w:t>
      </w:r>
      <w:r w:rsidR="00FE7119">
        <w:t>each</w:t>
      </w:r>
      <w:r w:rsidR="004A0177">
        <w:t xml:space="preserve"> </w:t>
      </w:r>
      <w:r>
        <w:t>provide that the TRS Numbering Administrator shall administer</w:t>
      </w:r>
      <w:r w:rsidR="004A0177">
        <w:t xml:space="preserve"> the numbering directory “</w:t>
      </w:r>
      <w:r>
        <w:t xml:space="preserve">pursuant to the terms of its contract.” </w:t>
      </w:r>
      <w:r w:rsidRPr="00472699">
        <w:t xml:space="preserve"> </w:t>
      </w:r>
      <w:r>
        <w:t>47 C.F.R. §</w:t>
      </w:r>
      <w:r w:rsidR="004A0177">
        <w:t>§ 64.613(b)(2),</w:t>
      </w:r>
      <w:r>
        <w:t xml:space="preserve"> 64.623(c).</w:t>
      </w:r>
    </w:p>
  </w:footnote>
  <w:footnote w:id="3">
    <w:p w14:paraId="3EF0E47A" w14:textId="77777777" w:rsidR="00D00084" w:rsidRDefault="00D000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24C7" w:rsidRPr="00AE605B">
        <w:rPr>
          <w:i/>
        </w:rPr>
        <w:t>See</w:t>
      </w:r>
      <w:r w:rsidR="002024C7">
        <w:t xml:space="preserve"> VTCSecure, www.vtcsecure.com (last visited Oct. 20, 2015).</w:t>
      </w:r>
    </w:p>
  </w:footnote>
  <w:footnote w:id="4">
    <w:p w14:paraId="3A7A036C" w14:textId="77777777" w:rsidR="00472699" w:rsidRDefault="004726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2699">
        <w:rPr>
          <w:i/>
        </w:rPr>
        <w:t>See</w:t>
      </w:r>
      <w:r>
        <w:t xml:space="preserve"> 47 C.F.R. § 64.619. </w:t>
      </w:r>
    </w:p>
  </w:footnote>
  <w:footnote w:id="5">
    <w:p w14:paraId="75E21DAC" w14:textId="77777777" w:rsidR="009A05BE" w:rsidRDefault="009A05BE" w:rsidP="009A05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169A">
        <w:rPr>
          <w:i/>
        </w:rPr>
        <w:t>See</w:t>
      </w:r>
      <w:r>
        <w:t xml:space="preserve"> MITRE Corp., </w:t>
      </w:r>
      <w:r w:rsidRPr="0082169A">
        <w:t>www.mitre.org</w:t>
      </w:r>
      <w:r>
        <w:t xml:space="preserve"> (last visited Oct. 20, 2015). </w:t>
      </w:r>
      <w:r w:rsidRPr="009A05BE">
        <w:t xml:space="preserve">The MITRE Corporation is a private, not-for-profit corporation that operates federally funded research and development centers (FFRDCs).  The </w:t>
      </w:r>
      <w:r w:rsidR="00296BE6">
        <w:t xml:space="preserve">FCC </w:t>
      </w:r>
      <w:r w:rsidRPr="009A05BE">
        <w:t>contract is, more specifically, an order placed with an FFRDC operated by MITRE under the sponsorship of, and under contract with, the U.S. Department of Health and Human Services.</w:t>
      </w:r>
    </w:p>
  </w:footnote>
  <w:footnote w:id="6">
    <w:p w14:paraId="7E994EB6" w14:textId="77777777" w:rsidR="00BE375E" w:rsidRDefault="00BE37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0727">
        <w:rPr>
          <w:i/>
        </w:rPr>
        <w:t xml:space="preserve">See Structure and Practices of the Video Relay Services Program </w:t>
      </w:r>
      <w:r>
        <w:t>et al., CG Docket No. 10-51 et al., 28 FCC Rcd 8618</w:t>
      </w:r>
      <w:r w:rsidRPr="00A862EB">
        <w:t xml:space="preserve">, </w:t>
      </w:r>
      <w:r>
        <w:t>8620</w:t>
      </w:r>
      <w:r w:rsidR="00F03289">
        <w:t>,</w:t>
      </w:r>
      <w:r>
        <w:t xml:space="preserve"> </w:t>
      </w:r>
      <w:r w:rsidRPr="00A862EB">
        <w:t>para</w:t>
      </w:r>
      <w:r>
        <w:t>.</w:t>
      </w:r>
      <w:r w:rsidRPr="00A862EB">
        <w:t xml:space="preserve"> 1 (2013</w:t>
      </w:r>
      <w:r>
        <w:t>) (</w:t>
      </w:r>
      <w:r w:rsidRPr="00534FD7">
        <w:rPr>
          <w:i/>
        </w:rPr>
        <w:t>VRS Reform Order</w:t>
      </w:r>
      <w:r w:rsidR="002E0554" w:rsidRPr="002E0554">
        <w:t>).</w:t>
      </w:r>
    </w:p>
  </w:footnote>
  <w:footnote w:id="7">
    <w:p w14:paraId="5A6D8670" w14:textId="77777777" w:rsidR="00F36219" w:rsidRDefault="00F362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4FD7" w:rsidRPr="00F30727">
        <w:rPr>
          <w:i/>
        </w:rPr>
        <w:t xml:space="preserve">See </w:t>
      </w:r>
      <w:r w:rsidR="00BE375E">
        <w:rPr>
          <w:i/>
        </w:rPr>
        <w:t>id.</w:t>
      </w:r>
      <w:r w:rsidR="00BE375E">
        <w:t xml:space="preserve"> at </w:t>
      </w:r>
      <w:r w:rsidR="00A862EB" w:rsidRPr="00A862EB">
        <w:t xml:space="preserve">8644-47, </w:t>
      </w:r>
      <w:r w:rsidRPr="00A862EB">
        <w:t>para</w:t>
      </w:r>
      <w:r w:rsidR="00990504">
        <w:t>s.</w:t>
      </w:r>
      <w:r w:rsidRPr="00A862EB">
        <w:t xml:space="preserve"> </w:t>
      </w:r>
      <w:r w:rsidR="00A862EB" w:rsidRPr="00A862EB">
        <w:t>53-61</w:t>
      </w:r>
      <w:r w:rsidR="00BE375E">
        <w:t>.</w:t>
      </w:r>
      <w:r w:rsidR="00534FD7" w:rsidRPr="00A862EB">
        <w:t xml:space="preserve"> </w:t>
      </w:r>
      <w:r w:rsidR="00534FD7">
        <w:t xml:space="preserve"> </w:t>
      </w:r>
    </w:p>
  </w:footnote>
  <w:footnote w:id="8">
    <w:p w14:paraId="36CB6D4D" w14:textId="77777777" w:rsidR="00604096" w:rsidRDefault="006040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0504">
        <w:rPr>
          <w:i/>
        </w:rPr>
        <w:t>See i</w:t>
      </w:r>
      <w:r w:rsidR="002F0C91">
        <w:rPr>
          <w:i/>
        </w:rPr>
        <w:t xml:space="preserve">d. </w:t>
      </w:r>
      <w:r w:rsidR="002F0C91" w:rsidRPr="002F0C91">
        <w:t>at</w:t>
      </w:r>
      <w:r w:rsidR="002F0C91">
        <w:t xml:space="preserve"> 8646,</w:t>
      </w:r>
      <w:r w:rsidR="00534FD7">
        <w:t xml:space="preserve"> para. 57.</w:t>
      </w:r>
    </w:p>
  </w:footnote>
  <w:footnote w:id="9">
    <w:p w14:paraId="352CEB0E" w14:textId="77777777" w:rsidR="00F36219" w:rsidRDefault="00F362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0C91">
        <w:rPr>
          <w:i/>
        </w:rPr>
        <w:t xml:space="preserve">Id. </w:t>
      </w:r>
      <w:r w:rsidR="002F0C91" w:rsidRPr="002F0C91">
        <w:t>at</w:t>
      </w:r>
      <w:r w:rsidR="009D6EA2">
        <w:t xml:space="preserve"> 8644</w:t>
      </w:r>
      <w:r w:rsidR="002F0C91">
        <w:t>, para.</w:t>
      </w:r>
      <w:r w:rsidR="009D6EA2">
        <w:t xml:space="preserve"> 53.</w:t>
      </w:r>
    </w:p>
  </w:footnote>
  <w:footnote w:id="10">
    <w:p w14:paraId="174247E3" w14:textId="77777777" w:rsidR="002F0C91" w:rsidRDefault="002F0C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6EA2">
        <w:rPr>
          <w:i/>
        </w:rPr>
        <w:t>Id</w:t>
      </w:r>
      <w:r>
        <w:t>. at</w:t>
      </w:r>
      <w:r w:rsidR="009D6EA2">
        <w:t xml:space="preserve"> 8646,</w:t>
      </w:r>
      <w:r>
        <w:t xml:space="preserve"> para. 58.</w:t>
      </w:r>
    </w:p>
  </w:footnote>
  <w:footnote w:id="11">
    <w:p w14:paraId="64CC9419" w14:textId="77777777" w:rsidR="00940A14" w:rsidRDefault="00940A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169A">
        <w:rPr>
          <w:i/>
        </w:rPr>
        <w:t>Id</w:t>
      </w:r>
      <w:r>
        <w:t>. at 8630, para. 22.</w:t>
      </w:r>
    </w:p>
  </w:footnote>
  <w:footnote w:id="12">
    <w:p w14:paraId="175A6B9C" w14:textId="6872D80A" w:rsidR="00940A14" w:rsidRDefault="00940A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169A">
        <w:rPr>
          <w:i/>
        </w:rPr>
        <w:t>Id</w:t>
      </w:r>
      <w:r>
        <w:t>. at 8629-30, para</w:t>
      </w:r>
      <w:r w:rsidR="00990504">
        <w:t>s</w:t>
      </w:r>
      <w:r>
        <w:t>. 20-22</w:t>
      </w:r>
      <w:r w:rsidR="001C450D">
        <w:t>.</w:t>
      </w:r>
      <w:r w:rsidR="00261B06">
        <w:t xml:space="preserve">  Although the </w:t>
      </w:r>
      <w:r w:rsidR="00261B06" w:rsidRPr="00BF2206">
        <w:rPr>
          <w:i/>
        </w:rPr>
        <w:t>VRS Reform Order</w:t>
      </w:r>
      <w:r w:rsidR="00261B06">
        <w:t xml:space="preserve"> </w:t>
      </w:r>
      <w:r w:rsidR="000C54B5">
        <w:t xml:space="preserve">directed the Managing Director to enter into an arrangement with </w:t>
      </w:r>
      <w:r w:rsidR="00261B06">
        <w:t xml:space="preserve">the National Science Foundation for this purpose, </w:t>
      </w:r>
      <w:r w:rsidR="00261B06" w:rsidRPr="00BF2206">
        <w:rPr>
          <w:i/>
        </w:rPr>
        <w:t>id.</w:t>
      </w:r>
      <w:r w:rsidR="00261B06">
        <w:t xml:space="preserve"> at </w:t>
      </w:r>
      <w:r w:rsidR="00C07BE4">
        <w:t xml:space="preserve">8624 </w:t>
      </w:r>
      <w:r w:rsidR="00261B06">
        <w:t xml:space="preserve">para. 8, </w:t>
      </w:r>
      <w:r w:rsidR="00C07BE4">
        <w:t xml:space="preserve">8630, para. </w:t>
      </w:r>
      <w:r w:rsidR="00261B06">
        <w:t>22, t</w:t>
      </w:r>
      <w:r w:rsidR="00554D5B">
        <w:t xml:space="preserve">he Commission </w:t>
      </w:r>
      <w:r w:rsidR="000C54B5">
        <w:t xml:space="preserve">later broadened the Managing Director’s discretion to consider alternatives.  </w:t>
      </w:r>
      <w:r w:rsidR="000C54B5">
        <w:rPr>
          <w:i/>
        </w:rPr>
        <w:t xml:space="preserve">See Technology Transitions </w:t>
      </w:r>
      <w:r w:rsidR="000C54B5">
        <w:t xml:space="preserve">et al., GN Docket No. 13-5 et al., </w:t>
      </w:r>
      <w:r w:rsidR="00286891" w:rsidRPr="00286891">
        <w:t>Order, Report and Order and Further Notice of Proposed Rulemaking</w:t>
      </w:r>
      <w:r w:rsidR="00286891">
        <w:t>, 29 FCC Rcd 1433, 1480-81, paras. 141-43</w:t>
      </w:r>
      <w:r w:rsidR="00B3635C">
        <w:t xml:space="preserve"> (2014).</w:t>
      </w:r>
      <w:r w:rsidR="00286891">
        <w:t xml:space="preserve">  </w:t>
      </w:r>
      <w:r w:rsidR="000C54B5">
        <w:t xml:space="preserve">The Managing Director </w:t>
      </w:r>
      <w:r w:rsidR="00554D5B">
        <w:t xml:space="preserve">has </w:t>
      </w:r>
      <w:r w:rsidR="009720A7">
        <w:t>retained</w:t>
      </w:r>
      <w:r w:rsidR="00554D5B">
        <w:t xml:space="preserve"> MITRE</w:t>
      </w:r>
      <w:r w:rsidR="009720A7">
        <w:t xml:space="preserve"> to conduct </w:t>
      </w:r>
      <w:r w:rsidR="000669D7">
        <w:t xml:space="preserve">such </w:t>
      </w:r>
      <w:r w:rsidR="009720A7">
        <w:t>R&amp;D.</w:t>
      </w:r>
      <w:r w:rsidR="001927E1">
        <w:t xml:space="preserve"> </w:t>
      </w:r>
      <w:r w:rsidR="001E1043">
        <w:t xml:space="preserve"> </w:t>
      </w:r>
      <w:r w:rsidR="00554D5B" w:rsidRPr="0082169A">
        <w:rPr>
          <w:i/>
        </w:rPr>
        <w:t>See</w:t>
      </w:r>
      <w:r w:rsidR="00554D5B">
        <w:t xml:space="preserve"> </w:t>
      </w:r>
      <w:r w:rsidR="0022634E" w:rsidRPr="00865958">
        <w:rPr>
          <w:i/>
        </w:rPr>
        <w:t>FCC Announces Release of an Auto Call Routing Implementation</w:t>
      </w:r>
      <w:r w:rsidR="00DB0BF5">
        <w:rPr>
          <w:i/>
        </w:rPr>
        <w:t xml:space="preserve"> Guide</w:t>
      </w:r>
      <w:r w:rsidR="0022634E" w:rsidRPr="00865958">
        <w:rPr>
          <w:i/>
        </w:rPr>
        <w:t xml:space="preserve"> “Cookbook” for Direct Video Communications</w:t>
      </w:r>
      <w:r w:rsidR="0022634E">
        <w:t>, Public Notice, DA 15-1312 (rel. Nov. 18, 2015) (</w:t>
      </w:r>
      <w:r w:rsidR="0022634E" w:rsidRPr="00865958">
        <w:rPr>
          <w:i/>
        </w:rPr>
        <w:t>MITRE Public Notice</w:t>
      </w:r>
      <w:r w:rsidR="0022634E">
        <w:t>).</w:t>
      </w:r>
      <w:r w:rsidR="00261B06">
        <w:t xml:space="preserve"> </w:t>
      </w:r>
    </w:p>
  </w:footnote>
  <w:footnote w:id="13">
    <w:p w14:paraId="02DF0210" w14:textId="77777777" w:rsidR="005D284A" w:rsidRDefault="005D28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2869" w:rsidRPr="0082169A">
        <w:rPr>
          <w:i/>
        </w:rPr>
        <w:t>See</w:t>
      </w:r>
      <w:r w:rsidR="00A22869">
        <w:t xml:space="preserve"> FedBizOpps.gov, </w:t>
      </w:r>
      <w:r w:rsidR="00A22869" w:rsidRPr="0082169A">
        <w:t>www.fbo.gov</w:t>
      </w:r>
      <w:r w:rsidR="00A22869">
        <w:t xml:space="preserve"> (search “Keyword/Solicitation #” for </w:t>
      </w:r>
      <w:r w:rsidR="00A22869" w:rsidRPr="0082169A">
        <w:t>“</w:t>
      </w:r>
      <w:r w:rsidR="00A22869" w:rsidRPr="0082169A">
        <w:rPr>
          <w:bCs/>
        </w:rPr>
        <w:t>FCC14R0012”).</w:t>
      </w:r>
      <w:r w:rsidR="00FF17E0">
        <w:rPr>
          <w:bCs/>
        </w:rPr>
        <w:t xml:space="preserve"> </w:t>
      </w:r>
      <w:r w:rsidR="00A22869" w:rsidRPr="00A22869" w:rsidDel="000A1130">
        <w:t xml:space="preserve"> </w:t>
      </w:r>
      <w:r>
        <w:t xml:space="preserve">VTCSecure’s activities as administrator of the reference platform are compensable from the TRS Fund. </w:t>
      </w:r>
      <w:r w:rsidR="00642EE3">
        <w:t xml:space="preserve"> </w:t>
      </w:r>
      <w:r w:rsidRPr="005D284A">
        <w:rPr>
          <w:i/>
        </w:rPr>
        <w:t>See</w:t>
      </w:r>
      <w:r>
        <w:t xml:space="preserve"> 47 C.F.R. § 64.619(b)(2).</w:t>
      </w:r>
    </w:p>
  </w:footnote>
  <w:footnote w:id="14">
    <w:p w14:paraId="405ED0BE" w14:textId="2AA3CF31" w:rsidR="00A22869" w:rsidRDefault="00A228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4B6">
        <w:rPr>
          <w:i/>
        </w:rPr>
        <w:t>See</w:t>
      </w:r>
      <w:r w:rsidR="0022634E" w:rsidRPr="0022634E">
        <w:rPr>
          <w:i/>
        </w:rPr>
        <w:t xml:space="preserve"> </w:t>
      </w:r>
      <w:r w:rsidR="0022634E" w:rsidRPr="00DE656E">
        <w:rPr>
          <w:i/>
        </w:rPr>
        <w:t>MITRE Public Notice</w:t>
      </w:r>
      <w:r>
        <w:t>.</w:t>
      </w:r>
    </w:p>
  </w:footnote>
  <w:footnote w:id="15">
    <w:p w14:paraId="107AD3F5" w14:textId="77777777" w:rsidR="00583E22" w:rsidRDefault="00583E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42EE3">
        <w:t xml:space="preserve">See 47 C.F.R. § 64.613(a)(1), (a)(2); </w:t>
      </w:r>
      <w:r w:rsidR="00642EE3" w:rsidRPr="00642EE3">
        <w:rPr>
          <w:i/>
        </w:rPr>
        <w:t>see also</w:t>
      </w:r>
      <w:r w:rsidR="00642EE3">
        <w:t xml:space="preserve"> </w:t>
      </w:r>
      <w:r w:rsidR="00642EE3" w:rsidRPr="00534FD7">
        <w:rPr>
          <w:i/>
        </w:rPr>
        <w:t>Telecommunications Relay Services and Speech-to-Speech Services for Individuals with Hearing and Speech Disabilities</w:t>
      </w:r>
      <w:r w:rsidR="00642EE3">
        <w:t xml:space="preserve"> et al., CG Docket  No. 03-123 et al., Report and Order and Further Notice of Proposed Rulemaking, 23 FCC Rcd 11591, 1161</w:t>
      </w:r>
      <w:r w:rsidR="00B62A18">
        <w:t>2</w:t>
      </w:r>
      <w:r w:rsidR="00642EE3">
        <w:t>, para. 49 (2008) (</w:t>
      </w:r>
      <w:r w:rsidR="00642EE3" w:rsidRPr="00642EE3">
        <w:rPr>
          <w:i/>
        </w:rPr>
        <w:t>2008 VRS Order</w:t>
      </w:r>
      <w:r w:rsidR="00642EE3" w:rsidRPr="00865958">
        <w:t>)</w:t>
      </w:r>
      <w:r w:rsidR="00642EE3">
        <w:rPr>
          <w:i/>
        </w:rPr>
        <w:t xml:space="preserve">. </w:t>
      </w:r>
    </w:p>
  </w:footnote>
  <w:footnote w:id="16">
    <w:p w14:paraId="53221AB2" w14:textId="77777777" w:rsidR="005D284A" w:rsidRDefault="005D28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2699">
        <w:rPr>
          <w:i/>
        </w:rPr>
        <w:t>See</w:t>
      </w:r>
      <w:r>
        <w:t xml:space="preserve"> 47 C.F.R. § 64.613(a)(4) (“Only the TRS Numbering Administrator and Internet-based TRS providers may access the TRS Numbering Directory.”).</w:t>
      </w:r>
    </w:p>
  </w:footnote>
  <w:footnote w:id="17">
    <w:p w14:paraId="5E66FD72" w14:textId="77777777" w:rsidR="00F95287" w:rsidRDefault="00F95287">
      <w:pPr>
        <w:pStyle w:val="FootnoteText"/>
      </w:pPr>
      <w:r>
        <w:rPr>
          <w:rStyle w:val="FootnoteReference"/>
        </w:rPr>
        <w:footnoteRef/>
      </w:r>
      <w:r>
        <w:t xml:space="preserve"> 47 C.F.R. § 1.3.</w:t>
      </w:r>
    </w:p>
  </w:footnote>
  <w:footnote w:id="18">
    <w:p w14:paraId="3015F600" w14:textId="77777777" w:rsidR="00627ABD" w:rsidRDefault="00627A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06BB">
        <w:rPr>
          <w:i/>
        </w:rPr>
        <w:t>Northeast Cellular Telephone Co. v. FCC</w:t>
      </w:r>
      <w:r w:rsidR="006806BB">
        <w:t>, 897 F.</w:t>
      </w:r>
      <w:r w:rsidR="00BA6EB9">
        <w:t xml:space="preserve">2d 1164, 1166 (D.C. Cir. 1990). </w:t>
      </w:r>
    </w:p>
  </w:footnote>
  <w:footnote w:id="19">
    <w:p w14:paraId="558B33F1" w14:textId="77777777" w:rsidR="00301C16" w:rsidRDefault="00301C16">
      <w:pPr>
        <w:pStyle w:val="FootnoteText"/>
      </w:pPr>
      <w:r>
        <w:rPr>
          <w:rStyle w:val="FootnoteReference"/>
        </w:rPr>
        <w:footnoteRef/>
      </w:r>
      <w:r w:rsidR="00534FD7">
        <w:t xml:space="preserve"> </w:t>
      </w:r>
      <w:r w:rsidR="002F0C91" w:rsidRPr="00642EE3">
        <w:rPr>
          <w:i/>
        </w:rPr>
        <w:t>2008 VRS Order</w:t>
      </w:r>
      <w:r w:rsidR="002F0C91">
        <w:t xml:space="preserve">, </w:t>
      </w:r>
      <w:r w:rsidR="00534FD7">
        <w:t xml:space="preserve">23 FCC Rcd </w:t>
      </w:r>
      <w:r w:rsidR="002F0C91">
        <w:t xml:space="preserve">at </w:t>
      </w:r>
      <w:r w:rsidR="00534FD7">
        <w:t xml:space="preserve">11617, para. 67; </w:t>
      </w:r>
      <w:r w:rsidR="00534FD7" w:rsidRPr="00534FD7">
        <w:rPr>
          <w:i/>
        </w:rPr>
        <w:t>see also id</w:t>
      </w:r>
      <w:r w:rsidR="00534FD7">
        <w:t>. at 11614, para. 55</w:t>
      </w:r>
      <w:r w:rsidR="00F30727">
        <w:t xml:space="preserve"> (</w:t>
      </w:r>
      <w:r w:rsidR="00534FD7">
        <w:t xml:space="preserve">dismissing as presenting “significant security risks” a proposal to have end users directly provision information to the TRS Numbering Directory).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30EA" w14:textId="77777777" w:rsidR="00AB6434" w:rsidRDefault="00AB6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5534" w14:textId="45CFC29B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BD1730">
      <w:t>DA 15-</w:t>
    </w:r>
    <w:r w:rsidR="00C40969">
      <w:t>1349</w:t>
    </w:r>
  </w:p>
  <w:p w14:paraId="143DA7AD" w14:textId="77777777" w:rsidR="00D25FB5" w:rsidRDefault="00372F5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632FEE2" wp14:editId="5D68FA7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507A80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1C564E06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5C37" w14:textId="03013F0B" w:rsidR="00D25FB5" w:rsidRDefault="00372F51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F5E9E2D" wp14:editId="0BE6D52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08821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5E1190">
      <w:rPr>
        <w:spacing w:val="-2"/>
      </w:rPr>
      <w:t>DA 15-</w:t>
    </w:r>
    <w:r w:rsidR="00C40969">
      <w:rPr>
        <w:spacing w:val="-2"/>
      </w:rPr>
      <w:t>1349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90"/>
    <w:rsid w:val="00006A47"/>
    <w:rsid w:val="00015638"/>
    <w:rsid w:val="00017564"/>
    <w:rsid w:val="00022A4B"/>
    <w:rsid w:val="00026AFC"/>
    <w:rsid w:val="0003023B"/>
    <w:rsid w:val="00031415"/>
    <w:rsid w:val="00036039"/>
    <w:rsid w:val="00037F90"/>
    <w:rsid w:val="00047285"/>
    <w:rsid w:val="00051A71"/>
    <w:rsid w:val="00065D78"/>
    <w:rsid w:val="000669D7"/>
    <w:rsid w:val="00084EA2"/>
    <w:rsid w:val="000875BF"/>
    <w:rsid w:val="00096D8C"/>
    <w:rsid w:val="000A1130"/>
    <w:rsid w:val="000C0B65"/>
    <w:rsid w:val="000C54B5"/>
    <w:rsid w:val="000E05FE"/>
    <w:rsid w:val="000E3D42"/>
    <w:rsid w:val="000F0331"/>
    <w:rsid w:val="00117A6E"/>
    <w:rsid w:val="00122BD5"/>
    <w:rsid w:val="0012656B"/>
    <w:rsid w:val="00133F79"/>
    <w:rsid w:val="001448DE"/>
    <w:rsid w:val="001603CF"/>
    <w:rsid w:val="00174369"/>
    <w:rsid w:val="001927E1"/>
    <w:rsid w:val="00193432"/>
    <w:rsid w:val="00194A66"/>
    <w:rsid w:val="001C450D"/>
    <w:rsid w:val="001D6BCF"/>
    <w:rsid w:val="001E01CA"/>
    <w:rsid w:val="001E075E"/>
    <w:rsid w:val="001E1043"/>
    <w:rsid w:val="002024C7"/>
    <w:rsid w:val="0022634E"/>
    <w:rsid w:val="002271B6"/>
    <w:rsid w:val="002616C7"/>
    <w:rsid w:val="00261B06"/>
    <w:rsid w:val="00275CF5"/>
    <w:rsid w:val="0028301F"/>
    <w:rsid w:val="00284364"/>
    <w:rsid w:val="00285017"/>
    <w:rsid w:val="00286891"/>
    <w:rsid w:val="00296BE6"/>
    <w:rsid w:val="002A2D2E"/>
    <w:rsid w:val="002C00E8"/>
    <w:rsid w:val="002E0554"/>
    <w:rsid w:val="002F0C91"/>
    <w:rsid w:val="00301C16"/>
    <w:rsid w:val="00311AA8"/>
    <w:rsid w:val="0031711C"/>
    <w:rsid w:val="0033434A"/>
    <w:rsid w:val="003361FE"/>
    <w:rsid w:val="003411B8"/>
    <w:rsid w:val="00341293"/>
    <w:rsid w:val="00343749"/>
    <w:rsid w:val="00363B5D"/>
    <w:rsid w:val="003660ED"/>
    <w:rsid w:val="00372F51"/>
    <w:rsid w:val="00377160"/>
    <w:rsid w:val="00377872"/>
    <w:rsid w:val="003B0550"/>
    <w:rsid w:val="003B694F"/>
    <w:rsid w:val="003C3603"/>
    <w:rsid w:val="003D7D49"/>
    <w:rsid w:val="003E1029"/>
    <w:rsid w:val="003F171C"/>
    <w:rsid w:val="003F592E"/>
    <w:rsid w:val="00400B17"/>
    <w:rsid w:val="00412FC5"/>
    <w:rsid w:val="00422276"/>
    <w:rsid w:val="004242F1"/>
    <w:rsid w:val="00434DFB"/>
    <w:rsid w:val="00445A00"/>
    <w:rsid w:val="00451B0F"/>
    <w:rsid w:val="00472699"/>
    <w:rsid w:val="00494F7A"/>
    <w:rsid w:val="004A0177"/>
    <w:rsid w:val="004A0C00"/>
    <w:rsid w:val="004B43DC"/>
    <w:rsid w:val="004C2EE3"/>
    <w:rsid w:val="004E4A22"/>
    <w:rsid w:val="004F1050"/>
    <w:rsid w:val="00511968"/>
    <w:rsid w:val="00524794"/>
    <w:rsid w:val="00533F74"/>
    <w:rsid w:val="00534FD7"/>
    <w:rsid w:val="00554749"/>
    <w:rsid w:val="00554D5B"/>
    <w:rsid w:val="0055614C"/>
    <w:rsid w:val="005653E3"/>
    <w:rsid w:val="00567B47"/>
    <w:rsid w:val="00577A76"/>
    <w:rsid w:val="00583E22"/>
    <w:rsid w:val="005B47D9"/>
    <w:rsid w:val="005C7B05"/>
    <w:rsid w:val="005D284A"/>
    <w:rsid w:val="005D4D59"/>
    <w:rsid w:val="005E1190"/>
    <w:rsid w:val="005E14C2"/>
    <w:rsid w:val="00604096"/>
    <w:rsid w:val="006046C6"/>
    <w:rsid w:val="00607BA5"/>
    <w:rsid w:val="0061120B"/>
    <w:rsid w:val="0061180A"/>
    <w:rsid w:val="006234E8"/>
    <w:rsid w:val="00626EB6"/>
    <w:rsid w:val="00627ABD"/>
    <w:rsid w:val="00642EE3"/>
    <w:rsid w:val="00650E22"/>
    <w:rsid w:val="0065148E"/>
    <w:rsid w:val="00655D03"/>
    <w:rsid w:val="0067336A"/>
    <w:rsid w:val="006806BB"/>
    <w:rsid w:val="00683388"/>
    <w:rsid w:val="00683B18"/>
    <w:rsid w:val="00683F84"/>
    <w:rsid w:val="006A6A81"/>
    <w:rsid w:val="006A6F65"/>
    <w:rsid w:val="006B5288"/>
    <w:rsid w:val="006E7B94"/>
    <w:rsid w:val="006F4655"/>
    <w:rsid w:val="006F7393"/>
    <w:rsid w:val="0070224F"/>
    <w:rsid w:val="007115F7"/>
    <w:rsid w:val="00734EDD"/>
    <w:rsid w:val="00745639"/>
    <w:rsid w:val="00770130"/>
    <w:rsid w:val="00785689"/>
    <w:rsid w:val="00794E4B"/>
    <w:rsid w:val="0079754B"/>
    <w:rsid w:val="007A1E6D"/>
    <w:rsid w:val="007A3B21"/>
    <w:rsid w:val="007A4B47"/>
    <w:rsid w:val="007B0EB2"/>
    <w:rsid w:val="007F40CC"/>
    <w:rsid w:val="008049FE"/>
    <w:rsid w:val="00810B6F"/>
    <w:rsid w:val="00815621"/>
    <w:rsid w:val="0082169A"/>
    <w:rsid w:val="00822CE0"/>
    <w:rsid w:val="00841AB1"/>
    <w:rsid w:val="0084317B"/>
    <w:rsid w:val="0084576D"/>
    <w:rsid w:val="00853C5F"/>
    <w:rsid w:val="00865958"/>
    <w:rsid w:val="008721AD"/>
    <w:rsid w:val="00872B6A"/>
    <w:rsid w:val="0089338C"/>
    <w:rsid w:val="008A0CF0"/>
    <w:rsid w:val="008B0534"/>
    <w:rsid w:val="008B68AA"/>
    <w:rsid w:val="008C68F1"/>
    <w:rsid w:val="008C6FAB"/>
    <w:rsid w:val="008D251B"/>
    <w:rsid w:val="008F1E6E"/>
    <w:rsid w:val="00917614"/>
    <w:rsid w:val="00921803"/>
    <w:rsid w:val="00926503"/>
    <w:rsid w:val="00926E4C"/>
    <w:rsid w:val="00940A14"/>
    <w:rsid w:val="0094365F"/>
    <w:rsid w:val="00967A16"/>
    <w:rsid w:val="009720A7"/>
    <w:rsid w:val="009726D8"/>
    <w:rsid w:val="00990504"/>
    <w:rsid w:val="009A05BE"/>
    <w:rsid w:val="009D6EA2"/>
    <w:rsid w:val="009F76DB"/>
    <w:rsid w:val="00A00F1D"/>
    <w:rsid w:val="00A156F0"/>
    <w:rsid w:val="00A2127D"/>
    <w:rsid w:val="00A22869"/>
    <w:rsid w:val="00A32C3B"/>
    <w:rsid w:val="00A33EF7"/>
    <w:rsid w:val="00A360CF"/>
    <w:rsid w:val="00A45F4F"/>
    <w:rsid w:val="00A600A9"/>
    <w:rsid w:val="00A752DC"/>
    <w:rsid w:val="00A8084E"/>
    <w:rsid w:val="00A862EB"/>
    <w:rsid w:val="00A97645"/>
    <w:rsid w:val="00AA55B7"/>
    <w:rsid w:val="00AA5B9E"/>
    <w:rsid w:val="00AB2407"/>
    <w:rsid w:val="00AB53DF"/>
    <w:rsid w:val="00AB6434"/>
    <w:rsid w:val="00B07E5C"/>
    <w:rsid w:val="00B20DC0"/>
    <w:rsid w:val="00B3635C"/>
    <w:rsid w:val="00B62A18"/>
    <w:rsid w:val="00B811F7"/>
    <w:rsid w:val="00BA5DC6"/>
    <w:rsid w:val="00BA6196"/>
    <w:rsid w:val="00BA6EB9"/>
    <w:rsid w:val="00BB09A3"/>
    <w:rsid w:val="00BC6D8C"/>
    <w:rsid w:val="00BD1730"/>
    <w:rsid w:val="00BD3AF3"/>
    <w:rsid w:val="00BE375E"/>
    <w:rsid w:val="00BF2206"/>
    <w:rsid w:val="00C01440"/>
    <w:rsid w:val="00C03234"/>
    <w:rsid w:val="00C07BE4"/>
    <w:rsid w:val="00C13E9A"/>
    <w:rsid w:val="00C34006"/>
    <w:rsid w:val="00C40969"/>
    <w:rsid w:val="00C426B1"/>
    <w:rsid w:val="00C66160"/>
    <w:rsid w:val="00C721AC"/>
    <w:rsid w:val="00C90D6A"/>
    <w:rsid w:val="00CA247E"/>
    <w:rsid w:val="00CA3040"/>
    <w:rsid w:val="00CC72B6"/>
    <w:rsid w:val="00CD2011"/>
    <w:rsid w:val="00D00084"/>
    <w:rsid w:val="00D0218D"/>
    <w:rsid w:val="00D25FB5"/>
    <w:rsid w:val="00D44223"/>
    <w:rsid w:val="00D44AE1"/>
    <w:rsid w:val="00D51BF0"/>
    <w:rsid w:val="00D71D5A"/>
    <w:rsid w:val="00D86300"/>
    <w:rsid w:val="00DA2529"/>
    <w:rsid w:val="00DB0BF5"/>
    <w:rsid w:val="00DB130A"/>
    <w:rsid w:val="00DB2EBB"/>
    <w:rsid w:val="00DB4567"/>
    <w:rsid w:val="00DC10A1"/>
    <w:rsid w:val="00DC655F"/>
    <w:rsid w:val="00DD0B59"/>
    <w:rsid w:val="00DD7EBD"/>
    <w:rsid w:val="00DF14E7"/>
    <w:rsid w:val="00DF62B6"/>
    <w:rsid w:val="00E04BC7"/>
    <w:rsid w:val="00E06826"/>
    <w:rsid w:val="00E07225"/>
    <w:rsid w:val="00E32F73"/>
    <w:rsid w:val="00E349CB"/>
    <w:rsid w:val="00E51CCF"/>
    <w:rsid w:val="00E5409F"/>
    <w:rsid w:val="00E80477"/>
    <w:rsid w:val="00E82EBB"/>
    <w:rsid w:val="00EA742B"/>
    <w:rsid w:val="00ED12DA"/>
    <w:rsid w:val="00EE2E98"/>
    <w:rsid w:val="00EE3924"/>
    <w:rsid w:val="00EE6488"/>
    <w:rsid w:val="00F021FA"/>
    <w:rsid w:val="00F03289"/>
    <w:rsid w:val="00F20ED1"/>
    <w:rsid w:val="00F22FBA"/>
    <w:rsid w:val="00F30727"/>
    <w:rsid w:val="00F36219"/>
    <w:rsid w:val="00F62E97"/>
    <w:rsid w:val="00F64209"/>
    <w:rsid w:val="00F66DA8"/>
    <w:rsid w:val="00F76A5B"/>
    <w:rsid w:val="00F93BF5"/>
    <w:rsid w:val="00F95287"/>
    <w:rsid w:val="00FC0E78"/>
    <w:rsid w:val="00FE7119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3A0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rsid w:val="00EA742B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D71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D5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1D5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7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D5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D71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D5A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1E1043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9A05BE"/>
  </w:style>
  <w:style w:type="character" w:styleId="PlaceholderText">
    <w:name w:val="Placeholder Text"/>
    <w:basedOn w:val="DefaultParagraphFont"/>
    <w:uiPriority w:val="99"/>
    <w:semiHidden/>
    <w:rsid w:val="004A01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rsid w:val="00EA742B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D71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D5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1D5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7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D5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D71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D5A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1E1043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9A05BE"/>
  </w:style>
  <w:style w:type="character" w:styleId="PlaceholderText">
    <w:name w:val="Placeholder Text"/>
    <w:basedOn w:val="DefaultParagraphFont"/>
    <w:uiPriority w:val="99"/>
    <w:semiHidden/>
    <w:rsid w:val="004A0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5866</Characters>
  <Application>Microsoft Office Word</Application>
  <DocSecurity>0</DocSecurity>
  <Lines>139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2015-11-23T18:30:00Z</cp:lastPrinted>
  <dcterms:created xsi:type="dcterms:W3CDTF">2015-11-23T20:51:00Z</dcterms:created>
  <dcterms:modified xsi:type="dcterms:W3CDTF">2015-11-23T20:51:00Z</dcterms:modified>
  <cp:category> </cp:category>
  <cp:contentStatus> </cp:contentStatus>
</cp:coreProperties>
</file>